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7DB0" w:rsidR="00CB7234" w:rsidP="00CB7234" w:rsidRDefault="00CB7234" w14:paraId="372F44D4" w14:textId="77777777">
      <w:pPr>
        <w:jc w:val="center"/>
        <w:rPr>
          <w:b/>
          <w:sz w:val="28"/>
          <w:szCs w:val="28"/>
        </w:rPr>
      </w:pPr>
      <w:r w:rsidRPr="00FA7DB0">
        <w:rPr>
          <w:b/>
          <w:sz w:val="28"/>
          <w:szCs w:val="28"/>
        </w:rPr>
        <w:t>SUPPORTING STATEMENT</w:t>
      </w:r>
    </w:p>
    <w:p w:rsidRPr="00FA7DB0" w:rsidR="00CB7234" w:rsidP="00CB7234" w:rsidRDefault="00CB7234" w14:paraId="2B7055A1" w14:textId="77777777">
      <w:pPr>
        <w:jc w:val="center"/>
        <w:rPr>
          <w:b/>
          <w:sz w:val="28"/>
          <w:szCs w:val="28"/>
        </w:rPr>
      </w:pPr>
    </w:p>
    <w:p w:rsidRPr="00FA7DB0" w:rsidR="00CB7234" w:rsidP="00CB7234" w:rsidRDefault="00CB7234" w14:paraId="0F91C873" w14:textId="77777777">
      <w:pPr>
        <w:jc w:val="center"/>
        <w:rPr>
          <w:sz w:val="28"/>
          <w:szCs w:val="28"/>
        </w:rPr>
      </w:pPr>
      <w:r w:rsidRPr="00FA7DB0">
        <w:rPr>
          <w:b/>
          <w:sz w:val="28"/>
          <w:szCs w:val="28"/>
        </w:rPr>
        <w:t>Part A</w:t>
      </w:r>
    </w:p>
    <w:p w:rsidRPr="00FA7DB0" w:rsidR="00CB7234" w:rsidP="00CB7234" w:rsidRDefault="00CB7234" w14:paraId="66C397C7" w14:textId="77777777">
      <w:pPr>
        <w:jc w:val="center"/>
        <w:rPr>
          <w:sz w:val="28"/>
          <w:szCs w:val="28"/>
        </w:rPr>
      </w:pPr>
    </w:p>
    <w:p w:rsidRPr="00FA7DB0" w:rsidR="00CB7234" w:rsidP="00CB7234" w:rsidRDefault="00CB7234" w14:paraId="78A28960" w14:textId="77777777">
      <w:pPr>
        <w:jc w:val="center"/>
        <w:rPr>
          <w:sz w:val="28"/>
          <w:szCs w:val="28"/>
        </w:rPr>
      </w:pPr>
    </w:p>
    <w:p w:rsidRPr="00FA7DB0" w:rsidR="00CB7234" w:rsidP="00CB7234" w:rsidRDefault="00CB7234" w14:paraId="0E7D3126" w14:textId="77777777">
      <w:pPr>
        <w:jc w:val="center"/>
        <w:rPr>
          <w:sz w:val="28"/>
          <w:szCs w:val="28"/>
        </w:rPr>
      </w:pPr>
    </w:p>
    <w:p w:rsidRPr="00FA7DB0" w:rsidR="00CB7234" w:rsidP="00CB7234" w:rsidRDefault="00CB7234" w14:paraId="73D32949" w14:textId="77777777">
      <w:pPr>
        <w:jc w:val="center"/>
        <w:rPr>
          <w:sz w:val="28"/>
          <w:szCs w:val="28"/>
        </w:rPr>
      </w:pPr>
    </w:p>
    <w:p w:rsidRPr="00FA7DB0" w:rsidR="00CB7234" w:rsidP="00CB7234" w:rsidRDefault="00CB7234" w14:paraId="06E3D55A" w14:textId="77777777">
      <w:pPr>
        <w:jc w:val="center"/>
        <w:rPr>
          <w:sz w:val="28"/>
          <w:szCs w:val="28"/>
        </w:rPr>
      </w:pPr>
    </w:p>
    <w:p w:rsidRPr="00FA7DB0" w:rsidR="00CB7234" w:rsidP="00CB7234" w:rsidRDefault="00CB7234" w14:paraId="6D7C8CAC" w14:textId="77777777">
      <w:pPr>
        <w:jc w:val="center"/>
        <w:rPr>
          <w:sz w:val="28"/>
          <w:szCs w:val="28"/>
        </w:rPr>
      </w:pPr>
    </w:p>
    <w:p w:rsidRPr="00FA7DB0" w:rsidR="00FA7DB0" w:rsidP="00DF53F3" w:rsidRDefault="009E5A2B" w14:paraId="30E5921D" w14:textId="10FB305A">
      <w:pPr>
        <w:jc w:val="center"/>
        <w:rPr>
          <w:b/>
          <w:sz w:val="28"/>
          <w:szCs w:val="28"/>
        </w:rPr>
      </w:pPr>
      <w:r w:rsidRPr="00FA7DB0">
        <w:rPr>
          <w:b/>
          <w:sz w:val="28"/>
          <w:szCs w:val="28"/>
        </w:rPr>
        <w:t>Pilot Test</w:t>
      </w:r>
      <w:r w:rsidRPr="00FA7DB0" w:rsidR="00FA71A1">
        <w:rPr>
          <w:b/>
          <w:sz w:val="28"/>
          <w:szCs w:val="28"/>
        </w:rPr>
        <w:t xml:space="preserve"> </w:t>
      </w:r>
      <w:r w:rsidRPr="00FA7DB0" w:rsidR="00D4306F">
        <w:rPr>
          <w:b/>
          <w:sz w:val="28"/>
          <w:szCs w:val="28"/>
        </w:rPr>
        <w:t>of the</w:t>
      </w:r>
      <w:r w:rsidRPr="00FA7DB0" w:rsidR="00CB0B27">
        <w:rPr>
          <w:b/>
          <w:sz w:val="28"/>
          <w:szCs w:val="28"/>
        </w:rPr>
        <w:t xml:space="preserve"> Proposed </w:t>
      </w:r>
      <w:r w:rsidRPr="00FA7DB0" w:rsidR="00FA7DB0">
        <w:rPr>
          <w:b/>
          <w:sz w:val="28"/>
          <w:szCs w:val="28"/>
        </w:rPr>
        <w:t>Work</w:t>
      </w:r>
      <w:r w:rsidR="00B74B86">
        <w:rPr>
          <w:b/>
          <w:sz w:val="28"/>
          <w:szCs w:val="28"/>
        </w:rPr>
        <w:t>place</w:t>
      </w:r>
      <w:r w:rsidRPr="00FA7DB0" w:rsidR="00FA7DB0">
        <w:rPr>
          <w:b/>
          <w:sz w:val="28"/>
          <w:szCs w:val="28"/>
        </w:rPr>
        <w:t xml:space="preserve"> Safety </w:t>
      </w:r>
      <w:r w:rsidRPr="00FA7DB0" w:rsidR="00DF53F3">
        <w:rPr>
          <w:b/>
          <w:sz w:val="28"/>
          <w:szCs w:val="28"/>
        </w:rPr>
        <w:t xml:space="preserve">Supplemental Item Set </w:t>
      </w:r>
    </w:p>
    <w:p w:rsidRPr="00FA7DB0" w:rsidR="00CB7234" w:rsidP="00DF53F3" w:rsidRDefault="00FA7DB0" w14:paraId="17233322" w14:textId="2C335A3C">
      <w:pPr>
        <w:jc w:val="center"/>
        <w:rPr>
          <w:b/>
          <w:sz w:val="28"/>
          <w:szCs w:val="28"/>
        </w:rPr>
      </w:pPr>
      <w:r w:rsidRPr="00FA7DB0">
        <w:rPr>
          <w:b/>
          <w:sz w:val="28"/>
          <w:szCs w:val="28"/>
        </w:rPr>
        <w:t>For</w:t>
      </w:r>
      <w:r w:rsidRPr="00FA7DB0" w:rsidR="00DF53F3">
        <w:rPr>
          <w:b/>
          <w:sz w:val="28"/>
          <w:szCs w:val="28"/>
        </w:rPr>
        <w:t xml:space="preserve"> the </w:t>
      </w:r>
      <w:r w:rsidR="00E32CCE">
        <w:rPr>
          <w:b/>
          <w:sz w:val="28"/>
          <w:szCs w:val="28"/>
        </w:rPr>
        <w:t xml:space="preserve">AHRQ </w:t>
      </w:r>
      <w:r w:rsidRPr="00FA7DB0" w:rsidR="00DF53F3">
        <w:rPr>
          <w:b/>
          <w:sz w:val="28"/>
          <w:szCs w:val="28"/>
        </w:rPr>
        <w:t>Survey</w:t>
      </w:r>
      <w:r w:rsidRPr="00FA7DB0">
        <w:rPr>
          <w:b/>
          <w:sz w:val="28"/>
          <w:szCs w:val="28"/>
        </w:rPr>
        <w:t>s</w:t>
      </w:r>
      <w:r w:rsidRPr="00FA7DB0" w:rsidR="00DF53F3">
        <w:rPr>
          <w:b/>
          <w:sz w:val="28"/>
          <w:szCs w:val="28"/>
        </w:rPr>
        <w:t xml:space="preserve"> on Patient Safety Culture</w:t>
      </w:r>
      <w:r w:rsidRPr="00FA7DB0">
        <w:rPr>
          <w:b/>
          <w:sz w:val="28"/>
          <w:szCs w:val="28"/>
        </w:rPr>
        <w:t>™</w:t>
      </w:r>
      <w:r w:rsidR="005006CD">
        <w:rPr>
          <w:b/>
          <w:sz w:val="28"/>
          <w:szCs w:val="28"/>
        </w:rPr>
        <w:t xml:space="preserve"> </w:t>
      </w:r>
      <w:r w:rsidR="004C4EF9">
        <w:rPr>
          <w:b/>
          <w:sz w:val="28"/>
          <w:szCs w:val="28"/>
        </w:rPr>
        <w:t>(SOPS</w:t>
      </w:r>
      <w:r w:rsidRPr="002C5384" w:rsidR="004C4EF9">
        <w:rPr>
          <w:b/>
          <w:sz w:val="28"/>
          <w:szCs w:val="28"/>
          <w:vertAlign w:val="superscript"/>
        </w:rPr>
        <w:t>®</w:t>
      </w:r>
      <w:r w:rsidR="004C4EF9">
        <w:rPr>
          <w:b/>
          <w:sz w:val="28"/>
          <w:szCs w:val="28"/>
        </w:rPr>
        <w:t>)</w:t>
      </w:r>
      <w:r w:rsidR="002C5384">
        <w:rPr>
          <w:b/>
          <w:sz w:val="28"/>
          <w:szCs w:val="28"/>
        </w:rPr>
        <w:t xml:space="preserve"> </w:t>
      </w:r>
      <w:r w:rsidR="005006CD">
        <w:rPr>
          <w:b/>
          <w:sz w:val="28"/>
          <w:szCs w:val="28"/>
        </w:rPr>
        <w:t>Nursing Home Survey</w:t>
      </w:r>
    </w:p>
    <w:p w:rsidRPr="00FA7DB0" w:rsidR="00CB7234" w:rsidP="00CB7234" w:rsidRDefault="00CB7234" w14:paraId="3C6D6509" w14:textId="77777777">
      <w:pPr>
        <w:jc w:val="center"/>
        <w:rPr>
          <w:i/>
          <w:sz w:val="28"/>
          <w:szCs w:val="28"/>
        </w:rPr>
      </w:pPr>
    </w:p>
    <w:p w:rsidRPr="00FA7DB0" w:rsidR="00CB7234" w:rsidP="00CB7234" w:rsidRDefault="00CB7234" w14:paraId="4BC9E143" w14:textId="77777777">
      <w:pPr>
        <w:jc w:val="center"/>
        <w:rPr>
          <w:sz w:val="28"/>
          <w:szCs w:val="28"/>
        </w:rPr>
      </w:pPr>
    </w:p>
    <w:p w:rsidRPr="00FA7DB0" w:rsidR="00CB7234" w:rsidP="00CB7234" w:rsidRDefault="00CB7234" w14:paraId="1AD39CC3" w14:textId="77777777">
      <w:pPr>
        <w:jc w:val="center"/>
        <w:rPr>
          <w:sz w:val="28"/>
          <w:szCs w:val="28"/>
        </w:rPr>
      </w:pPr>
    </w:p>
    <w:p w:rsidRPr="00FA7DB0" w:rsidR="00CB7234" w:rsidP="00CB7234" w:rsidRDefault="00CB7234" w14:paraId="43319B03" w14:textId="77777777">
      <w:pPr>
        <w:jc w:val="center"/>
        <w:rPr>
          <w:sz w:val="28"/>
          <w:szCs w:val="28"/>
        </w:rPr>
      </w:pPr>
    </w:p>
    <w:p w:rsidRPr="00FA7DB0" w:rsidR="00CB7234" w:rsidP="00CB7234" w:rsidRDefault="0042006B" w14:paraId="6114A871" w14:textId="59CE5C99">
      <w:pPr>
        <w:jc w:val="center"/>
        <w:rPr>
          <w:b/>
          <w:sz w:val="28"/>
          <w:szCs w:val="28"/>
        </w:rPr>
      </w:pPr>
      <w:r>
        <w:rPr>
          <w:b/>
          <w:sz w:val="28"/>
          <w:szCs w:val="28"/>
        </w:rPr>
        <w:t>March 8</w:t>
      </w:r>
      <w:r w:rsidR="009E481E">
        <w:rPr>
          <w:b/>
          <w:sz w:val="28"/>
          <w:szCs w:val="28"/>
        </w:rPr>
        <w:t>, 2022</w:t>
      </w:r>
    </w:p>
    <w:p w:rsidRPr="00FA7DB0" w:rsidR="00CB7234" w:rsidP="00CB7234" w:rsidRDefault="00CB7234" w14:paraId="708ED588" w14:textId="77777777">
      <w:pPr>
        <w:jc w:val="center"/>
        <w:rPr>
          <w:i/>
          <w:sz w:val="28"/>
          <w:szCs w:val="28"/>
        </w:rPr>
      </w:pPr>
    </w:p>
    <w:p w:rsidRPr="00FA7DB0" w:rsidR="00CB7234" w:rsidP="00CB7234" w:rsidRDefault="00CB7234" w14:paraId="32A2C47C" w14:textId="77777777">
      <w:pPr>
        <w:jc w:val="center"/>
        <w:rPr>
          <w:sz w:val="28"/>
          <w:szCs w:val="28"/>
        </w:rPr>
      </w:pPr>
    </w:p>
    <w:p w:rsidRPr="00FA7DB0" w:rsidR="00CB7234" w:rsidP="00CB7234" w:rsidRDefault="00CB7234" w14:paraId="2958891D" w14:textId="77777777">
      <w:pPr>
        <w:jc w:val="center"/>
        <w:rPr>
          <w:sz w:val="28"/>
          <w:szCs w:val="28"/>
        </w:rPr>
      </w:pPr>
    </w:p>
    <w:p w:rsidRPr="00FA7DB0" w:rsidR="00CB7234" w:rsidP="00CB7234" w:rsidRDefault="00CB7234" w14:paraId="4490DCA0" w14:textId="77777777">
      <w:pPr>
        <w:jc w:val="center"/>
        <w:rPr>
          <w:sz w:val="28"/>
          <w:szCs w:val="28"/>
        </w:rPr>
      </w:pPr>
    </w:p>
    <w:p w:rsidRPr="00FA7DB0" w:rsidR="00CB7234" w:rsidP="00CB7234" w:rsidRDefault="00CB7234" w14:paraId="046CBDB8" w14:textId="77777777">
      <w:pPr>
        <w:jc w:val="center"/>
        <w:rPr>
          <w:sz w:val="28"/>
          <w:szCs w:val="28"/>
        </w:rPr>
      </w:pPr>
    </w:p>
    <w:p w:rsidRPr="00FA7DB0" w:rsidR="00CB7234" w:rsidP="00CB7234" w:rsidRDefault="00CB7234" w14:paraId="5AB6FC48" w14:textId="77777777">
      <w:pPr>
        <w:jc w:val="center"/>
        <w:rPr>
          <w:sz w:val="28"/>
          <w:szCs w:val="28"/>
        </w:rPr>
      </w:pPr>
    </w:p>
    <w:p w:rsidRPr="00FA7DB0" w:rsidR="00CB7234" w:rsidP="00CB7234" w:rsidRDefault="00CB7234" w14:paraId="38F93817" w14:textId="77777777">
      <w:pPr>
        <w:jc w:val="center"/>
        <w:rPr>
          <w:sz w:val="28"/>
          <w:szCs w:val="28"/>
        </w:rPr>
      </w:pPr>
      <w:r w:rsidRPr="00FA7DB0">
        <w:rPr>
          <w:sz w:val="28"/>
          <w:szCs w:val="28"/>
        </w:rPr>
        <w:t xml:space="preserve">Agency </w:t>
      </w:r>
      <w:r w:rsidRPr="00FA7DB0" w:rsidR="00CB0B27">
        <w:rPr>
          <w:sz w:val="28"/>
          <w:szCs w:val="28"/>
        </w:rPr>
        <w:t>for</w:t>
      </w:r>
      <w:r w:rsidRPr="00FA7DB0">
        <w:rPr>
          <w:sz w:val="28"/>
          <w:szCs w:val="28"/>
        </w:rPr>
        <w:t xml:space="preserve"> Healthcare Research and Quality (AHRQ)</w:t>
      </w:r>
    </w:p>
    <w:p w:rsidRPr="00FA7DB0" w:rsidR="00CB7234" w:rsidP="00CB7234" w:rsidRDefault="00CB7234" w14:paraId="4BE98D57" w14:textId="77777777">
      <w:pPr>
        <w:rPr>
          <w:sz w:val="28"/>
          <w:szCs w:val="28"/>
          <w:highlight w:val="yellow"/>
        </w:rPr>
      </w:pPr>
    </w:p>
    <w:p w:rsidRPr="00FA7DB0" w:rsidR="00CB7234" w:rsidP="00CB7234" w:rsidRDefault="00CB7234" w14:paraId="59E02B47" w14:textId="77777777">
      <w:pPr>
        <w:rPr>
          <w:sz w:val="28"/>
          <w:szCs w:val="28"/>
          <w:highlight w:val="yellow"/>
        </w:rPr>
      </w:pPr>
    </w:p>
    <w:p w:rsidR="00DB2C81" w:rsidP="00CB7234" w:rsidRDefault="00CB7234" w14:paraId="75995977" w14:textId="77777777">
      <w:pPr>
        <w:rPr>
          <w:highlight w:val="yellow"/>
        </w:rPr>
        <w:sectPr w:rsidR="00DB2C81" w:rsidSect="00842863">
          <w:footerReference w:type="even" r:id="rId8"/>
          <w:endnotePr>
            <w:numFmt w:val="decimal"/>
          </w:endnotePr>
          <w:pgSz w:w="12240" w:h="15840" w:code="1"/>
          <w:pgMar w:top="1440" w:right="1440" w:bottom="1440" w:left="1440" w:header="720" w:footer="720" w:gutter="0"/>
          <w:cols w:space="720"/>
          <w:docGrid w:linePitch="360"/>
        </w:sectPr>
      </w:pPr>
      <w:r w:rsidRPr="00FA7DB0">
        <w:rPr>
          <w:highlight w:val="yellow"/>
        </w:rPr>
        <w:br w:type="page"/>
      </w:r>
    </w:p>
    <w:sdt>
      <w:sdtPr>
        <w:rPr>
          <w:rFonts w:ascii="Times New Roman" w:hAnsi="Times New Roman" w:eastAsia="Times New Roman" w:cs="Times New Roman"/>
          <w:b w:val="0"/>
          <w:bCs w:val="0"/>
          <w:color w:val="auto"/>
          <w:sz w:val="20"/>
          <w:szCs w:val="20"/>
        </w:rPr>
        <w:id w:val="26770416"/>
        <w:docPartObj>
          <w:docPartGallery w:val="Table of Contents"/>
          <w:docPartUnique/>
        </w:docPartObj>
      </w:sdtPr>
      <w:sdtEndPr/>
      <w:sdtContent>
        <w:p w:rsidRPr="007B1F11" w:rsidR="00FC683C" w:rsidP="000D026B" w:rsidRDefault="008C5826" w14:paraId="194EF2BC" w14:textId="77777777">
          <w:pPr>
            <w:pStyle w:val="TOCHeading"/>
            <w:tabs>
              <w:tab w:val="left" w:pos="2895"/>
            </w:tabs>
            <w:rPr>
              <w:rFonts w:ascii="Times New Roman" w:hAnsi="Times New Roman" w:cs="Times New Roman"/>
            </w:rPr>
          </w:pPr>
          <w:r w:rsidRPr="007B1F11">
            <w:rPr>
              <w:rFonts w:ascii="Times New Roman" w:hAnsi="Times New Roman" w:cs="Times New Roman"/>
            </w:rPr>
            <w:t>Table of Contents</w:t>
          </w:r>
        </w:p>
        <w:p w:rsidRPr="007B1F11" w:rsidR="00FC683C" w:rsidRDefault="00FC683C" w14:paraId="04C2E1FA" w14:textId="77777777">
          <w:pPr>
            <w:pStyle w:val="TOC1"/>
          </w:pPr>
        </w:p>
        <w:p w:rsidR="009E481E" w:rsidRDefault="00FC306C" w14:paraId="6B4AA39B" w14:textId="2B32D7A2">
          <w:pPr>
            <w:pStyle w:val="TOC1"/>
            <w:rPr>
              <w:rFonts w:asciiTheme="minorHAnsi" w:hAnsiTheme="minorHAnsi" w:eastAsiaTheme="minorEastAsia" w:cstheme="minorBidi"/>
              <w:noProof/>
              <w:sz w:val="22"/>
              <w:szCs w:val="22"/>
            </w:rPr>
          </w:pPr>
          <w:r w:rsidRPr="007B1F11">
            <w:rPr>
              <w:sz w:val="24"/>
            </w:rPr>
            <w:fldChar w:fldCharType="begin"/>
          </w:r>
          <w:r w:rsidRPr="007B1F11" w:rsidR="008C5826">
            <w:rPr>
              <w:sz w:val="24"/>
            </w:rPr>
            <w:instrText xml:space="preserve"> TOC \o "1-3" \h \z \u </w:instrText>
          </w:r>
          <w:r w:rsidRPr="007B1F11">
            <w:rPr>
              <w:sz w:val="24"/>
            </w:rPr>
            <w:fldChar w:fldCharType="separate"/>
          </w:r>
          <w:hyperlink w:history="1" w:anchor="_Toc92374287">
            <w:r w:rsidRPr="008724FC" w:rsidR="009E481E">
              <w:rPr>
                <w:rStyle w:val="Hyperlink"/>
                <w:rFonts w:ascii="Arial" w:hAnsi="Arial" w:cs="Arial"/>
                <w:noProof/>
              </w:rPr>
              <w:t>A.  Justification</w:t>
            </w:r>
            <w:r w:rsidR="009E481E">
              <w:rPr>
                <w:noProof/>
                <w:webHidden/>
              </w:rPr>
              <w:tab/>
            </w:r>
            <w:r w:rsidR="009E481E">
              <w:rPr>
                <w:noProof/>
                <w:webHidden/>
              </w:rPr>
              <w:fldChar w:fldCharType="begin"/>
            </w:r>
            <w:r w:rsidR="009E481E">
              <w:rPr>
                <w:noProof/>
                <w:webHidden/>
              </w:rPr>
              <w:instrText xml:space="preserve"> PAGEREF _Toc92374287 \h </w:instrText>
            </w:r>
            <w:r w:rsidR="009E481E">
              <w:rPr>
                <w:noProof/>
                <w:webHidden/>
              </w:rPr>
            </w:r>
            <w:r w:rsidR="009E481E">
              <w:rPr>
                <w:noProof/>
                <w:webHidden/>
              </w:rPr>
              <w:fldChar w:fldCharType="separate"/>
            </w:r>
            <w:r w:rsidR="00DB2C81">
              <w:rPr>
                <w:noProof/>
                <w:webHidden/>
              </w:rPr>
              <w:t>2</w:t>
            </w:r>
            <w:r w:rsidR="009E481E">
              <w:rPr>
                <w:noProof/>
                <w:webHidden/>
              </w:rPr>
              <w:fldChar w:fldCharType="end"/>
            </w:r>
          </w:hyperlink>
        </w:p>
        <w:p w:rsidRPr="009E481E" w:rsidR="009E481E" w:rsidRDefault="00D30C4E" w14:paraId="297362D4" w14:textId="4B1FD216">
          <w:pPr>
            <w:pStyle w:val="TOC2"/>
            <w:rPr>
              <w:rFonts w:asciiTheme="minorHAnsi" w:hAnsiTheme="minorHAnsi" w:eastAsiaTheme="minorEastAsia" w:cstheme="minorBidi"/>
              <w:noProof/>
              <w:sz w:val="22"/>
              <w:szCs w:val="22"/>
            </w:rPr>
          </w:pPr>
          <w:hyperlink w:history="1" w:anchor="_Toc92374288">
            <w:r w:rsidRPr="009E481E" w:rsidR="009E481E">
              <w:rPr>
                <w:rStyle w:val="Hyperlink"/>
                <w:rFonts w:ascii="Arial" w:hAnsi="Arial" w:cs="Arial"/>
                <w:noProof/>
              </w:rPr>
              <w:t>1. Circumstances that make the collection of information necessary</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_Toc92374288 \h </w:instrText>
            </w:r>
            <w:r w:rsidRPr="009E481E" w:rsidR="009E481E">
              <w:rPr>
                <w:noProof/>
                <w:webHidden/>
              </w:rPr>
            </w:r>
            <w:r w:rsidRPr="009E481E" w:rsidR="009E481E">
              <w:rPr>
                <w:noProof/>
                <w:webHidden/>
              </w:rPr>
              <w:fldChar w:fldCharType="separate"/>
            </w:r>
            <w:r w:rsidR="00DB2C81">
              <w:rPr>
                <w:noProof/>
                <w:webHidden/>
              </w:rPr>
              <w:t>2</w:t>
            </w:r>
            <w:r w:rsidRPr="009E481E" w:rsidR="009E481E">
              <w:rPr>
                <w:noProof/>
                <w:webHidden/>
              </w:rPr>
              <w:fldChar w:fldCharType="end"/>
            </w:r>
          </w:hyperlink>
        </w:p>
        <w:p w:rsidRPr="009E481E" w:rsidR="009E481E" w:rsidRDefault="00D30C4E" w14:paraId="4AA319AF" w14:textId="45D37A52">
          <w:pPr>
            <w:pStyle w:val="TOC2"/>
            <w:rPr>
              <w:rFonts w:asciiTheme="minorHAnsi" w:hAnsiTheme="minorHAnsi" w:eastAsiaTheme="minorEastAsia" w:cstheme="minorBidi"/>
              <w:noProof/>
              <w:sz w:val="22"/>
              <w:szCs w:val="22"/>
            </w:rPr>
          </w:pPr>
          <w:hyperlink w:history="1" w:anchor="_Toc92374289">
            <w:r w:rsidRPr="009E481E" w:rsidR="009E481E">
              <w:rPr>
                <w:rStyle w:val="Hyperlink"/>
                <w:rFonts w:ascii="Arial" w:hAnsi="Arial" w:cs="Arial"/>
                <w:noProof/>
              </w:rPr>
              <w:t>2.  Purpose and Use of Information</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_Toc92374289 \h </w:instrText>
            </w:r>
            <w:r w:rsidRPr="009E481E" w:rsidR="009E481E">
              <w:rPr>
                <w:noProof/>
                <w:webHidden/>
              </w:rPr>
            </w:r>
            <w:r w:rsidRPr="009E481E" w:rsidR="009E481E">
              <w:rPr>
                <w:noProof/>
                <w:webHidden/>
              </w:rPr>
              <w:fldChar w:fldCharType="separate"/>
            </w:r>
            <w:r w:rsidR="00DB2C81">
              <w:rPr>
                <w:noProof/>
                <w:webHidden/>
              </w:rPr>
              <w:t>5</w:t>
            </w:r>
            <w:r w:rsidRPr="009E481E" w:rsidR="009E481E">
              <w:rPr>
                <w:noProof/>
                <w:webHidden/>
              </w:rPr>
              <w:fldChar w:fldCharType="end"/>
            </w:r>
          </w:hyperlink>
        </w:p>
        <w:p w:rsidRPr="009E481E" w:rsidR="009E481E" w:rsidRDefault="00D30C4E" w14:paraId="6E1D3107" w14:textId="6A730B0A">
          <w:pPr>
            <w:pStyle w:val="TOC2"/>
            <w:rPr>
              <w:rFonts w:asciiTheme="minorHAnsi" w:hAnsiTheme="minorHAnsi" w:eastAsiaTheme="minorEastAsia" w:cstheme="minorBidi"/>
              <w:noProof/>
              <w:sz w:val="22"/>
              <w:szCs w:val="22"/>
            </w:rPr>
          </w:pPr>
          <w:hyperlink w:history="1" w:anchor="_Toc92374290">
            <w:r w:rsidRPr="009E481E" w:rsidR="009E481E">
              <w:rPr>
                <w:rStyle w:val="Hyperlink"/>
                <w:rFonts w:ascii="Arial" w:hAnsi="Arial" w:cs="Arial"/>
                <w:noProof/>
              </w:rPr>
              <w:t>3.  Use of Improved Information Technology</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_Toc92374290 \h </w:instrText>
            </w:r>
            <w:r w:rsidRPr="009E481E" w:rsidR="009E481E">
              <w:rPr>
                <w:noProof/>
                <w:webHidden/>
              </w:rPr>
            </w:r>
            <w:r w:rsidRPr="009E481E" w:rsidR="009E481E">
              <w:rPr>
                <w:noProof/>
                <w:webHidden/>
              </w:rPr>
              <w:fldChar w:fldCharType="separate"/>
            </w:r>
            <w:r w:rsidR="00DB2C81">
              <w:rPr>
                <w:noProof/>
                <w:webHidden/>
              </w:rPr>
              <w:t>5</w:t>
            </w:r>
            <w:r w:rsidRPr="009E481E" w:rsidR="009E481E">
              <w:rPr>
                <w:noProof/>
                <w:webHidden/>
              </w:rPr>
              <w:fldChar w:fldCharType="end"/>
            </w:r>
          </w:hyperlink>
        </w:p>
        <w:p w:rsidRPr="009E481E" w:rsidR="009E481E" w:rsidRDefault="00D30C4E" w14:paraId="70EECD4E" w14:textId="68DFD099">
          <w:pPr>
            <w:pStyle w:val="TOC2"/>
            <w:rPr>
              <w:rFonts w:asciiTheme="minorHAnsi" w:hAnsiTheme="minorHAnsi" w:eastAsiaTheme="minorEastAsia" w:cstheme="minorBidi"/>
              <w:noProof/>
              <w:sz w:val="22"/>
              <w:szCs w:val="22"/>
            </w:rPr>
          </w:pPr>
          <w:hyperlink w:history="1" w:anchor="_Toc92374291">
            <w:r w:rsidRPr="009E481E" w:rsidR="009E481E">
              <w:rPr>
                <w:rStyle w:val="Hyperlink"/>
                <w:rFonts w:ascii="Arial" w:hAnsi="Arial" w:cs="Arial"/>
                <w:noProof/>
              </w:rPr>
              <w:t>4.  Efforts to Avoid Duplication</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_Toc92374291 \h </w:instrText>
            </w:r>
            <w:r w:rsidRPr="009E481E" w:rsidR="009E481E">
              <w:rPr>
                <w:noProof/>
                <w:webHidden/>
              </w:rPr>
            </w:r>
            <w:r w:rsidRPr="009E481E" w:rsidR="009E481E">
              <w:rPr>
                <w:noProof/>
                <w:webHidden/>
              </w:rPr>
              <w:fldChar w:fldCharType="separate"/>
            </w:r>
            <w:r w:rsidR="00DB2C81">
              <w:rPr>
                <w:noProof/>
                <w:webHidden/>
              </w:rPr>
              <w:t>6</w:t>
            </w:r>
            <w:r w:rsidRPr="009E481E" w:rsidR="009E481E">
              <w:rPr>
                <w:noProof/>
                <w:webHidden/>
              </w:rPr>
              <w:fldChar w:fldCharType="end"/>
            </w:r>
          </w:hyperlink>
        </w:p>
        <w:p w:rsidRPr="009E481E" w:rsidR="009E481E" w:rsidRDefault="00D30C4E" w14:paraId="14471B9B" w14:textId="4EAD0628">
          <w:pPr>
            <w:pStyle w:val="TOC2"/>
            <w:rPr>
              <w:rFonts w:asciiTheme="minorHAnsi" w:hAnsiTheme="minorHAnsi" w:eastAsiaTheme="minorEastAsia" w:cstheme="minorBidi"/>
              <w:noProof/>
              <w:sz w:val="22"/>
              <w:szCs w:val="22"/>
            </w:rPr>
          </w:pPr>
          <w:hyperlink w:history="1" w:anchor="_Toc92374292">
            <w:r w:rsidRPr="009E481E" w:rsidR="009E481E">
              <w:rPr>
                <w:rStyle w:val="Hyperlink"/>
                <w:rFonts w:ascii="Arial" w:hAnsi="Arial" w:cs="Arial"/>
                <w:noProof/>
              </w:rPr>
              <w:t>5.  Involvement of Small Businesses</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_Toc92374292 \h </w:instrText>
            </w:r>
            <w:r w:rsidRPr="009E481E" w:rsidR="009E481E">
              <w:rPr>
                <w:noProof/>
                <w:webHidden/>
              </w:rPr>
            </w:r>
            <w:r w:rsidRPr="009E481E" w:rsidR="009E481E">
              <w:rPr>
                <w:noProof/>
                <w:webHidden/>
              </w:rPr>
              <w:fldChar w:fldCharType="separate"/>
            </w:r>
            <w:r w:rsidR="00DB2C81">
              <w:rPr>
                <w:noProof/>
                <w:webHidden/>
              </w:rPr>
              <w:t>8</w:t>
            </w:r>
            <w:r w:rsidRPr="009E481E" w:rsidR="009E481E">
              <w:rPr>
                <w:noProof/>
                <w:webHidden/>
              </w:rPr>
              <w:fldChar w:fldCharType="end"/>
            </w:r>
          </w:hyperlink>
        </w:p>
        <w:p w:rsidRPr="009E481E" w:rsidR="009E481E" w:rsidRDefault="00D30C4E" w14:paraId="06FABCF0" w14:textId="0ABEF2C5">
          <w:pPr>
            <w:pStyle w:val="TOC2"/>
            <w:rPr>
              <w:rFonts w:asciiTheme="minorHAnsi" w:hAnsiTheme="minorHAnsi" w:eastAsiaTheme="minorEastAsia" w:cstheme="minorBidi"/>
              <w:noProof/>
              <w:sz w:val="22"/>
              <w:szCs w:val="22"/>
            </w:rPr>
          </w:pPr>
          <w:hyperlink w:history="1" w:anchor="_Toc92374293">
            <w:r w:rsidRPr="009E481E" w:rsidR="009E481E">
              <w:rPr>
                <w:rStyle w:val="Hyperlink"/>
                <w:rFonts w:ascii="Arial" w:hAnsi="Arial" w:cs="Arial"/>
                <w:noProof/>
              </w:rPr>
              <w:t>6.  Consequences if Information Collected Less Frequently</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_Toc92374293 \h </w:instrText>
            </w:r>
            <w:r w:rsidRPr="009E481E" w:rsidR="009E481E">
              <w:rPr>
                <w:noProof/>
                <w:webHidden/>
              </w:rPr>
            </w:r>
            <w:r w:rsidRPr="009E481E" w:rsidR="009E481E">
              <w:rPr>
                <w:noProof/>
                <w:webHidden/>
              </w:rPr>
              <w:fldChar w:fldCharType="separate"/>
            </w:r>
            <w:r w:rsidR="00DB2C81">
              <w:rPr>
                <w:noProof/>
                <w:webHidden/>
              </w:rPr>
              <w:t>8</w:t>
            </w:r>
            <w:r w:rsidRPr="009E481E" w:rsidR="009E481E">
              <w:rPr>
                <w:noProof/>
                <w:webHidden/>
              </w:rPr>
              <w:fldChar w:fldCharType="end"/>
            </w:r>
          </w:hyperlink>
        </w:p>
        <w:p w:rsidRPr="009E481E" w:rsidR="009E481E" w:rsidRDefault="00D30C4E" w14:paraId="5C2EFC6E" w14:textId="18C995F2">
          <w:pPr>
            <w:pStyle w:val="TOC2"/>
            <w:rPr>
              <w:rFonts w:asciiTheme="minorHAnsi" w:hAnsiTheme="minorHAnsi" w:eastAsiaTheme="minorEastAsia" w:cstheme="minorBidi"/>
              <w:noProof/>
              <w:sz w:val="22"/>
              <w:szCs w:val="22"/>
            </w:rPr>
          </w:pPr>
          <w:hyperlink w:history="1" w:anchor="_Toc92374294">
            <w:r w:rsidRPr="009E481E" w:rsidR="009E481E">
              <w:rPr>
                <w:rStyle w:val="Hyperlink"/>
                <w:rFonts w:ascii="Arial" w:hAnsi="Arial" w:cs="Arial"/>
                <w:noProof/>
              </w:rPr>
              <w:t>7.  Special Circumstances</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_Toc92374294 \h </w:instrText>
            </w:r>
            <w:r w:rsidRPr="009E481E" w:rsidR="009E481E">
              <w:rPr>
                <w:noProof/>
                <w:webHidden/>
              </w:rPr>
            </w:r>
            <w:r w:rsidRPr="009E481E" w:rsidR="009E481E">
              <w:rPr>
                <w:noProof/>
                <w:webHidden/>
              </w:rPr>
              <w:fldChar w:fldCharType="separate"/>
            </w:r>
            <w:r w:rsidR="00DB2C81">
              <w:rPr>
                <w:noProof/>
                <w:webHidden/>
              </w:rPr>
              <w:t>8</w:t>
            </w:r>
            <w:r w:rsidRPr="009E481E" w:rsidR="009E481E">
              <w:rPr>
                <w:noProof/>
                <w:webHidden/>
              </w:rPr>
              <w:fldChar w:fldCharType="end"/>
            </w:r>
          </w:hyperlink>
        </w:p>
        <w:p w:rsidRPr="009E481E" w:rsidR="009E481E" w:rsidRDefault="00D30C4E" w14:paraId="1196FF7A" w14:textId="2C5BFA8A">
          <w:pPr>
            <w:pStyle w:val="TOC2"/>
            <w:rPr>
              <w:rFonts w:asciiTheme="minorHAnsi" w:hAnsiTheme="minorHAnsi" w:eastAsiaTheme="minorEastAsia" w:cstheme="minorBidi"/>
              <w:noProof/>
              <w:sz w:val="22"/>
              <w:szCs w:val="22"/>
            </w:rPr>
          </w:pPr>
          <w:hyperlink w:history="1" w:anchor="_Toc92374295">
            <w:r w:rsidRPr="009E481E" w:rsidR="009E481E">
              <w:rPr>
                <w:rStyle w:val="Hyperlink"/>
                <w:rFonts w:ascii="Arial" w:hAnsi="Arial" w:cs="Arial"/>
                <w:noProof/>
              </w:rPr>
              <w:t>8.  Consultation Outside the Agency</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_Toc92374295 \h </w:instrText>
            </w:r>
            <w:r w:rsidRPr="009E481E" w:rsidR="009E481E">
              <w:rPr>
                <w:noProof/>
                <w:webHidden/>
              </w:rPr>
            </w:r>
            <w:r w:rsidRPr="009E481E" w:rsidR="009E481E">
              <w:rPr>
                <w:noProof/>
                <w:webHidden/>
              </w:rPr>
              <w:fldChar w:fldCharType="separate"/>
            </w:r>
            <w:r w:rsidR="00DB2C81">
              <w:rPr>
                <w:noProof/>
                <w:webHidden/>
              </w:rPr>
              <w:t>8</w:t>
            </w:r>
            <w:r w:rsidRPr="009E481E" w:rsidR="009E481E">
              <w:rPr>
                <w:noProof/>
                <w:webHidden/>
              </w:rPr>
              <w:fldChar w:fldCharType="end"/>
            </w:r>
          </w:hyperlink>
        </w:p>
        <w:p w:rsidRPr="009E481E" w:rsidR="009E481E" w:rsidRDefault="00D30C4E" w14:paraId="68D393EE" w14:textId="42929907">
          <w:pPr>
            <w:pStyle w:val="TOC2"/>
            <w:rPr>
              <w:rFonts w:asciiTheme="minorHAnsi" w:hAnsiTheme="minorHAnsi" w:eastAsiaTheme="minorEastAsia" w:cstheme="minorBidi"/>
              <w:noProof/>
              <w:sz w:val="22"/>
              <w:szCs w:val="22"/>
            </w:rPr>
          </w:pPr>
          <w:hyperlink w:history="1" w:anchor="_Toc92374296">
            <w:r w:rsidRPr="009E481E" w:rsidR="009E481E">
              <w:rPr>
                <w:rStyle w:val="Hyperlink"/>
                <w:rFonts w:ascii="Arial" w:hAnsi="Arial" w:cs="Arial"/>
                <w:noProof/>
              </w:rPr>
              <w:t>9.  Payments/Gifts to Respondents</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_Toc92374296 \h </w:instrText>
            </w:r>
            <w:r w:rsidRPr="009E481E" w:rsidR="009E481E">
              <w:rPr>
                <w:noProof/>
                <w:webHidden/>
              </w:rPr>
            </w:r>
            <w:r w:rsidRPr="009E481E" w:rsidR="009E481E">
              <w:rPr>
                <w:noProof/>
                <w:webHidden/>
              </w:rPr>
              <w:fldChar w:fldCharType="separate"/>
            </w:r>
            <w:r w:rsidR="00DB2C81">
              <w:rPr>
                <w:noProof/>
                <w:webHidden/>
              </w:rPr>
              <w:t>8</w:t>
            </w:r>
            <w:r w:rsidRPr="009E481E" w:rsidR="009E481E">
              <w:rPr>
                <w:noProof/>
                <w:webHidden/>
              </w:rPr>
              <w:fldChar w:fldCharType="end"/>
            </w:r>
          </w:hyperlink>
        </w:p>
        <w:p w:rsidRPr="009E481E" w:rsidR="009E481E" w:rsidRDefault="00D30C4E" w14:paraId="17DEFC89" w14:textId="4C141710">
          <w:pPr>
            <w:pStyle w:val="TOC2"/>
            <w:rPr>
              <w:rFonts w:asciiTheme="minorHAnsi" w:hAnsiTheme="minorHAnsi" w:eastAsiaTheme="minorEastAsia" w:cstheme="minorBidi"/>
              <w:noProof/>
              <w:sz w:val="22"/>
              <w:szCs w:val="22"/>
            </w:rPr>
          </w:pPr>
          <w:hyperlink w:history="1" w:anchor="_Toc92374297">
            <w:r w:rsidRPr="009E481E" w:rsidR="009E481E">
              <w:rPr>
                <w:rStyle w:val="Hyperlink"/>
                <w:rFonts w:ascii="Arial" w:hAnsi="Arial" w:cs="Arial"/>
                <w:noProof/>
              </w:rPr>
              <w:t>10.  Assurance of Confidentiality</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_Toc92374297 \h </w:instrText>
            </w:r>
            <w:r w:rsidRPr="009E481E" w:rsidR="009E481E">
              <w:rPr>
                <w:noProof/>
                <w:webHidden/>
              </w:rPr>
            </w:r>
            <w:r w:rsidRPr="009E481E" w:rsidR="009E481E">
              <w:rPr>
                <w:noProof/>
                <w:webHidden/>
              </w:rPr>
              <w:fldChar w:fldCharType="separate"/>
            </w:r>
            <w:r w:rsidR="00DB2C81">
              <w:rPr>
                <w:noProof/>
                <w:webHidden/>
              </w:rPr>
              <w:t>9</w:t>
            </w:r>
            <w:r w:rsidRPr="009E481E" w:rsidR="009E481E">
              <w:rPr>
                <w:noProof/>
                <w:webHidden/>
              </w:rPr>
              <w:fldChar w:fldCharType="end"/>
            </w:r>
          </w:hyperlink>
        </w:p>
        <w:p w:rsidRPr="009E481E" w:rsidR="009E481E" w:rsidRDefault="00D30C4E" w14:paraId="608ADCE6" w14:textId="7825291C">
          <w:pPr>
            <w:pStyle w:val="TOC2"/>
            <w:rPr>
              <w:rFonts w:asciiTheme="minorHAnsi" w:hAnsiTheme="minorHAnsi" w:eastAsiaTheme="minorEastAsia" w:cstheme="minorBidi"/>
              <w:noProof/>
              <w:sz w:val="22"/>
              <w:szCs w:val="22"/>
            </w:rPr>
          </w:pPr>
          <w:hyperlink w:history="1" w:anchor="_Toc92374298">
            <w:r w:rsidRPr="009E481E" w:rsidR="009E481E">
              <w:rPr>
                <w:rStyle w:val="Hyperlink"/>
                <w:rFonts w:ascii="Arial" w:hAnsi="Arial" w:cs="Arial"/>
                <w:noProof/>
              </w:rPr>
              <w:t>11.  Questions of a Sensitive Nature</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_Toc92374298 \h </w:instrText>
            </w:r>
            <w:r w:rsidRPr="009E481E" w:rsidR="009E481E">
              <w:rPr>
                <w:noProof/>
                <w:webHidden/>
              </w:rPr>
            </w:r>
            <w:r w:rsidRPr="009E481E" w:rsidR="009E481E">
              <w:rPr>
                <w:noProof/>
                <w:webHidden/>
              </w:rPr>
              <w:fldChar w:fldCharType="separate"/>
            </w:r>
            <w:r w:rsidR="00DB2C81">
              <w:rPr>
                <w:noProof/>
                <w:webHidden/>
              </w:rPr>
              <w:t>9</w:t>
            </w:r>
            <w:r w:rsidRPr="009E481E" w:rsidR="009E481E">
              <w:rPr>
                <w:noProof/>
                <w:webHidden/>
              </w:rPr>
              <w:fldChar w:fldCharType="end"/>
            </w:r>
          </w:hyperlink>
        </w:p>
        <w:p w:rsidRPr="009E481E" w:rsidR="009E481E" w:rsidRDefault="00D30C4E" w14:paraId="4A49482F" w14:textId="71E0AED3">
          <w:pPr>
            <w:pStyle w:val="TOC2"/>
            <w:rPr>
              <w:rFonts w:asciiTheme="minorHAnsi" w:hAnsiTheme="minorHAnsi" w:eastAsiaTheme="minorEastAsia" w:cstheme="minorBidi"/>
              <w:noProof/>
              <w:sz w:val="22"/>
              <w:szCs w:val="22"/>
            </w:rPr>
          </w:pPr>
          <w:hyperlink w:history="1" w:anchor="_Toc92374299">
            <w:r w:rsidRPr="009E481E" w:rsidR="009E481E">
              <w:rPr>
                <w:rStyle w:val="Hyperlink"/>
                <w:rFonts w:ascii="Arial" w:hAnsi="Arial" w:cs="Arial"/>
                <w:noProof/>
              </w:rPr>
              <w:t>12.  Estimates of Annualized Burden Hours and Costs</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_Toc92374299 \h </w:instrText>
            </w:r>
            <w:r w:rsidRPr="009E481E" w:rsidR="009E481E">
              <w:rPr>
                <w:noProof/>
                <w:webHidden/>
              </w:rPr>
            </w:r>
            <w:r w:rsidRPr="009E481E" w:rsidR="009E481E">
              <w:rPr>
                <w:noProof/>
                <w:webHidden/>
              </w:rPr>
              <w:fldChar w:fldCharType="separate"/>
            </w:r>
            <w:r w:rsidR="00DB2C81">
              <w:rPr>
                <w:noProof/>
                <w:webHidden/>
              </w:rPr>
              <w:t>9</w:t>
            </w:r>
            <w:r w:rsidRPr="009E481E" w:rsidR="009E481E">
              <w:rPr>
                <w:noProof/>
                <w:webHidden/>
              </w:rPr>
              <w:fldChar w:fldCharType="end"/>
            </w:r>
          </w:hyperlink>
        </w:p>
        <w:p w:rsidRPr="009E481E" w:rsidR="009E481E" w:rsidRDefault="00D30C4E" w14:paraId="78630ABD" w14:textId="781AA485">
          <w:pPr>
            <w:pStyle w:val="TOC2"/>
            <w:rPr>
              <w:rFonts w:asciiTheme="minorHAnsi" w:hAnsiTheme="minorHAnsi" w:eastAsiaTheme="minorEastAsia" w:cstheme="minorBidi"/>
              <w:noProof/>
              <w:sz w:val="22"/>
              <w:szCs w:val="22"/>
            </w:rPr>
          </w:pPr>
          <w:hyperlink w:history="1" w:anchor="_Toc92374300">
            <w:r w:rsidRPr="009E481E" w:rsidR="009E481E">
              <w:rPr>
                <w:rStyle w:val="Hyperlink"/>
                <w:rFonts w:ascii="Arial" w:hAnsi="Arial" w:cs="Arial"/>
                <w:noProof/>
              </w:rPr>
              <w:t>13.  Estimates of Annualized Respondent Capital and Maintenance Costs</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_Toc92374300 \h </w:instrText>
            </w:r>
            <w:r w:rsidRPr="009E481E" w:rsidR="009E481E">
              <w:rPr>
                <w:noProof/>
                <w:webHidden/>
              </w:rPr>
            </w:r>
            <w:r w:rsidRPr="009E481E" w:rsidR="009E481E">
              <w:rPr>
                <w:noProof/>
                <w:webHidden/>
              </w:rPr>
              <w:fldChar w:fldCharType="separate"/>
            </w:r>
            <w:r w:rsidR="00DB2C81">
              <w:rPr>
                <w:noProof/>
                <w:webHidden/>
              </w:rPr>
              <w:t>10</w:t>
            </w:r>
            <w:r w:rsidRPr="009E481E" w:rsidR="009E481E">
              <w:rPr>
                <w:noProof/>
                <w:webHidden/>
              </w:rPr>
              <w:fldChar w:fldCharType="end"/>
            </w:r>
          </w:hyperlink>
        </w:p>
        <w:p w:rsidRPr="009E481E" w:rsidR="009E481E" w:rsidRDefault="00D30C4E" w14:paraId="0A9FE26F" w14:textId="035B675B">
          <w:pPr>
            <w:pStyle w:val="TOC2"/>
            <w:rPr>
              <w:rFonts w:asciiTheme="minorHAnsi" w:hAnsiTheme="minorHAnsi" w:eastAsiaTheme="minorEastAsia" w:cstheme="minorBidi"/>
              <w:noProof/>
              <w:sz w:val="22"/>
              <w:szCs w:val="22"/>
            </w:rPr>
          </w:pPr>
          <w:hyperlink w:history="1" w:anchor="_Toc92374301">
            <w:r w:rsidRPr="009E481E" w:rsidR="009E481E">
              <w:rPr>
                <w:rStyle w:val="Hyperlink"/>
                <w:rFonts w:ascii="Arial" w:hAnsi="Arial" w:cs="Arial"/>
                <w:noProof/>
              </w:rPr>
              <w:t>14.  Estimates of Annualized Cost to the Government</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_Toc92374301 \h </w:instrText>
            </w:r>
            <w:r w:rsidRPr="009E481E" w:rsidR="009E481E">
              <w:rPr>
                <w:noProof/>
                <w:webHidden/>
              </w:rPr>
            </w:r>
            <w:r w:rsidRPr="009E481E" w:rsidR="009E481E">
              <w:rPr>
                <w:noProof/>
                <w:webHidden/>
              </w:rPr>
              <w:fldChar w:fldCharType="separate"/>
            </w:r>
            <w:r w:rsidR="00DB2C81">
              <w:rPr>
                <w:noProof/>
                <w:webHidden/>
              </w:rPr>
              <w:t>11</w:t>
            </w:r>
            <w:r w:rsidRPr="009E481E" w:rsidR="009E481E">
              <w:rPr>
                <w:noProof/>
                <w:webHidden/>
              </w:rPr>
              <w:fldChar w:fldCharType="end"/>
            </w:r>
          </w:hyperlink>
        </w:p>
        <w:p w:rsidRPr="009E481E" w:rsidR="009E481E" w:rsidRDefault="00D30C4E" w14:paraId="32BE73D9" w14:textId="3333E557">
          <w:pPr>
            <w:pStyle w:val="TOC2"/>
            <w:rPr>
              <w:rFonts w:asciiTheme="minorHAnsi" w:hAnsiTheme="minorHAnsi" w:eastAsiaTheme="minorEastAsia" w:cstheme="minorBidi"/>
              <w:noProof/>
              <w:sz w:val="22"/>
              <w:szCs w:val="22"/>
            </w:rPr>
          </w:pPr>
          <w:hyperlink w:history="1" w:anchor="_Toc92374302">
            <w:r w:rsidRPr="009E481E" w:rsidR="009E481E">
              <w:rPr>
                <w:rStyle w:val="Hyperlink"/>
                <w:rFonts w:ascii="Arial" w:hAnsi="Arial" w:cs="Arial"/>
                <w:noProof/>
              </w:rPr>
              <w:t>15.  Changes in Hour Burden</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_Toc92374302 \h </w:instrText>
            </w:r>
            <w:r w:rsidRPr="009E481E" w:rsidR="009E481E">
              <w:rPr>
                <w:noProof/>
                <w:webHidden/>
              </w:rPr>
            </w:r>
            <w:r w:rsidRPr="009E481E" w:rsidR="009E481E">
              <w:rPr>
                <w:noProof/>
                <w:webHidden/>
              </w:rPr>
              <w:fldChar w:fldCharType="separate"/>
            </w:r>
            <w:r w:rsidR="00DB2C81">
              <w:rPr>
                <w:noProof/>
                <w:webHidden/>
              </w:rPr>
              <w:t>11</w:t>
            </w:r>
            <w:r w:rsidRPr="009E481E" w:rsidR="009E481E">
              <w:rPr>
                <w:noProof/>
                <w:webHidden/>
              </w:rPr>
              <w:fldChar w:fldCharType="end"/>
            </w:r>
          </w:hyperlink>
        </w:p>
        <w:p w:rsidRPr="009E481E" w:rsidR="009E481E" w:rsidRDefault="00D30C4E" w14:paraId="4F6F1629" w14:textId="6EC171DA">
          <w:pPr>
            <w:pStyle w:val="TOC2"/>
            <w:rPr>
              <w:rFonts w:asciiTheme="minorHAnsi" w:hAnsiTheme="minorHAnsi" w:eastAsiaTheme="minorEastAsia" w:cstheme="minorBidi"/>
              <w:noProof/>
              <w:sz w:val="22"/>
              <w:szCs w:val="22"/>
            </w:rPr>
          </w:pPr>
          <w:hyperlink w:history="1" w:anchor="_Toc92374303">
            <w:r w:rsidRPr="009E481E" w:rsidR="009E481E">
              <w:rPr>
                <w:rStyle w:val="Hyperlink"/>
                <w:rFonts w:ascii="Arial" w:hAnsi="Arial" w:cs="Arial"/>
                <w:noProof/>
              </w:rPr>
              <w:t>16.  Time Schedule, Publication and Analysis Plan</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_Toc92374303 \h </w:instrText>
            </w:r>
            <w:r w:rsidRPr="009E481E" w:rsidR="009E481E">
              <w:rPr>
                <w:noProof/>
                <w:webHidden/>
              </w:rPr>
            </w:r>
            <w:r w:rsidRPr="009E481E" w:rsidR="009E481E">
              <w:rPr>
                <w:noProof/>
                <w:webHidden/>
              </w:rPr>
              <w:fldChar w:fldCharType="separate"/>
            </w:r>
            <w:r w:rsidR="00DB2C81">
              <w:rPr>
                <w:noProof/>
                <w:webHidden/>
              </w:rPr>
              <w:t>11</w:t>
            </w:r>
            <w:r w:rsidRPr="009E481E" w:rsidR="009E481E">
              <w:rPr>
                <w:noProof/>
                <w:webHidden/>
              </w:rPr>
              <w:fldChar w:fldCharType="end"/>
            </w:r>
          </w:hyperlink>
        </w:p>
        <w:p w:rsidRPr="009E481E" w:rsidR="009E481E" w:rsidRDefault="00D30C4E" w14:paraId="73B203ED" w14:textId="0BC72131">
          <w:pPr>
            <w:pStyle w:val="TOC2"/>
            <w:rPr>
              <w:rFonts w:asciiTheme="minorHAnsi" w:hAnsiTheme="minorHAnsi" w:eastAsiaTheme="minorEastAsia" w:cstheme="minorBidi"/>
              <w:noProof/>
              <w:sz w:val="22"/>
              <w:szCs w:val="22"/>
            </w:rPr>
          </w:pPr>
          <w:hyperlink w:history="1" w:anchor="_Toc92374304">
            <w:r w:rsidRPr="009E481E" w:rsidR="009E481E">
              <w:rPr>
                <w:rStyle w:val="Hyperlink"/>
                <w:rFonts w:ascii="Arial" w:hAnsi="Arial" w:cs="Arial"/>
                <w:noProof/>
              </w:rPr>
              <w:t>17.  Exemption for Display of Expiration Date</w:t>
            </w:r>
            <w:r w:rsidRPr="009E481E" w:rsidR="009E481E">
              <w:rPr>
                <w:noProof/>
                <w:webHidden/>
              </w:rPr>
              <w:tab/>
            </w:r>
            <w:r w:rsidRPr="009E481E" w:rsidR="009E481E">
              <w:rPr>
                <w:noProof/>
                <w:webHidden/>
              </w:rPr>
              <w:fldChar w:fldCharType="begin"/>
            </w:r>
            <w:r w:rsidRPr="009E481E" w:rsidR="009E481E">
              <w:rPr>
                <w:noProof/>
                <w:webHidden/>
              </w:rPr>
              <w:instrText xml:space="preserve"> PAGEREF _Toc92374304 \h </w:instrText>
            </w:r>
            <w:r w:rsidRPr="009E481E" w:rsidR="009E481E">
              <w:rPr>
                <w:noProof/>
                <w:webHidden/>
              </w:rPr>
            </w:r>
            <w:r w:rsidRPr="009E481E" w:rsidR="009E481E">
              <w:rPr>
                <w:noProof/>
                <w:webHidden/>
              </w:rPr>
              <w:fldChar w:fldCharType="separate"/>
            </w:r>
            <w:r w:rsidR="00DB2C81">
              <w:rPr>
                <w:noProof/>
                <w:webHidden/>
              </w:rPr>
              <w:t>13</w:t>
            </w:r>
            <w:r w:rsidRPr="009E481E" w:rsidR="009E481E">
              <w:rPr>
                <w:noProof/>
                <w:webHidden/>
              </w:rPr>
              <w:fldChar w:fldCharType="end"/>
            </w:r>
          </w:hyperlink>
        </w:p>
        <w:p w:rsidR="009E481E" w:rsidRDefault="00D30C4E" w14:paraId="0F4D7D8F" w14:textId="44CC9A79">
          <w:pPr>
            <w:pStyle w:val="TOC2"/>
            <w:rPr>
              <w:rFonts w:asciiTheme="minorHAnsi" w:hAnsiTheme="minorHAnsi" w:eastAsiaTheme="minorEastAsia" w:cstheme="minorBidi"/>
              <w:noProof/>
              <w:sz w:val="22"/>
              <w:szCs w:val="22"/>
            </w:rPr>
          </w:pPr>
          <w:hyperlink w:history="1" w:anchor="_Toc92374305">
            <w:r w:rsidRPr="008724FC" w:rsidR="009E481E">
              <w:rPr>
                <w:rStyle w:val="Hyperlink"/>
                <w:rFonts w:ascii="Arial" w:hAnsi="Arial" w:cs="Arial"/>
                <w:noProof/>
              </w:rPr>
              <w:t>List of Attachments</w:t>
            </w:r>
            <w:r w:rsidR="009E481E">
              <w:rPr>
                <w:noProof/>
                <w:webHidden/>
              </w:rPr>
              <w:tab/>
            </w:r>
            <w:r w:rsidR="009E481E">
              <w:rPr>
                <w:noProof/>
                <w:webHidden/>
              </w:rPr>
              <w:fldChar w:fldCharType="begin"/>
            </w:r>
            <w:r w:rsidR="009E481E">
              <w:rPr>
                <w:noProof/>
                <w:webHidden/>
              </w:rPr>
              <w:instrText xml:space="preserve"> PAGEREF _Toc92374305 \h </w:instrText>
            </w:r>
            <w:r w:rsidR="009E481E">
              <w:rPr>
                <w:noProof/>
                <w:webHidden/>
              </w:rPr>
            </w:r>
            <w:r w:rsidR="009E481E">
              <w:rPr>
                <w:noProof/>
                <w:webHidden/>
              </w:rPr>
              <w:fldChar w:fldCharType="separate"/>
            </w:r>
            <w:r w:rsidR="00DB2C81">
              <w:rPr>
                <w:noProof/>
                <w:webHidden/>
              </w:rPr>
              <w:t>13</w:t>
            </w:r>
            <w:r w:rsidR="009E481E">
              <w:rPr>
                <w:noProof/>
                <w:webHidden/>
              </w:rPr>
              <w:fldChar w:fldCharType="end"/>
            </w:r>
          </w:hyperlink>
        </w:p>
        <w:p w:rsidRPr="007B1F11" w:rsidR="008C5826" w:rsidRDefault="00FC306C" w14:paraId="18C6BD2D" w14:textId="64354951">
          <w:r w:rsidRPr="007B1F11">
            <w:rPr>
              <w:sz w:val="24"/>
            </w:rPr>
            <w:fldChar w:fldCharType="end"/>
          </w:r>
        </w:p>
      </w:sdtContent>
    </w:sdt>
    <w:p w:rsidRPr="007B1F11" w:rsidR="00CB7234" w:rsidP="00CB7234" w:rsidRDefault="00CB7234" w14:paraId="1B543593" w14:textId="77777777">
      <w:pPr>
        <w:rPr>
          <w:b/>
          <w:sz w:val="24"/>
          <w:szCs w:val="24"/>
        </w:rPr>
      </w:pPr>
      <w:r w:rsidRPr="007B1F11">
        <w:rPr>
          <w:b/>
          <w:sz w:val="24"/>
          <w:szCs w:val="24"/>
        </w:rPr>
        <w:br w:type="page"/>
      </w:r>
    </w:p>
    <w:p w:rsidRPr="00FA7DB0" w:rsidR="0057087C" w:rsidP="008C5826" w:rsidRDefault="00A13BEE" w14:paraId="08981429" w14:textId="531C3C89">
      <w:pPr>
        <w:pStyle w:val="Heading1"/>
        <w:rPr>
          <w:rFonts w:ascii="Arial" w:hAnsi="Arial" w:cs="Arial"/>
          <w:color w:val="auto"/>
          <w:sz w:val="24"/>
          <w:szCs w:val="22"/>
        </w:rPr>
      </w:pPr>
      <w:bookmarkStart w:name="_Toc92374287" w:id="0"/>
      <w:r w:rsidRPr="00FA7DB0">
        <w:rPr>
          <w:rFonts w:ascii="Arial" w:hAnsi="Arial" w:cs="Arial"/>
          <w:color w:val="auto"/>
          <w:sz w:val="24"/>
          <w:szCs w:val="22"/>
        </w:rPr>
        <w:lastRenderedPageBreak/>
        <w:t>A.</w:t>
      </w:r>
      <w:r w:rsidRPr="00FA7DB0">
        <w:rPr>
          <w:rFonts w:ascii="Arial" w:hAnsi="Arial" w:cs="Arial"/>
          <w:sz w:val="24"/>
          <w:szCs w:val="22"/>
        </w:rPr>
        <w:t xml:space="preserve">  </w:t>
      </w:r>
      <w:r w:rsidRPr="00FA7DB0" w:rsidR="0057087C">
        <w:rPr>
          <w:rFonts w:ascii="Arial" w:hAnsi="Arial" w:cs="Arial"/>
          <w:color w:val="auto"/>
          <w:sz w:val="24"/>
          <w:szCs w:val="22"/>
        </w:rPr>
        <w:t>J</w:t>
      </w:r>
      <w:r w:rsidRPr="00FA7DB0" w:rsidR="00231CE6">
        <w:rPr>
          <w:rFonts w:ascii="Arial" w:hAnsi="Arial" w:cs="Arial"/>
          <w:color w:val="auto"/>
          <w:sz w:val="24"/>
          <w:szCs w:val="22"/>
        </w:rPr>
        <w:t>ustification</w:t>
      </w:r>
      <w:bookmarkEnd w:id="0"/>
    </w:p>
    <w:p w:rsidRPr="00FA7DB0" w:rsidR="00DF53F3" w:rsidP="003A074E" w:rsidRDefault="00DF53F3" w14:paraId="4D4A0E82" w14:textId="77777777">
      <w:pPr>
        <w:pStyle w:val="Heading2"/>
        <w:spacing w:before="240" w:after="60"/>
        <w:rPr>
          <w:rFonts w:ascii="Arial" w:hAnsi="Arial" w:cs="Arial"/>
          <w:i/>
          <w:color w:val="auto"/>
          <w:sz w:val="24"/>
          <w:szCs w:val="24"/>
        </w:rPr>
      </w:pPr>
      <w:bookmarkStart w:name="_Toc151782176" w:id="1"/>
      <w:bookmarkStart w:name="_Toc158526216" w:id="2"/>
      <w:bookmarkStart w:name="_Toc405822433" w:id="3"/>
      <w:bookmarkStart w:name="_Toc92374288" w:id="4"/>
      <w:r w:rsidRPr="00FA7DB0">
        <w:rPr>
          <w:rFonts w:ascii="Arial" w:hAnsi="Arial" w:cs="Arial"/>
          <w:i/>
          <w:color w:val="auto"/>
          <w:sz w:val="24"/>
          <w:szCs w:val="24"/>
        </w:rPr>
        <w:t xml:space="preserve">1. </w:t>
      </w:r>
      <w:bookmarkEnd w:id="1"/>
      <w:bookmarkEnd w:id="2"/>
      <w:r w:rsidRPr="00FA7DB0">
        <w:rPr>
          <w:rFonts w:ascii="Arial" w:hAnsi="Arial" w:cs="Arial"/>
          <w:i/>
          <w:color w:val="auto"/>
          <w:sz w:val="24"/>
          <w:szCs w:val="24"/>
        </w:rPr>
        <w:t>Circumstances that make the collection of information necessary</w:t>
      </w:r>
      <w:bookmarkEnd w:id="3"/>
      <w:bookmarkEnd w:id="4"/>
    </w:p>
    <w:p w:rsidRPr="00124C46" w:rsidR="00DF53F3" w:rsidP="00DF53F3" w:rsidRDefault="00DF53F3" w14:paraId="2D1B721C" w14:textId="2516E486">
      <w:pPr>
        <w:rPr>
          <w:sz w:val="24"/>
          <w:szCs w:val="24"/>
        </w:rPr>
      </w:pPr>
      <w:r w:rsidRPr="00124C46">
        <w:rPr>
          <w:b/>
          <w:sz w:val="24"/>
          <w:szCs w:val="24"/>
        </w:rPr>
        <w:t xml:space="preserve">AHRQ’s mission. </w:t>
      </w:r>
      <w:r w:rsidRPr="00124C46">
        <w:rPr>
          <w:sz w:val="24"/>
          <w:szCs w:val="24"/>
        </w:rPr>
        <w:t>As described in its 1999 reauthorizing legislation, Congress directed the Agency for Healthcare Research and Quality (AHRQ) to enhance the quality, appropriateness, and effectiveness of health services, as well as access to such services, by establishing a broad base of scientific research and promoting clinical and health systems practice improvements.</w:t>
      </w:r>
      <w:r w:rsidRPr="00124C46">
        <w:rPr>
          <w:rStyle w:val="EndnoteReference"/>
          <w:sz w:val="24"/>
          <w:szCs w:val="24"/>
        </w:rPr>
        <w:endnoteReference w:id="1"/>
      </w:r>
      <w:r w:rsidRPr="00124C46">
        <w:rPr>
          <w:sz w:val="24"/>
          <w:szCs w:val="24"/>
        </w:rPr>
        <w:t xml:space="preserve"> The legislation also directed AHRQ to “conduct and support research, evaluations, and training, support demonstration projects, research networks, and multidisciplinary centers, provide technical assistance, and di</w:t>
      </w:r>
      <w:r w:rsidRPr="00124C46" w:rsidR="00360F34">
        <w:rPr>
          <w:sz w:val="24"/>
          <w:szCs w:val="24"/>
        </w:rPr>
        <w:t>sseminate information on health</w:t>
      </w:r>
      <w:r w:rsidRPr="00124C46">
        <w:rPr>
          <w:sz w:val="24"/>
          <w:szCs w:val="24"/>
        </w:rPr>
        <w:t>care and on systems for the delivery of such care, including activities with respect to health statistics, surveys, database development, and epidemiology.”</w:t>
      </w:r>
      <w:r w:rsidRPr="00124C46">
        <w:rPr>
          <w:rStyle w:val="EndnoteReference"/>
          <w:sz w:val="24"/>
          <w:szCs w:val="24"/>
        </w:rPr>
        <w:endnoteReference w:id="2"/>
      </w:r>
    </w:p>
    <w:p w:rsidRPr="00124C46" w:rsidR="00DF53F3" w:rsidP="00431532" w:rsidRDefault="00DF53F3" w14:paraId="10F570B2" w14:textId="77777777">
      <w:pPr>
        <w:pStyle w:val="L1-FlLSp12"/>
        <w:spacing w:after="0"/>
        <w:rPr>
          <w:rFonts w:ascii="Times New Roman" w:hAnsi="Times New Roman"/>
          <w:szCs w:val="24"/>
        </w:rPr>
      </w:pPr>
    </w:p>
    <w:p w:rsidRPr="00124C46" w:rsidR="00DF53F3" w:rsidP="00DF53F3" w:rsidRDefault="00DF53F3" w14:paraId="32F10BF2" w14:textId="77D3FFC5">
      <w:pPr>
        <w:tabs>
          <w:tab w:val="left" w:pos="360"/>
        </w:tabs>
        <w:rPr>
          <w:sz w:val="24"/>
          <w:szCs w:val="24"/>
        </w:rPr>
      </w:pPr>
      <w:r w:rsidRPr="00124C46">
        <w:rPr>
          <w:sz w:val="24"/>
          <w:szCs w:val="24"/>
        </w:rPr>
        <w:t>Furthermore, AHRQ shall conduct and support research “to provide objective</w:t>
      </w:r>
      <w:r w:rsidRPr="00124C46" w:rsidR="00360F34">
        <w:rPr>
          <w:sz w:val="24"/>
          <w:szCs w:val="24"/>
        </w:rPr>
        <w:t xml:space="preserve"> clinical information to health</w:t>
      </w:r>
      <w:r w:rsidRPr="00124C46">
        <w:rPr>
          <w:sz w:val="24"/>
          <w:szCs w:val="24"/>
        </w:rPr>
        <w:t>care practitioner</w:t>
      </w:r>
      <w:r w:rsidRPr="00124C46" w:rsidR="00AC27AD">
        <w:rPr>
          <w:sz w:val="24"/>
          <w:szCs w:val="24"/>
        </w:rPr>
        <w:t>s and other clinician</w:t>
      </w:r>
      <w:r w:rsidRPr="00124C46" w:rsidR="00360F34">
        <w:rPr>
          <w:sz w:val="24"/>
          <w:szCs w:val="24"/>
        </w:rPr>
        <w:t>s of health</w:t>
      </w:r>
      <w:r w:rsidRPr="00124C46">
        <w:rPr>
          <w:sz w:val="24"/>
          <w:szCs w:val="24"/>
        </w:rPr>
        <w:t>care goods or services; identify t</w:t>
      </w:r>
      <w:r w:rsidRPr="00124C46" w:rsidR="00360F34">
        <w:rPr>
          <w:sz w:val="24"/>
          <w:szCs w:val="24"/>
        </w:rPr>
        <w:t>he causes of preventable health</w:t>
      </w:r>
      <w:r w:rsidRPr="00124C46">
        <w:rPr>
          <w:sz w:val="24"/>
          <w:szCs w:val="24"/>
        </w:rPr>
        <w:t xml:space="preserve">care errors and patient </w:t>
      </w:r>
      <w:r w:rsidRPr="00124C46" w:rsidR="00360F34">
        <w:rPr>
          <w:sz w:val="24"/>
          <w:szCs w:val="24"/>
        </w:rPr>
        <w:t>injury in health</w:t>
      </w:r>
      <w:r w:rsidRPr="00124C46">
        <w:rPr>
          <w:sz w:val="24"/>
          <w:szCs w:val="24"/>
        </w:rPr>
        <w:t>care delivery; develop, demonstrate, and evaluate strategies for reducing errors and improving patient safety; and disseminate such effective s</w:t>
      </w:r>
      <w:r w:rsidRPr="00124C46" w:rsidR="00360F34">
        <w:rPr>
          <w:sz w:val="24"/>
          <w:szCs w:val="24"/>
        </w:rPr>
        <w:t>trategies throughout the health</w:t>
      </w:r>
      <w:r w:rsidRPr="00124C46">
        <w:rPr>
          <w:sz w:val="24"/>
          <w:szCs w:val="24"/>
        </w:rPr>
        <w:t>care industry</w:t>
      </w:r>
      <w:r w:rsidR="000E1422">
        <w:rPr>
          <w:sz w:val="24"/>
          <w:szCs w:val="24"/>
        </w:rPr>
        <w:t>.</w:t>
      </w:r>
      <w:r w:rsidRPr="00124C46">
        <w:rPr>
          <w:sz w:val="24"/>
          <w:szCs w:val="24"/>
        </w:rPr>
        <w:t>”</w:t>
      </w:r>
      <w:r w:rsidRPr="00124C46">
        <w:rPr>
          <w:rStyle w:val="EndnoteReference"/>
          <w:sz w:val="24"/>
          <w:szCs w:val="24"/>
        </w:rPr>
        <w:endnoteReference w:id="3"/>
      </w:r>
      <w:r w:rsidRPr="00124C46">
        <w:rPr>
          <w:sz w:val="24"/>
          <w:szCs w:val="24"/>
        </w:rPr>
        <w:t xml:space="preserve"> </w:t>
      </w:r>
    </w:p>
    <w:p w:rsidR="00CA05BD" w:rsidP="00946B94" w:rsidRDefault="00BE000F" w14:paraId="2F33C0D7" w14:textId="395F1EC6">
      <w:pPr>
        <w:pStyle w:val="L1-FlLSp12"/>
        <w:spacing w:before="240"/>
        <w:rPr>
          <w:rFonts w:ascii="Times New Roman" w:hAnsi="Times New Roman"/>
          <w:color w:val="000000"/>
          <w:szCs w:val="24"/>
          <w:shd w:val="clear" w:color="auto" w:fill="FFFFFF"/>
        </w:rPr>
      </w:pPr>
      <w:r w:rsidRPr="00124C46">
        <w:rPr>
          <w:rFonts w:ascii="Times New Roman" w:hAnsi="Times New Roman"/>
          <w:color w:val="000000"/>
          <w:szCs w:val="24"/>
          <w:shd w:val="clear" w:color="auto" w:fill="FFFFFF"/>
        </w:rPr>
        <w:t>The safety of healthcare workers has been the focus of much res</w:t>
      </w:r>
      <w:r w:rsidRPr="00124C46" w:rsidR="001777BC">
        <w:rPr>
          <w:rFonts w:ascii="Times New Roman" w:hAnsi="Times New Roman"/>
          <w:color w:val="000000"/>
          <w:szCs w:val="24"/>
          <w:shd w:val="clear" w:color="auto" w:fill="FFFFFF"/>
        </w:rPr>
        <w:t>earch and regulation in the U.S</w:t>
      </w:r>
      <w:r w:rsidRPr="00124C46">
        <w:rPr>
          <w:rFonts w:ascii="Times New Roman" w:hAnsi="Times New Roman"/>
          <w:color w:val="000000"/>
          <w:szCs w:val="24"/>
          <w:shd w:val="clear" w:color="auto" w:fill="FFFFFF"/>
        </w:rPr>
        <w:t>.</w:t>
      </w:r>
      <w:r w:rsidR="00945344">
        <w:rPr>
          <w:rFonts w:ascii="Times New Roman" w:hAnsi="Times New Roman"/>
          <w:color w:val="000000"/>
          <w:szCs w:val="24"/>
          <w:shd w:val="clear" w:color="auto" w:fill="FFFFFF"/>
        </w:rPr>
        <w:t xml:space="preserve">  </w:t>
      </w:r>
      <w:r w:rsidRPr="00124C46" w:rsidR="006C5F76">
        <w:rPr>
          <w:rFonts w:ascii="Times New Roman" w:hAnsi="Times New Roman"/>
          <w:color w:val="000000"/>
          <w:szCs w:val="24"/>
          <w:shd w:val="clear" w:color="auto" w:fill="FFFFFF"/>
        </w:rPr>
        <w:t xml:space="preserve">Healthcare workers face a wide range of hazards </w:t>
      </w:r>
      <w:r w:rsidR="007F16D9">
        <w:rPr>
          <w:rFonts w:ascii="Times New Roman" w:hAnsi="Times New Roman"/>
          <w:color w:val="000000"/>
          <w:szCs w:val="24"/>
          <w:shd w:val="clear" w:color="auto" w:fill="FFFFFF"/>
        </w:rPr>
        <w:t>in the workplace</w:t>
      </w:r>
      <w:r w:rsidRPr="00124C46" w:rsidR="006C5F76">
        <w:rPr>
          <w:rFonts w:ascii="Times New Roman" w:hAnsi="Times New Roman"/>
          <w:color w:val="000000"/>
          <w:szCs w:val="24"/>
          <w:shd w:val="clear" w:color="auto" w:fill="FFFFFF"/>
        </w:rPr>
        <w:t>, including, harmful exposures to chemicals and hazardous drugs, back injuries, latex allergy, violence, and stress</w:t>
      </w:r>
      <w:r w:rsidR="006C5F76">
        <w:rPr>
          <w:rFonts w:ascii="Times New Roman" w:hAnsi="Times New Roman"/>
          <w:color w:val="000000"/>
          <w:szCs w:val="24"/>
          <w:shd w:val="clear" w:color="auto" w:fill="FFFFFF"/>
        </w:rPr>
        <w:t>.</w:t>
      </w:r>
      <w:r w:rsidR="006C5F76">
        <w:rPr>
          <w:rStyle w:val="EndnoteReference"/>
          <w:rFonts w:ascii="Times New Roman" w:hAnsi="Times New Roman"/>
          <w:color w:val="000000"/>
          <w:szCs w:val="24"/>
          <w:shd w:val="clear" w:color="auto" w:fill="FFFFFF"/>
        </w:rPr>
        <w:endnoteReference w:id="4"/>
      </w:r>
      <w:r w:rsidR="006C5F76">
        <w:rPr>
          <w:rFonts w:ascii="Times New Roman" w:hAnsi="Times New Roman"/>
          <w:color w:val="000000"/>
          <w:szCs w:val="24"/>
          <w:shd w:val="clear" w:color="auto" w:fill="FFFFFF"/>
        </w:rPr>
        <w:t xml:space="preserve"> </w:t>
      </w:r>
      <w:r w:rsidR="00DB2C81">
        <w:rPr>
          <w:rFonts w:ascii="Times New Roman" w:hAnsi="Times New Roman"/>
          <w:color w:val="000000"/>
          <w:szCs w:val="24"/>
          <w:shd w:val="clear" w:color="auto" w:fill="FFFFFF"/>
        </w:rPr>
        <w:t>T</w:t>
      </w:r>
      <w:r w:rsidR="006C5F76">
        <w:rPr>
          <w:rFonts w:ascii="Times New Roman" w:hAnsi="Times New Roman"/>
          <w:color w:val="000000"/>
          <w:szCs w:val="24"/>
          <w:shd w:val="clear" w:color="auto" w:fill="FFFFFF"/>
        </w:rPr>
        <w:t xml:space="preserve">he Bureau of Labor Statistics (BLS) </w:t>
      </w:r>
      <w:r w:rsidR="008B5EDB">
        <w:rPr>
          <w:rFonts w:ascii="Times New Roman" w:hAnsi="Times New Roman"/>
          <w:color w:val="000000"/>
          <w:szCs w:val="24"/>
          <w:shd w:val="clear" w:color="auto" w:fill="FFFFFF"/>
        </w:rPr>
        <w:t>regarded nursing homes as one of the most dangerous workplaces in the U.S.</w:t>
      </w:r>
      <w:r w:rsidR="006C5F76">
        <w:rPr>
          <w:rStyle w:val="EndnoteReference"/>
          <w:rFonts w:ascii="Times New Roman" w:hAnsi="Times New Roman"/>
          <w:color w:val="000000"/>
          <w:szCs w:val="24"/>
          <w:shd w:val="clear" w:color="auto" w:fill="FFFFFF"/>
        </w:rPr>
        <w:endnoteReference w:id="5"/>
      </w:r>
      <w:r w:rsidR="006C5F76">
        <w:rPr>
          <w:rFonts w:ascii="Times New Roman" w:hAnsi="Times New Roman"/>
          <w:color w:val="000000"/>
          <w:szCs w:val="24"/>
          <w:shd w:val="clear" w:color="auto" w:fill="FFFFFF"/>
        </w:rPr>
        <w:t xml:space="preserve">  In 2020, BLS </w:t>
      </w:r>
      <w:r w:rsidR="008B5EDB">
        <w:rPr>
          <w:rFonts w:ascii="Times New Roman" w:hAnsi="Times New Roman"/>
          <w:color w:val="000000"/>
          <w:szCs w:val="24"/>
          <w:shd w:val="clear" w:color="auto" w:fill="FFFFFF"/>
        </w:rPr>
        <w:t>reported</w:t>
      </w:r>
      <w:r w:rsidR="006C5F76">
        <w:rPr>
          <w:rFonts w:ascii="Times New Roman" w:hAnsi="Times New Roman"/>
          <w:color w:val="000000"/>
          <w:szCs w:val="24"/>
          <w:shd w:val="clear" w:color="auto" w:fill="FFFFFF"/>
        </w:rPr>
        <w:t xml:space="preserve"> that private industry nursing and residential care had a rate of 791.7 cases per 10,000 </w:t>
      </w:r>
      <w:r w:rsidR="008F55BC">
        <w:rPr>
          <w:rFonts w:ascii="Times New Roman" w:hAnsi="Times New Roman"/>
          <w:color w:val="000000"/>
          <w:szCs w:val="24"/>
          <w:shd w:val="clear" w:color="auto" w:fill="FFFFFF"/>
        </w:rPr>
        <w:t>full-time equivalent (</w:t>
      </w:r>
      <w:r w:rsidR="006C5F76">
        <w:rPr>
          <w:rFonts w:ascii="Times New Roman" w:hAnsi="Times New Roman"/>
          <w:color w:val="000000"/>
          <w:szCs w:val="24"/>
          <w:shd w:val="clear" w:color="auto" w:fill="FFFFFF"/>
        </w:rPr>
        <w:t>FTE</w:t>
      </w:r>
      <w:r w:rsidR="008F55BC">
        <w:rPr>
          <w:rFonts w:ascii="Times New Roman" w:hAnsi="Times New Roman"/>
          <w:color w:val="000000"/>
          <w:szCs w:val="24"/>
          <w:shd w:val="clear" w:color="auto" w:fill="FFFFFF"/>
        </w:rPr>
        <w:t>)</w:t>
      </w:r>
      <w:r w:rsidR="006C5F76">
        <w:rPr>
          <w:rFonts w:ascii="Times New Roman" w:hAnsi="Times New Roman"/>
          <w:color w:val="000000"/>
          <w:szCs w:val="24"/>
          <w:shd w:val="clear" w:color="auto" w:fill="FFFFFF"/>
        </w:rPr>
        <w:t xml:space="preserve"> cases </w:t>
      </w:r>
      <w:r w:rsidR="008B5EDB">
        <w:rPr>
          <w:rFonts w:ascii="Times New Roman" w:hAnsi="Times New Roman"/>
          <w:color w:val="000000"/>
          <w:szCs w:val="24"/>
          <w:shd w:val="clear" w:color="auto" w:fill="FFFFFF"/>
        </w:rPr>
        <w:t xml:space="preserve">involving </w:t>
      </w:r>
      <w:r w:rsidR="006C5F76">
        <w:rPr>
          <w:rFonts w:ascii="Times New Roman" w:hAnsi="Times New Roman"/>
          <w:color w:val="000000"/>
          <w:szCs w:val="24"/>
          <w:shd w:val="clear" w:color="auto" w:fill="FFFFFF"/>
        </w:rPr>
        <w:t>days away from work, an increase from a rate of 170.9 in 2019.</w:t>
      </w:r>
      <w:r w:rsidR="008B5EDB">
        <w:rPr>
          <w:rStyle w:val="EndnoteReference"/>
          <w:rFonts w:ascii="Times New Roman" w:hAnsi="Times New Roman"/>
          <w:color w:val="000000"/>
          <w:szCs w:val="24"/>
          <w:shd w:val="clear" w:color="auto" w:fill="FFFFFF"/>
        </w:rPr>
        <w:endnoteReference w:id="6"/>
      </w:r>
      <w:r w:rsidR="006C5F76">
        <w:rPr>
          <w:rFonts w:ascii="Times New Roman" w:hAnsi="Times New Roman"/>
          <w:color w:val="000000"/>
          <w:szCs w:val="24"/>
          <w:shd w:val="clear" w:color="auto" w:fill="FFFFFF"/>
        </w:rPr>
        <w:t xml:space="preserve"> Additionally, occupational stress and worker burnout are being recognized as significant threats to patient safety and quality of care.</w:t>
      </w:r>
      <w:r w:rsidR="002B358B">
        <w:rPr>
          <w:rStyle w:val="EndnoteReference"/>
          <w:rFonts w:ascii="Times New Roman" w:hAnsi="Times New Roman"/>
          <w:color w:val="000000"/>
          <w:szCs w:val="24"/>
          <w:shd w:val="clear" w:color="auto" w:fill="FFFFFF"/>
        </w:rPr>
        <w:endnoteReference w:id="7"/>
      </w:r>
      <w:r w:rsidR="006C5F76">
        <w:rPr>
          <w:rFonts w:ascii="Times New Roman" w:hAnsi="Times New Roman"/>
          <w:color w:val="000000"/>
          <w:szCs w:val="24"/>
          <w:shd w:val="clear" w:color="auto" w:fill="FFFFFF"/>
        </w:rPr>
        <w:t xml:space="preserve"> </w:t>
      </w:r>
      <w:r w:rsidRPr="00124C46" w:rsidR="006C5F76">
        <w:rPr>
          <w:rFonts w:ascii="Times New Roman" w:hAnsi="Times New Roman"/>
          <w:szCs w:val="24"/>
        </w:rPr>
        <w:t xml:space="preserve">These injuries result in numerous indirect and less visible costs including employee turnover, training, overtime, incident investigation time, productivity, and morale. </w:t>
      </w:r>
      <w:r w:rsidR="006C5F76">
        <w:rPr>
          <w:rFonts w:ascii="Times New Roman" w:hAnsi="Times New Roman"/>
          <w:color w:val="000000"/>
          <w:szCs w:val="24"/>
          <w:shd w:val="clear" w:color="auto" w:fill="FFFFFF"/>
        </w:rPr>
        <w:t xml:space="preserve"> </w:t>
      </w:r>
    </w:p>
    <w:p w:rsidR="00C14503" w:rsidP="006444D5" w:rsidRDefault="009C7B2A" w14:paraId="3709A366" w14:textId="4F05ED71">
      <w:pPr>
        <w:pStyle w:val="L1-FlLSp12"/>
        <w:spacing w:before="240"/>
        <w:rPr>
          <w:rFonts w:ascii="Times New Roman" w:hAnsi="Times New Roman"/>
          <w:snapToGrid/>
          <w:szCs w:val="24"/>
        </w:rPr>
      </w:pPr>
      <w:r w:rsidRPr="00124C46">
        <w:rPr>
          <w:rFonts w:ascii="Times New Roman" w:hAnsi="Times New Roman"/>
          <w:color w:val="000000"/>
          <w:szCs w:val="24"/>
        </w:rPr>
        <w:t xml:space="preserve">Improving the safety of the healthcare system includes </w:t>
      </w:r>
      <w:r w:rsidR="00DB2C81">
        <w:rPr>
          <w:rFonts w:ascii="Times New Roman" w:hAnsi="Times New Roman"/>
          <w:color w:val="000000"/>
          <w:szCs w:val="24"/>
        </w:rPr>
        <w:t xml:space="preserve">improving </w:t>
      </w:r>
      <w:r w:rsidRPr="00124C46">
        <w:rPr>
          <w:rFonts w:ascii="Times New Roman" w:hAnsi="Times New Roman"/>
          <w:color w:val="000000"/>
          <w:szCs w:val="24"/>
        </w:rPr>
        <w:t xml:space="preserve">the safety </w:t>
      </w:r>
      <w:r w:rsidR="000E1422">
        <w:rPr>
          <w:rFonts w:ascii="Times New Roman" w:hAnsi="Times New Roman"/>
          <w:color w:val="000000"/>
          <w:szCs w:val="24"/>
        </w:rPr>
        <w:t>of</w:t>
      </w:r>
      <w:r w:rsidR="00CF17C7">
        <w:rPr>
          <w:rFonts w:ascii="Times New Roman" w:hAnsi="Times New Roman"/>
          <w:color w:val="000000"/>
          <w:szCs w:val="24"/>
        </w:rPr>
        <w:t xml:space="preserve"> healthcare workers</w:t>
      </w:r>
      <w:r w:rsidRPr="00124C46">
        <w:rPr>
          <w:rFonts w:ascii="Times New Roman" w:hAnsi="Times New Roman"/>
          <w:color w:val="000000"/>
          <w:szCs w:val="24"/>
        </w:rPr>
        <w:t xml:space="preserve">, which is a necessary precondition to advancing patient safety. </w:t>
      </w:r>
      <w:r w:rsidRPr="00124C46" w:rsidR="00474C61">
        <w:rPr>
          <w:rFonts w:ascii="Times New Roman" w:hAnsi="Times New Roman"/>
          <w:snapToGrid/>
          <w:szCs w:val="24"/>
        </w:rPr>
        <w:t xml:space="preserve">In May 2018, </w:t>
      </w:r>
      <w:r w:rsidRPr="00124C46" w:rsidR="001754B0">
        <w:rPr>
          <w:rFonts w:ascii="Times New Roman" w:hAnsi="Times New Roman"/>
          <w:snapToGrid/>
          <w:szCs w:val="24"/>
        </w:rPr>
        <w:t>the Institute for Healthcare Improvement (</w:t>
      </w:r>
      <w:r w:rsidRPr="00124C46" w:rsidR="00474C61">
        <w:rPr>
          <w:rFonts w:ascii="Times New Roman" w:hAnsi="Times New Roman"/>
          <w:snapToGrid/>
          <w:szCs w:val="24"/>
        </w:rPr>
        <w:t>IHI</w:t>
      </w:r>
      <w:r w:rsidRPr="00124C46" w:rsidR="001754B0">
        <w:rPr>
          <w:rFonts w:ascii="Times New Roman" w:hAnsi="Times New Roman"/>
          <w:snapToGrid/>
          <w:szCs w:val="24"/>
        </w:rPr>
        <w:t>)</w:t>
      </w:r>
      <w:r w:rsidRPr="00124C46" w:rsidR="00474C61">
        <w:rPr>
          <w:rFonts w:ascii="Times New Roman" w:hAnsi="Times New Roman"/>
          <w:snapToGrid/>
          <w:szCs w:val="24"/>
        </w:rPr>
        <w:t xml:space="preserve"> </w:t>
      </w:r>
      <w:hyperlink w:tgtFrame="_blank" w:tooltip="Press Release about National Steering Committee" w:history="1" r:id="rId9">
        <w:r w:rsidRPr="00124C46" w:rsidR="00474C61">
          <w:rPr>
            <w:rFonts w:ascii="Times New Roman" w:hAnsi="Times New Roman"/>
            <w:snapToGrid/>
            <w:szCs w:val="24"/>
          </w:rPr>
          <w:t>re</w:t>
        </w:r>
        <w:r w:rsidR="00B816F3">
          <w:rPr>
            <w:rFonts w:ascii="Times New Roman" w:hAnsi="Times New Roman"/>
            <w:snapToGrid/>
            <w:szCs w:val="24"/>
          </w:rPr>
          <w:t>-</w:t>
        </w:r>
        <w:r w:rsidRPr="00124C46" w:rsidR="00474C61">
          <w:rPr>
            <w:rFonts w:ascii="Times New Roman" w:hAnsi="Times New Roman"/>
            <w:snapToGrid/>
            <w:szCs w:val="24"/>
          </w:rPr>
          <w:t>l​</w:t>
        </w:r>
        <w:proofErr w:type="spellStart"/>
        <w:r w:rsidRPr="00124C46" w:rsidR="00474C61">
          <w:rPr>
            <w:rFonts w:ascii="Times New Roman" w:hAnsi="Times New Roman"/>
            <w:snapToGrid/>
            <w:szCs w:val="24"/>
          </w:rPr>
          <w:t>aunch</w:t>
        </w:r>
        <w:r w:rsidRPr="00124C46" w:rsidR="001754B0">
          <w:rPr>
            <w:rFonts w:ascii="Times New Roman" w:hAnsi="Times New Roman"/>
            <w:snapToGrid/>
            <w:szCs w:val="24"/>
          </w:rPr>
          <w:t>ed</w:t>
        </w:r>
        <w:proofErr w:type="spellEnd"/>
        <w:r w:rsidRPr="00124C46" w:rsidR="00474C61">
          <w:rPr>
            <w:rFonts w:ascii="Times New Roman" w:hAnsi="Times New Roman"/>
            <w:snapToGrid/>
            <w:szCs w:val="24"/>
          </w:rPr>
          <w:t xml:space="preserve"> the patient safety agenda</w:t>
        </w:r>
      </w:hyperlink>
      <w:r w:rsidRPr="00124C46" w:rsidR="00474C61">
        <w:rPr>
          <w:rFonts w:ascii="Times New Roman" w:hAnsi="Times New Roman"/>
          <w:snapToGrid/>
          <w:szCs w:val="24"/>
        </w:rPr>
        <w:t xml:space="preserve"> </w:t>
      </w:r>
      <w:r w:rsidRPr="00124C46" w:rsidR="006631B6">
        <w:rPr>
          <w:rFonts w:ascii="Times New Roman" w:hAnsi="Times New Roman"/>
          <w:szCs w:val="24"/>
        </w:rPr>
        <w:t>by</w:t>
      </w:r>
      <w:r w:rsidRPr="00124C46" w:rsidR="00474C61">
        <w:rPr>
          <w:rFonts w:ascii="Times New Roman" w:hAnsi="Times New Roman"/>
          <w:snapToGrid/>
          <w:szCs w:val="24"/>
        </w:rPr>
        <w:t xml:space="preserve"> convening the National Steering Committee for Patient Safety </w:t>
      </w:r>
      <w:r w:rsidRPr="00124C46" w:rsidR="001754B0">
        <w:rPr>
          <w:rFonts w:ascii="Times New Roman" w:hAnsi="Times New Roman"/>
          <w:snapToGrid/>
          <w:szCs w:val="24"/>
        </w:rPr>
        <w:t xml:space="preserve">(NSC) </w:t>
      </w:r>
      <w:r w:rsidRPr="00124C46" w:rsidR="00CE44E6">
        <w:rPr>
          <w:rFonts w:ascii="Times New Roman" w:hAnsi="Times New Roman"/>
          <w:snapToGrid/>
          <w:szCs w:val="24"/>
        </w:rPr>
        <w:t>to develop a national action plan</w:t>
      </w:r>
      <w:r w:rsidRPr="00124C46" w:rsidR="00474C61">
        <w:rPr>
          <w:rFonts w:ascii="Times New Roman" w:hAnsi="Times New Roman"/>
          <w:snapToGrid/>
          <w:szCs w:val="24"/>
        </w:rPr>
        <w:t xml:space="preserve"> for reducing harm in the delivery of health care. </w:t>
      </w:r>
    </w:p>
    <w:p w:rsidRPr="00124C46" w:rsidR="00CE44E6" w:rsidP="006444D5" w:rsidRDefault="00474C61" w14:paraId="7DEB6C05" w14:textId="6D7B877C">
      <w:pPr>
        <w:pStyle w:val="L1-FlLSp12"/>
        <w:spacing w:before="240"/>
        <w:rPr>
          <w:rStyle w:val="st1"/>
          <w:rFonts w:ascii="Times New Roman" w:hAnsi="Times New Roman"/>
          <w:szCs w:val="24"/>
          <w:lang w:val="en"/>
        </w:rPr>
      </w:pPr>
      <w:r w:rsidRPr="00124C46">
        <w:rPr>
          <w:rFonts w:ascii="Times New Roman" w:hAnsi="Times New Roman"/>
          <w:snapToGrid/>
          <w:szCs w:val="24"/>
        </w:rPr>
        <w:t>The NSC was convened to leverage the knowledge of various stakeholders — influential federal agencies, leading health care delivery organizations and associations, patient and family leaders, and respected industry experts — into a set of actionable and effective recommendations.</w:t>
      </w:r>
      <w:r w:rsidR="00054B76">
        <w:rPr>
          <w:rStyle w:val="EndnoteReference"/>
          <w:rFonts w:ascii="Times New Roman" w:hAnsi="Times New Roman"/>
          <w:snapToGrid/>
          <w:szCs w:val="24"/>
        </w:rPr>
        <w:endnoteReference w:id="8"/>
      </w:r>
      <w:r w:rsidRPr="00124C46" w:rsidR="00CE44E6">
        <w:rPr>
          <w:rFonts w:ascii="Times New Roman" w:hAnsi="Times New Roman"/>
          <w:snapToGrid/>
          <w:szCs w:val="24"/>
        </w:rPr>
        <w:t xml:space="preserve"> </w:t>
      </w:r>
      <w:r w:rsidRPr="00124C46" w:rsidR="00CE44E6">
        <w:rPr>
          <w:rFonts w:ascii="Times New Roman" w:hAnsi="Times New Roman"/>
          <w:szCs w:val="24"/>
        </w:rPr>
        <w:t>AHRQ is co-leading the NSC, which</w:t>
      </w:r>
      <w:r w:rsidRPr="00124C46">
        <w:rPr>
          <w:rFonts w:ascii="Times New Roman" w:hAnsi="Times New Roman"/>
          <w:szCs w:val="24"/>
        </w:rPr>
        <w:t xml:space="preserve"> is co-chaired by Jeffrey Brady, M.D., Director of AHRQ’s Center for Quality Improvement and Patient Safety, and Tejal Gandhi, M.D.</w:t>
      </w:r>
      <w:r w:rsidRPr="00124C46" w:rsidR="001754B0">
        <w:rPr>
          <w:rFonts w:ascii="Times New Roman" w:hAnsi="Times New Roman"/>
          <w:szCs w:val="24"/>
        </w:rPr>
        <w:t xml:space="preserve">, </w:t>
      </w:r>
      <w:r w:rsidRPr="00124C46" w:rsidR="001754B0">
        <w:rPr>
          <w:rStyle w:val="st1"/>
          <w:rFonts w:ascii="Times New Roman" w:hAnsi="Times New Roman"/>
          <w:szCs w:val="24"/>
          <w:lang w:val="en"/>
        </w:rPr>
        <w:t>Chief Safety and Transformation Officer at Press Ganey.</w:t>
      </w:r>
      <w:r w:rsidRPr="00124C46" w:rsidR="00CE44E6">
        <w:rPr>
          <w:rStyle w:val="st1"/>
          <w:rFonts w:ascii="Times New Roman" w:hAnsi="Times New Roman"/>
          <w:szCs w:val="24"/>
          <w:lang w:val="en"/>
        </w:rPr>
        <w:t xml:space="preserve"> The NSC convened </w:t>
      </w:r>
      <w:r w:rsidRPr="00124C46" w:rsidR="00910BC2">
        <w:rPr>
          <w:rStyle w:val="st1"/>
          <w:rFonts w:ascii="Times New Roman" w:hAnsi="Times New Roman"/>
          <w:szCs w:val="24"/>
          <w:lang w:val="en"/>
        </w:rPr>
        <w:t xml:space="preserve">four </w:t>
      </w:r>
      <w:r w:rsidRPr="00124C46" w:rsidR="00CE44E6">
        <w:rPr>
          <w:rStyle w:val="st1"/>
          <w:rFonts w:ascii="Times New Roman" w:hAnsi="Times New Roman"/>
          <w:szCs w:val="24"/>
          <w:lang w:val="en"/>
        </w:rPr>
        <w:t>subcommittees</w:t>
      </w:r>
      <w:r w:rsidRPr="00124C46" w:rsidR="00910BC2">
        <w:rPr>
          <w:rStyle w:val="st1"/>
          <w:rFonts w:ascii="Times New Roman" w:hAnsi="Times New Roman"/>
          <w:szCs w:val="24"/>
          <w:lang w:val="en"/>
        </w:rPr>
        <w:t xml:space="preserve">, with </w:t>
      </w:r>
      <w:r w:rsidRPr="00CD1DB5" w:rsidR="00910BC2">
        <w:rPr>
          <w:rStyle w:val="st1"/>
          <w:rFonts w:ascii="Times New Roman" w:hAnsi="Times New Roman"/>
          <w:szCs w:val="24"/>
          <w:lang w:val="en"/>
        </w:rPr>
        <w:t>workforce</w:t>
      </w:r>
      <w:r w:rsidRPr="00124C46" w:rsidR="00910BC2">
        <w:rPr>
          <w:rStyle w:val="st1"/>
          <w:rFonts w:ascii="Times New Roman" w:hAnsi="Times New Roman"/>
          <w:szCs w:val="24"/>
          <w:lang w:val="en"/>
        </w:rPr>
        <w:t xml:space="preserve"> safety being one of the four foundational areas</w:t>
      </w:r>
      <w:r w:rsidRPr="00124C46" w:rsidR="00CE44E6">
        <w:rPr>
          <w:rStyle w:val="st1"/>
          <w:rFonts w:ascii="Times New Roman" w:hAnsi="Times New Roman"/>
          <w:szCs w:val="24"/>
          <w:lang w:val="en"/>
        </w:rPr>
        <w:t>:</w:t>
      </w:r>
    </w:p>
    <w:p w:rsidRPr="00124C46" w:rsidR="00CE44E6" w:rsidP="00CE44E6" w:rsidRDefault="00CE44E6" w14:paraId="4B9BFBB8" w14:textId="2C4AE293">
      <w:pPr>
        <w:pStyle w:val="L1-FlLSp12"/>
        <w:numPr>
          <w:ilvl w:val="0"/>
          <w:numId w:val="10"/>
        </w:numPr>
        <w:rPr>
          <w:rStyle w:val="st1"/>
          <w:rFonts w:ascii="Times New Roman" w:hAnsi="Times New Roman"/>
          <w:szCs w:val="24"/>
          <w:lang w:val="en"/>
        </w:rPr>
      </w:pPr>
      <w:r w:rsidRPr="00124C46">
        <w:rPr>
          <w:rStyle w:val="st1"/>
          <w:rFonts w:ascii="Times New Roman" w:hAnsi="Times New Roman"/>
          <w:b/>
          <w:szCs w:val="24"/>
          <w:lang w:val="en"/>
        </w:rPr>
        <w:t>Culture, Leadership, and Governance</w:t>
      </w:r>
      <w:r w:rsidRPr="00124C46">
        <w:rPr>
          <w:rStyle w:val="st1"/>
          <w:rFonts w:ascii="Times New Roman" w:hAnsi="Times New Roman"/>
          <w:szCs w:val="24"/>
          <w:lang w:val="en"/>
        </w:rPr>
        <w:t xml:space="preserve">—focusing on the role of </w:t>
      </w:r>
      <w:r w:rsidRPr="00124C46" w:rsidR="00910BC2">
        <w:rPr>
          <w:rStyle w:val="st1"/>
          <w:rFonts w:ascii="Times New Roman" w:hAnsi="Times New Roman"/>
          <w:szCs w:val="24"/>
          <w:lang w:val="en"/>
        </w:rPr>
        <w:t>leaders, governing</w:t>
      </w:r>
      <w:r w:rsidRPr="00124C46">
        <w:rPr>
          <w:rStyle w:val="st1"/>
          <w:rFonts w:ascii="Times New Roman" w:hAnsi="Times New Roman"/>
          <w:szCs w:val="24"/>
          <w:lang w:val="en"/>
        </w:rPr>
        <w:t xml:space="preserve"> bodies, and policymakers to </w:t>
      </w:r>
      <w:r w:rsidRPr="00124C46" w:rsidR="00910BC2">
        <w:rPr>
          <w:rStyle w:val="st1"/>
          <w:rFonts w:ascii="Times New Roman" w:hAnsi="Times New Roman"/>
          <w:szCs w:val="24"/>
          <w:lang w:val="en"/>
        </w:rPr>
        <w:t xml:space="preserve">establish </w:t>
      </w:r>
      <w:r w:rsidRPr="00124C46">
        <w:rPr>
          <w:rStyle w:val="st1"/>
          <w:rFonts w:ascii="Times New Roman" w:hAnsi="Times New Roman"/>
          <w:szCs w:val="24"/>
          <w:lang w:val="en"/>
        </w:rPr>
        <w:t xml:space="preserve">safety as a core value and promote cultures of safety.  </w:t>
      </w:r>
    </w:p>
    <w:p w:rsidRPr="00124C46" w:rsidR="00CE44E6" w:rsidP="00CE44E6" w:rsidRDefault="00CE44E6" w14:paraId="3A149E15" w14:textId="74AE6FCE">
      <w:pPr>
        <w:pStyle w:val="L1-FlLSp12"/>
        <w:numPr>
          <w:ilvl w:val="0"/>
          <w:numId w:val="10"/>
        </w:numPr>
        <w:rPr>
          <w:rStyle w:val="st1"/>
          <w:rFonts w:ascii="Times New Roman" w:hAnsi="Times New Roman"/>
          <w:szCs w:val="24"/>
          <w:lang w:val="en"/>
        </w:rPr>
      </w:pPr>
      <w:r w:rsidRPr="00BB3EEA">
        <w:rPr>
          <w:rStyle w:val="st1"/>
          <w:rFonts w:ascii="Times New Roman" w:hAnsi="Times New Roman"/>
          <w:b/>
          <w:szCs w:val="24"/>
          <w:lang w:val="en"/>
        </w:rPr>
        <w:t>Workforce</w:t>
      </w:r>
      <w:r w:rsidRPr="00124C46">
        <w:rPr>
          <w:rStyle w:val="st1"/>
          <w:rFonts w:ascii="Times New Roman" w:hAnsi="Times New Roman"/>
          <w:b/>
          <w:szCs w:val="24"/>
          <w:lang w:val="en"/>
        </w:rPr>
        <w:t xml:space="preserve"> Safety</w:t>
      </w:r>
      <w:r w:rsidRPr="00124C46" w:rsidR="00910BC2">
        <w:rPr>
          <w:rStyle w:val="st1"/>
          <w:rFonts w:ascii="Times New Roman" w:hAnsi="Times New Roman"/>
          <w:szCs w:val="24"/>
          <w:lang w:val="en"/>
        </w:rPr>
        <w:t xml:space="preserve">—focusing on the safety of the healthcare </w:t>
      </w:r>
      <w:r w:rsidRPr="00124C46">
        <w:rPr>
          <w:rStyle w:val="st1"/>
          <w:rFonts w:ascii="Times New Roman" w:hAnsi="Times New Roman"/>
          <w:szCs w:val="24"/>
          <w:lang w:val="en"/>
        </w:rPr>
        <w:t xml:space="preserve">workforce </w:t>
      </w:r>
      <w:r w:rsidRPr="00124C46" w:rsidR="00910BC2">
        <w:rPr>
          <w:rStyle w:val="st1"/>
          <w:rFonts w:ascii="Times New Roman" w:hAnsi="Times New Roman"/>
          <w:szCs w:val="24"/>
          <w:lang w:val="en"/>
        </w:rPr>
        <w:t>a</w:t>
      </w:r>
      <w:r w:rsidRPr="00124C46">
        <w:rPr>
          <w:rStyle w:val="st1"/>
          <w:rFonts w:ascii="Times New Roman" w:hAnsi="Times New Roman"/>
          <w:szCs w:val="24"/>
          <w:lang w:val="en"/>
        </w:rPr>
        <w:t>s a necessary precondit</w:t>
      </w:r>
      <w:r w:rsidRPr="00124C46" w:rsidR="00910BC2">
        <w:rPr>
          <w:rStyle w:val="st1"/>
          <w:rFonts w:ascii="Times New Roman" w:hAnsi="Times New Roman"/>
          <w:szCs w:val="24"/>
          <w:lang w:val="en"/>
        </w:rPr>
        <w:t>ion to advancing patient safety</w:t>
      </w:r>
      <w:r w:rsidRPr="00124C46">
        <w:rPr>
          <w:rStyle w:val="st1"/>
          <w:rFonts w:ascii="Times New Roman" w:hAnsi="Times New Roman"/>
          <w:szCs w:val="24"/>
          <w:lang w:val="en"/>
        </w:rPr>
        <w:t>.</w:t>
      </w:r>
    </w:p>
    <w:p w:rsidRPr="00124C46" w:rsidR="00CE44E6" w:rsidP="00CE44E6" w:rsidRDefault="00CE44E6" w14:paraId="4401561C" w14:textId="6C9A580C">
      <w:pPr>
        <w:pStyle w:val="L1-FlLSp12"/>
        <w:numPr>
          <w:ilvl w:val="0"/>
          <w:numId w:val="10"/>
        </w:numPr>
        <w:rPr>
          <w:rStyle w:val="st1"/>
          <w:rFonts w:ascii="Times New Roman" w:hAnsi="Times New Roman"/>
          <w:szCs w:val="24"/>
          <w:lang w:val="en"/>
        </w:rPr>
      </w:pPr>
      <w:r w:rsidRPr="00124C46">
        <w:rPr>
          <w:rStyle w:val="st1"/>
          <w:rFonts w:ascii="Times New Roman" w:hAnsi="Times New Roman"/>
          <w:b/>
          <w:szCs w:val="24"/>
          <w:lang w:val="en"/>
        </w:rPr>
        <w:lastRenderedPageBreak/>
        <w:t>Patient and Family Engagement</w:t>
      </w:r>
      <w:r w:rsidRPr="00124C46" w:rsidR="00910BC2">
        <w:rPr>
          <w:rStyle w:val="st1"/>
          <w:rFonts w:ascii="Times New Roman" w:hAnsi="Times New Roman"/>
          <w:szCs w:val="24"/>
          <w:lang w:val="en"/>
        </w:rPr>
        <w:t>—focusing on</w:t>
      </w:r>
      <w:r w:rsidRPr="00124C46">
        <w:rPr>
          <w:rStyle w:val="st1"/>
          <w:rFonts w:ascii="Times New Roman" w:hAnsi="Times New Roman"/>
          <w:szCs w:val="24"/>
          <w:lang w:val="en"/>
        </w:rPr>
        <w:t xml:space="preserve"> co-designing and co-producing care with patients and families.</w:t>
      </w:r>
    </w:p>
    <w:p w:rsidRPr="00124C46" w:rsidR="00474C61" w:rsidP="00CE44E6" w:rsidRDefault="00CE44E6" w14:paraId="09ECC361" w14:textId="42B55FA4">
      <w:pPr>
        <w:pStyle w:val="L1-FlLSp12"/>
        <w:numPr>
          <w:ilvl w:val="0"/>
          <w:numId w:val="10"/>
        </w:numPr>
        <w:spacing w:after="0" w:line="240" w:lineRule="auto"/>
        <w:rPr>
          <w:rStyle w:val="st1"/>
          <w:rFonts w:ascii="Times New Roman" w:hAnsi="Times New Roman"/>
          <w:szCs w:val="24"/>
          <w:lang w:val="en"/>
        </w:rPr>
      </w:pPr>
      <w:r w:rsidRPr="00124C46">
        <w:rPr>
          <w:rStyle w:val="st1"/>
          <w:rFonts w:ascii="Times New Roman" w:hAnsi="Times New Roman"/>
          <w:b/>
          <w:szCs w:val="24"/>
          <w:lang w:val="en"/>
        </w:rPr>
        <w:t>Learning Systems</w:t>
      </w:r>
      <w:r w:rsidRPr="00124C46" w:rsidR="00910BC2">
        <w:rPr>
          <w:rStyle w:val="st1"/>
          <w:rFonts w:ascii="Times New Roman" w:hAnsi="Times New Roman"/>
          <w:szCs w:val="24"/>
          <w:lang w:val="en"/>
        </w:rPr>
        <w:t xml:space="preserve">—focusing on </w:t>
      </w:r>
      <w:r w:rsidRPr="00124C46">
        <w:rPr>
          <w:rStyle w:val="st1"/>
          <w:rFonts w:ascii="Times New Roman" w:hAnsi="Times New Roman"/>
          <w:szCs w:val="24"/>
          <w:lang w:val="en"/>
        </w:rPr>
        <w:t>learning systems within and a</w:t>
      </w:r>
      <w:r w:rsidRPr="00124C46" w:rsidR="00910BC2">
        <w:rPr>
          <w:rStyle w:val="st1"/>
          <w:rFonts w:ascii="Times New Roman" w:hAnsi="Times New Roman"/>
          <w:szCs w:val="24"/>
          <w:lang w:val="en"/>
        </w:rPr>
        <w:t>cross health care organizations</w:t>
      </w:r>
      <w:r w:rsidRPr="00124C46">
        <w:rPr>
          <w:rStyle w:val="st1"/>
          <w:rFonts w:ascii="Times New Roman" w:hAnsi="Times New Roman"/>
          <w:szCs w:val="24"/>
          <w:lang w:val="en"/>
        </w:rPr>
        <w:t>.</w:t>
      </w:r>
    </w:p>
    <w:p w:rsidRPr="00124C46" w:rsidR="00CE44E6" w:rsidP="00474C61" w:rsidRDefault="00CE44E6" w14:paraId="50FF332B" w14:textId="6146AA61">
      <w:pPr>
        <w:pStyle w:val="L1-FlLSp12"/>
        <w:spacing w:after="0" w:line="240" w:lineRule="auto"/>
        <w:rPr>
          <w:rStyle w:val="st1"/>
          <w:rFonts w:ascii="Times New Roman" w:hAnsi="Times New Roman"/>
          <w:color w:val="4D5156"/>
          <w:szCs w:val="24"/>
          <w:lang w:val="en"/>
        </w:rPr>
      </w:pPr>
    </w:p>
    <w:p w:rsidRPr="00124C46" w:rsidR="00CE44E6" w:rsidP="00CE44E6" w:rsidRDefault="00CE44E6" w14:paraId="0CD17FF4" w14:textId="2BD63ADE">
      <w:pPr>
        <w:pStyle w:val="L1-FlLSp12"/>
        <w:rPr>
          <w:rFonts w:ascii="Times New Roman" w:hAnsi="Times New Roman"/>
          <w:szCs w:val="24"/>
        </w:rPr>
      </w:pPr>
      <w:r w:rsidRPr="00124C46">
        <w:rPr>
          <w:rFonts w:ascii="Times New Roman" w:hAnsi="Times New Roman"/>
          <w:szCs w:val="24"/>
        </w:rPr>
        <w:t xml:space="preserve">While the safety of healthcare </w:t>
      </w:r>
      <w:r w:rsidR="00B72DFB">
        <w:rPr>
          <w:rFonts w:ascii="Times New Roman" w:hAnsi="Times New Roman"/>
          <w:szCs w:val="24"/>
        </w:rPr>
        <w:t>workers</w:t>
      </w:r>
      <w:r w:rsidRPr="00124C46">
        <w:rPr>
          <w:rFonts w:ascii="Times New Roman" w:hAnsi="Times New Roman"/>
          <w:szCs w:val="24"/>
        </w:rPr>
        <w:t xml:space="preserve"> has been a longstanding concern</w:t>
      </w:r>
      <w:r w:rsidRPr="00124C46" w:rsidR="00910BC2">
        <w:rPr>
          <w:rFonts w:ascii="Times New Roman" w:hAnsi="Times New Roman"/>
          <w:szCs w:val="24"/>
        </w:rPr>
        <w:t xml:space="preserve"> and is a core component of the NSC’s efforts</w:t>
      </w:r>
      <w:r w:rsidRPr="00124C46">
        <w:rPr>
          <w:rFonts w:ascii="Times New Roman" w:hAnsi="Times New Roman"/>
          <w:szCs w:val="24"/>
        </w:rPr>
        <w:t xml:space="preserve">, the recent emergence of the COVID-19 pandemic in early 2020 has brought the issue of healthcare </w:t>
      </w:r>
      <w:r w:rsidR="00B72DFB">
        <w:rPr>
          <w:rFonts w:ascii="Times New Roman" w:hAnsi="Times New Roman"/>
          <w:szCs w:val="24"/>
        </w:rPr>
        <w:t>worker</w:t>
      </w:r>
      <w:r w:rsidRPr="00124C46">
        <w:rPr>
          <w:rFonts w:ascii="Times New Roman" w:hAnsi="Times New Roman"/>
          <w:szCs w:val="24"/>
        </w:rPr>
        <w:t xml:space="preserve"> safety </w:t>
      </w:r>
      <w:r w:rsidRPr="00124C46" w:rsidR="00910BC2">
        <w:rPr>
          <w:rFonts w:ascii="Times New Roman" w:hAnsi="Times New Roman"/>
          <w:szCs w:val="24"/>
        </w:rPr>
        <w:t xml:space="preserve">even more </w:t>
      </w:r>
      <w:r w:rsidRPr="00124C46">
        <w:rPr>
          <w:rFonts w:ascii="Times New Roman" w:hAnsi="Times New Roman"/>
          <w:szCs w:val="24"/>
        </w:rPr>
        <w:t xml:space="preserve">to the forefront around the world. Shortages of proper personal protective equipment (PPE) have made healthcare workers more vulnerable to exposure to the virus. </w:t>
      </w:r>
      <w:r w:rsidR="0012285B">
        <w:rPr>
          <w:rFonts w:ascii="Times New Roman" w:hAnsi="Times New Roman"/>
          <w:szCs w:val="24"/>
        </w:rPr>
        <w:t>In addition, t</w:t>
      </w:r>
      <w:r w:rsidRPr="00124C46">
        <w:rPr>
          <w:rFonts w:ascii="Times New Roman" w:hAnsi="Times New Roman"/>
          <w:szCs w:val="24"/>
        </w:rPr>
        <w:t xml:space="preserve">he physical and psychological well-being of healthcare workers is being tested as patient loads </w:t>
      </w:r>
      <w:r w:rsidRPr="00124C46" w:rsidR="00910BC2">
        <w:rPr>
          <w:rFonts w:ascii="Times New Roman" w:hAnsi="Times New Roman"/>
          <w:szCs w:val="24"/>
        </w:rPr>
        <w:t>have</w:t>
      </w:r>
      <w:r w:rsidRPr="00124C46">
        <w:rPr>
          <w:rFonts w:ascii="Times New Roman" w:hAnsi="Times New Roman"/>
          <w:szCs w:val="24"/>
        </w:rPr>
        <w:t xml:space="preserve"> increase</w:t>
      </w:r>
      <w:r w:rsidRPr="00124C46" w:rsidR="00910BC2">
        <w:rPr>
          <w:rFonts w:ascii="Times New Roman" w:hAnsi="Times New Roman"/>
          <w:szCs w:val="24"/>
        </w:rPr>
        <w:t>d</w:t>
      </w:r>
      <w:r w:rsidRPr="00124C46">
        <w:rPr>
          <w:rFonts w:ascii="Times New Roman" w:hAnsi="Times New Roman"/>
          <w:szCs w:val="24"/>
        </w:rPr>
        <w:t xml:space="preserve"> and co-workers become infected with COVID-19, contributing significantly to burnout and a decline in the mental health of healthcare </w:t>
      </w:r>
      <w:r w:rsidR="00A40794">
        <w:rPr>
          <w:rFonts w:ascii="Times New Roman" w:hAnsi="Times New Roman"/>
          <w:szCs w:val="24"/>
        </w:rPr>
        <w:t>workers</w:t>
      </w:r>
      <w:r w:rsidRPr="00124C46">
        <w:rPr>
          <w:rFonts w:ascii="Times New Roman" w:hAnsi="Times New Roman"/>
          <w:szCs w:val="24"/>
        </w:rPr>
        <w:t>.</w:t>
      </w:r>
      <w:r w:rsidR="00054B76">
        <w:rPr>
          <w:rStyle w:val="EndnoteReference"/>
          <w:rFonts w:ascii="Times New Roman" w:hAnsi="Times New Roman"/>
          <w:szCs w:val="24"/>
        </w:rPr>
        <w:endnoteReference w:id="9"/>
      </w:r>
    </w:p>
    <w:p w:rsidRPr="00124C46" w:rsidR="00210BD0" w:rsidP="00621651" w:rsidRDefault="00910BC2" w14:paraId="3471DC65" w14:textId="6FF3ACC0">
      <w:pPr>
        <w:pStyle w:val="L1-FlLSp12"/>
        <w:spacing w:before="240" w:after="0" w:line="240" w:lineRule="auto"/>
        <w:rPr>
          <w:rFonts w:ascii="Times New Roman" w:hAnsi="Times New Roman"/>
          <w:szCs w:val="24"/>
        </w:rPr>
      </w:pPr>
      <w:r w:rsidRPr="00124C46">
        <w:rPr>
          <w:rFonts w:ascii="Times New Roman" w:hAnsi="Times New Roman"/>
          <w:szCs w:val="24"/>
        </w:rPr>
        <w:t xml:space="preserve">Given the foundational importance </w:t>
      </w:r>
      <w:r w:rsidRPr="00DA2D2D">
        <w:rPr>
          <w:rFonts w:ascii="Times New Roman" w:hAnsi="Times New Roman"/>
          <w:szCs w:val="24"/>
        </w:rPr>
        <w:t xml:space="preserve">of </w:t>
      </w:r>
      <w:r w:rsidR="00DA2D2D">
        <w:rPr>
          <w:rFonts w:ascii="Times New Roman" w:hAnsi="Times New Roman"/>
          <w:szCs w:val="24"/>
        </w:rPr>
        <w:t>workplace</w:t>
      </w:r>
      <w:r w:rsidRPr="00DA2D2D">
        <w:rPr>
          <w:rFonts w:ascii="Times New Roman" w:hAnsi="Times New Roman"/>
          <w:szCs w:val="24"/>
        </w:rPr>
        <w:t xml:space="preserve"> safety as a precondition for patient safety, and renewed attention on the criticality of </w:t>
      </w:r>
      <w:r w:rsidR="00DA2D2D">
        <w:rPr>
          <w:rFonts w:ascii="Times New Roman" w:hAnsi="Times New Roman"/>
          <w:szCs w:val="24"/>
        </w:rPr>
        <w:t>workplace</w:t>
      </w:r>
      <w:r w:rsidRPr="00DA2D2D">
        <w:rPr>
          <w:rFonts w:ascii="Times New Roman" w:hAnsi="Times New Roman"/>
          <w:szCs w:val="24"/>
        </w:rPr>
        <w:t xml:space="preserve"> safety </w:t>
      </w:r>
      <w:proofErr w:type="gramStart"/>
      <w:r w:rsidRPr="00DA2D2D" w:rsidR="00210BD0">
        <w:rPr>
          <w:rFonts w:ascii="Times New Roman" w:hAnsi="Times New Roman"/>
          <w:szCs w:val="24"/>
        </w:rPr>
        <w:t>as a result of</w:t>
      </w:r>
      <w:proofErr w:type="gramEnd"/>
      <w:r w:rsidRPr="00DA2D2D">
        <w:rPr>
          <w:rFonts w:ascii="Times New Roman" w:hAnsi="Times New Roman"/>
          <w:szCs w:val="24"/>
        </w:rPr>
        <w:t xml:space="preserve"> the ongoing COVID-19 pandemic, AHRQ is undertaking timely work </w:t>
      </w:r>
      <w:r w:rsidRPr="00DA2D2D" w:rsidR="00210BD0">
        <w:rPr>
          <w:rFonts w:ascii="Times New Roman" w:hAnsi="Times New Roman"/>
          <w:szCs w:val="24"/>
        </w:rPr>
        <w:t xml:space="preserve">to develop survey items that will help </w:t>
      </w:r>
      <w:r w:rsidR="005006CD">
        <w:rPr>
          <w:rFonts w:ascii="Times New Roman" w:hAnsi="Times New Roman"/>
          <w:szCs w:val="24"/>
        </w:rPr>
        <w:t>nursing homes</w:t>
      </w:r>
      <w:r w:rsidRPr="00DA2D2D" w:rsidR="00210BD0">
        <w:rPr>
          <w:rFonts w:ascii="Times New Roman" w:hAnsi="Times New Roman"/>
          <w:szCs w:val="24"/>
        </w:rPr>
        <w:t xml:space="preserve"> </w:t>
      </w:r>
      <w:r w:rsidRPr="00DA2D2D">
        <w:rPr>
          <w:rFonts w:ascii="Times New Roman" w:hAnsi="Times New Roman"/>
          <w:szCs w:val="24"/>
        </w:rPr>
        <w:t xml:space="preserve">identify and </w:t>
      </w:r>
      <w:r w:rsidRPr="00DA2D2D" w:rsidR="00210BD0">
        <w:rPr>
          <w:rFonts w:ascii="Times New Roman" w:hAnsi="Times New Roman"/>
          <w:szCs w:val="24"/>
        </w:rPr>
        <w:t xml:space="preserve">improve </w:t>
      </w:r>
      <w:r w:rsidR="00DA2D2D">
        <w:rPr>
          <w:rFonts w:ascii="Times New Roman" w:hAnsi="Times New Roman"/>
          <w:szCs w:val="24"/>
        </w:rPr>
        <w:t>workplace</w:t>
      </w:r>
      <w:r w:rsidRPr="00DA2D2D" w:rsidR="00210BD0">
        <w:rPr>
          <w:rFonts w:ascii="Times New Roman" w:hAnsi="Times New Roman"/>
          <w:szCs w:val="24"/>
        </w:rPr>
        <w:t xml:space="preserve"> safety. The </w:t>
      </w:r>
      <w:r w:rsidR="00DA2D2D">
        <w:rPr>
          <w:rFonts w:ascii="Times New Roman" w:hAnsi="Times New Roman"/>
          <w:szCs w:val="24"/>
        </w:rPr>
        <w:t>workplace</w:t>
      </w:r>
      <w:r w:rsidRPr="00124C46" w:rsidR="00210BD0">
        <w:rPr>
          <w:rFonts w:ascii="Times New Roman" w:hAnsi="Times New Roman"/>
          <w:szCs w:val="24"/>
        </w:rPr>
        <w:t xml:space="preserve"> safety survey items will </w:t>
      </w:r>
      <w:r w:rsidR="00274A1C">
        <w:rPr>
          <w:rFonts w:ascii="Times New Roman" w:hAnsi="Times New Roman"/>
          <w:szCs w:val="24"/>
        </w:rPr>
        <w:t xml:space="preserve">assess the extent to which the </w:t>
      </w:r>
      <w:r w:rsidR="004C4EF9">
        <w:rPr>
          <w:rFonts w:ascii="Times New Roman" w:hAnsi="Times New Roman"/>
          <w:szCs w:val="24"/>
        </w:rPr>
        <w:t xml:space="preserve">nursing home’s </w:t>
      </w:r>
      <w:r w:rsidR="00274A1C">
        <w:rPr>
          <w:rFonts w:ascii="Times New Roman" w:hAnsi="Times New Roman"/>
          <w:szCs w:val="24"/>
        </w:rPr>
        <w:t xml:space="preserve">culture supports </w:t>
      </w:r>
      <w:r w:rsidR="00DA2D2D">
        <w:rPr>
          <w:rFonts w:ascii="Times New Roman" w:hAnsi="Times New Roman"/>
          <w:szCs w:val="24"/>
        </w:rPr>
        <w:t>workplace</w:t>
      </w:r>
      <w:r w:rsidR="00274A1C">
        <w:rPr>
          <w:rFonts w:ascii="Times New Roman" w:hAnsi="Times New Roman"/>
          <w:szCs w:val="24"/>
        </w:rPr>
        <w:t xml:space="preserve"> safety. The items will </w:t>
      </w:r>
      <w:r w:rsidRPr="00124C46" w:rsidR="00210BD0">
        <w:rPr>
          <w:rFonts w:ascii="Times New Roman" w:hAnsi="Times New Roman"/>
          <w:szCs w:val="24"/>
        </w:rPr>
        <w:t xml:space="preserve">be developed as a new supplemental item set that can optionally be administered at the end of the </w:t>
      </w:r>
      <w:r w:rsidRPr="00124C46" w:rsidR="00EE250E">
        <w:rPr>
          <w:rFonts w:ascii="Times New Roman" w:hAnsi="Times New Roman"/>
          <w:szCs w:val="24"/>
        </w:rPr>
        <w:t xml:space="preserve">AHRQ </w:t>
      </w:r>
      <w:r w:rsidRPr="00124C46" w:rsidR="00210BD0">
        <w:rPr>
          <w:rFonts w:ascii="Times New Roman" w:hAnsi="Times New Roman"/>
          <w:szCs w:val="24"/>
        </w:rPr>
        <w:t>Survey</w:t>
      </w:r>
      <w:r w:rsidR="005006CD">
        <w:rPr>
          <w:rFonts w:ascii="Times New Roman" w:hAnsi="Times New Roman"/>
          <w:szCs w:val="24"/>
        </w:rPr>
        <w:t>s</w:t>
      </w:r>
      <w:r w:rsidRPr="00124C46" w:rsidR="00210BD0">
        <w:rPr>
          <w:rFonts w:ascii="Times New Roman" w:hAnsi="Times New Roman"/>
          <w:szCs w:val="24"/>
        </w:rPr>
        <w:t xml:space="preserve"> on Patient Safety Culture</w:t>
      </w:r>
      <w:r w:rsidRPr="000E1422" w:rsidR="00210BD0">
        <w:rPr>
          <w:rFonts w:ascii="Times New Roman" w:hAnsi="Times New Roman"/>
          <w:szCs w:val="24"/>
          <w:vertAlign w:val="superscript"/>
        </w:rPr>
        <w:t>™</w:t>
      </w:r>
      <w:r w:rsidRPr="00124C46" w:rsidR="00210BD0">
        <w:rPr>
          <w:rFonts w:ascii="Times New Roman" w:hAnsi="Times New Roman"/>
          <w:szCs w:val="24"/>
        </w:rPr>
        <w:t xml:space="preserve"> (SOPS</w:t>
      </w:r>
      <w:r w:rsidRPr="00124C46" w:rsidR="00210BD0">
        <w:rPr>
          <w:rFonts w:ascii="Times New Roman" w:hAnsi="Times New Roman"/>
          <w:szCs w:val="24"/>
          <w:vertAlign w:val="superscript"/>
        </w:rPr>
        <w:t>®</w:t>
      </w:r>
      <w:r w:rsidRPr="00124C46" w:rsidR="00210BD0">
        <w:rPr>
          <w:rFonts w:ascii="Times New Roman" w:hAnsi="Times New Roman"/>
          <w:szCs w:val="24"/>
        </w:rPr>
        <w:t>)</w:t>
      </w:r>
      <w:r w:rsidR="005006CD">
        <w:rPr>
          <w:rFonts w:ascii="Times New Roman" w:hAnsi="Times New Roman"/>
          <w:szCs w:val="24"/>
        </w:rPr>
        <w:t xml:space="preserve"> Nursing Home Survey</w:t>
      </w:r>
      <w:r w:rsidRPr="00124C46" w:rsidR="00210BD0">
        <w:rPr>
          <w:rFonts w:ascii="Times New Roman" w:hAnsi="Times New Roman"/>
          <w:szCs w:val="24"/>
        </w:rPr>
        <w:t xml:space="preserve">. By developing a supplemental item set, AHRQ will build this new measure of </w:t>
      </w:r>
      <w:r w:rsidR="00B74B86">
        <w:rPr>
          <w:rFonts w:ascii="Times New Roman" w:hAnsi="Times New Roman"/>
          <w:szCs w:val="24"/>
        </w:rPr>
        <w:t>workplace</w:t>
      </w:r>
      <w:r w:rsidRPr="00124C46" w:rsidR="00210BD0">
        <w:rPr>
          <w:rFonts w:ascii="Times New Roman" w:hAnsi="Times New Roman"/>
          <w:szCs w:val="24"/>
        </w:rPr>
        <w:t xml:space="preserve"> safety upon its</w:t>
      </w:r>
      <w:r w:rsidRPr="00124C46" w:rsidR="00EE250E">
        <w:rPr>
          <w:rFonts w:ascii="Times New Roman" w:hAnsi="Times New Roman"/>
          <w:szCs w:val="24"/>
        </w:rPr>
        <w:t xml:space="preserve"> existing and highly successful</w:t>
      </w:r>
      <w:r w:rsidRPr="00124C46" w:rsidR="000F5CC6">
        <w:rPr>
          <w:rFonts w:ascii="Times New Roman" w:hAnsi="Times New Roman"/>
          <w:szCs w:val="24"/>
        </w:rPr>
        <w:t xml:space="preserve"> </w:t>
      </w:r>
      <w:r w:rsidRPr="00124C46" w:rsidR="00210BD0">
        <w:rPr>
          <w:rFonts w:ascii="Times New Roman" w:hAnsi="Times New Roman"/>
          <w:szCs w:val="24"/>
        </w:rPr>
        <w:t xml:space="preserve">SOPS survey </w:t>
      </w:r>
      <w:r w:rsidRPr="00124C46" w:rsidR="00EE250E">
        <w:rPr>
          <w:rFonts w:ascii="Times New Roman" w:hAnsi="Times New Roman"/>
          <w:szCs w:val="24"/>
        </w:rPr>
        <w:t>program.</w:t>
      </w:r>
      <w:r w:rsidRPr="00124C46" w:rsidR="00210BD0">
        <w:rPr>
          <w:rFonts w:ascii="Times New Roman" w:hAnsi="Times New Roman"/>
          <w:szCs w:val="24"/>
        </w:rPr>
        <w:t xml:space="preserve"> SOPS surveys are completed by providers, staff</w:t>
      </w:r>
      <w:r w:rsidR="00621651">
        <w:rPr>
          <w:rFonts w:ascii="Times New Roman" w:hAnsi="Times New Roman"/>
          <w:szCs w:val="24"/>
        </w:rPr>
        <w:t>,</w:t>
      </w:r>
      <w:r w:rsidRPr="00124C46" w:rsidR="00210BD0">
        <w:rPr>
          <w:rFonts w:ascii="Times New Roman" w:hAnsi="Times New Roman"/>
          <w:szCs w:val="24"/>
        </w:rPr>
        <w:t xml:space="preserve"> and administrators within healthcare organizations to assess the extent to which their organizational culture supports patient safety. There are SOPS surveys for hospitals, medical offices, nursing homes, ambulatory surgery centers, and </w:t>
      </w:r>
      <w:r w:rsidR="00621651">
        <w:rPr>
          <w:rFonts w:ascii="Times New Roman" w:hAnsi="Times New Roman"/>
          <w:szCs w:val="24"/>
        </w:rPr>
        <w:t xml:space="preserve">community </w:t>
      </w:r>
      <w:r w:rsidRPr="00124C46" w:rsidR="00210BD0">
        <w:rPr>
          <w:rFonts w:ascii="Times New Roman" w:hAnsi="Times New Roman"/>
          <w:szCs w:val="24"/>
        </w:rPr>
        <w:t>pharmacies. There are also supplemental items on health information technology patient safety</w:t>
      </w:r>
      <w:r w:rsidR="005006CD">
        <w:rPr>
          <w:rFonts w:ascii="Times New Roman" w:hAnsi="Times New Roman"/>
          <w:szCs w:val="24"/>
        </w:rPr>
        <w:t xml:space="preserve"> for the hospital setting</w:t>
      </w:r>
      <w:r w:rsidR="00BB3EEA">
        <w:rPr>
          <w:rFonts w:ascii="Times New Roman" w:hAnsi="Times New Roman"/>
          <w:szCs w:val="24"/>
        </w:rPr>
        <w:t>, diagnostic safety</w:t>
      </w:r>
      <w:r w:rsidR="005006CD">
        <w:rPr>
          <w:rFonts w:ascii="Times New Roman" w:hAnsi="Times New Roman"/>
          <w:szCs w:val="24"/>
        </w:rPr>
        <w:t xml:space="preserve"> in the medical office setting</w:t>
      </w:r>
      <w:r w:rsidR="000E1422">
        <w:rPr>
          <w:rFonts w:ascii="Times New Roman" w:hAnsi="Times New Roman"/>
          <w:szCs w:val="24"/>
        </w:rPr>
        <w:t>,</w:t>
      </w:r>
      <w:r w:rsidRPr="00124C46" w:rsidR="00210BD0">
        <w:rPr>
          <w:rFonts w:ascii="Times New Roman" w:hAnsi="Times New Roman"/>
          <w:szCs w:val="24"/>
        </w:rPr>
        <w:t xml:space="preserve"> and value and efficiency</w:t>
      </w:r>
      <w:r w:rsidR="005006CD">
        <w:rPr>
          <w:rFonts w:ascii="Times New Roman" w:hAnsi="Times New Roman"/>
          <w:szCs w:val="24"/>
        </w:rPr>
        <w:t xml:space="preserve"> in both the hospital and medical office setting</w:t>
      </w:r>
      <w:r w:rsidR="00BB3EEA">
        <w:rPr>
          <w:rFonts w:ascii="Times New Roman" w:hAnsi="Times New Roman"/>
          <w:szCs w:val="24"/>
        </w:rPr>
        <w:t>.</w:t>
      </w:r>
      <w:r w:rsidRPr="00124C46" w:rsidR="00210BD0">
        <w:rPr>
          <w:rFonts w:ascii="Times New Roman" w:hAnsi="Times New Roman"/>
          <w:szCs w:val="24"/>
        </w:rPr>
        <w:t xml:space="preserve"> </w:t>
      </w:r>
    </w:p>
    <w:p w:rsidRPr="00124C46" w:rsidR="00210BD0" w:rsidP="00210BD0" w:rsidRDefault="00210BD0" w14:paraId="331BE88B" w14:textId="77777777">
      <w:pPr>
        <w:pStyle w:val="L1-FlLSp12"/>
        <w:spacing w:after="0" w:line="240" w:lineRule="auto"/>
        <w:rPr>
          <w:rFonts w:ascii="Times New Roman" w:hAnsi="Times New Roman"/>
          <w:szCs w:val="24"/>
        </w:rPr>
      </w:pPr>
    </w:p>
    <w:p w:rsidRPr="00124C46" w:rsidR="00EE250E" w:rsidP="00210BD0" w:rsidRDefault="000E1422" w14:paraId="448A328E" w14:textId="5589C674">
      <w:pPr>
        <w:pStyle w:val="L1-FlLSp12"/>
        <w:spacing w:after="0" w:line="240" w:lineRule="auto"/>
        <w:rPr>
          <w:rFonts w:ascii="Times New Roman" w:hAnsi="Times New Roman"/>
          <w:szCs w:val="24"/>
        </w:rPr>
      </w:pPr>
      <w:r>
        <w:rPr>
          <w:rFonts w:ascii="Times New Roman" w:hAnsi="Times New Roman"/>
          <w:szCs w:val="24"/>
        </w:rPr>
        <w:t xml:space="preserve">In November 2021, </w:t>
      </w:r>
      <w:r w:rsidR="00F04485">
        <w:rPr>
          <w:rFonts w:ascii="Times New Roman" w:hAnsi="Times New Roman"/>
          <w:szCs w:val="24"/>
        </w:rPr>
        <w:t>AHRQ released</w:t>
      </w:r>
      <w:r w:rsidR="00200606">
        <w:rPr>
          <w:rFonts w:ascii="Times New Roman" w:hAnsi="Times New Roman"/>
          <w:szCs w:val="24"/>
        </w:rPr>
        <w:t xml:space="preserve"> </w:t>
      </w:r>
      <w:r w:rsidR="00F04485">
        <w:rPr>
          <w:rFonts w:ascii="Times New Roman" w:hAnsi="Times New Roman"/>
          <w:szCs w:val="24"/>
        </w:rPr>
        <w:t xml:space="preserve">a </w:t>
      </w:r>
      <w:r w:rsidR="0089444E">
        <w:rPr>
          <w:rFonts w:ascii="Times New Roman" w:hAnsi="Times New Roman"/>
          <w:szCs w:val="24"/>
        </w:rPr>
        <w:t xml:space="preserve">supplemental item set on </w:t>
      </w:r>
      <w:r w:rsidR="00F04485">
        <w:rPr>
          <w:rFonts w:ascii="Times New Roman" w:hAnsi="Times New Roman"/>
          <w:szCs w:val="24"/>
        </w:rPr>
        <w:t xml:space="preserve">workplace </w:t>
      </w:r>
      <w:r w:rsidR="0091289B">
        <w:rPr>
          <w:rFonts w:ascii="Times New Roman" w:hAnsi="Times New Roman"/>
          <w:szCs w:val="24"/>
        </w:rPr>
        <w:t xml:space="preserve">safety </w:t>
      </w:r>
      <w:r w:rsidR="00F04485">
        <w:rPr>
          <w:rFonts w:ascii="Times New Roman" w:hAnsi="Times New Roman"/>
          <w:szCs w:val="24"/>
        </w:rPr>
        <w:t>for the hospital setting</w:t>
      </w:r>
      <w:r w:rsidR="00200606">
        <w:rPr>
          <w:rFonts w:ascii="Times New Roman" w:hAnsi="Times New Roman"/>
          <w:szCs w:val="24"/>
        </w:rPr>
        <w:t xml:space="preserve">. </w:t>
      </w:r>
      <w:r w:rsidR="00F04485">
        <w:rPr>
          <w:rFonts w:ascii="Times New Roman" w:hAnsi="Times New Roman"/>
          <w:szCs w:val="24"/>
        </w:rPr>
        <w:t xml:space="preserve">Now there is interest in developing </w:t>
      </w:r>
      <w:r w:rsidRPr="00124C46" w:rsidR="00EE250E">
        <w:rPr>
          <w:rFonts w:ascii="Times New Roman" w:hAnsi="Times New Roman"/>
          <w:szCs w:val="24"/>
        </w:rPr>
        <w:t xml:space="preserve">a reliable, public-use item set </w:t>
      </w:r>
      <w:r w:rsidRPr="00124C46" w:rsidR="0022411F">
        <w:rPr>
          <w:rFonts w:ascii="Times New Roman" w:hAnsi="Times New Roman"/>
          <w:szCs w:val="24"/>
        </w:rPr>
        <w:t xml:space="preserve">that is </w:t>
      </w:r>
      <w:r w:rsidRPr="00124C46" w:rsidR="00EE250E">
        <w:rPr>
          <w:rFonts w:ascii="Times New Roman" w:hAnsi="Times New Roman"/>
        </w:rPr>
        <w:t xml:space="preserve">limited </w:t>
      </w:r>
      <w:r w:rsidRPr="00124C46" w:rsidR="0022411F">
        <w:rPr>
          <w:rFonts w:ascii="Times New Roman" w:hAnsi="Times New Roman"/>
        </w:rPr>
        <w:t xml:space="preserve">in scope so it can be used in conjunction with </w:t>
      </w:r>
      <w:r w:rsidR="00B816F3">
        <w:rPr>
          <w:rFonts w:ascii="Times New Roman" w:hAnsi="Times New Roman"/>
        </w:rPr>
        <w:t xml:space="preserve">the AHRQ </w:t>
      </w:r>
      <w:r w:rsidR="005006CD">
        <w:rPr>
          <w:rFonts w:ascii="Times New Roman" w:hAnsi="Times New Roman"/>
        </w:rPr>
        <w:t xml:space="preserve">SOPS </w:t>
      </w:r>
      <w:r w:rsidR="00B816F3">
        <w:rPr>
          <w:rFonts w:ascii="Times New Roman" w:hAnsi="Times New Roman"/>
        </w:rPr>
        <w:t>Nursing Home Survey</w:t>
      </w:r>
      <w:r w:rsidRPr="00124C46" w:rsidR="0022411F">
        <w:rPr>
          <w:rFonts w:ascii="Times New Roman" w:hAnsi="Times New Roman"/>
        </w:rPr>
        <w:t xml:space="preserve">. The goal is to develop </w:t>
      </w:r>
      <w:r w:rsidRPr="00124C46" w:rsidR="00EE250E">
        <w:rPr>
          <w:rFonts w:ascii="Times New Roman" w:hAnsi="Times New Roman"/>
        </w:rPr>
        <w:t>15</w:t>
      </w:r>
      <w:r w:rsidR="005006CD">
        <w:rPr>
          <w:rFonts w:ascii="Times New Roman" w:hAnsi="Times New Roman"/>
        </w:rPr>
        <w:t>-20</w:t>
      </w:r>
      <w:r w:rsidRPr="00124C46" w:rsidR="00EE250E">
        <w:rPr>
          <w:rFonts w:ascii="Times New Roman" w:hAnsi="Times New Roman"/>
        </w:rPr>
        <w:t xml:space="preserve"> items across </w:t>
      </w:r>
      <w:r w:rsidR="005006CD">
        <w:rPr>
          <w:rFonts w:ascii="Times New Roman" w:hAnsi="Times New Roman"/>
        </w:rPr>
        <w:t>5-6</w:t>
      </w:r>
      <w:r w:rsidRPr="00124C46" w:rsidR="00EE250E">
        <w:rPr>
          <w:rFonts w:ascii="Times New Roman" w:hAnsi="Times New Roman"/>
        </w:rPr>
        <w:t xml:space="preserve"> composite</w:t>
      </w:r>
      <w:r w:rsidRPr="00124C46" w:rsidR="002033C5">
        <w:rPr>
          <w:rFonts w:ascii="Times New Roman" w:hAnsi="Times New Roman"/>
        </w:rPr>
        <w:t xml:space="preserve"> measure</w:t>
      </w:r>
      <w:r w:rsidRPr="00124C46" w:rsidR="00EE250E">
        <w:rPr>
          <w:rFonts w:ascii="Times New Roman" w:hAnsi="Times New Roman"/>
        </w:rPr>
        <w:t>s</w:t>
      </w:r>
      <w:r w:rsidRPr="00124C46" w:rsidR="0022411F">
        <w:rPr>
          <w:rFonts w:ascii="Times New Roman" w:hAnsi="Times New Roman"/>
        </w:rPr>
        <w:t xml:space="preserve"> rather than </w:t>
      </w:r>
      <w:r w:rsidRPr="00124C46" w:rsidR="00EE250E">
        <w:rPr>
          <w:rFonts w:ascii="Times New Roman" w:hAnsi="Times New Roman"/>
        </w:rPr>
        <w:t xml:space="preserve">developing </w:t>
      </w:r>
      <w:r w:rsidRPr="00124C46" w:rsidR="00686284">
        <w:rPr>
          <w:rFonts w:ascii="Times New Roman" w:hAnsi="Times New Roman"/>
        </w:rPr>
        <w:t xml:space="preserve">a </w:t>
      </w:r>
      <w:r w:rsidRPr="00124C46" w:rsidR="00EE250E">
        <w:rPr>
          <w:rFonts w:ascii="Times New Roman" w:hAnsi="Times New Roman"/>
        </w:rPr>
        <w:t>full-length survey.</w:t>
      </w:r>
    </w:p>
    <w:p w:rsidRPr="00124C46" w:rsidR="005B21A6" w:rsidP="005C6199" w:rsidRDefault="005B21A6" w14:paraId="3399475C" w14:textId="77777777">
      <w:pPr>
        <w:pStyle w:val="L1-FlLSp12"/>
        <w:spacing w:after="0"/>
        <w:rPr>
          <w:rFonts w:ascii="Times New Roman" w:hAnsi="Times New Roman"/>
        </w:rPr>
      </w:pPr>
    </w:p>
    <w:p w:rsidRPr="00124C46" w:rsidR="00231CE6" w:rsidP="003A074E" w:rsidRDefault="008D6518" w14:paraId="3908E71F" w14:textId="28A82B3D">
      <w:pPr>
        <w:pStyle w:val="L1-FlLSp12"/>
        <w:rPr>
          <w:rFonts w:ascii="Times New Roman" w:hAnsi="Times New Roman"/>
        </w:rPr>
      </w:pPr>
      <w:r w:rsidRPr="00124C46">
        <w:rPr>
          <w:rFonts w:ascii="Times New Roman" w:hAnsi="Times New Roman"/>
        </w:rPr>
        <w:t>The</w:t>
      </w:r>
      <w:r w:rsidRPr="00124C46" w:rsidR="00EE250E">
        <w:rPr>
          <w:rFonts w:ascii="Times New Roman" w:hAnsi="Times New Roman"/>
        </w:rPr>
        <w:t xml:space="preserve"> supplemental item set </w:t>
      </w:r>
      <w:r w:rsidRPr="00124C46" w:rsidR="002033C5">
        <w:rPr>
          <w:rFonts w:ascii="Times New Roman" w:hAnsi="Times New Roman"/>
        </w:rPr>
        <w:t>will</w:t>
      </w:r>
      <w:r w:rsidRPr="00124C46" w:rsidR="00AE5DFD">
        <w:rPr>
          <w:rFonts w:ascii="Times New Roman" w:hAnsi="Times New Roman"/>
        </w:rPr>
        <w:t xml:space="preserve"> </w:t>
      </w:r>
      <w:r w:rsidR="00AC44BE">
        <w:rPr>
          <w:rFonts w:ascii="Times New Roman" w:hAnsi="Times New Roman"/>
        </w:rPr>
        <w:t xml:space="preserve">be used by </w:t>
      </w:r>
      <w:r w:rsidR="00B816F3">
        <w:rPr>
          <w:rFonts w:ascii="Times New Roman" w:hAnsi="Times New Roman"/>
        </w:rPr>
        <w:t xml:space="preserve">nursing </w:t>
      </w:r>
      <w:r w:rsidR="00BB3EEA">
        <w:rPr>
          <w:rFonts w:ascii="Times New Roman" w:hAnsi="Times New Roman"/>
        </w:rPr>
        <w:t>homes</w:t>
      </w:r>
      <w:r w:rsidR="00AC44BE">
        <w:rPr>
          <w:rFonts w:ascii="Times New Roman" w:hAnsi="Times New Roman"/>
        </w:rPr>
        <w:t xml:space="preserve"> to enable them to </w:t>
      </w:r>
      <w:r w:rsidRPr="00124C46" w:rsidR="00EE250E">
        <w:rPr>
          <w:rFonts w:ascii="Times New Roman" w:hAnsi="Times New Roman"/>
        </w:rPr>
        <w:t>assess</w:t>
      </w:r>
      <w:r w:rsidR="00AC44BE">
        <w:rPr>
          <w:rFonts w:ascii="Times New Roman" w:hAnsi="Times New Roman"/>
        </w:rPr>
        <w:t xml:space="preserve"> the</w:t>
      </w:r>
      <w:r w:rsidRPr="00124C46" w:rsidR="00EE250E">
        <w:rPr>
          <w:rFonts w:ascii="Times New Roman" w:hAnsi="Times New Roman"/>
        </w:rPr>
        <w:t xml:space="preserve"> </w:t>
      </w:r>
      <w:r w:rsidR="00AC44BE">
        <w:rPr>
          <w:rFonts w:ascii="Times New Roman" w:hAnsi="Times New Roman"/>
        </w:rPr>
        <w:t xml:space="preserve">organizational culture </w:t>
      </w:r>
      <w:r w:rsidRPr="00124C46" w:rsidR="00EE250E">
        <w:rPr>
          <w:rFonts w:ascii="Times New Roman" w:hAnsi="Times New Roman"/>
        </w:rPr>
        <w:t xml:space="preserve">factors </w:t>
      </w:r>
      <w:r w:rsidR="00AC44BE">
        <w:rPr>
          <w:rFonts w:ascii="Times New Roman" w:hAnsi="Times New Roman"/>
        </w:rPr>
        <w:t xml:space="preserve">that </w:t>
      </w:r>
      <w:r w:rsidRPr="00124C46" w:rsidR="00EE250E">
        <w:rPr>
          <w:rFonts w:ascii="Times New Roman" w:hAnsi="Times New Roman"/>
        </w:rPr>
        <w:t>contribut</w:t>
      </w:r>
      <w:r w:rsidR="00AC44BE">
        <w:rPr>
          <w:rFonts w:ascii="Times New Roman" w:hAnsi="Times New Roman"/>
        </w:rPr>
        <w:t>e</w:t>
      </w:r>
      <w:r w:rsidRPr="00124C46" w:rsidR="00EE250E">
        <w:rPr>
          <w:rFonts w:ascii="Times New Roman" w:hAnsi="Times New Roman"/>
        </w:rPr>
        <w:t xml:space="preserve"> to </w:t>
      </w:r>
      <w:r w:rsidR="00B74B86">
        <w:rPr>
          <w:rFonts w:ascii="Times New Roman" w:hAnsi="Times New Roman"/>
        </w:rPr>
        <w:t>workplace</w:t>
      </w:r>
      <w:r w:rsidRPr="00124C46" w:rsidR="001E6403">
        <w:rPr>
          <w:rFonts w:ascii="Times New Roman" w:hAnsi="Times New Roman"/>
        </w:rPr>
        <w:t xml:space="preserve"> </w:t>
      </w:r>
      <w:proofErr w:type="gramStart"/>
      <w:r w:rsidRPr="00124C46" w:rsidR="001E6403">
        <w:rPr>
          <w:rFonts w:ascii="Times New Roman" w:hAnsi="Times New Roman"/>
        </w:rPr>
        <w:t>safety</w:t>
      </w:r>
      <w:r w:rsidRPr="00124C46" w:rsidR="00450E4C">
        <w:rPr>
          <w:rFonts w:ascii="Times New Roman" w:hAnsi="Times New Roman"/>
        </w:rPr>
        <w:t>, and</w:t>
      </w:r>
      <w:proofErr w:type="gramEnd"/>
      <w:r w:rsidRPr="00124C46" w:rsidR="00EE250E">
        <w:rPr>
          <w:rFonts w:ascii="Times New Roman" w:hAnsi="Times New Roman"/>
        </w:rPr>
        <w:t xml:space="preserve"> help them identify strengths and areas for improvement</w:t>
      </w:r>
      <w:r w:rsidRPr="00124C46" w:rsidR="00AE5DFD">
        <w:rPr>
          <w:rFonts w:ascii="Times New Roman" w:hAnsi="Times New Roman"/>
        </w:rPr>
        <w:t xml:space="preserve"> to</w:t>
      </w:r>
      <w:r w:rsidRPr="00124C46" w:rsidR="00EE250E">
        <w:rPr>
          <w:rFonts w:ascii="Times New Roman" w:hAnsi="Times New Roman"/>
        </w:rPr>
        <w:t xml:space="preserve"> efficiently target resources to improve </w:t>
      </w:r>
      <w:r w:rsidR="00B74B86">
        <w:rPr>
          <w:rFonts w:ascii="Times New Roman" w:hAnsi="Times New Roman"/>
        </w:rPr>
        <w:t>workplace</w:t>
      </w:r>
      <w:r w:rsidRPr="00124C46" w:rsidR="001E6403">
        <w:rPr>
          <w:rFonts w:ascii="Times New Roman" w:hAnsi="Times New Roman"/>
        </w:rPr>
        <w:t xml:space="preserve"> safety</w:t>
      </w:r>
      <w:r w:rsidRPr="00124C46" w:rsidR="00EE250E">
        <w:rPr>
          <w:rFonts w:ascii="Times New Roman" w:hAnsi="Times New Roman"/>
        </w:rPr>
        <w:t>.</w:t>
      </w:r>
    </w:p>
    <w:p w:rsidRPr="00AB07E4" w:rsidR="00EE250E" w:rsidP="00EE250E" w:rsidRDefault="00AC44BE" w14:paraId="46457914" w14:textId="137D1732">
      <w:pPr>
        <w:rPr>
          <w:snapToGrid w:val="0"/>
          <w:sz w:val="24"/>
          <w:szCs w:val="22"/>
        </w:rPr>
      </w:pPr>
      <w:r w:rsidRPr="00445062">
        <w:rPr>
          <w:snapToGrid w:val="0"/>
          <w:sz w:val="24"/>
          <w:szCs w:val="22"/>
        </w:rPr>
        <w:t xml:space="preserve">Most existing surveys on </w:t>
      </w:r>
      <w:r w:rsidR="00B74B86">
        <w:rPr>
          <w:snapToGrid w:val="0"/>
          <w:sz w:val="24"/>
          <w:szCs w:val="22"/>
        </w:rPr>
        <w:t>workplace</w:t>
      </w:r>
      <w:r w:rsidRPr="00445062">
        <w:rPr>
          <w:snapToGrid w:val="0"/>
          <w:sz w:val="24"/>
          <w:szCs w:val="22"/>
        </w:rPr>
        <w:t xml:space="preserve"> safety focus on organizational, management, and provider and staff compliance with regulations, </w:t>
      </w:r>
      <w:r w:rsidRPr="00445062" w:rsidR="00AE7388">
        <w:rPr>
          <w:snapToGrid w:val="0"/>
          <w:sz w:val="24"/>
          <w:szCs w:val="22"/>
        </w:rPr>
        <w:t>and are more like</w:t>
      </w:r>
      <w:r w:rsidRPr="00445062">
        <w:rPr>
          <w:snapToGrid w:val="0"/>
          <w:sz w:val="24"/>
          <w:szCs w:val="22"/>
        </w:rPr>
        <w:t xml:space="preserve"> safety checklists. There is currently a </w:t>
      </w:r>
      <w:r w:rsidR="001A68AF">
        <w:rPr>
          <w:snapToGrid w:val="0"/>
          <w:sz w:val="24"/>
          <w:szCs w:val="22"/>
        </w:rPr>
        <w:t>dearth</w:t>
      </w:r>
      <w:r w:rsidRPr="00445062" w:rsidR="001A68AF">
        <w:rPr>
          <w:snapToGrid w:val="0"/>
          <w:sz w:val="24"/>
          <w:szCs w:val="22"/>
        </w:rPr>
        <w:t xml:space="preserve"> </w:t>
      </w:r>
      <w:r w:rsidRPr="00445062">
        <w:rPr>
          <w:snapToGrid w:val="0"/>
          <w:sz w:val="24"/>
          <w:szCs w:val="22"/>
        </w:rPr>
        <w:t>of validated survey</w:t>
      </w:r>
      <w:r w:rsidRPr="00445062" w:rsidR="00AE7388">
        <w:rPr>
          <w:snapToGrid w:val="0"/>
          <w:sz w:val="24"/>
          <w:szCs w:val="22"/>
        </w:rPr>
        <w:t xml:space="preserve"> item</w:t>
      </w:r>
      <w:r w:rsidRPr="00445062">
        <w:rPr>
          <w:snapToGrid w:val="0"/>
          <w:sz w:val="24"/>
          <w:szCs w:val="22"/>
        </w:rPr>
        <w:t>s focusing on pr</w:t>
      </w:r>
      <w:r w:rsidRPr="00445062" w:rsidR="00AE7388">
        <w:rPr>
          <w:snapToGrid w:val="0"/>
          <w:sz w:val="24"/>
          <w:szCs w:val="22"/>
        </w:rPr>
        <w:t>ovider and staff perspectives about</w:t>
      </w:r>
      <w:r w:rsidRPr="00445062">
        <w:rPr>
          <w:snapToGrid w:val="0"/>
          <w:sz w:val="24"/>
          <w:szCs w:val="22"/>
        </w:rPr>
        <w:t xml:space="preserve"> aspects of organizational culture that </w:t>
      </w:r>
      <w:r w:rsidR="005006CD">
        <w:rPr>
          <w:snapToGrid w:val="0"/>
          <w:sz w:val="24"/>
          <w:szCs w:val="22"/>
        </w:rPr>
        <w:t>support</w:t>
      </w:r>
      <w:r w:rsidRPr="00445062" w:rsidR="005006CD">
        <w:rPr>
          <w:snapToGrid w:val="0"/>
          <w:sz w:val="24"/>
          <w:szCs w:val="22"/>
        </w:rPr>
        <w:t xml:space="preserve"> </w:t>
      </w:r>
      <w:r w:rsidR="00B74B86">
        <w:rPr>
          <w:snapToGrid w:val="0"/>
          <w:sz w:val="24"/>
          <w:szCs w:val="22"/>
        </w:rPr>
        <w:t>workplace</w:t>
      </w:r>
      <w:r w:rsidRPr="00445062">
        <w:rPr>
          <w:snapToGrid w:val="0"/>
          <w:sz w:val="24"/>
          <w:szCs w:val="22"/>
        </w:rPr>
        <w:t xml:space="preserve"> safety. </w:t>
      </w:r>
      <w:r w:rsidRPr="00445062" w:rsidR="00AE7388">
        <w:rPr>
          <w:snapToGrid w:val="0"/>
          <w:sz w:val="24"/>
          <w:szCs w:val="22"/>
        </w:rPr>
        <w:t>We have been unable to find</w:t>
      </w:r>
      <w:r w:rsidRPr="00445062">
        <w:rPr>
          <w:snapToGrid w:val="0"/>
          <w:sz w:val="24"/>
          <w:szCs w:val="22"/>
        </w:rPr>
        <w:t xml:space="preserve"> instruments that address </w:t>
      </w:r>
      <w:r w:rsidR="00B74B86">
        <w:rPr>
          <w:snapToGrid w:val="0"/>
          <w:sz w:val="24"/>
          <w:szCs w:val="22"/>
        </w:rPr>
        <w:t>workplace</w:t>
      </w:r>
      <w:r w:rsidRPr="00445062" w:rsidR="00AE7388">
        <w:rPr>
          <w:snapToGrid w:val="0"/>
          <w:sz w:val="24"/>
          <w:szCs w:val="22"/>
        </w:rPr>
        <w:t xml:space="preserve"> safety</w:t>
      </w:r>
      <w:r w:rsidRPr="00445062">
        <w:rPr>
          <w:snapToGrid w:val="0"/>
          <w:sz w:val="24"/>
          <w:szCs w:val="22"/>
        </w:rPr>
        <w:t xml:space="preserve"> for </w:t>
      </w:r>
      <w:r w:rsidR="005006CD">
        <w:rPr>
          <w:snapToGrid w:val="0"/>
          <w:sz w:val="24"/>
          <w:szCs w:val="22"/>
        </w:rPr>
        <w:t>the nursing home setting</w:t>
      </w:r>
      <w:r w:rsidRPr="00445062" w:rsidR="00AE7388">
        <w:rPr>
          <w:snapToGrid w:val="0"/>
          <w:sz w:val="24"/>
          <w:szCs w:val="22"/>
        </w:rPr>
        <w:t xml:space="preserve">, </w:t>
      </w:r>
      <w:r w:rsidRPr="00445062">
        <w:rPr>
          <w:snapToGrid w:val="0"/>
          <w:sz w:val="24"/>
          <w:szCs w:val="22"/>
        </w:rPr>
        <w:t>in one, brief instrument</w:t>
      </w:r>
      <w:r w:rsidRPr="00445062" w:rsidR="00AE7388">
        <w:rPr>
          <w:snapToGrid w:val="0"/>
          <w:sz w:val="24"/>
          <w:szCs w:val="22"/>
        </w:rPr>
        <w:t xml:space="preserve">, </w:t>
      </w:r>
      <w:r w:rsidR="001A68AF">
        <w:rPr>
          <w:snapToGrid w:val="0"/>
          <w:sz w:val="24"/>
          <w:szCs w:val="22"/>
        </w:rPr>
        <w:t xml:space="preserve">development of </w:t>
      </w:r>
      <w:r w:rsidRPr="00445062" w:rsidR="00AE7388">
        <w:rPr>
          <w:snapToGrid w:val="0"/>
          <w:sz w:val="24"/>
          <w:szCs w:val="22"/>
        </w:rPr>
        <w:t xml:space="preserve">which </w:t>
      </w:r>
      <w:r w:rsidR="001A68AF">
        <w:rPr>
          <w:snapToGrid w:val="0"/>
          <w:sz w:val="24"/>
          <w:szCs w:val="22"/>
        </w:rPr>
        <w:t>is</w:t>
      </w:r>
      <w:r w:rsidRPr="00445062" w:rsidR="001A68AF">
        <w:rPr>
          <w:snapToGrid w:val="0"/>
          <w:sz w:val="24"/>
          <w:szCs w:val="22"/>
        </w:rPr>
        <w:t xml:space="preserve"> </w:t>
      </w:r>
      <w:r w:rsidRPr="00445062" w:rsidR="00AE7388">
        <w:rPr>
          <w:snapToGrid w:val="0"/>
          <w:sz w:val="24"/>
          <w:szCs w:val="22"/>
        </w:rPr>
        <w:t>the objective of this research</w:t>
      </w:r>
      <w:r w:rsidRPr="00445062">
        <w:rPr>
          <w:snapToGrid w:val="0"/>
          <w:sz w:val="24"/>
          <w:szCs w:val="22"/>
        </w:rPr>
        <w:t xml:space="preserve">. </w:t>
      </w:r>
      <w:r w:rsidRPr="00AB07E4" w:rsidR="00EE250E">
        <w:rPr>
          <w:snapToGrid w:val="0"/>
          <w:sz w:val="24"/>
          <w:szCs w:val="22"/>
        </w:rPr>
        <w:t xml:space="preserve">To achieve </w:t>
      </w:r>
      <w:r w:rsidRPr="00AB07E4" w:rsidR="001A68AF">
        <w:rPr>
          <w:snapToGrid w:val="0"/>
          <w:sz w:val="24"/>
          <w:szCs w:val="22"/>
        </w:rPr>
        <w:t>th</w:t>
      </w:r>
      <w:r w:rsidR="001A68AF">
        <w:rPr>
          <w:snapToGrid w:val="0"/>
          <w:sz w:val="24"/>
          <w:szCs w:val="22"/>
        </w:rPr>
        <w:t>is</w:t>
      </w:r>
      <w:r w:rsidRPr="00AB07E4" w:rsidR="001A68AF">
        <w:rPr>
          <w:snapToGrid w:val="0"/>
          <w:sz w:val="24"/>
          <w:szCs w:val="22"/>
        </w:rPr>
        <w:t xml:space="preserve"> </w:t>
      </w:r>
      <w:r w:rsidRPr="00AB07E4" w:rsidR="00417C3B">
        <w:rPr>
          <w:snapToGrid w:val="0"/>
          <w:sz w:val="24"/>
          <w:szCs w:val="22"/>
        </w:rPr>
        <w:t>objective</w:t>
      </w:r>
      <w:r w:rsidRPr="00AB07E4" w:rsidR="00EE250E">
        <w:rPr>
          <w:snapToGrid w:val="0"/>
          <w:sz w:val="24"/>
          <w:szCs w:val="22"/>
        </w:rPr>
        <w:t xml:space="preserve">, we propose the following activities: </w:t>
      </w:r>
    </w:p>
    <w:p w:rsidRPr="00AB07E4" w:rsidR="00EE250E" w:rsidP="00EE250E" w:rsidRDefault="00EE250E" w14:paraId="7242DF69" w14:textId="77777777">
      <w:pPr>
        <w:rPr>
          <w:snapToGrid w:val="0"/>
          <w:sz w:val="24"/>
          <w:szCs w:val="22"/>
        </w:rPr>
      </w:pPr>
    </w:p>
    <w:p w:rsidR="00EE250E" w:rsidP="003A074E" w:rsidRDefault="00AE7388" w14:paraId="0A81B59C" w14:textId="3CAD60E3">
      <w:pPr>
        <w:pStyle w:val="ListParagraph"/>
        <w:numPr>
          <w:ilvl w:val="0"/>
          <w:numId w:val="4"/>
        </w:numPr>
        <w:tabs>
          <w:tab w:val="left" w:pos="360"/>
        </w:tabs>
        <w:rPr>
          <w:sz w:val="24"/>
          <w:szCs w:val="24"/>
        </w:rPr>
      </w:pPr>
      <w:r>
        <w:rPr>
          <w:b/>
          <w:sz w:val="24"/>
          <w:szCs w:val="24"/>
        </w:rPr>
        <w:lastRenderedPageBreak/>
        <w:t>Conduct c</w:t>
      </w:r>
      <w:r w:rsidRPr="00124C46" w:rsidR="00EE250E">
        <w:rPr>
          <w:b/>
          <w:sz w:val="24"/>
          <w:szCs w:val="24"/>
        </w:rPr>
        <w:t xml:space="preserve">ognitive </w:t>
      </w:r>
      <w:r>
        <w:rPr>
          <w:b/>
          <w:sz w:val="24"/>
          <w:szCs w:val="24"/>
        </w:rPr>
        <w:t>testing</w:t>
      </w:r>
      <w:r w:rsidRPr="00124C46" w:rsidR="00EE250E">
        <w:rPr>
          <w:sz w:val="24"/>
          <w:szCs w:val="24"/>
        </w:rPr>
        <w:t xml:space="preserve"> – The purpose of </w:t>
      </w:r>
      <w:r>
        <w:rPr>
          <w:sz w:val="24"/>
          <w:szCs w:val="24"/>
        </w:rPr>
        <w:t>cognitive testing</w:t>
      </w:r>
      <w:r w:rsidRPr="00124C46" w:rsidR="00EE250E">
        <w:rPr>
          <w:sz w:val="24"/>
          <w:szCs w:val="24"/>
        </w:rPr>
        <w:t xml:space="preserve"> is to understand the cognitive processes respondents engage in when answering each </w:t>
      </w:r>
      <w:r w:rsidRPr="00124C46" w:rsidR="00CC7C84">
        <w:rPr>
          <w:sz w:val="24"/>
          <w:szCs w:val="24"/>
        </w:rPr>
        <w:t xml:space="preserve">draft </w:t>
      </w:r>
      <w:r w:rsidRPr="00124C46" w:rsidR="00EE250E">
        <w:rPr>
          <w:sz w:val="24"/>
          <w:szCs w:val="24"/>
        </w:rPr>
        <w:t xml:space="preserve">item on the survey, which will </w:t>
      </w:r>
      <w:r w:rsidRPr="00124C46" w:rsidR="00C732EB">
        <w:rPr>
          <w:sz w:val="24"/>
          <w:szCs w:val="24"/>
        </w:rPr>
        <w:t>help refine</w:t>
      </w:r>
      <w:r w:rsidRPr="00124C46" w:rsidR="00EE250E">
        <w:rPr>
          <w:sz w:val="24"/>
          <w:szCs w:val="24"/>
        </w:rPr>
        <w:t xml:space="preserve"> the survey instrument. </w:t>
      </w:r>
      <w:r w:rsidR="008226FF">
        <w:rPr>
          <w:sz w:val="24"/>
          <w:szCs w:val="24"/>
        </w:rPr>
        <w:t>C</w:t>
      </w:r>
      <w:r w:rsidR="000C2EC1">
        <w:rPr>
          <w:sz w:val="24"/>
          <w:szCs w:val="24"/>
        </w:rPr>
        <w:t>ognitive testing</w:t>
      </w:r>
      <w:r w:rsidRPr="00124C46" w:rsidR="0046336B">
        <w:rPr>
          <w:sz w:val="24"/>
          <w:szCs w:val="24"/>
        </w:rPr>
        <w:t xml:space="preserve"> will be conducted </w:t>
      </w:r>
      <w:r w:rsidR="000C2EC1">
        <w:rPr>
          <w:sz w:val="24"/>
          <w:szCs w:val="24"/>
        </w:rPr>
        <w:t xml:space="preserve">with a </w:t>
      </w:r>
      <w:r w:rsidRPr="00124C46" w:rsidR="000C2EC1">
        <w:rPr>
          <w:sz w:val="24"/>
          <w:szCs w:val="24"/>
        </w:rPr>
        <w:t xml:space="preserve">mix of </w:t>
      </w:r>
      <w:r w:rsidR="00F850CA">
        <w:rPr>
          <w:sz w:val="24"/>
          <w:szCs w:val="24"/>
        </w:rPr>
        <w:t xml:space="preserve">nursing home </w:t>
      </w:r>
      <w:r w:rsidR="000C2EC1">
        <w:rPr>
          <w:sz w:val="24"/>
          <w:szCs w:val="24"/>
        </w:rPr>
        <w:t>personnel--</w:t>
      </w:r>
      <w:r w:rsidRPr="00124C46" w:rsidR="000C2EC1">
        <w:rPr>
          <w:sz w:val="24"/>
          <w:szCs w:val="24"/>
        </w:rPr>
        <w:t xml:space="preserve">including clinicians, nurses, </w:t>
      </w:r>
      <w:r w:rsidR="008226FF">
        <w:rPr>
          <w:sz w:val="24"/>
          <w:szCs w:val="24"/>
        </w:rPr>
        <w:t xml:space="preserve">certified </w:t>
      </w:r>
      <w:r w:rsidR="00D62B9C">
        <w:rPr>
          <w:sz w:val="24"/>
          <w:szCs w:val="24"/>
        </w:rPr>
        <w:t>nursing assistants</w:t>
      </w:r>
      <w:r w:rsidR="00F850CA">
        <w:rPr>
          <w:sz w:val="24"/>
          <w:szCs w:val="24"/>
        </w:rPr>
        <w:t>,</w:t>
      </w:r>
      <w:r w:rsidR="00D62B9C">
        <w:rPr>
          <w:sz w:val="24"/>
          <w:szCs w:val="24"/>
        </w:rPr>
        <w:t xml:space="preserve"> </w:t>
      </w:r>
      <w:r w:rsidR="000C2EC1">
        <w:rPr>
          <w:sz w:val="24"/>
          <w:szCs w:val="24"/>
        </w:rPr>
        <w:t>and other types of staff such as</w:t>
      </w:r>
      <w:r w:rsidRPr="00124C46" w:rsidR="000C2EC1">
        <w:rPr>
          <w:sz w:val="24"/>
          <w:szCs w:val="24"/>
        </w:rPr>
        <w:t xml:space="preserve"> administrative and support staff</w:t>
      </w:r>
      <w:r w:rsidR="000B2C52">
        <w:rPr>
          <w:sz w:val="24"/>
          <w:szCs w:val="24"/>
        </w:rPr>
        <w:t>.</w:t>
      </w:r>
      <w:r w:rsidRPr="00124C46" w:rsidR="00EE250E">
        <w:rPr>
          <w:sz w:val="24"/>
          <w:szCs w:val="24"/>
        </w:rPr>
        <w:t xml:space="preserve"> </w:t>
      </w:r>
    </w:p>
    <w:p w:rsidRPr="00124C46" w:rsidR="000C2EC1" w:rsidP="00C31121" w:rsidRDefault="000C2EC1" w14:paraId="4D4A55BB" w14:textId="77777777">
      <w:pPr>
        <w:pStyle w:val="ListParagraph"/>
        <w:tabs>
          <w:tab w:val="left" w:pos="360"/>
        </w:tabs>
        <w:rPr>
          <w:sz w:val="24"/>
          <w:szCs w:val="24"/>
        </w:rPr>
      </w:pPr>
    </w:p>
    <w:p w:rsidR="000C2EC1" w:rsidP="00AE7388" w:rsidRDefault="00AE7388" w14:paraId="6BAD7D69" w14:textId="32A6C1C3">
      <w:pPr>
        <w:pStyle w:val="ListParagraph"/>
        <w:tabs>
          <w:tab w:val="left" w:pos="360"/>
        </w:tabs>
        <w:rPr>
          <w:sz w:val="24"/>
          <w:szCs w:val="24"/>
        </w:rPr>
      </w:pPr>
      <w:r w:rsidRPr="00CD1DB5">
        <w:rPr>
          <w:sz w:val="24"/>
          <w:szCs w:val="24"/>
        </w:rPr>
        <w:t>Cognitive interviews will be</w:t>
      </w:r>
      <w:r>
        <w:rPr>
          <w:sz w:val="24"/>
          <w:szCs w:val="24"/>
        </w:rPr>
        <w:t xml:space="preserve"> conducted </w:t>
      </w:r>
      <w:r w:rsidRPr="00124C46">
        <w:rPr>
          <w:sz w:val="24"/>
          <w:szCs w:val="24"/>
        </w:rPr>
        <w:t xml:space="preserve">with individual respondents to test the </w:t>
      </w:r>
      <w:r>
        <w:rPr>
          <w:sz w:val="24"/>
          <w:szCs w:val="24"/>
        </w:rPr>
        <w:t xml:space="preserve">feasibility and applicability of the </w:t>
      </w:r>
      <w:r w:rsidR="00B74B86">
        <w:rPr>
          <w:sz w:val="24"/>
          <w:szCs w:val="24"/>
        </w:rPr>
        <w:t>workplace</w:t>
      </w:r>
      <w:r w:rsidRPr="00124C46">
        <w:rPr>
          <w:sz w:val="24"/>
          <w:szCs w:val="24"/>
        </w:rPr>
        <w:t xml:space="preserve"> safety supplemental item</w:t>
      </w:r>
      <w:r>
        <w:rPr>
          <w:sz w:val="24"/>
          <w:szCs w:val="24"/>
        </w:rPr>
        <w:t>s</w:t>
      </w:r>
      <w:r w:rsidRPr="00124C46">
        <w:rPr>
          <w:sz w:val="24"/>
          <w:szCs w:val="24"/>
        </w:rPr>
        <w:t xml:space="preserve"> in </w:t>
      </w:r>
      <w:r w:rsidR="000B2C52">
        <w:rPr>
          <w:sz w:val="24"/>
          <w:szCs w:val="24"/>
        </w:rPr>
        <w:t xml:space="preserve">nursing home </w:t>
      </w:r>
      <w:r w:rsidRPr="00124C46">
        <w:rPr>
          <w:sz w:val="24"/>
          <w:szCs w:val="24"/>
        </w:rPr>
        <w:t>settings</w:t>
      </w:r>
      <w:r w:rsidR="000B2C52">
        <w:rPr>
          <w:sz w:val="24"/>
          <w:szCs w:val="24"/>
        </w:rPr>
        <w:t>.</w:t>
      </w:r>
      <w:r>
        <w:rPr>
          <w:sz w:val="24"/>
          <w:szCs w:val="24"/>
        </w:rPr>
        <w:t xml:space="preserve"> </w:t>
      </w:r>
      <w:r w:rsidR="000C2EC1">
        <w:rPr>
          <w:sz w:val="24"/>
          <w:szCs w:val="24"/>
        </w:rPr>
        <w:t>English c</w:t>
      </w:r>
      <w:r w:rsidRPr="00124C46" w:rsidR="00CA2A15">
        <w:rPr>
          <w:sz w:val="24"/>
          <w:szCs w:val="24"/>
        </w:rPr>
        <w:t xml:space="preserve">ognitive </w:t>
      </w:r>
      <w:r w:rsidRPr="00124C46" w:rsidR="00EE250E">
        <w:rPr>
          <w:sz w:val="24"/>
          <w:szCs w:val="24"/>
        </w:rPr>
        <w:t>interviews will be conducte</w:t>
      </w:r>
      <w:r w:rsidRPr="00124C46" w:rsidR="00A93535">
        <w:rPr>
          <w:sz w:val="24"/>
          <w:szCs w:val="24"/>
        </w:rPr>
        <w:t xml:space="preserve">d </w:t>
      </w:r>
      <w:r w:rsidR="00483332">
        <w:rPr>
          <w:sz w:val="24"/>
          <w:szCs w:val="24"/>
        </w:rPr>
        <w:t xml:space="preserve">in two rounds </w:t>
      </w:r>
      <w:r w:rsidR="00DB2C81">
        <w:rPr>
          <w:sz w:val="24"/>
          <w:szCs w:val="24"/>
        </w:rPr>
        <w:t>via Zoom.gov f</w:t>
      </w:r>
      <w:r w:rsidRPr="00124C46" w:rsidR="00A93535">
        <w:rPr>
          <w:sz w:val="24"/>
          <w:szCs w:val="24"/>
        </w:rPr>
        <w:t>or</w:t>
      </w:r>
      <w:r w:rsidRPr="00124C46" w:rsidR="00431532">
        <w:rPr>
          <w:sz w:val="24"/>
          <w:szCs w:val="24"/>
        </w:rPr>
        <w:t xml:space="preserve"> </w:t>
      </w:r>
      <w:r w:rsidRPr="00124C46" w:rsidR="00B36385">
        <w:rPr>
          <w:sz w:val="24"/>
          <w:szCs w:val="24"/>
        </w:rPr>
        <w:t>up to</w:t>
      </w:r>
      <w:r w:rsidRPr="00124C46" w:rsidR="003F7868">
        <w:rPr>
          <w:sz w:val="24"/>
          <w:szCs w:val="24"/>
        </w:rPr>
        <w:t xml:space="preserve"> 20</w:t>
      </w:r>
      <w:r w:rsidRPr="00124C46" w:rsidR="0046336B">
        <w:rPr>
          <w:sz w:val="24"/>
          <w:szCs w:val="24"/>
        </w:rPr>
        <w:t xml:space="preserve"> </w:t>
      </w:r>
      <w:r>
        <w:rPr>
          <w:sz w:val="24"/>
          <w:szCs w:val="24"/>
        </w:rPr>
        <w:t>individuals</w:t>
      </w:r>
      <w:r w:rsidR="000B2C52">
        <w:rPr>
          <w:sz w:val="24"/>
          <w:szCs w:val="24"/>
        </w:rPr>
        <w:t xml:space="preserve"> from a nursing home setting</w:t>
      </w:r>
      <w:r w:rsidRPr="00124C46" w:rsidR="00EE250E">
        <w:rPr>
          <w:sz w:val="24"/>
          <w:szCs w:val="24"/>
        </w:rPr>
        <w:t xml:space="preserve">. </w:t>
      </w:r>
      <w:r>
        <w:rPr>
          <w:sz w:val="24"/>
          <w:szCs w:val="24"/>
        </w:rPr>
        <w:t>Limited Spanish c</w:t>
      </w:r>
      <w:r w:rsidRPr="00124C46">
        <w:rPr>
          <w:sz w:val="24"/>
          <w:szCs w:val="24"/>
        </w:rPr>
        <w:t xml:space="preserve">ognitive testing will </w:t>
      </w:r>
      <w:r>
        <w:rPr>
          <w:sz w:val="24"/>
          <w:szCs w:val="24"/>
        </w:rPr>
        <w:t xml:space="preserve">also </w:t>
      </w:r>
      <w:r w:rsidRPr="00124C46">
        <w:rPr>
          <w:sz w:val="24"/>
          <w:szCs w:val="24"/>
        </w:rPr>
        <w:t xml:space="preserve">be conducted </w:t>
      </w:r>
      <w:r>
        <w:rPr>
          <w:sz w:val="24"/>
          <w:szCs w:val="24"/>
        </w:rPr>
        <w:t xml:space="preserve">with up to </w:t>
      </w:r>
      <w:r w:rsidR="0012035D">
        <w:rPr>
          <w:sz w:val="24"/>
          <w:szCs w:val="24"/>
        </w:rPr>
        <w:t>5</w:t>
      </w:r>
      <w:r>
        <w:rPr>
          <w:sz w:val="24"/>
          <w:szCs w:val="24"/>
        </w:rPr>
        <w:t xml:space="preserve"> individuals from </w:t>
      </w:r>
      <w:r w:rsidR="000B2C52">
        <w:rPr>
          <w:sz w:val="24"/>
          <w:szCs w:val="24"/>
        </w:rPr>
        <w:t>nursing home</w:t>
      </w:r>
      <w:r>
        <w:rPr>
          <w:sz w:val="24"/>
          <w:szCs w:val="24"/>
        </w:rPr>
        <w:t xml:space="preserve"> settings</w:t>
      </w:r>
      <w:r w:rsidRPr="00124C46">
        <w:rPr>
          <w:sz w:val="24"/>
          <w:szCs w:val="24"/>
        </w:rPr>
        <w:t>.</w:t>
      </w:r>
    </w:p>
    <w:p w:rsidRPr="00124C46" w:rsidR="00AE7388" w:rsidP="00AE7388" w:rsidRDefault="00AE7388" w14:paraId="7A7031EB" w14:textId="0D46AED3">
      <w:pPr>
        <w:pStyle w:val="ListParagraph"/>
        <w:tabs>
          <w:tab w:val="left" w:pos="360"/>
        </w:tabs>
        <w:rPr>
          <w:sz w:val="24"/>
          <w:szCs w:val="24"/>
        </w:rPr>
      </w:pPr>
    </w:p>
    <w:p w:rsidRPr="00124C46" w:rsidR="00EE250E" w:rsidP="003A074E" w:rsidRDefault="00A86128" w14:paraId="60A098D6" w14:textId="13E41949">
      <w:pPr>
        <w:pStyle w:val="ListParagraph"/>
        <w:tabs>
          <w:tab w:val="left" w:pos="360"/>
        </w:tabs>
        <w:rPr>
          <w:sz w:val="24"/>
          <w:szCs w:val="24"/>
        </w:rPr>
      </w:pPr>
      <w:r w:rsidRPr="00CF15FB">
        <w:rPr>
          <w:sz w:val="24"/>
          <w:szCs w:val="24"/>
        </w:rPr>
        <w:t xml:space="preserve">Respondents will complete the draft supplemental items (see Attachment A). </w:t>
      </w:r>
      <w:r w:rsidRPr="00CF15FB" w:rsidR="00EE250E">
        <w:rPr>
          <w:sz w:val="24"/>
          <w:szCs w:val="24"/>
        </w:rPr>
        <w:t xml:space="preserve">The cognitive interview guide found in Attachment </w:t>
      </w:r>
      <w:r w:rsidRPr="00CF15FB" w:rsidR="003A5EFA">
        <w:rPr>
          <w:sz w:val="24"/>
          <w:szCs w:val="24"/>
        </w:rPr>
        <w:t>B</w:t>
      </w:r>
      <w:r w:rsidRPr="00CF15FB" w:rsidR="00EE250E">
        <w:rPr>
          <w:sz w:val="24"/>
          <w:szCs w:val="24"/>
        </w:rPr>
        <w:t xml:space="preserve"> will be used</w:t>
      </w:r>
      <w:r w:rsidRPr="00DD22DF" w:rsidR="003F7868">
        <w:rPr>
          <w:sz w:val="24"/>
          <w:szCs w:val="24"/>
        </w:rPr>
        <w:t xml:space="preserve"> during these interviews.</w:t>
      </w:r>
    </w:p>
    <w:p w:rsidRPr="00124C46" w:rsidR="00EE250E" w:rsidP="00EE250E" w:rsidRDefault="00EE250E" w14:paraId="0C142FDF" w14:textId="77777777">
      <w:pPr>
        <w:pStyle w:val="ListParagraph"/>
        <w:tabs>
          <w:tab w:val="left" w:pos="360"/>
        </w:tabs>
        <w:rPr>
          <w:sz w:val="24"/>
          <w:szCs w:val="24"/>
        </w:rPr>
      </w:pPr>
    </w:p>
    <w:p w:rsidRPr="007B1F11" w:rsidR="00231CE6" w:rsidP="003A074E" w:rsidRDefault="00EE250E" w14:paraId="356F7C7B" w14:textId="069CB6FF">
      <w:pPr>
        <w:pStyle w:val="ListParagraph"/>
        <w:tabs>
          <w:tab w:val="left" w:pos="360"/>
        </w:tabs>
        <w:rPr>
          <w:sz w:val="24"/>
          <w:szCs w:val="24"/>
        </w:rPr>
      </w:pPr>
      <w:r w:rsidRPr="007B1F11">
        <w:rPr>
          <w:sz w:val="24"/>
          <w:szCs w:val="24"/>
        </w:rPr>
        <w:t xml:space="preserve">Feedback obtained from </w:t>
      </w:r>
      <w:r w:rsidRPr="007B1F11" w:rsidR="0046336B">
        <w:rPr>
          <w:sz w:val="24"/>
          <w:szCs w:val="24"/>
        </w:rPr>
        <w:t xml:space="preserve">these interviews </w:t>
      </w:r>
      <w:r w:rsidRPr="007B1F11">
        <w:rPr>
          <w:sz w:val="24"/>
          <w:szCs w:val="24"/>
        </w:rPr>
        <w:t xml:space="preserve">will be used to refine the </w:t>
      </w:r>
      <w:r w:rsidRPr="007B1F11" w:rsidR="0046336B">
        <w:rPr>
          <w:sz w:val="24"/>
          <w:szCs w:val="24"/>
        </w:rPr>
        <w:t xml:space="preserve">supplemental </w:t>
      </w:r>
      <w:r w:rsidRPr="007B1F11" w:rsidR="003F7868">
        <w:rPr>
          <w:sz w:val="24"/>
          <w:szCs w:val="24"/>
        </w:rPr>
        <w:t>items. The results of the cognitive testing</w:t>
      </w:r>
      <w:r w:rsidRPr="007B1F11">
        <w:rPr>
          <w:sz w:val="24"/>
          <w:szCs w:val="24"/>
        </w:rPr>
        <w:t>, along with the proposed re</w:t>
      </w:r>
      <w:r w:rsidRPr="007B1F11" w:rsidR="000E725A">
        <w:rPr>
          <w:sz w:val="24"/>
          <w:szCs w:val="24"/>
        </w:rPr>
        <w:t>visions, will be reviewed by the SOPS</w:t>
      </w:r>
      <w:r w:rsidRPr="007B1F11">
        <w:rPr>
          <w:sz w:val="24"/>
          <w:szCs w:val="24"/>
        </w:rPr>
        <w:t xml:space="preserve"> Technical Expert Panel</w:t>
      </w:r>
      <w:r w:rsidRPr="007B1F11" w:rsidR="000E725A">
        <w:rPr>
          <w:sz w:val="24"/>
          <w:szCs w:val="24"/>
        </w:rPr>
        <w:t xml:space="preserve"> and subject matter experts</w:t>
      </w:r>
      <w:r w:rsidRPr="007B1F11">
        <w:rPr>
          <w:sz w:val="24"/>
          <w:szCs w:val="24"/>
        </w:rPr>
        <w:t xml:space="preserve"> </w:t>
      </w:r>
      <w:r w:rsidRPr="007B1F11" w:rsidR="0046336B">
        <w:rPr>
          <w:sz w:val="24"/>
          <w:szCs w:val="24"/>
        </w:rPr>
        <w:t xml:space="preserve">before proceeding with pilot testing. </w:t>
      </w:r>
    </w:p>
    <w:p w:rsidRPr="007B1F11" w:rsidR="00231CE6" w:rsidP="003A074E" w:rsidRDefault="00231CE6" w14:paraId="19635D5E" w14:textId="77777777">
      <w:pPr>
        <w:pStyle w:val="ListParagraph"/>
        <w:tabs>
          <w:tab w:val="left" w:pos="360"/>
        </w:tabs>
        <w:rPr>
          <w:sz w:val="24"/>
          <w:szCs w:val="24"/>
        </w:rPr>
      </w:pPr>
    </w:p>
    <w:p w:rsidRPr="000B2C52" w:rsidR="00AE7388" w:rsidP="00742241" w:rsidRDefault="00AE7388" w14:paraId="087EBFF0" w14:textId="648828FD">
      <w:pPr>
        <w:pStyle w:val="ListParagraph"/>
        <w:numPr>
          <w:ilvl w:val="0"/>
          <w:numId w:val="4"/>
        </w:numPr>
        <w:tabs>
          <w:tab w:val="left" w:pos="360"/>
        </w:tabs>
        <w:rPr>
          <w:sz w:val="24"/>
          <w:szCs w:val="24"/>
        </w:rPr>
      </w:pPr>
      <w:r w:rsidRPr="002A7919">
        <w:rPr>
          <w:b/>
          <w:sz w:val="24"/>
          <w:szCs w:val="24"/>
        </w:rPr>
        <w:t>Conduct pilot test data collection</w:t>
      </w:r>
      <w:r w:rsidRPr="000B2C52">
        <w:rPr>
          <w:b/>
          <w:sz w:val="24"/>
          <w:szCs w:val="24"/>
        </w:rPr>
        <w:t>.</w:t>
      </w:r>
      <w:r w:rsidRPr="000B2C52">
        <w:rPr>
          <w:sz w:val="24"/>
          <w:szCs w:val="24"/>
        </w:rPr>
        <w:t xml:space="preserve"> A pilot test will be done in </w:t>
      </w:r>
      <w:r w:rsidR="005E72B9">
        <w:rPr>
          <w:sz w:val="24"/>
          <w:szCs w:val="24"/>
        </w:rPr>
        <w:t xml:space="preserve">up to </w:t>
      </w:r>
      <w:r w:rsidR="00200606">
        <w:rPr>
          <w:sz w:val="24"/>
          <w:szCs w:val="24"/>
        </w:rPr>
        <w:t>75</w:t>
      </w:r>
      <w:r w:rsidRPr="000B2C52">
        <w:rPr>
          <w:sz w:val="24"/>
          <w:szCs w:val="24"/>
        </w:rPr>
        <w:t xml:space="preserve"> </w:t>
      </w:r>
      <w:r w:rsidRPr="000B2C52" w:rsidR="000B2C52">
        <w:rPr>
          <w:sz w:val="24"/>
          <w:szCs w:val="24"/>
        </w:rPr>
        <w:t>nursing homes</w:t>
      </w:r>
      <w:r w:rsidRPr="000B2C52">
        <w:rPr>
          <w:sz w:val="24"/>
          <w:szCs w:val="24"/>
        </w:rPr>
        <w:t>, and based on an analysis of results, we will determine which survey items to retain and refine the questionnaire accordingly.</w:t>
      </w:r>
      <w:r w:rsidR="000B2C52">
        <w:rPr>
          <w:sz w:val="24"/>
          <w:szCs w:val="24"/>
        </w:rPr>
        <w:t xml:space="preserve">  </w:t>
      </w:r>
    </w:p>
    <w:p w:rsidRPr="00C31121" w:rsidR="00AE7388" w:rsidP="00C31121" w:rsidRDefault="00AE7388" w14:paraId="08F216F9" w14:textId="77777777">
      <w:pPr>
        <w:pStyle w:val="ListParagraph"/>
        <w:tabs>
          <w:tab w:val="left" w:pos="360"/>
        </w:tabs>
      </w:pPr>
    </w:p>
    <w:p w:rsidRPr="007B1F11" w:rsidR="0033093A" w:rsidP="00C31121" w:rsidRDefault="00417C3B" w14:paraId="3E34AC6C" w14:textId="2394680A">
      <w:pPr>
        <w:pStyle w:val="ListParagraph"/>
        <w:tabs>
          <w:tab w:val="left" w:pos="360"/>
        </w:tabs>
      </w:pPr>
      <w:r w:rsidRPr="007B1F11">
        <w:rPr>
          <w:sz w:val="24"/>
          <w:szCs w:val="24"/>
        </w:rPr>
        <w:t xml:space="preserve">We </w:t>
      </w:r>
      <w:r w:rsidRPr="007B1F11" w:rsidR="00CA2A15">
        <w:rPr>
          <w:sz w:val="24"/>
          <w:szCs w:val="24"/>
        </w:rPr>
        <w:t xml:space="preserve">will </w:t>
      </w:r>
      <w:r w:rsidRPr="007B1F11">
        <w:rPr>
          <w:sz w:val="24"/>
          <w:szCs w:val="24"/>
        </w:rPr>
        <w:t>plan</w:t>
      </w:r>
      <w:r w:rsidRPr="007B1F11" w:rsidR="00EE250E">
        <w:rPr>
          <w:sz w:val="24"/>
          <w:szCs w:val="24"/>
        </w:rPr>
        <w:t xml:space="preserve"> one data collection effort</w:t>
      </w:r>
      <w:r w:rsidRPr="007B1F11">
        <w:rPr>
          <w:sz w:val="24"/>
          <w:szCs w:val="24"/>
        </w:rPr>
        <w:t xml:space="preserve"> of the draft supplemental items aimed at assessing </w:t>
      </w:r>
      <w:r w:rsidRPr="007B1F11" w:rsidR="00EE250E">
        <w:rPr>
          <w:sz w:val="24"/>
          <w:szCs w:val="24"/>
        </w:rPr>
        <w:t>the psychometric properties of the items and composite</w:t>
      </w:r>
      <w:r w:rsidRPr="007B1F11" w:rsidR="00D14E72">
        <w:rPr>
          <w:sz w:val="24"/>
          <w:szCs w:val="24"/>
        </w:rPr>
        <w:t xml:space="preserve"> measure</w:t>
      </w:r>
      <w:r w:rsidRPr="007B1F11" w:rsidR="00EE250E">
        <w:rPr>
          <w:sz w:val="24"/>
          <w:szCs w:val="24"/>
        </w:rPr>
        <w:t xml:space="preserve">s. We will assess the </w:t>
      </w:r>
      <w:r w:rsidR="003B5495">
        <w:rPr>
          <w:sz w:val="24"/>
          <w:szCs w:val="24"/>
        </w:rPr>
        <w:t xml:space="preserve">non-response, </w:t>
      </w:r>
      <w:r w:rsidRPr="007B1F11" w:rsidR="00EE250E">
        <w:rPr>
          <w:sz w:val="24"/>
          <w:szCs w:val="24"/>
        </w:rPr>
        <w:t xml:space="preserve">variability, reliability, factor </w:t>
      </w:r>
      <w:r w:rsidRPr="00CF15FB" w:rsidR="00EE250E">
        <w:rPr>
          <w:sz w:val="24"/>
          <w:szCs w:val="24"/>
        </w:rPr>
        <w:t>structure and construct validity of the draft supplemental items and composite</w:t>
      </w:r>
      <w:r w:rsidRPr="00CF15FB" w:rsidR="00D14E72">
        <w:rPr>
          <w:sz w:val="24"/>
          <w:szCs w:val="24"/>
        </w:rPr>
        <w:t xml:space="preserve"> measure</w:t>
      </w:r>
      <w:r w:rsidRPr="00CF15FB" w:rsidR="00EE250E">
        <w:rPr>
          <w:sz w:val="24"/>
          <w:szCs w:val="24"/>
        </w:rPr>
        <w:t>s, allowing for their further refinement (see Part A, Section 16 for analysis plan description). The draft supplemental items</w:t>
      </w:r>
      <w:r w:rsidRPr="00CF15FB" w:rsidR="00DD22DF">
        <w:rPr>
          <w:sz w:val="24"/>
          <w:szCs w:val="24"/>
        </w:rPr>
        <w:t xml:space="preserve"> (see Attachment A) </w:t>
      </w:r>
      <w:r w:rsidRPr="00CF15FB" w:rsidR="00384DB7">
        <w:rPr>
          <w:sz w:val="24"/>
          <w:szCs w:val="24"/>
        </w:rPr>
        <w:t xml:space="preserve">will be added to </w:t>
      </w:r>
      <w:r w:rsidRPr="00CF15FB" w:rsidR="00192600">
        <w:rPr>
          <w:sz w:val="24"/>
          <w:szCs w:val="24"/>
        </w:rPr>
        <w:t xml:space="preserve">the </w:t>
      </w:r>
      <w:hyperlink w:history="1" r:id="rId10">
        <w:r w:rsidRPr="00CF15FB" w:rsidR="000B2C52">
          <w:rPr>
            <w:rStyle w:val="Hyperlink"/>
            <w:sz w:val="24"/>
            <w:szCs w:val="24"/>
          </w:rPr>
          <w:t>SOPS Nursing Home Survey</w:t>
        </w:r>
      </w:hyperlink>
      <w:r w:rsidRPr="00CF15FB" w:rsidR="000B2C52">
        <w:rPr>
          <w:sz w:val="24"/>
          <w:szCs w:val="24"/>
        </w:rPr>
        <w:t xml:space="preserve"> </w:t>
      </w:r>
      <w:r w:rsidRPr="00CF15FB" w:rsidR="00384DB7">
        <w:rPr>
          <w:sz w:val="24"/>
          <w:szCs w:val="24"/>
        </w:rPr>
        <w:t>and</w:t>
      </w:r>
      <w:r w:rsidRPr="00CF15FB" w:rsidR="00EE250E">
        <w:rPr>
          <w:sz w:val="24"/>
          <w:szCs w:val="24"/>
        </w:rPr>
        <w:t xml:space="preserve"> be</w:t>
      </w:r>
      <w:r w:rsidRPr="00CF15FB" w:rsidR="0033093A">
        <w:rPr>
          <w:sz w:val="24"/>
          <w:szCs w:val="24"/>
        </w:rPr>
        <w:t xml:space="preserve"> administered</w:t>
      </w:r>
      <w:r w:rsidRPr="007B1F11" w:rsidR="0033093A">
        <w:rPr>
          <w:sz w:val="24"/>
          <w:szCs w:val="24"/>
        </w:rPr>
        <w:t xml:space="preserve"> to approximately </w:t>
      </w:r>
      <w:r w:rsidR="00D62B9C">
        <w:rPr>
          <w:sz w:val="24"/>
          <w:szCs w:val="24"/>
        </w:rPr>
        <w:t>7,015</w:t>
      </w:r>
      <w:r w:rsidR="00582739">
        <w:rPr>
          <w:sz w:val="24"/>
          <w:szCs w:val="24"/>
        </w:rPr>
        <w:t xml:space="preserve"> </w:t>
      </w:r>
      <w:r w:rsidRPr="00582739" w:rsidR="00F46977">
        <w:rPr>
          <w:sz w:val="24"/>
          <w:szCs w:val="24"/>
        </w:rPr>
        <w:t xml:space="preserve">clinicians and staff from </w:t>
      </w:r>
      <w:r w:rsidRPr="00582739" w:rsidR="00FA1D52">
        <w:rPr>
          <w:sz w:val="24"/>
          <w:szCs w:val="24"/>
        </w:rPr>
        <w:t>75</w:t>
      </w:r>
      <w:r w:rsidRPr="00582739" w:rsidR="00F46977">
        <w:rPr>
          <w:sz w:val="24"/>
          <w:szCs w:val="24"/>
        </w:rPr>
        <w:t xml:space="preserve"> </w:t>
      </w:r>
      <w:r w:rsidRPr="00582739" w:rsidR="00483332">
        <w:rPr>
          <w:sz w:val="24"/>
          <w:szCs w:val="24"/>
        </w:rPr>
        <w:t>nursing homes</w:t>
      </w:r>
      <w:r w:rsidRPr="007B1F11" w:rsidR="00EE250E">
        <w:rPr>
          <w:sz w:val="24"/>
          <w:szCs w:val="24"/>
        </w:rPr>
        <w:t xml:space="preserve"> to facilitate analysis of the data. </w:t>
      </w:r>
      <w:r w:rsidRPr="007B1F11" w:rsidR="00B36385">
        <w:rPr>
          <w:sz w:val="24"/>
          <w:szCs w:val="24"/>
        </w:rPr>
        <w:t xml:space="preserve">A </w:t>
      </w:r>
      <w:r w:rsidR="00483332">
        <w:rPr>
          <w:sz w:val="24"/>
          <w:szCs w:val="24"/>
        </w:rPr>
        <w:t>nursing home</w:t>
      </w:r>
      <w:r w:rsidRPr="007B1F11" w:rsidR="00B36385">
        <w:rPr>
          <w:sz w:val="24"/>
          <w:szCs w:val="24"/>
        </w:rPr>
        <w:t xml:space="preserve"> point of contact (POC) will be recruited to publicize the pilot test of the supplemental items and assemble a list o</w:t>
      </w:r>
      <w:r w:rsidRPr="007B1F11" w:rsidR="00F46977">
        <w:rPr>
          <w:sz w:val="24"/>
          <w:szCs w:val="24"/>
        </w:rPr>
        <w:t xml:space="preserve">f sample clinicians and staff. </w:t>
      </w:r>
      <w:r w:rsidR="00380A64">
        <w:rPr>
          <w:sz w:val="24"/>
          <w:szCs w:val="24"/>
        </w:rPr>
        <w:t xml:space="preserve">We will recruit 75 nursing home points of </w:t>
      </w:r>
      <w:r w:rsidRPr="00CF15FB" w:rsidR="00380A64">
        <w:rPr>
          <w:sz w:val="24"/>
          <w:szCs w:val="24"/>
        </w:rPr>
        <w:t>contact (POC) or one per nursing home to publicize the pilot test of the nursing home supplemental item set.</w:t>
      </w:r>
      <w:r w:rsidRPr="00CF15FB" w:rsidR="00B36385">
        <w:rPr>
          <w:sz w:val="24"/>
          <w:szCs w:val="24"/>
        </w:rPr>
        <w:t xml:space="preserve"> </w:t>
      </w:r>
      <w:r w:rsidRPr="00CF15FB" w:rsidR="00EE250E">
        <w:rPr>
          <w:sz w:val="24"/>
          <w:szCs w:val="24"/>
        </w:rPr>
        <w:t xml:space="preserve">Instructions for the POCs are included in Attachment </w:t>
      </w:r>
      <w:r w:rsidRPr="00CF15FB" w:rsidR="003A5EFA">
        <w:rPr>
          <w:sz w:val="24"/>
          <w:szCs w:val="24"/>
        </w:rPr>
        <w:t>C</w:t>
      </w:r>
      <w:r w:rsidRPr="00CF15FB" w:rsidR="00EE250E">
        <w:rPr>
          <w:sz w:val="24"/>
          <w:szCs w:val="24"/>
        </w:rPr>
        <w:t>, and Exhibit 2 includes a burden estimate for the POCs’ time in assisting with the pilot test</w:t>
      </w:r>
      <w:r w:rsidRPr="00CF15FB" w:rsidR="009814A6">
        <w:rPr>
          <w:sz w:val="24"/>
          <w:szCs w:val="24"/>
        </w:rPr>
        <w:t>. The supplemental</w:t>
      </w:r>
      <w:r w:rsidRPr="00A86128" w:rsidR="009814A6">
        <w:rPr>
          <w:sz w:val="24"/>
          <w:szCs w:val="24"/>
        </w:rPr>
        <w:t xml:space="preserve"> item set will be administered via web</w:t>
      </w:r>
      <w:r w:rsidR="00384DB7">
        <w:rPr>
          <w:sz w:val="24"/>
          <w:szCs w:val="24"/>
        </w:rPr>
        <w:t xml:space="preserve"> </w:t>
      </w:r>
      <w:r w:rsidR="00582739">
        <w:rPr>
          <w:sz w:val="24"/>
          <w:szCs w:val="24"/>
        </w:rPr>
        <w:t>or</w:t>
      </w:r>
      <w:r w:rsidR="00483332">
        <w:rPr>
          <w:sz w:val="24"/>
          <w:szCs w:val="24"/>
        </w:rPr>
        <w:t xml:space="preserve"> paper </w:t>
      </w:r>
      <w:r w:rsidR="00384DB7">
        <w:rPr>
          <w:sz w:val="24"/>
          <w:szCs w:val="24"/>
        </w:rPr>
        <w:t>survey</w:t>
      </w:r>
      <w:r w:rsidRPr="00A86128" w:rsidR="004411E8">
        <w:rPr>
          <w:sz w:val="24"/>
          <w:szCs w:val="24"/>
        </w:rPr>
        <w:t xml:space="preserve">. </w:t>
      </w:r>
      <w:r w:rsidRPr="00CF15FB" w:rsidR="006A2893">
        <w:rPr>
          <w:sz w:val="24"/>
          <w:szCs w:val="24"/>
        </w:rPr>
        <w:t>Clinicians and staff will receive notification of the supplemental item set and reminders via email for a web survey and by hard copy for a paper survey</w:t>
      </w:r>
      <w:r w:rsidRPr="00CF15FB" w:rsidR="00627BFD">
        <w:rPr>
          <w:sz w:val="24"/>
          <w:szCs w:val="24"/>
        </w:rPr>
        <w:t>.</w:t>
      </w:r>
      <w:r w:rsidRPr="00CF15FB" w:rsidR="006A2893">
        <w:rPr>
          <w:sz w:val="24"/>
          <w:szCs w:val="24"/>
        </w:rPr>
        <w:t xml:space="preserve"> </w:t>
      </w:r>
      <w:r w:rsidRPr="00CF15FB" w:rsidR="00EE250E">
        <w:rPr>
          <w:sz w:val="24"/>
          <w:szCs w:val="24"/>
        </w:rPr>
        <w:t xml:space="preserve">The draft pilot test notification and </w:t>
      </w:r>
      <w:r w:rsidRPr="00CF15FB" w:rsidR="00741423">
        <w:rPr>
          <w:sz w:val="24"/>
          <w:szCs w:val="24"/>
        </w:rPr>
        <w:t xml:space="preserve">the weekly </w:t>
      </w:r>
      <w:r w:rsidRPr="00CF15FB" w:rsidR="00EE250E">
        <w:rPr>
          <w:sz w:val="24"/>
          <w:szCs w:val="24"/>
        </w:rPr>
        <w:t xml:space="preserve">follow-up reminder notice are included in Attachment </w:t>
      </w:r>
      <w:r w:rsidRPr="00CF15FB" w:rsidR="003A5EFA">
        <w:rPr>
          <w:sz w:val="24"/>
          <w:szCs w:val="24"/>
        </w:rPr>
        <w:t>D</w:t>
      </w:r>
      <w:r w:rsidRPr="00CF15FB" w:rsidR="00EE250E">
        <w:rPr>
          <w:sz w:val="24"/>
          <w:szCs w:val="24"/>
        </w:rPr>
        <w:t>.</w:t>
      </w:r>
    </w:p>
    <w:p w:rsidRPr="00FA7DB0" w:rsidR="00231CE6" w:rsidP="003A074E" w:rsidRDefault="00231CE6" w14:paraId="667B2836" w14:textId="77777777">
      <w:pPr>
        <w:tabs>
          <w:tab w:val="left" w:pos="360"/>
        </w:tabs>
        <w:ind w:left="360"/>
        <w:rPr>
          <w:sz w:val="24"/>
          <w:szCs w:val="24"/>
          <w:highlight w:val="yellow"/>
        </w:rPr>
      </w:pPr>
    </w:p>
    <w:p w:rsidRPr="000C2EC1" w:rsidR="00231CE6" w:rsidP="000C2EC1" w:rsidRDefault="000C2EC1" w14:paraId="2A2BFF24" w14:textId="1953ACC7">
      <w:pPr>
        <w:pStyle w:val="ListParagraph"/>
        <w:numPr>
          <w:ilvl w:val="0"/>
          <w:numId w:val="4"/>
        </w:numPr>
        <w:tabs>
          <w:tab w:val="left" w:pos="360"/>
        </w:tabs>
        <w:rPr>
          <w:sz w:val="24"/>
          <w:szCs w:val="24"/>
        </w:rPr>
      </w:pPr>
      <w:r w:rsidRPr="000C2EC1">
        <w:rPr>
          <w:b/>
          <w:sz w:val="24"/>
          <w:szCs w:val="24"/>
        </w:rPr>
        <w:t>Obtain Technical Expert Panel (TEP) and Subject Matter Expert (SME) feedback.</w:t>
      </w:r>
      <w:r w:rsidRPr="000C2EC1">
        <w:rPr>
          <w:sz w:val="24"/>
          <w:szCs w:val="24"/>
        </w:rPr>
        <w:t xml:space="preserve"> The existing SOPS Technical Expert Panel (TEP) and additional subject matter experts </w:t>
      </w:r>
      <w:r w:rsidR="004C4EF9">
        <w:rPr>
          <w:sz w:val="24"/>
          <w:szCs w:val="24"/>
        </w:rPr>
        <w:t xml:space="preserve">(SMEs) </w:t>
      </w:r>
      <w:r w:rsidRPr="000C2EC1">
        <w:rPr>
          <w:sz w:val="24"/>
          <w:szCs w:val="24"/>
        </w:rPr>
        <w:t xml:space="preserve">in </w:t>
      </w:r>
      <w:r w:rsidR="00B74B86">
        <w:rPr>
          <w:sz w:val="24"/>
          <w:szCs w:val="24"/>
        </w:rPr>
        <w:t>workplace</w:t>
      </w:r>
      <w:r w:rsidRPr="000C2EC1">
        <w:rPr>
          <w:sz w:val="24"/>
          <w:szCs w:val="24"/>
        </w:rPr>
        <w:t xml:space="preserve"> safety will provide input to guide the development of the </w:t>
      </w:r>
      <w:r w:rsidR="00B74B86">
        <w:rPr>
          <w:sz w:val="24"/>
          <w:szCs w:val="24"/>
        </w:rPr>
        <w:t>workplace</w:t>
      </w:r>
      <w:r w:rsidRPr="000C2EC1">
        <w:rPr>
          <w:sz w:val="24"/>
          <w:szCs w:val="24"/>
        </w:rPr>
        <w:t xml:space="preserve"> safety supplemental item set. The TEP and SMEs will be engaged to provide feedback on survey drafts, </w:t>
      </w:r>
      <w:r>
        <w:rPr>
          <w:sz w:val="24"/>
          <w:szCs w:val="24"/>
        </w:rPr>
        <w:t>and u</w:t>
      </w:r>
      <w:r w:rsidRPr="000C2EC1" w:rsidR="00EE250E">
        <w:rPr>
          <w:sz w:val="24"/>
          <w:szCs w:val="24"/>
        </w:rPr>
        <w:t>pon completion of the pilo</w:t>
      </w:r>
      <w:r w:rsidRPr="00CF15FB" w:rsidR="00EE250E">
        <w:rPr>
          <w:sz w:val="24"/>
          <w:szCs w:val="24"/>
        </w:rPr>
        <w:t xml:space="preserve">t test, </w:t>
      </w:r>
      <w:r w:rsidRPr="00CF15FB">
        <w:rPr>
          <w:sz w:val="24"/>
          <w:szCs w:val="24"/>
        </w:rPr>
        <w:t>to</w:t>
      </w:r>
      <w:r w:rsidRPr="00CF15FB" w:rsidR="00EE250E">
        <w:rPr>
          <w:sz w:val="24"/>
          <w:szCs w:val="24"/>
        </w:rPr>
        <w:t xml:space="preserve"> revi</w:t>
      </w:r>
      <w:r w:rsidRPr="00CF15FB" w:rsidR="004D1530">
        <w:rPr>
          <w:sz w:val="24"/>
          <w:szCs w:val="24"/>
        </w:rPr>
        <w:t>ew</w:t>
      </w:r>
      <w:r w:rsidRPr="00CF15FB">
        <w:rPr>
          <w:sz w:val="24"/>
          <w:szCs w:val="24"/>
        </w:rPr>
        <w:t xml:space="preserve"> result</w:t>
      </w:r>
      <w:r w:rsidRPr="00CF15FB" w:rsidR="008E554C">
        <w:rPr>
          <w:sz w:val="24"/>
          <w:szCs w:val="24"/>
        </w:rPr>
        <w:t>s</w:t>
      </w:r>
      <w:r w:rsidRPr="00CF15FB">
        <w:rPr>
          <w:sz w:val="24"/>
          <w:szCs w:val="24"/>
        </w:rPr>
        <w:t xml:space="preserve"> from the pilot test</w:t>
      </w:r>
      <w:r w:rsidRPr="00CF15FB" w:rsidR="00163989">
        <w:rPr>
          <w:sz w:val="24"/>
          <w:szCs w:val="24"/>
        </w:rPr>
        <w:t xml:space="preserve"> </w:t>
      </w:r>
      <w:r w:rsidRPr="00CF15FB" w:rsidR="001A68AF">
        <w:rPr>
          <w:sz w:val="24"/>
          <w:szCs w:val="24"/>
        </w:rPr>
        <w:lastRenderedPageBreak/>
        <w:t xml:space="preserve">and </w:t>
      </w:r>
      <w:r w:rsidRPr="00CF15FB" w:rsidR="00520106">
        <w:rPr>
          <w:sz w:val="24"/>
          <w:szCs w:val="24"/>
        </w:rPr>
        <w:t xml:space="preserve">finalize </w:t>
      </w:r>
      <w:r w:rsidRPr="00CF15FB" w:rsidR="004D1530">
        <w:rPr>
          <w:sz w:val="24"/>
          <w:szCs w:val="24"/>
        </w:rPr>
        <w:t>the supplemental items</w:t>
      </w:r>
      <w:r w:rsidRPr="00CF15FB" w:rsidR="00EE250E">
        <w:rPr>
          <w:sz w:val="24"/>
          <w:szCs w:val="24"/>
        </w:rPr>
        <w:t>. The TEP</w:t>
      </w:r>
      <w:r w:rsidRPr="00CF15FB" w:rsidR="008E554C">
        <w:rPr>
          <w:sz w:val="24"/>
          <w:szCs w:val="24"/>
        </w:rPr>
        <w:t xml:space="preserve"> and SMEs</w:t>
      </w:r>
      <w:r w:rsidRPr="00CF15FB" w:rsidR="00EE250E">
        <w:rPr>
          <w:sz w:val="24"/>
          <w:szCs w:val="24"/>
        </w:rPr>
        <w:t xml:space="preserve"> </w:t>
      </w:r>
      <w:r w:rsidRPr="00CF15FB">
        <w:rPr>
          <w:sz w:val="24"/>
          <w:szCs w:val="24"/>
        </w:rPr>
        <w:t>are</w:t>
      </w:r>
      <w:r w:rsidRPr="00CF15FB" w:rsidR="00EE250E">
        <w:rPr>
          <w:sz w:val="24"/>
          <w:szCs w:val="24"/>
        </w:rPr>
        <w:t xml:space="preserve"> discussed in more</w:t>
      </w:r>
      <w:r w:rsidRPr="00CF15FB" w:rsidR="008E554C">
        <w:rPr>
          <w:sz w:val="24"/>
          <w:szCs w:val="24"/>
        </w:rPr>
        <w:t xml:space="preserve"> detail in </w:t>
      </w:r>
      <w:r w:rsidR="00CF15FB">
        <w:rPr>
          <w:sz w:val="24"/>
          <w:szCs w:val="24"/>
        </w:rPr>
        <w:t>Section 8</w:t>
      </w:r>
      <w:r w:rsidRPr="00CF15FB" w:rsidR="008E554C">
        <w:rPr>
          <w:sz w:val="24"/>
          <w:szCs w:val="24"/>
        </w:rPr>
        <w:t xml:space="preserve">. This </w:t>
      </w:r>
      <w:r w:rsidRPr="00CF15FB" w:rsidR="00EE250E">
        <w:rPr>
          <w:sz w:val="24"/>
          <w:szCs w:val="24"/>
        </w:rPr>
        <w:t>activity does not impose a burden on the public and is therefore not included in the burden estimates in Section 12.</w:t>
      </w:r>
    </w:p>
    <w:p w:rsidRPr="00FA7DB0" w:rsidR="00231CE6" w:rsidP="003A074E" w:rsidRDefault="00231CE6" w14:paraId="56AB5648" w14:textId="77777777">
      <w:pPr>
        <w:pStyle w:val="ListParagraph"/>
        <w:rPr>
          <w:b/>
          <w:sz w:val="24"/>
          <w:szCs w:val="24"/>
          <w:highlight w:val="yellow"/>
        </w:rPr>
      </w:pPr>
    </w:p>
    <w:p w:rsidRPr="00CF15FB" w:rsidR="00EE250E" w:rsidP="000C2EC1" w:rsidRDefault="000C2EC1" w14:paraId="52BDB263" w14:textId="51A0FB5A">
      <w:pPr>
        <w:pStyle w:val="ListParagraph"/>
        <w:numPr>
          <w:ilvl w:val="0"/>
          <w:numId w:val="4"/>
        </w:numPr>
        <w:tabs>
          <w:tab w:val="left" w:pos="360"/>
        </w:tabs>
        <w:rPr>
          <w:sz w:val="24"/>
          <w:szCs w:val="24"/>
        </w:rPr>
      </w:pPr>
      <w:r w:rsidRPr="00AC44BE">
        <w:rPr>
          <w:b/>
          <w:sz w:val="24"/>
          <w:szCs w:val="24"/>
        </w:rPr>
        <w:t>Disseminate the Survey Items.</w:t>
      </w:r>
      <w:r>
        <w:rPr>
          <w:sz w:val="24"/>
          <w:szCs w:val="24"/>
        </w:rPr>
        <w:t xml:space="preserve"> </w:t>
      </w:r>
      <w:r w:rsidRPr="00F26A4B" w:rsidR="00EE250E">
        <w:rPr>
          <w:sz w:val="24"/>
          <w:szCs w:val="24"/>
        </w:rPr>
        <w:t xml:space="preserve">The final supplemental items will be made publicly available through the AHRQ </w:t>
      </w:r>
      <w:r w:rsidRPr="00F26A4B" w:rsidR="004D1530">
        <w:rPr>
          <w:sz w:val="24"/>
          <w:szCs w:val="24"/>
        </w:rPr>
        <w:t>w</w:t>
      </w:r>
      <w:r w:rsidRPr="00F26A4B" w:rsidR="00360F34">
        <w:rPr>
          <w:sz w:val="24"/>
          <w:szCs w:val="24"/>
        </w:rPr>
        <w:t>eb</w:t>
      </w:r>
      <w:r w:rsidRPr="00F26A4B" w:rsidR="00EE250E">
        <w:rPr>
          <w:sz w:val="24"/>
          <w:szCs w:val="24"/>
        </w:rPr>
        <w:t>site</w:t>
      </w:r>
      <w:r>
        <w:rPr>
          <w:sz w:val="24"/>
          <w:szCs w:val="24"/>
        </w:rPr>
        <w:t xml:space="preserve"> and we will conduct promotion and dissemination activities to encourage adoption and uptake by healthcare organizations. </w:t>
      </w:r>
      <w:r w:rsidRPr="00F26A4B" w:rsidR="00EE250E">
        <w:rPr>
          <w:sz w:val="24"/>
          <w:szCs w:val="24"/>
        </w:rPr>
        <w:t xml:space="preserve">This dissemination activity does not impose a </w:t>
      </w:r>
      <w:r w:rsidRPr="00CF15FB" w:rsidR="00EE250E">
        <w:rPr>
          <w:sz w:val="24"/>
          <w:szCs w:val="24"/>
        </w:rPr>
        <w:t xml:space="preserve">burden on the public and is therefore not included in the burden estimates in </w:t>
      </w:r>
      <w:r w:rsidRPr="00D438AD" w:rsidR="00EE250E">
        <w:rPr>
          <w:sz w:val="24"/>
          <w:szCs w:val="24"/>
        </w:rPr>
        <w:t>Section 12.</w:t>
      </w:r>
    </w:p>
    <w:p w:rsidRPr="00FA7DB0" w:rsidR="00A92522" w:rsidP="00A92522" w:rsidRDefault="00A92522" w14:paraId="4945B4F7" w14:textId="2DACE9D3">
      <w:pPr>
        <w:tabs>
          <w:tab w:val="left" w:pos="360"/>
        </w:tabs>
        <w:rPr>
          <w:sz w:val="24"/>
          <w:szCs w:val="24"/>
          <w:highlight w:val="yellow"/>
        </w:rPr>
      </w:pPr>
    </w:p>
    <w:p w:rsidRPr="00F26A4B" w:rsidR="00EE250E" w:rsidP="00F3649A" w:rsidRDefault="00EE250E" w14:paraId="7A1903E0" w14:textId="1C162C28">
      <w:pPr>
        <w:rPr>
          <w:sz w:val="24"/>
          <w:szCs w:val="24"/>
        </w:rPr>
      </w:pPr>
      <w:r w:rsidRPr="00F26A4B">
        <w:rPr>
          <w:sz w:val="24"/>
          <w:szCs w:val="24"/>
        </w:rPr>
        <w:t xml:space="preserve">This work is being conducted by AHRQ through its contractor, Westat, pursuant to AHRQ’s statutory authority to conduct and support research on healthcare and on systems for the delivery of such care, including activities with respect to the quality, effectiveness, efficiency, </w:t>
      </w:r>
      <w:proofErr w:type="gramStart"/>
      <w:r w:rsidRPr="00F26A4B">
        <w:rPr>
          <w:sz w:val="24"/>
          <w:szCs w:val="24"/>
        </w:rPr>
        <w:t>appropriateness</w:t>
      </w:r>
      <w:proofErr w:type="gramEnd"/>
      <w:r w:rsidRPr="00F26A4B">
        <w:rPr>
          <w:sz w:val="24"/>
          <w:szCs w:val="24"/>
        </w:rPr>
        <w:t xml:space="preserve"> and value of healthcare services and with respect to quality measurement and improvement. 42 U.S.C. 299a(a)(1) and (2).</w:t>
      </w:r>
    </w:p>
    <w:p w:rsidRPr="00FA7DB0" w:rsidR="0057087C" w:rsidP="003A074E" w:rsidRDefault="0057087C" w14:paraId="69FA8D08" w14:textId="18AA3200">
      <w:pPr>
        <w:pStyle w:val="Heading2"/>
        <w:spacing w:before="240" w:after="60"/>
        <w:rPr>
          <w:rFonts w:ascii="Arial" w:hAnsi="Arial" w:cs="Arial"/>
          <w:i/>
          <w:color w:val="auto"/>
          <w:sz w:val="24"/>
          <w:szCs w:val="24"/>
        </w:rPr>
      </w:pPr>
      <w:bookmarkStart w:name="_Toc92374289" w:id="5"/>
      <w:r w:rsidRPr="00FA7DB0">
        <w:rPr>
          <w:rFonts w:ascii="Arial" w:hAnsi="Arial" w:cs="Arial"/>
          <w:i/>
          <w:color w:val="auto"/>
          <w:sz w:val="24"/>
          <w:szCs w:val="24"/>
        </w:rPr>
        <w:t xml:space="preserve">2.  Purpose </w:t>
      </w:r>
      <w:r w:rsidRPr="009E481E" w:rsidR="009E481E">
        <w:rPr>
          <w:rFonts w:ascii="Arial" w:hAnsi="Arial" w:cs="Arial"/>
          <w:i/>
          <w:color w:val="auto"/>
          <w:sz w:val="24"/>
          <w:szCs w:val="24"/>
        </w:rPr>
        <w:t xml:space="preserve">and </w:t>
      </w:r>
      <w:r w:rsidR="009E481E">
        <w:rPr>
          <w:rFonts w:ascii="Arial" w:hAnsi="Arial" w:cs="Arial"/>
          <w:i/>
          <w:color w:val="auto"/>
          <w:sz w:val="24"/>
          <w:szCs w:val="24"/>
        </w:rPr>
        <w:t>U</w:t>
      </w:r>
      <w:r w:rsidRPr="009E481E" w:rsidR="009E481E">
        <w:rPr>
          <w:rFonts w:ascii="Arial" w:hAnsi="Arial" w:cs="Arial"/>
          <w:i/>
          <w:color w:val="auto"/>
          <w:sz w:val="24"/>
          <w:szCs w:val="24"/>
        </w:rPr>
        <w:t xml:space="preserve">se of </w:t>
      </w:r>
      <w:r w:rsidR="009E481E">
        <w:rPr>
          <w:rFonts w:ascii="Arial" w:hAnsi="Arial" w:cs="Arial"/>
          <w:i/>
          <w:color w:val="auto"/>
          <w:sz w:val="24"/>
          <w:szCs w:val="24"/>
        </w:rPr>
        <w:t>I</w:t>
      </w:r>
      <w:r w:rsidRPr="009E481E" w:rsidR="009E481E">
        <w:rPr>
          <w:rFonts w:ascii="Arial" w:hAnsi="Arial" w:cs="Arial"/>
          <w:i/>
          <w:color w:val="auto"/>
          <w:sz w:val="24"/>
          <w:szCs w:val="24"/>
        </w:rPr>
        <w:t>nformation</w:t>
      </w:r>
      <w:bookmarkEnd w:id="5"/>
      <w:r w:rsidRPr="009E481E" w:rsidR="009E481E">
        <w:rPr>
          <w:rFonts w:ascii="Arial" w:hAnsi="Arial" w:cs="Arial"/>
          <w:i/>
          <w:color w:val="auto"/>
          <w:sz w:val="24"/>
          <w:szCs w:val="24"/>
        </w:rPr>
        <w:t xml:space="preserve"> </w:t>
      </w:r>
    </w:p>
    <w:p w:rsidRPr="00FA7DB0" w:rsidR="00483BEA" w:rsidP="003A074E" w:rsidRDefault="0063784E" w14:paraId="6A3BC94F" w14:textId="0FF1657E">
      <w:pPr>
        <w:rPr>
          <w:sz w:val="24"/>
          <w:szCs w:val="24"/>
          <w:highlight w:val="yellow"/>
        </w:rPr>
      </w:pPr>
      <w:r w:rsidRPr="00F26A4B">
        <w:rPr>
          <w:sz w:val="24"/>
          <w:szCs w:val="24"/>
        </w:rPr>
        <w:t xml:space="preserve">The </w:t>
      </w:r>
      <w:r w:rsidRPr="00F26A4B" w:rsidR="006A2E72">
        <w:rPr>
          <w:sz w:val="24"/>
          <w:szCs w:val="24"/>
        </w:rPr>
        <w:t xml:space="preserve">responses </w:t>
      </w:r>
      <w:r w:rsidRPr="00F26A4B">
        <w:rPr>
          <w:sz w:val="24"/>
          <w:szCs w:val="24"/>
        </w:rPr>
        <w:t xml:space="preserve">from the </w:t>
      </w:r>
      <w:r w:rsidRPr="00F26A4B" w:rsidR="006A2E72">
        <w:rPr>
          <w:sz w:val="24"/>
          <w:szCs w:val="24"/>
        </w:rPr>
        <w:t>cognitive testing of</w:t>
      </w:r>
      <w:r w:rsidRPr="00F26A4B">
        <w:rPr>
          <w:sz w:val="24"/>
          <w:szCs w:val="24"/>
        </w:rPr>
        <w:t xml:space="preserve"> the </w:t>
      </w:r>
      <w:r w:rsidRPr="00F26A4B" w:rsidR="009259D3">
        <w:rPr>
          <w:sz w:val="24"/>
          <w:szCs w:val="24"/>
        </w:rPr>
        <w:t xml:space="preserve">draft </w:t>
      </w:r>
      <w:r w:rsidR="00B74B86">
        <w:rPr>
          <w:sz w:val="24"/>
          <w:szCs w:val="24"/>
        </w:rPr>
        <w:t>workplace</w:t>
      </w:r>
      <w:r w:rsidRPr="00F26A4B" w:rsidR="00F26A4B">
        <w:rPr>
          <w:sz w:val="24"/>
          <w:szCs w:val="24"/>
        </w:rPr>
        <w:t xml:space="preserve"> </w:t>
      </w:r>
      <w:r w:rsidR="00843138">
        <w:rPr>
          <w:sz w:val="24"/>
          <w:szCs w:val="24"/>
        </w:rPr>
        <w:t>s</w:t>
      </w:r>
      <w:r w:rsidRPr="00F26A4B" w:rsidR="00F26A4B">
        <w:rPr>
          <w:sz w:val="24"/>
          <w:szCs w:val="24"/>
        </w:rPr>
        <w:t>afety</w:t>
      </w:r>
      <w:r w:rsidRPr="00F26A4B" w:rsidR="00121332">
        <w:rPr>
          <w:sz w:val="24"/>
          <w:szCs w:val="24"/>
        </w:rPr>
        <w:t xml:space="preserve"> </w:t>
      </w:r>
      <w:r w:rsidRPr="00F26A4B" w:rsidR="00180B53">
        <w:rPr>
          <w:sz w:val="24"/>
          <w:szCs w:val="24"/>
        </w:rPr>
        <w:t xml:space="preserve">supplemental items </w:t>
      </w:r>
      <w:r w:rsidRPr="00F26A4B">
        <w:rPr>
          <w:sz w:val="24"/>
          <w:szCs w:val="24"/>
        </w:rPr>
        <w:t>will be</w:t>
      </w:r>
      <w:r w:rsidRPr="00F26A4B" w:rsidR="0041280C">
        <w:rPr>
          <w:sz w:val="24"/>
          <w:szCs w:val="24"/>
        </w:rPr>
        <w:t xml:space="preserve"> used by project staff</w:t>
      </w:r>
      <w:r w:rsidRPr="00F26A4B" w:rsidR="00922442">
        <w:rPr>
          <w:sz w:val="24"/>
          <w:szCs w:val="24"/>
        </w:rPr>
        <w:t xml:space="preserve"> </w:t>
      </w:r>
      <w:r w:rsidRPr="00F26A4B" w:rsidR="00E332AA">
        <w:rPr>
          <w:sz w:val="24"/>
          <w:szCs w:val="24"/>
        </w:rPr>
        <w:t xml:space="preserve">to test and improve the items </w:t>
      </w:r>
      <w:r w:rsidRPr="00F26A4B" w:rsidR="009F5F4D">
        <w:rPr>
          <w:sz w:val="24"/>
          <w:szCs w:val="24"/>
        </w:rPr>
        <w:t>and composite</w:t>
      </w:r>
      <w:r w:rsidR="00D14E72">
        <w:rPr>
          <w:sz w:val="24"/>
          <w:szCs w:val="24"/>
        </w:rPr>
        <w:t xml:space="preserve"> measure</w:t>
      </w:r>
      <w:r w:rsidRPr="00F26A4B" w:rsidR="009F5F4D">
        <w:rPr>
          <w:sz w:val="24"/>
          <w:szCs w:val="24"/>
        </w:rPr>
        <w:t>s</w:t>
      </w:r>
      <w:r w:rsidRPr="00F26A4B" w:rsidR="00E332AA">
        <w:rPr>
          <w:sz w:val="24"/>
          <w:szCs w:val="24"/>
        </w:rPr>
        <w:t>.</w:t>
      </w:r>
      <w:r w:rsidRPr="00F26A4B" w:rsidR="00850363">
        <w:rPr>
          <w:sz w:val="24"/>
          <w:szCs w:val="24"/>
        </w:rPr>
        <w:t xml:space="preserve"> Following cognitive testing results, we will revise the survey for pilot testing.</w:t>
      </w:r>
      <w:r w:rsidRPr="00F26A4B" w:rsidR="00E332AA">
        <w:rPr>
          <w:sz w:val="24"/>
          <w:szCs w:val="24"/>
        </w:rPr>
        <w:t xml:space="preserve"> </w:t>
      </w:r>
      <w:r w:rsidRPr="00F26A4B" w:rsidR="00194C76">
        <w:rPr>
          <w:sz w:val="24"/>
          <w:szCs w:val="24"/>
        </w:rPr>
        <w:t>Further, t</w:t>
      </w:r>
      <w:r w:rsidRPr="00F26A4B" w:rsidR="00850363">
        <w:rPr>
          <w:sz w:val="24"/>
          <w:szCs w:val="24"/>
        </w:rPr>
        <w:t xml:space="preserve">he information collected in the pilot test data collection effort will be used to test and improve draft supplemental items. </w:t>
      </w:r>
      <w:r w:rsidRPr="00F26A4B" w:rsidR="00E332AA">
        <w:rPr>
          <w:sz w:val="24"/>
          <w:szCs w:val="24"/>
        </w:rPr>
        <w:t xml:space="preserve">Psychometric analysis will be conducted on the </w:t>
      </w:r>
      <w:r w:rsidRPr="00F26A4B" w:rsidR="00180B53">
        <w:rPr>
          <w:sz w:val="24"/>
          <w:szCs w:val="24"/>
        </w:rPr>
        <w:t xml:space="preserve">supplemental items </w:t>
      </w:r>
      <w:r w:rsidRPr="00F26A4B" w:rsidR="00E332AA">
        <w:rPr>
          <w:sz w:val="24"/>
          <w:szCs w:val="24"/>
        </w:rPr>
        <w:t xml:space="preserve">data to examine item nonresponse, item response variability, factor structure, reliability, and construct validity of the items </w:t>
      </w:r>
      <w:r w:rsidRPr="00F26A4B" w:rsidR="009F5F4D">
        <w:rPr>
          <w:sz w:val="24"/>
          <w:szCs w:val="24"/>
        </w:rPr>
        <w:t>and composite</w:t>
      </w:r>
      <w:r w:rsidR="00D14E72">
        <w:rPr>
          <w:sz w:val="24"/>
          <w:szCs w:val="24"/>
        </w:rPr>
        <w:t xml:space="preserve"> measure</w:t>
      </w:r>
      <w:r w:rsidRPr="00F26A4B" w:rsidR="009F5F4D">
        <w:rPr>
          <w:sz w:val="24"/>
          <w:szCs w:val="24"/>
        </w:rPr>
        <w:t>s</w:t>
      </w:r>
      <w:r w:rsidRPr="00F26A4B" w:rsidR="00E332AA">
        <w:rPr>
          <w:sz w:val="24"/>
          <w:szCs w:val="24"/>
        </w:rPr>
        <w:t xml:space="preserve">. Because the items are being developed to measure specific aspects </w:t>
      </w:r>
      <w:r w:rsidRPr="00F26A4B" w:rsidR="009F5F4D">
        <w:rPr>
          <w:sz w:val="24"/>
          <w:szCs w:val="24"/>
        </w:rPr>
        <w:t>or composite</w:t>
      </w:r>
      <w:r w:rsidR="00D14E72">
        <w:rPr>
          <w:sz w:val="24"/>
          <w:szCs w:val="24"/>
        </w:rPr>
        <w:t xml:space="preserve"> measure</w:t>
      </w:r>
      <w:r w:rsidRPr="00F26A4B" w:rsidR="009F5F4D">
        <w:rPr>
          <w:sz w:val="24"/>
          <w:szCs w:val="24"/>
        </w:rPr>
        <w:t xml:space="preserve">s </w:t>
      </w:r>
      <w:r w:rsidRPr="00F26A4B" w:rsidR="00E332AA">
        <w:rPr>
          <w:sz w:val="24"/>
          <w:szCs w:val="24"/>
        </w:rPr>
        <w:t xml:space="preserve">of </w:t>
      </w:r>
      <w:r w:rsidR="00B74B86">
        <w:rPr>
          <w:sz w:val="24"/>
          <w:szCs w:val="24"/>
        </w:rPr>
        <w:t>workplace</w:t>
      </w:r>
      <w:r w:rsidRPr="00F26A4B" w:rsidR="00F26A4B">
        <w:rPr>
          <w:sz w:val="24"/>
          <w:szCs w:val="24"/>
        </w:rPr>
        <w:t xml:space="preserve"> safety</w:t>
      </w:r>
      <w:r w:rsidR="00B7330A">
        <w:rPr>
          <w:sz w:val="24"/>
          <w:szCs w:val="24"/>
        </w:rPr>
        <w:t>,</w:t>
      </w:r>
      <w:r w:rsidRPr="00F26A4B" w:rsidR="00F26A4B">
        <w:rPr>
          <w:sz w:val="24"/>
          <w:szCs w:val="24"/>
        </w:rPr>
        <w:t xml:space="preserve"> </w:t>
      </w:r>
      <w:r w:rsidRPr="00F26A4B" w:rsidR="00E332AA">
        <w:rPr>
          <w:sz w:val="24"/>
          <w:szCs w:val="24"/>
        </w:rPr>
        <w:t xml:space="preserve">the factor structure of the items will be evaluated through confirmatory factor analysis. </w:t>
      </w:r>
      <w:proofErr w:type="gramStart"/>
      <w:r w:rsidRPr="00F26A4B" w:rsidR="00E332AA">
        <w:rPr>
          <w:sz w:val="24"/>
          <w:szCs w:val="24"/>
        </w:rPr>
        <w:t>On the basis of</w:t>
      </w:r>
      <w:proofErr w:type="gramEnd"/>
      <w:r w:rsidRPr="00F26A4B" w:rsidR="00E332AA">
        <w:rPr>
          <w:sz w:val="24"/>
          <w:szCs w:val="24"/>
        </w:rPr>
        <w:t xml:space="preserve"> the data analyses, items or </w:t>
      </w:r>
      <w:r w:rsidRPr="00F26A4B" w:rsidR="008B43D4">
        <w:rPr>
          <w:sz w:val="24"/>
          <w:szCs w:val="24"/>
        </w:rPr>
        <w:t>composite</w:t>
      </w:r>
      <w:r w:rsidR="00D14E72">
        <w:rPr>
          <w:sz w:val="24"/>
          <w:szCs w:val="24"/>
        </w:rPr>
        <w:t xml:space="preserve"> measure</w:t>
      </w:r>
      <w:r w:rsidRPr="00F26A4B" w:rsidR="008B43D4">
        <w:rPr>
          <w:sz w:val="24"/>
          <w:szCs w:val="24"/>
        </w:rPr>
        <w:t xml:space="preserve">s </w:t>
      </w:r>
      <w:r w:rsidRPr="00F26A4B" w:rsidR="00E332AA">
        <w:rPr>
          <w:sz w:val="24"/>
          <w:szCs w:val="24"/>
        </w:rPr>
        <w:t>may be dropped</w:t>
      </w:r>
      <w:r w:rsidRPr="00F26A4B" w:rsidR="009259D3">
        <w:rPr>
          <w:sz w:val="24"/>
          <w:szCs w:val="24"/>
        </w:rPr>
        <w:t xml:space="preserve"> to create the final </w:t>
      </w:r>
      <w:r w:rsidRPr="00F26A4B" w:rsidR="00180B53">
        <w:rPr>
          <w:sz w:val="24"/>
          <w:szCs w:val="24"/>
        </w:rPr>
        <w:t>supplemental item set</w:t>
      </w:r>
      <w:r w:rsidRPr="00F26A4B" w:rsidR="00E332AA">
        <w:rPr>
          <w:sz w:val="24"/>
          <w:szCs w:val="24"/>
        </w:rPr>
        <w:t xml:space="preserve">. </w:t>
      </w:r>
    </w:p>
    <w:p w:rsidRPr="00FA7DB0" w:rsidR="00483BEA" w:rsidP="00E332AA" w:rsidRDefault="00483BEA" w14:paraId="12A6CA39" w14:textId="77777777">
      <w:pPr>
        <w:rPr>
          <w:sz w:val="24"/>
          <w:szCs w:val="24"/>
          <w:highlight w:val="yellow"/>
        </w:rPr>
      </w:pPr>
    </w:p>
    <w:p w:rsidRPr="00D640E7" w:rsidR="00AD3E2C" w:rsidP="00E332AA" w:rsidRDefault="00A26FBD" w14:paraId="18470F43" w14:textId="1AD3F943">
      <w:pPr>
        <w:rPr>
          <w:sz w:val="24"/>
          <w:szCs w:val="24"/>
        </w:rPr>
      </w:pPr>
      <w:r>
        <w:rPr>
          <w:sz w:val="24"/>
          <w:szCs w:val="24"/>
        </w:rPr>
        <w:t>Nursing homes</w:t>
      </w:r>
      <w:r w:rsidRPr="00D640E7" w:rsidR="00AD3E2C">
        <w:rPr>
          <w:sz w:val="24"/>
          <w:szCs w:val="24"/>
        </w:rPr>
        <w:t xml:space="preserve"> </w:t>
      </w:r>
      <w:r w:rsidRPr="00D640E7" w:rsidR="002F2C45">
        <w:rPr>
          <w:sz w:val="24"/>
          <w:szCs w:val="24"/>
        </w:rPr>
        <w:t>participating in the</w:t>
      </w:r>
      <w:r w:rsidRPr="00D640E7" w:rsidR="009F5F4D">
        <w:rPr>
          <w:sz w:val="24"/>
          <w:szCs w:val="24"/>
        </w:rPr>
        <w:t xml:space="preserve"> </w:t>
      </w:r>
      <w:r w:rsidRPr="00D640E7" w:rsidR="009E5A2B">
        <w:rPr>
          <w:sz w:val="24"/>
          <w:szCs w:val="24"/>
        </w:rPr>
        <w:t>pilot test</w:t>
      </w:r>
      <w:r w:rsidRPr="00D640E7" w:rsidR="009F5F4D">
        <w:rPr>
          <w:sz w:val="24"/>
          <w:szCs w:val="24"/>
        </w:rPr>
        <w:t xml:space="preserve"> </w:t>
      </w:r>
      <w:r w:rsidRPr="00D640E7" w:rsidR="00D801AF">
        <w:rPr>
          <w:sz w:val="24"/>
          <w:szCs w:val="24"/>
        </w:rPr>
        <w:t xml:space="preserve">data collection effort </w:t>
      </w:r>
      <w:r w:rsidRPr="00D640E7" w:rsidR="00AD3E2C">
        <w:rPr>
          <w:sz w:val="24"/>
          <w:szCs w:val="24"/>
        </w:rPr>
        <w:t xml:space="preserve">will receive a report of their </w:t>
      </w:r>
      <w:r>
        <w:rPr>
          <w:sz w:val="24"/>
          <w:szCs w:val="24"/>
        </w:rPr>
        <w:t>nursing home</w:t>
      </w:r>
      <w:r w:rsidRPr="00D640E7" w:rsidR="00AD3E2C">
        <w:rPr>
          <w:sz w:val="24"/>
          <w:szCs w:val="24"/>
        </w:rPr>
        <w:t xml:space="preserve">-specific results. This feedback report serves as </w:t>
      </w:r>
      <w:r w:rsidR="00512039">
        <w:rPr>
          <w:sz w:val="24"/>
          <w:szCs w:val="24"/>
        </w:rPr>
        <w:t>one</w:t>
      </w:r>
      <w:r w:rsidRPr="00D640E7" w:rsidR="00512039">
        <w:rPr>
          <w:sz w:val="24"/>
          <w:szCs w:val="24"/>
        </w:rPr>
        <w:t xml:space="preserve"> </w:t>
      </w:r>
      <w:r w:rsidRPr="00D640E7" w:rsidR="00AD3E2C">
        <w:rPr>
          <w:sz w:val="24"/>
          <w:szCs w:val="24"/>
        </w:rPr>
        <w:t>incentive for participation</w:t>
      </w:r>
      <w:r w:rsidRPr="00D640E7" w:rsidR="006A2E72">
        <w:rPr>
          <w:sz w:val="24"/>
          <w:szCs w:val="24"/>
        </w:rPr>
        <w:t>,</w:t>
      </w:r>
      <w:r w:rsidRPr="00D640E7" w:rsidR="00AD3E2C">
        <w:rPr>
          <w:sz w:val="24"/>
          <w:szCs w:val="24"/>
        </w:rPr>
        <w:t xml:space="preserve"> and saves </w:t>
      </w:r>
      <w:r w:rsidRPr="00D640E7" w:rsidR="006A2E72">
        <w:rPr>
          <w:sz w:val="24"/>
          <w:szCs w:val="24"/>
        </w:rPr>
        <w:t xml:space="preserve">the </w:t>
      </w:r>
      <w:r>
        <w:rPr>
          <w:sz w:val="24"/>
          <w:szCs w:val="24"/>
        </w:rPr>
        <w:t>nursing homes</w:t>
      </w:r>
      <w:r w:rsidRPr="00D640E7" w:rsidR="004D1530">
        <w:rPr>
          <w:sz w:val="24"/>
          <w:szCs w:val="24"/>
        </w:rPr>
        <w:t xml:space="preserve"> </w:t>
      </w:r>
      <w:r w:rsidRPr="00D640E7" w:rsidR="00AD3E2C">
        <w:rPr>
          <w:sz w:val="24"/>
          <w:szCs w:val="24"/>
        </w:rPr>
        <w:t xml:space="preserve">time and effort </w:t>
      </w:r>
      <w:r w:rsidRPr="00D640E7" w:rsidR="006A2E72">
        <w:rPr>
          <w:sz w:val="24"/>
          <w:szCs w:val="24"/>
        </w:rPr>
        <w:t>to</w:t>
      </w:r>
      <w:r w:rsidRPr="00D640E7" w:rsidR="00AD3E2C">
        <w:rPr>
          <w:sz w:val="24"/>
          <w:szCs w:val="24"/>
        </w:rPr>
        <w:t xml:space="preserve"> analyz</w:t>
      </w:r>
      <w:r w:rsidRPr="00D640E7" w:rsidR="006A2E72">
        <w:rPr>
          <w:sz w:val="24"/>
          <w:szCs w:val="24"/>
        </w:rPr>
        <w:t>e</w:t>
      </w:r>
      <w:r w:rsidRPr="00D640E7" w:rsidR="00AD3E2C">
        <w:rPr>
          <w:sz w:val="24"/>
          <w:szCs w:val="24"/>
        </w:rPr>
        <w:t xml:space="preserve"> their own results.</w:t>
      </w:r>
    </w:p>
    <w:p w:rsidRPr="00D640E7" w:rsidR="00206578" w:rsidP="00ED6A78" w:rsidRDefault="00206578" w14:paraId="79213C34" w14:textId="77777777">
      <w:pPr>
        <w:rPr>
          <w:sz w:val="24"/>
          <w:szCs w:val="24"/>
        </w:rPr>
      </w:pPr>
    </w:p>
    <w:p w:rsidRPr="00D640E7" w:rsidR="00566CFD" w:rsidP="00ED6A78" w:rsidRDefault="00E332AA" w14:paraId="6CAC0D80" w14:textId="510E32E4">
      <w:pPr>
        <w:rPr>
          <w:sz w:val="24"/>
          <w:szCs w:val="24"/>
        </w:rPr>
      </w:pPr>
      <w:r w:rsidRPr="00D640E7">
        <w:rPr>
          <w:sz w:val="24"/>
          <w:szCs w:val="24"/>
        </w:rPr>
        <w:t>The final</w:t>
      </w:r>
      <w:r w:rsidRPr="00D640E7" w:rsidR="009F5F4D">
        <w:rPr>
          <w:sz w:val="24"/>
          <w:szCs w:val="24"/>
        </w:rPr>
        <w:t xml:space="preserve"> </w:t>
      </w:r>
      <w:r w:rsidRPr="00D640E7" w:rsidR="00E56132">
        <w:rPr>
          <w:sz w:val="24"/>
          <w:szCs w:val="24"/>
        </w:rPr>
        <w:t>supplemental item set</w:t>
      </w:r>
      <w:r w:rsidRPr="00D640E7">
        <w:rPr>
          <w:sz w:val="24"/>
          <w:szCs w:val="24"/>
        </w:rPr>
        <w:t xml:space="preserve"> will be made</w:t>
      </w:r>
      <w:r w:rsidR="00B7330A">
        <w:rPr>
          <w:sz w:val="24"/>
          <w:szCs w:val="24"/>
        </w:rPr>
        <w:t xml:space="preserve"> publicly</w:t>
      </w:r>
      <w:r w:rsidRPr="00D640E7">
        <w:rPr>
          <w:sz w:val="24"/>
          <w:szCs w:val="24"/>
        </w:rPr>
        <w:t xml:space="preserve"> available </w:t>
      </w:r>
      <w:r w:rsidR="00B7330A">
        <w:rPr>
          <w:sz w:val="24"/>
          <w:szCs w:val="24"/>
        </w:rPr>
        <w:t xml:space="preserve">for </w:t>
      </w:r>
      <w:r w:rsidR="00A26FBD">
        <w:rPr>
          <w:sz w:val="24"/>
          <w:szCs w:val="24"/>
        </w:rPr>
        <w:t xml:space="preserve">nursing homes </w:t>
      </w:r>
      <w:r w:rsidR="00B7330A">
        <w:rPr>
          <w:sz w:val="24"/>
          <w:szCs w:val="24"/>
        </w:rPr>
        <w:t xml:space="preserve">to assess </w:t>
      </w:r>
      <w:r w:rsidRPr="00D640E7" w:rsidR="004D1530">
        <w:rPr>
          <w:sz w:val="24"/>
          <w:szCs w:val="24"/>
        </w:rPr>
        <w:t>how their culture supports</w:t>
      </w:r>
      <w:r w:rsidRPr="00D640E7" w:rsidR="00B36385">
        <w:rPr>
          <w:sz w:val="24"/>
          <w:szCs w:val="24"/>
        </w:rPr>
        <w:t xml:space="preserve"> </w:t>
      </w:r>
      <w:r w:rsidR="00B74B86">
        <w:rPr>
          <w:sz w:val="24"/>
          <w:szCs w:val="24"/>
        </w:rPr>
        <w:t>workplace</w:t>
      </w:r>
      <w:r w:rsidRPr="00D640E7" w:rsidR="00D640E7">
        <w:rPr>
          <w:sz w:val="24"/>
          <w:szCs w:val="24"/>
        </w:rPr>
        <w:t xml:space="preserve"> safety</w:t>
      </w:r>
      <w:r w:rsidRPr="00D640E7" w:rsidR="004D1530">
        <w:rPr>
          <w:sz w:val="24"/>
          <w:szCs w:val="24"/>
        </w:rPr>
        <w:t>.</w:t>
      </w:r>
      <w:r w:rsidRPr="00D640E7">
        <w:rPr>
          <w:sz w:val="24"/>
          <w:szCs w:val="24"/>
        </w:rPr>
        <w:t xml:space="preserve"> </w:t>
      </w:r>
      <w:r w:rsidRPr="00D640E7" w:rsidR="004D1530">
        <w:rPr>
          <w:sz w:val="24"/>
          <w:szCs w:val="24"/>
        </w:rPr>
        <w:t xml:space="preserve">The </w:t>
      </w:r>
      <w:r w:rsidRPr="00D640E7" w:rsidR="00E56132">
        <w:rPr>
          <w:sz w:val="24"/>
          <w:szCs w:val="24"/>
        </w:rPr>
        <w:t>supplemental items</w:t>
      </w:r>
      <w:r w:rsidRPr="00D640E7">
        <w:rPr>
          <w:sz w:val="24"/>
          <w:szCs w:val="24"/>
        </w:rPr>
        <w:t xml:space="preserve"> can</w:t>
      </w:r>
      <w:r w:rsidRPr="00D640E7" w:rsidR="00047716">
        <w:rPr>
          <w:sz w:val="24"/>
          <w:szCs w:val="24"/>
        </w:rPr>
        <w:t xml:space="preserve"> </w:t>
      </w:r>
      <w:r w:rsidRPr="00D640E7">
        <w:rPr>
          <w:sz w:val="24"/>
          <w:szCs w:val="24"/>
        </w:rPr>
        <w:t xml:space="preserve">be used by </w:t>
      </w:r>
      <w:r w:rsidR="00512039">
        <w:rPr>
          <w:sz w:val="24"/>
          <w:szCs w:val="24"/>
        </w:rPr>
        <w:t>nursing homes</w:t>
      </w:r>
      <w:r w:rsidR="00B7330A">
        <w:rPr>
          <w:sz w:val="24"/>
          <w:szCs w:val="24"/>
        </w:rPr>
        <w:t xml:space="preserve"> </w:t>
      </w:r>
      <w:r w:rsidRPr="00D640E7">
        <w:rPr>
          <w:sz w:val="24"/>
          <w:szCs w:val="24"/>
        </w:rPr>
        <w:t>to identify areas for improvement</w:t>
      </w:r>
      <w:r w:rsidRPr="00D640E7" w:rsidR="004D1530">
        <w:rPr>
          <w:sz w:val="24"/>
          <w:szCs w:val="24"/>
        </w:rPr>
        <w:t xml:space="preserve"> related to their </w:t>
      </w:r>
      <w:r w:rsidR="00B74B86">
        <w:rPr>
          <w:sz w:val="24"/>
          <w:szCs w:val="24"/>
        </w:rPr>
        <w:t>workplace</w:t>
      </w:r>
      <w:r w:rsidRPr="00D640E7" w:rsidR="00D640E7">
        <w:rPr>
          <w:sz w:val="24"/>
          <w:szCs w:val="24"/>
        </w:rPr>
        <w:t xml:space="preserve"> safety</w:t>
      </w:r>
      <w:r w:rsidRPr="00D640E7" w:rsidR="004D1530">
        <w:rPr>
          <w:sz w:val="24"/>
          <w:szCs w:val="24"/>
        </w:rPr>
        <w:t xml:space="preserve"> culture</w:t>
      </w:r>
      <w:r w:rsidRPr="00D640E7">
        <w:rPr>
          <w:sz w:val="24"/>
          <w:szCs w:val="24"/>
        </w:rPr>
        <w:t xml:space="preserve">. Researchers are also likely to use the </w:t>
      </w:r>
      <w:r w:rsidRPr="00D640E7" w:rsidR="00E56132">
        <w:rPr>
          <w:sz w:val="24"/>
          <w:szCs w:val="24"/>
        </w:rPr>
        <w:t xml:space="preserve">supplemental items </w:t>
      </w:r>
      <w:r w:rsidRPr="00D640E7">
        <w:rPr>
          <w:sz w:val="24"/>
          <w:szCs w:val="24"/>
        </w:rPr>
        <w:t xml:space="preserve">to assess the impact of </w:t>
      </w:r>
      <w:r w:rsidR="00B74B86">
        <w:rPr>
          <w:sz w:val="24"/>
          <w:szCs w:val="24"/>
        </w:rPr>
        <w:t>workplace</w:t>
      </w:r>
      <w:r w:rsidRPr="00D640E7" w:rsidR="00D640E7">
        <w:rPr>
          <w:sz w:val="24"/>
          <w:szCs w:val="24"/>
        </w:rPr>
        <w:t xml:space="preserve"> safety</w:t>
      </w:r>
      <w:r w:rsidRPr="00D640E7">
        <w:rPr>
          <w:sz w:val="24"/>
          <w:szCs w:val="24"/>
        </w:rPr>
        <w:t xml:space="preserve"> improvement initiatives. </w:t>
      </w:r>
    </w:p>
    <w:p w:rsidRPr="00FA7DB0" w:rsidR="0057087C" w:rsidP="003A074E" w:rsidRDefault="0057087C" w14:paraId="1F8ED63F" w14:textId="77777777">
      <w:pPr>
        <w:pStyle w:val="Heading2"/>
        <w:spacing w:before="240" w:after="60"/>
        <w:rPr>
          <w:rFonts w:ascii="Arial" w:hAnsi="Arial" w:cs="Arial"/>
          <w:i/>
          <w:color w:val="auto"/>
          <w:sz w:val="24"/>
          <w:szCs w:val="24"/>
        </w:rPr>
      </w:pPr>
      <w:bookmarkStart w:name="_Toc92374290" w:id="6"/>
      <w:r w:rsidRPr="00FA7DB0">
        <w:rPr>
          <w:rFonts w:ascii="Arial" w:hAnsi="Arial" w:cs="Arial"/>
          <w:i/>
          <w:color w:val="auto"/>
          <w:sz w:val="24"/>
          <w:szCs w:val="24"/>
        </w:rPr>
        <w:t>3.  Use of Improved Information Technology</w:t>
      </w:r>
      <w:bookmarkEnd w:id="6"/>
    </w:p>
    <w:p w:rsidRPr="00B313FB" w:rsidR="00770FA1" w:rsidRDefault="00D801AF" w14:paraId="2353BC6C" w14:textId="64895CE4">
      <w:pPr>
        <w:rPr>
          <w:sz w:val="24"/>
          <w:szCs w:val="24"/>
        </w:rPr>
      </w:pPr>
      <w:r w:rsidRPr="003D4669">
        <w:rPr>
          <w:sz w:val="24"/>
          <w:szCs w:val="24"/>
        </w:rPr>
        <w:t>The p</w:t>
      </w:r>
      <w:r w:rsidRPr="003D4669" w:rsidR="00175902">
        <w:rPr>
          <w:sz w:val="24"/>
          <w:szCs w:val="24"/>
        </w:rPr>
        <w:t>ilot test d</w:t>
      </w:r>
      <w:r w:rsidRPr="003D4669" w:rsidR="00AD3E2C">
        <w:rPr>
          <w:sz w:val="24"/>
          <w:szCs w:val="24"/>
        </w:rPr>
        <w:t>ata collection</w:t>
      </w:r>
      <w:r w:rsidRPr="003D4669">
        <w:rPr>
          <w:sz w:val="24"/>
          <w:szCs w:val="24"/>
        </w:rPr>
        <w:t xml:space="preserve"> </w:t>
      </w:r>
      <w:r w:rsidRPr="003D4669" w:rsidR="00AD3E2C">
        <w:rPr>
          <w:sz w:val="24"/>
          <w:szCs w:val="24"/>
        </w:rPr>
        <w:t xml:space="preserve">will be conducted </w:t>
      </w:r>
      <w:r w:rsidRPr="003D4669" w:rsidR="009D7D6B">
        <w:rPr>
          <w:sz w:val="24"/>
          <w:szCs w:val="24"/>
        </w:rPr>
        <w:t xml:space="preserve">using </w:t>
      </w:r>
      <w:r w:rsidRPr="003D4669" w:rsidR="00A26FBD">
        <w:rPr>
          <w:sz w:val="24"/>
          <w:szCs w:val="24"/>
        </w:rPr>
        <w:t xml:space="preserve">a </w:t>
      </w:r>
      <w:r w:rsidRPr="003D4669" w:rsidR="009814A6">
        <w:rPr>
          <w:sz w:val="24"/>
          <w:szCs w:val="24"/>
        </w:rPr>
        <w:t>w</w:t>
      </w:r>
      <w:r w:rsidRPr="003D4669" w:rsidR="009D7D6B">
        <w:rPr>
          <w:sz w:val="24"/>
          <w:szCs w:val="24"/>
        </w:rPr>
        <w:t xml:space="preserve">eb </w:t>
      </w:r>
      <w:r w:rsidRPr="003D4669" w:rsidR="003D4669">
        <w:rPr>
          <w:sz w:val="24"/>
          <w:szCs w:val="24"/>
        </w:rPr>
        <w:t>or</w:t>
      </w:r>
      <w:r w:rsidRPr="003D4669" w:rsidR="00A26FBD">
        <w:rPr>
          <w:sz w:val="24"/>
          <w:szCs w:val="24"/>
        </w:rPr>
        <w:t xml:space="preserve"> </w:t>
      </w:r>
      <w:r w:rsidRPr="00432AF3" w:rsidR="00A26FBD">
        <w:rPr>
          <w:sz w:val="24"/>
          <w:szCs w:val="24"/>
        </w:rPr>
        <w:t xml:space="preserve">paper </w:t>
      </w:r>
      <w:r w:rsidRPr="00432AF3" w:rsidR="009D7D6B">
        <w:rPr>
          <w:sz w:val="24"/>
          <w:szCs w:val="24"/>
        </w:rPr>
        <w:t>survey</w:t>
      </w:r>
      <w:r w:rsidRPr="003D4669" w:rsidR="009814A6">
        <w:rPr>
          <w:sz w:val="24"/>
          <w:szCs w:val="24"/>
        </w:rPr>
        <w:t>.</w:t>
      </w:r>
      <w:r w:rsidRPr="00B313FB" w:rsidR="009814A6">
        <w:rPr>
          <w:sz w:val="24"/>
          <w:szCs w:val="24"/>
        </w:rPr>
        <w:t xml:space="preserve"> </w:t>
      </w:r>
      <w:r w:rsidR="00A72474">
        <w:rPr>
          <w:sz w:val="24"/>
          <w:szCs w:val="24"/>
        </w:rPr>
        <w:t xml:space="preserve">According to the </w:t>
      </w:r>
      <w:r w:rsidRPr="003D4669" w:rsidR="0033093A">
        <w:rPr>
          <w:sz w:val="24"/>
          <w:szCs w:val="24"/>
        </w:rPr>
        <w:t>201</w:t>
      </w:r>
      <w:r w:rsidRPr="003D4669" w:rsidR="00A72474">
        <w:rPr>
          <w:sz w:val="24"/>
          <w:szCs w:val="24"/>
        </w:rPr>
        <w:t>9</w:t>
      </w:r>
      <w:r w:rsidRPr="003D4669" w:rsidR="0033093A">
        <w:rPr>
          <w:sz w:val="24"/>
          <w:szCs w:val="24"/>
        </w:rPr>
        <w:t xml:space="preserve"> </w:t>
      </w:r>
      <w:r w:rsidRPr="003D4669" w:rsidR="00843138">
        <w:rPr>
          <w:sz w:val="24"/>
          <w:szCs w:val="24"/>
        </w:rPr>
        <w:t xml:space="preserve">AHRQ </w:t>
      </w:r>
      <w:r w:rsidRPr="003D4669" w:rsidR="0033093A">
        <w:rPr>
          <w:sz w:val="24"/>
          <w:szCs w:val="24"/>
        </w:rPr>
        <w:t xml:space="preserve">SOPS </w:t>
      </w:r>
      <w:r w:rsidRPr="003D4669" w:rsidR="00A72474">
        <w:rPr>
          <w:sz w:val="24"/>
          <w:szCs w:val="24"/>
        </w:rPr>
        <w:t>Nursing Home</w:t>
      </w:r>
      <w:r w:rsidRPr="003D4669" w:rsidR="00B313FB">
        <w:rPr>
          <w:sz w:val="24"/>
          <w:szCs w:val="24"/>
        </w:rPr>
        <w:t xml:space="preserve"> </w:t>
      </w:r>
      <w:r w:rsidRPr="003D4669" w:rsidR="0033093A">
        <w:rPr>
          <w:sz w:val="24"/>
          <w:szCs w:val="24"/>
        </w:rPr>
        <w:t>Database</w:t>
      </w:r>
      <w:r w:rsidRPr="003D4669" w:rsidR="00A72474">
        <w:rPr>
          <w:sz w:val="24"/>
          <w:szCs w:val="24"/>
        </w:rPr>
        <w:t xml:space="preserve">, 43 percent </w:t>
      </w:r>
      <w:r w:rsidR="00512039">
        <w:rPr>
          <w:sz w:val="24"/>
          <w:szCs w:val="24"/>
        </w:rPr>
        <w:t>of nursing homes administered the survey</w:t>
      </w:r>
      <w:r w:rsidRPr="003D4669" w:rsidR="00512039">
        <w:rPr>
          <w:sz w:val="24"/>
          <w:szCs w:val="24"/>
        </w:rPr>
        <w:t xml:space="preserve"> </w:t>
      </w:r>
      <w:r w:rsidRPr="003D4669" w:rsidR="00A72474">
        <w:rPr>
          <w:sz w:val="24"/>
          <w:szCs w:val="24"/>
        </w:rPr>
        <w:t xml:space="preserve">by web </w:t>
      </w:r>
      <w:r w:rsidR="00512039">
        <w:rPr>
          <w:sz w:val="24"/>
          <w:szCs w:val="24"/>
        </w:rPr>
        <w:t xml:space="preserve">only, </w:t>
      </w:r>
      <w:r w:rsidRPr="003D4669" w:rsidR="00A72474">
        <w:rPr>
          <w:sz w:val="24"/>
          <w:szCs w:val="24"/>
        </w:rPr>
        <w:t xml:space="preserve">42 percent </w:t>
      </w:r>
      <w:r w:rsidR="00512039">
        <w:rPr>
          <w:sz w:val="24"/>
          <w:szCs w:val="24"/>
        </w:rPr>
        <w:t xml:space="preserve">administered the surveys </w:t>
      </w:r>
      <w:r w:rsidRPr="003D4669" w:rsidR="00A72474">
        <w:rPr>
          <w:sz w:val="24"/>
          <w:szCs w:val="24"/>
        </w:rPr>
        <w:t xml:space="preserve">by both paper and web, and 14 percent </w:t>
      </w:r>
      <w:r w:rsidR="00512039">
        <w:rPr>
          <w:sz w:val="24"/>
          <w:szCs w:val="24"/>
        </w:rPr>
        <w:t xml:space="preserve">administered the survey </w:t>
      </w:r>
      <w:r w:rsidRPr="003D4669" w:rsidR="00A72474">
        <w:rPr>
          <w:sz w:val="24"/>
          <w:szCs w:val="24"/>
        </w:rPr>
        <w:t>by paper only</w:t>
      </w:r>
      <w:r w:rsidR="00051D8E">
        <w:rPr>
          <w:rStyle w:val="EndnoteReference"/>
          <w:sz w:val="24"/>
          <w:szCs w:val="24"/>
        </w:rPr>
        <w:endnoteReference w:id="10"/>
      </w:r>
      <w:r w:rsidR="00A10500">
        <w:rPr>
          <w:sz w:val="24"/>
          <w:szCs w:val="24"/>
        </w:rPr>
        <w:t>.</w:t>
      </w:r>
      <w:r w:rsidRPr="003D4669" w:rsidR="0033093A">
        <w:rPr>
          <w:sz w:val="24"/>
          <w:szCs w:val="24"/>
        </w:rPr>
        <w:t xml:space="preserve"> </w:t>
      </w:r>
      <w:r w:rsidRPr="00B313FB" w:rsidR="00E515AB">
        <w:rPr>
          <w:sz w:val="24"/>
          <w:szCs w:val="24"/>
        </w:rPr>
        <w:t xml:space="preserve">In addition to reducing the burden associated with survey administration (printing and tracking paper surveys), a </w:t>
      </w:r>
      <w:r w:rsidRPr="00B313FB" w:rsidR="009814A6">
        <w:rPr>
          <w:sz w:val="24"/>
          <w:szCs w:val="24"/>
        </w:rPr>
        <w:t>w</w:t>
      </w:r>
      <w:r w:rsidRPr="00B313FB" w:rsidR="00E515AB">
        <w:rPr>
          <w:sz w:val="24"/>
          <w:szCs w:val="24"/>
        </w:rPr>
        <w:t xml:space="preserve">eb-based survey will </w:t>
      </w:r>
      <w:r w:rsidR="00A26FBD">
        <w:rPr>
          <w:sz w:val="24"/>
          <w:szCs w:val="24"/>
        </w:rPr>
        <w:t xml:space="preserve">be offered to </w:t>
      </w:r>
      <w:r w:rsidR="00432AF3">
        <w:rPr>
          <w:sz w:val="24"/>
          <w:szCs w:val="24"/>
        </w:rPr>
        <w:t>increase</w:t>
      </w:r>
      <w:r w:rsidRPr="00B313FB" w:rsidR="00E515AB">
        <w:rPr>
          <w:sz w:val="24"/>
          <w:szCs w:val="24"/>
        </w:rPr>
        <w:t xml:space="preserve"> security of responses and eliminate data entry</w:t>
      </w:r>
      <w:r w:rsidRPr="00B313FB" w:rsidR="006A2E72">
        <w:rPr>
          <w:sz w:val="24"/>
          <w:szCs w:val="24"/>
        </w:rPr>
        <w:t xml:space="preserve"> expense</w:t>
      </w:r>
      <w:r w:rsidR="00320634">
        <w:rPr>
          <w:sz w:val="24"/>
          <w:szCs w:val="24"/>
        </w:rPr>
        <w:t>;</w:t>
      </w:r>
      <w:r w:rsidR="00512039">
        <w:rPr>
          <w:sz w:val="24"/>
          <w:szCs w:val="24"/>
        </w:rPr>
        <w:t xml:space="preserve"> </w:t>
      </w:r>
      <w:proofErr w:type="gramStart"/>
      <w:r w:rsidR="00512039">
        <w:rPr>
          <w:sz w:val="24"/>
          <w:szCs w:val="24"/>
        </w:rPr>
        <w:t>however</w:t>
      </w:r>
      <w:proofErr w:type="gramEnd"/>
      <w:r w:rsidR="00512039">
        <w:rPr>
          <w:sz w:val="24"/>
          <w:szCs w:val="24"/>
        </w:rPr>
        <w:t xml:space="preserve"> if the nursing home </w:t>
      </w:r>
      <w:r w:rsidR="00512039">
        <w:rPr>
          <w:sz w:val="24"/>
          <w:szCs w:val="24"/>
        </w:rPr>
        <w:lastRenderedPageBreak/>
        <w:t>has a large percentage of staff who do not have email access while at work, we will offer that nursing home the opportunity to administer paper surveys</w:t>
      </w:r>
      <w:r w:rsidRPr="00B313FB" w:rsidR="00E515AB">
        <w:rPr>
          <w:sz w:val="24"/>
          <w:szCs w:val="24"/>
        </w:rPr>
        <w:t>.</w:t>
      </w:r>
    </w:p>
    <w:p w:rsidRPr="00FA7DB0" w:rsidR="0057087C" w:rsidP="003A074E" w:rsidRDefault="0057087C" w14:paraId="11ED8015" w14:textId="77777777">
      <w:pPr>
        <w:pStyle w:val="Heading2"/>
        <w:spacing w:before="240" w:after="60"/>
        <w:rPr>
          <w:rFonts w:ascii="Arial" w:hAnsi="Arial" w:cs="Arial"/>
          <w:i/>
          <w:color w:val="auto"/>
          <w:sz w:val="24"/>
          <w:szCs w:val="24"/>
        </w:rPr>
      </w:pPr>
      <w:bookmarkStart w:name="_Toc92374291" w:id="7"/>
      <w:r w:rsidRPr="00FA7DB0">
        <w:rPr>
          <w:rFonts w:ascii="Arial" w:hAnsi="Arial" w:cs="Arial"/>
          <w:i/>
          <w:color w:val="auto"/>
          <w:sz w:val="24"/>
          <w:szCs w:val="24"/>
        </w:rPr>
        <w:t xml:space="preserve">4.  </w:t>
      </w:r>
      <w:r w:rsidRPr="0062711E">
        <w:rPr>
          <w:rFonts w:ascii="Arial" w:hAnsi="Arial" w:cs="Arial"/>
          <w:i/>
          <w:color w:val="auto"/>
          <w:sz w:val="24"/>
          <w:szCs w:val="24"/>
        </w:rPr>
        <w:t>Efforts to Avoid Duplication</w:t>
      </w:r>
      <w:bookmarkEnd w:id="7"/>
      <w:r w:rsidRPr="00FA7DB0" w:rsidR="00E34199">
        <w:rPr>
          <w:rFonts w:ascii="Arial" w:hAnsi="Arial" w:cs="Arial"/>
          <w:i/>
          <w:color w:val="auto"/>
          <w:sz w:val="24"/>
          <w:szCs w:val="24"/>
        </w:rPr>
        <w:t xml:space="preserve"> </w:t>
      </w:r>
    </w:p>
    <w:p w:rsidR="00CB51D9" w:rsidP="00E56132" w:rsidRDefault="00CB51D9" w14:paraId="47C44F70" w14:textId="0E0C96D4">
      <w:pPr>
        <w:rPr>
          <w:sz w:val="24"/>
          <w:szCs w:val="24"/>
          <w:highlight w:val="yellow"/>
        </w:rPr>
      </w:pPr>
    </w:p>
    <w:p w:rsidRPr="00D16324" w:rsidR="00CB51D9" w:rsidP="00CB51D9" w:rsidRDefault="00CB51D9" w14:paraId="7A21EC4F" w14:textId="15B5D44F">
      <w:pPr>
        <w:pStyle w:val="ListParagraph"/>
        <w:ind w:left="0"/>
        <w:rPr>
          <w:sz w:val="24"/>
          <w:szCs w:val="24"/>
        </w:rPr>
      </w:pPr>
      <w:r w:rsidRPr="00D16324">
        <w:rPr>
          <w:sz w:val="24"/>
          <w:szCs w:val="24"/>
        </w:rPr>
        <w:t xml:space="preserve">We conducted a review of the literature, searching for staff surveys that measure </w:t>
      </w:r>
      <w:r w:rsidR="00B74B86">
        <w:rPr>
          <w:sz w:val="24"/>
          <w:szCs w:val="24"/>
        </w:rPr>
        <w:t>workplace</w:t>
      </w:r>
      <w:r w:rsidRPr="00D16324">
        <w:rPr>
          <w:sz w:val="24"/>
          <w:szCs w:val="24"/>
        </w:rPr>
        <w:t xml:space="preserve"> safety in </w:t>
      </w:r>
      <w:r w:rsidR="00A72474">
        <w:rPr>
          <w:sz w:val="24"/>
          <w:szCs w:val="24"/>
        </w:rPr>
        <w:t>nursing home</w:t>
      </w:r>
      <w:r w:rsidRPr="00D16324">
        <w:rPr>
          <w:sz w:val="24"/>
          <w:szCs w:val="24"/>
        </w:rPr>
        <w:t xml:space="preserve"> settings. In reviewing the literature, we identified a number of topics that contribute to </w:t>
      </w:r>
      <w:r w:rsidR="00B74B86">
        <w:rPr>
          <w:sz w:val="24"/>
          <w:szCs w:val="24"/>
        </w:rPr>
        <w:t>workplace</w:t>
      </w:r>
      <w:r w:rsidR="00CD0D45">
        <w:rPr>
          <w:sz w:val="24"/>
          <w:szCs w:val="24"/>
        </w:rPr>
        <w:t xml:space="preserve"> safety: </w:t>
      </w:r>
      <w:r w:rsidRPr="00583F4F" w:rsidR="00CD0D45">
        <w:rPr>
          <w:sz w:val="24"/>
          <w:szCs w:val="24"/>
        </w:rPr>
        <w:t xml:space="preserve">(1) </w:t>
      </w:r>
      <w:r w:rsidR="00F04485">
        <w:rPr>
          <w:sz w:val="24"/>
          <w:szCs w:val="24"/>
        </w:rPr>
        <w:t>exposure to workplace</w:t>
      </w:r>
      <w:r w:rsidR="008F1A24">
        <w:rPr>
          <w:sz w:val="24"/>
          <w:szCs w:val="24"/>
        </w:rPr>
        <w:t xml:space="preserve"> hazards</w:t>
      </w:r>
      <w:r w:rsidRPr="00583F4F" w:rsidR="00D267DA">
        <w:rPr>
          <w:sz w:val="24"/>
          <w:szCs w:val="24"/>
        </w:rPr>
        <w:t xml:space="preserve">; (2) </w:t>
      </w:r>
      <w:r w:rsidR="00F04485">
        <w:rPr>
          <w:sz w:val="24"/>
          <w:szCs w:val="24"/>
        </w:rPr>
        <w:t>moving, transferring, or lifting residents;</w:t>
      </w:r>
      <w:r w:rsidRPr="00583F4F">
        <w:rPr>
          <w:sz w:val="24"/>
          <w:szCs w:val="24"/>
        </w:rPr>
        <w:t xml:space="preserve"> </w:t>
      </w:r>
      <w:r w:rsidRPr="00583F4F" w:rsidR="00D267DA">
        <w:rPr>
          <w:sz w:val="24"/>
          <w:szCs w:val="24"/>
        </w:rPr>
        <w:t>(</w:t>
      </w:r>
      <w:r w:rsidR="002349E1">
        <w:rPr>
          <w:sz w:val="24"/>
          <w:szCs w:val="24"/>
        </w:rPr>
        <w:t>3</w:t>
      </w:r>
      <w:r w:rsidRPr="002349E1" w:rsidR="00D267DA">
        <w:rPr>
          <w:sz w:val="24"/>
          <w:szCs w:val="24"/>
        </w:rPr>
        <w:t>)</w:t>
      </w:r>
      <w:r w:rsidRPr="002349E1" w:rsidR="0095781F">
        <w:rPr>
          <w:sz w:val="24"/>
          <w:szCs w:val="24"/>
        </w:rPr>
        <w:t xml:space="preserve"> </w:t>
      </w:r>
      <w:r w:rsidRPr="002349E1">
        <w:rPr>
          <w:sz w:val="24"/>
          <w:szCs w:val="24"/>
        </w:rPr>
        <w:t xml:space="preserve">workplace </w:t>
      </w:r>
      <w:r w:rsidRPr="002349E1" w:rsidR="0095781F">
        <w:rPr>
          <w:sz w:val="24"/>
          <w:szCs w:val="24"/>
        </w:rPr>
        <w:t>aggression</w:t>
      </w:r>
      <w:r w:rsidR="00F04485">
        <w:rPr>
          <w:sz w:val="24"/>
          <w:szCs w:val="24"/>
        </w:rPr>
        <w:t>;</w:t>
      </w:r>
      <w:r w:rsidRPr="00583F4F">
        <w:rPr>
          <w:sz w:val="24"/>
          <w:szCs w:val="24"/>
        </w:rPr>
        <w:t xml:space="preserve"> </w:t>
      </w:r>
      <w:r w:rsidR="002349E1">
        <w:rPr>
          <w:sz w:val="24"/>
          <w:szCs w:val="24"/>
        </w:rPr>
        <w:t>(4</w:t>
      </w:r>
      <w:r w:rsidRPr="00583F4F" w:rsidR="002700B3">
        <w:rPr>
          <w:sz w:val="24"/>
          <w:szCs w:val="24"/>
        </w:rPr>
        <w:t xml:space="preserve">) </w:t>
      </w:r>
      <w:r w:rsidR="00F04485">
        <w:rPr>
          <w:sz w:val="24"/>
          <w:szCs w:val="24"/>
        </w:rPr>
        <w:t>supervisor support for workplace safety</w:t>
      </w:r>
      <w:r w:rsidRPr="002349E1" w:rsidR="002700B3">
        <w:rPr>
          <w:sz w:val="24"/>
          <w:szCs w:val="24"/>
        </w:rPr>
        <w:t xml:space="preserve">; </w:t>
      </w:r>
      <w:r w:rsidR="002349E1">
        <w:rPr>
          <w:sz w:val="24"/>
          <w:szCs w:val="24"/>
        </w:rPr>
        <w:t>(5</w:t>
      </w:r>
      <w:r w:rsidRPr="00583F4F" w:rsidR="00611BAB">
        <w:rPr>
          <w:sz w:val="24"/>
          <w:szCs w:val="24"/>
        </w:rPr>
        <w:t>) management support for work</w:t>
      </w:r>
      <w:r w:rsidRPr="00583F4F" w:rsidR="00D267DA">
        <w:rPr>
          <w:sz w:val="24"/>
          <w:szCs w:val="24"/>
        </w:rPr>
        <w:t xml:space="preserve">place </w:t>
      </w:r>
      <w:r w:rsidRPr="00583F4F" w:rsidR="00611BAB">
        <w:rPr>
          <w:sz w:val="24"/>
          <w:szCs w:val="24"/>
        </w:rPr>
        <w:t xml:space="preserve">safety; </w:t>
      </w:r>
      <w:r w:rsidR="002349E1">
        <w:rPr>
          <w:sz w:val="24"/>
          <w:szCs w:val="24"/>
        </w:rPr>
        <w:t>(</w:t>
      </w:r>
      <w:r w:rsidR="004F436F">
        <w:rPr>
          <w:sz w:val="24"/>
          <w:szCs w:val="24"/>
        </w:rPr>
        <w:t>6</w:t>
      </w:r>
      <w:r w:rsidRPr="00583F4F" w:rsidR="00D267DA">
        <w:rPr>
          <w:sz w:val="24"/>
          <w:szCs w:val="24"/>
        </w:rPr>
        <w:t xml:space="preserve">) </w:t>
      </w:r>
      <w:r w:rsidRPr="00583F4F" w:rsidR="0095781F">
        <w:rPr>
          <w:sz w:val="24"/>
          <w:szCs w:val="24"/>
        </w:rPr>
        <w:t xml:space="preserve">workplace safety and </w:t>
      </w:r>
      <w:r w:rsidRPr="00583F4F" w:rsidR="00D267DA">
        <w:rPr>
          <w:sz w:val="24"/>
          <w:szCs w:val="24"/>
        </w:rPr>
        <w:t>reportin</w:t>
      </w:r>
      <w:r w:rsidR="004F436F">
        <w:rPr>
          <w:sz w:val="24"/>
          <w:szCs w:val="24"/>
        </w:rPr>
        <w:t>g</w:t>
      </w:r>
      <w:r w:rsidR="00F04485">
        <w:rPr>
          <w:sz w:val="24"/>
          <w:szCs w:val="24"/>
        </w:rPr>
        <w:t>;</w:t>
      </w:r>
      <w:r w:rsidR="008F1A24">
        <w:rPr>
          <w:sz w:val="24"/>
          <w:szCs w:val="24"/>
        </w:rPr>
        <w:t xml:space="preserve"> </w:t>
      </w:r>
      <w:r w:rsidR="00F04485">
        <w:rPr>
          <w:sz w:val="24"/>
          <w:szCs w:val="24"/>
        </w:rPr>
        <w:t xml:space="preserve">(7) work stress/burnout; and </w:t>
      </w:r>
      <w:r w:rsidR="008F1A24">
        <w:rPr>
          <w:sz w:val="24"/>
          <w:szCs w:val="24"/>
        </w:rPr>
        <w:t xml:space="preserve">(8) </w:t>
      </w:r>
      <w:r w:rsidR="00F04485">
        <w:rPr>
          <w:sz w:val="24"/>
          <w:szCs w:val="24"/>
        </w:rPr>
        <w:t>overall rating on workplace safety for staff.</w:t>
      </w:r>
      <w:r w:rsidRPr="002349E1" w:rsidR="00F32B38">
        <w:rPr>
          <w:sz w:val="24"/>
          <w:szCs w:val="24"/>
        </w:rPr>
        <w:t xml:space="preserve"> </w:t>
      </w:r>
      <w:r w:rsidRPr="002349E1">
        <w:rPr>
          <w:sz w:val="24"/>
          <w:szCs w:val="24"/>
        </w:rPr>
        <w:t>Listed</w:t>
      </w:r>
      <w:r w:rsidRPr="00D16324">
        <w:rPr>
          <w:sz w:val="24"/>
          <w:szCs w:val="24"/>
        </w:rPr>
        <w:t xml:space="preserve"> below is information on </w:t>
      </w:r>
      <w:r w:rsidR="00FF7F35">
        <w:rPr>
          <w:sz w:val="24"/>
          <w:szCs w:val="24"/>
        </w:rPr>
        <w:t>related</w:t>
      </w:r>
      <w:r w:rsidR="00B46CA1">
        <w:rPr>
          <w:sz w:val="24"/>
          <w:szCs w:val="24"/>
        </w:rPr>
        <w:t xml:space="preserve"> surveys that measure various</w:t>
      </w:r>
      <w:r w:rsidRPr="00D16324">
        <w:rPr>
          <w:sz w:val="24"/>
          <w:szCs w:val="24"/>
        </w:rPr>
        <w:t xml:space="preserve"> aspects of </w:t>
      </w:r>
      <w:r w:rsidR="00B74B86">
        <w:rPr>
          <w:sz w:val="24"/>
          <w:szCs w:val="24"/>
        </w:rPr>
        <w:t>workplace</w:t>
      </w:r>
      <w:r w:rsidRPr="00D16324" w:rsidR="00611BAB">
        <w:rPr>
          <w:sz w:val="24"/>
          <w:szCs w:val="24"/>
        </w:rPr>
        <w:t xml:space="preserve"> safety. </w:t>
      </w:r>
      <w:r w:rsidR="00016338">
        <w:rPr>
          <w:sz w:val="24"/>
          <w:szCs w:val="24"/>
        </w:rPr>
        <w:t xml:space="preserve">Among </w:t>
      </w:r>
      <w:r w:rsidR="00267C3C">
        <w:rPr>
          <w:sz w:val="24"/>
          <w:szCs w:val="24"/>
        </w:rPr>
        <w:t>the surveys found</w:t>
      </w:r>
      <w:r w:rsidR="00016338">
        <w:rPr>
          <w:sz w:val="24"/>
          <w:szCs w:val="24"/>
        </w:rPr>
        <w:t xml:space="preserve">, there is less information on leader/management support for </w:t>
      </w:r>
      <w:r w:rsidR="00B74B86">
        <w:rPr>
          <w:sz w:val="24"/>
          <w:szCs w:val="24"/>
        </w:rPr>
        <w:t>workplace</w:t>
      </w:r>
      <w:r w:rsidR="00016338">
        <w:rPr>
          <w:sz w:val="24"/>
          <w:szCs w:val="24"/>
        </w:rPr>
        <w:t xml:space="preserve"> safety, and </w:t>
      </w:r>
      <w:r w:rsidR="00FF7F35">
        <w:rPr>
          <w:sz w:val="24"/>
          <w:szCs w:val="24"/>
        </w:rPr>
        <w:t>reporting of hazards and incide</w:t>
      </w:r>
      <w:r w:rsidR="00016338">
        <w:rPr>
          <w:sz w:val="24"/>
          <w:szCs w:val="24"/>
        </w:rPr>
        <w:t xml:space="preserve">nts. </w:t>
      </w:r>
      <w:r w:rsidR="004F436F">
        <w:rPr>
          <w:sz w:val="24"/>
          <w:szCs w:val="24"/>
        </w:rPr>
        <w:t>T</w:t>
      </w:r>
      <w:r w:rsidRPr="00D16324">
        <w:rPr>
          <w:sz w:val="24"/>
          <w:szCs w:val="24"/>
        </w:rPr>
        <w:t xml:space="preserve">here is a </w:t>
      </w:r>
      <w:r w:rsidR="00C0148C">
        <w:rPr>
          <w:sz w:val="24"/>
          <w:szCs w:val="24"/>
        </w:rPr>
        <w:t>lack of</w:t>
      </w:r>
      <w:r w:rsidRPr="00D16324">
        <w:rPr>
          <w:sz w:val="24"/>
          <w:szCs w:val="24"/>
        </w:rPr>
        <w:t xml:space="preserve"> </w:t>
      </w:r>
      <w:r w:rsidR="00FC19F7">
        <w:rPr>
          <w:sz w:val="24"/>
          <w:szCs w:val="24"/>
        </w:rPr>
        <w:t xml:space="preserve">a </w:t>
      </w:r>
      <w:r w:rsidRPr="00D16324">
        <w:rPr>
          <w:sz w:val="24"/>
          <w:szCs w:val="24"/>
        </w:rPr>
        <w:t>validated staff survey</w:t>
      </w:r>
      <w:r w:rsidR="00FC19F7">
        <w:rPr>
          <w:sz w:val="24"/>
          <w:szCs w:val="24"/>
        </w:rPr>
        <w:t xml:space="preserve"> </w:t>
      </w:r>
      <w:r w:rsidRPr="00D16324" w:rsidR="00611BAB">
        <w:rPr>
          <w:sz w:val="24"/>
          <w:szCs w:val="24"/>
        </w:rPr>
        <w:t>with a focu</w:t>
      </w:r>
      <w:r w:rsidR="00FF7F35">
        <w:rPr>
          <w:sz w:val="24"/>
          <w:szCs w:val="24"/>
        </w:rPr>
        <w:t xml:space="preserve">s on </w:t>
      </w:r>
      <w:r w:rsidRPr="00D16324" w:rsidR="00611BAB">
        <w:rPr>
          <w:sz w:val="24"/>
          <w:szCs w:val="24"/>
        </w:rPr>
        <w:t>organizational culture</w:t>
      </w:r>
      <w:r w:rsidR="00B46CA1">
        <w:rPr>
          <w:sz w:val="24"/>
          <w:szCs w:val="24"/>
        </w:rPr>
        <w:t>, rather than compliance with regulations,</w:t>
      </w:r>
      <w:r w:rsidRPr="00D16324" w:rsidR="00611BAB">
        <w:rPr>
          <w:sz w:val="24"/>
          <w:szCs w:val="24"/>
        </w:rPr>
        <w:t xml:space="preserve"> </w:t>
      </w:r>
      <w:r w:rsidR="00FF7F35">
        <w:rPr>
          <w:sz w:val="24"/>
          <w:szCs w:val="24"/>
        </w:rPr>
        <w:t xml:space="preserve">that </w:t>
      </w:r>
      <w:r w:rsidRPr="00D16324">
        <w:rPr>
          <w:sz w:val="24"/>
          <w:szCs w:val="24"/>
        </w:rPr>
        <w:t>address</w:t>
      </w:r>
      <w:r w:rsidR="00FC19F7">
        <w:rPr>
          <w:sz w:val="24"/>
          <w:szCs w:val="24"/>
        </w:rPr>
        <w:t>es</w:t>
      </w:r>
      <w:r w:rsidRPr="00D16324">
        <w:rPr>
          <w:sz w:val="24"/>
          <w:szCs w:val="24"/>
        </w:rPr>
        <w:t xml:space="preserve"> all of the</w:t>
      </w:r>
      <w:r w:rsidR="00F32B38">
        <w:rPr>
          <w:sz w:val="24"/>
          <w:szCs w:val="24"/>
        </w:rPr>
        <w:t>se</w:t>
      </w:r>
      <w:r w:rsidRPr="00D16324">
        <w:rPr>
          <w:sz w:val="24"/>
          <w:szCs w:val="24"/>
        </w:rPr>
        <w:t xml:space="preserve"> relevant </w:t>
      </w:r>
      <w:r w:rsidR="00FF7F35">
        <w:rPr>
          <w:sz w:val="24"/>
          <w:szCs w:val="24"/>
        </w:rPr>
        <w:t>areas for use</w:t>
      </w:r>
      <w:r w:rsidRPr="00D16324" w:rsidR="00611BAB">
        <w:rPr>
          <w:sz w:val="24"/>
          <w:szCs w:val="24"/>
        </w:rPr>
        <w:t xml:space="preserve"> in </w:t>
      </w:r>
      <w:r w:rsidR="003F66D9">
        <w:rPr>
          <w:sz w:val="24"/>
          <w:szCs w:val="24"/>
        </w:rPr>
        <w:t>the nursing home</w:t>
      </w:r>
      <w:r w:rsidR="00B46CA1">
        <w:rPr>
          <w:sz w:val="24"/>
          <w:szCs w:val="24"/>
        </w:rPr>
        <w:t xml:space="preserve"> setting, succinctly captured in one, </w:t>
      </w:r>
      <w:r w:rsidRPr="00D16324" w:rsidR="00611BAB">
        <w:rPr>
          <w:sz w:val="24"/>
          <w:szCs w:val="24"/>
        </w:rPr>
        <w:t xml:space="preserve">brief instrument. </w:t>
      </w:r>
    </w:p>
    <w:p w:rsidRPr="00D16324" w:rsidR="00611BAB" w:rsidP="00CB51D9" w:rsidRDefault="00611BAB" w14:paraId="53E41175" w14:textId="58C75477">
      <w:pPr>
        <w:pStyle w:val="ListParagraph"/>
        <w:ind w:left="0"/>
        <w:rPr>
          <w:sz w:val="24"/>
          <w:szCs w:val="24"/>
        </w:rPr>
      </w:pPr>
    </w:p>
    <w:p w:rsidRPr="008D0A0A" w:rsidR="00551845" w:rsidP="00551845" w:rsidRDefault="00551845" w14:paraId="0A2DB095" w14:textId="77777777">
      <w:pPr>
        <w:pStyle w:val="ListParagraph"/>
        <w:ind w:left="0"/>
        <w:rPr>
          <w:b/>
          <w:sz w:val="24"/>
          <w:szCs w:val="24"/>
        </w:rPr>
      </w:pPr>
      <w:r w:rsidRPr="008D0A0A">
        <w:rPr>
          <w:b/>
          <w:sz w:val="24"/>
          <w:szCs w:val="24"/>
        </w:rPr>
        <w:t>Exposure to Workplace Hazards</w:t>
      </w:r>
    </w:p>
    <w:p w:rsidR="00551845" w:rsidP="00551845" w:rsidRDefault="00551845" w14:paraId="1FD619E2" w14:textId="42EF613B">
      <w:pPr>
        <w:pStyle w:val="ListParagraph"/>
        <w:ind w:left="0"/>
        <w:rPr>
          <w:sz w:val="24"/>
          <w:szCs w:val="24"/>
        </w:rPr>
      </w:pPr>
      <w:r w:rsidRPr="004D5032">
        <w:rPr>
          <w:sz w:val="24"/>
          <w:szCs w:val="24"/>
        </w:rPr>
        <w:t xml:space="preserve">The </w:t>
      </w:r>
      <w:r w:rsidRPr="004D5032">
        <w:rPr>
          <w:i/>
          <w:sz w:val="24"/>
          <w:szCs w:val="24"/>
        </w:rPr>
        <w:t>Health and Safety Practices Survey of Healthcare Workers</w:t>
      </w:r>
      <w:r w:rsidR="008527B1">
        <w:rPr>
          <w:rStyle w:val="EndnoteReference"/>
          <w:i/>
          <w:sz w:val="24"/>
          <w:szCs w:val="24"/>
        </w:rPr>
        <w:endnoteReference w:id="11"/>
      </w:r>
      <w:r w:rsidRPr="00B50B66">
        <w:rPr>
          <w:sz w:val="24"/>
          <w:szCs w:val="24"/>
        </w:rPr>
        <w:t xml:space="preserve"> consists of one screener survey; one core survey; and seven module surveys, which each focus on a different type of exposure, such as aerosolized medication and surgical smoke. The core survey is 65 items and includes questions about exposure experiences with specific chemical agents and other hazardous materials. Because of the specificity of the questions, the survey </w:t>
      </w:r>
      <w:r>
        <w:rPr>
          <w:sz w:val="24"/>
          <w:szCs w:val="24"/>
        </w:rPr>
        <w:t>is not as widely applicable as the AHRQ workplace s</w:t>
      </w:r>
      <w:r w:rsidRPr="00B50B66">
        <w:rPr>
          <w:sz w:val="24"/>
          <w:szCs w:val="24"/>
        </w:rPr>
        <w:t>afety supplemental items will aim to be.</w:t>
      </w:r>
    </w:p>
    <w:p w:rsidR="00551845" w:rsidP="00551845" w:rsidRDefault="00551845" w14:paraId="73ABAFB7" w14:textId="77777777">
      <w:pPr>
        <w:pStyle w:val="ListParagraph"/>
        <w:ind w:left="0"/>
        <w:rPr>
          <w:sz w:val="24"/>
          <w:szCs w:val="24"/>
        </w:rPr>
      </w:pPr>
    </w:p>
    <w:p w:rsidRPr="00B50B66" w:rsidR="00551845" w:rsidP="00551845" w:rsidRDefault="00551845" w14:paraId="1C80FDAA" w14:textId="092E20B5">
      <w:pPr>
        <w:pStyle w:val="ListParagraph"/>
        <w:ind w:left="0"/>
        <w:rPr>
          <w:sz w:val="24"/>
          <w:szCs w:val="24"/>
        </w:rPr>
      </w:pPr>
      <w:r>
        <w:rPr>
          <w:sz w:val="24"/>
          <w:szCs w:val="24"/>
        </w:rPr>
        <w:t>Peterson, et al</w:t>
      </w:r>
      <w:r>
        <w:rPr>
          <w:rStyle w:val="EndnoteReference"/>
          <w:sz w:val="24"/>
          <w:szCs w:val="24"/>
        </w:rPr>
        <w:endnoteReference w:id="12"/>
      </w:r>
      <w:r>
        <w:rPr>
          <w:sz w:val="24"/>
          <w:szCs w:val="24"/>
        </w:rPr>
        <w:t xml:space="preserve"> included questions that focused on management commitment to safety, management feedback on safety procedures, coworker safety norms, worker involvement in health and safety issues, and worker training. In a report by the U.S. Bureau of Reclamation</w:t>
      </w:r>
      <w:r>
        <w:rPr>
          <w:rStyle w:val="EndnoteReference"/>
          <w:sz w:val="24"/>
          <w:szCs w:val="24"/>
        </w:rPr>
        <w:endnoteReference w:id="13"/>
      </w:r>
      <w:r>
        <w:rPr>
          <w:sz w:val="24"/>
          <w:szCs w:val="24"/>
        </w:rPr>
        <w:t xml:space="preserve">, several items were included to measure worker safety perceptions. </w:t>
      </w:r>
      <w:r w:rsidR="007D4AAE">
        <w:rPr>
          <w:sz w:val="24"/>
          <w:szCs w:val="24"/>
        </w:rPr>
        <w:t xml:space="preserve">Several of these questions are specifically focused on correct use of respirators.  Others are more general and ask about management and health and safety issues. These items are more </w:t>
      </w:r>
      <w:r>
        <w:rPr>
          <w:sz w:val="24"/>
          <w:szCs w:val="24"/>
        </w:rPr>
        <w:t>similar to questions that may be included in the proposed AHRQ Nursing Home Workplace Safety supplemental item set, but</w:t>
      </w:r>
      <w:r w:rsidR="007D4AAE">
        <w:rPr>
          <w:sz w:val="24"/>
          <w:szCs w:val="24"/>
        </w:rPr>
        <w:t xml:space="preserve"> focus on health and safety versus just safety. Finally,</w:t>
      </w:r>
      <w:r>
        <w:rPr>
          <w:sz w:val="24"/>
          <w:szCs w:val="24"/>
        </w:rPr>
        <w:t xml:space="preserve"> these items did not include all the topics on workplace safety we intend to capture.  </w:t>
      </w:r>
    </w:p>
    <w:p w:rsidR="00551845" w:rsidP="00D16324" w:rsidRDefault="00551845" w14:paraId="2B79D5DD" w14:textId="25F31AD5">
      <w:pPr>
        <w:pStyle w:val="ListParagraph"/>
        <w:ind w:left="0"/>
        <w:rPr>
          <w:sz w:val="24"/>
          <w:szCs w:val="24"/>
        </w:rPr>
      </w:pPr>
    </w:p>
    <w:p w:rsidRPr="008D0A0A" w:rsidR="008D0A0A" w:rsidP="008D0A0A" w:rsidRDefault="008D0A0A" w14:paraId="52C722BF" w14:textId="566F7038">
      <w:pPr>
        <w:rPr>
          <w:b/>
          <w:sz w:val="24"/>
        </w:rPr>
      </w:pPr>
      <w:r w:rsidRPr="008D0A0A">
        <w:rPr>
          <w:b/>
          <w:sz w:val="24"/>
        </w:rPr>
        <w:t>Workplace Violence Surveys</w:t>
      </w:r>
    </w:p>
    <w:p w:rsidR="008D0A0A" w:rsidP="008D0A0A" w:rsidRDefault="008D0A0A" w14:paraId="3C8CE1D6" w14:textId="7C3C6B00">
      <w:pPr>
        <w:rPr>
          <w:sz w:val="24"/>
        </w:rPr>
      </w:pPr>
      <w:r w:rsidRPr="00C179E4">
        <w:rPr>
          <w:sz w:val="24"/>
        </w:rPr>
        <w:t>There are many publications and surveys</w:t>
      </w:r>
      <w:r w:rsidRPr="00C179E4">
        <w:rPr>
          <w:rStyle w:val="EndnoteReference"/>
          <w:sz w:val="24"/>
        </w:rPr>
        <w:endnoteReference w:id="14"/>
      </w:r>
      <w:r w:rsidRPr="000F7BED">
        <w:rPr>
          <w:sz w:val="24"/>
          <w:vertAlign w:val="superscript"/>
        </w:rPr>
        <w:t>,</w:t>
      </w:r>
      <w:r>
        <w:rPr>
          <w:rStyle w:val="EndnoteReference"/>
          <w:sz w:val="24"/>
        </w:rPr>
        <w:endnoteReference w:id="15"/>
      </w:r>
      <w:r w:rsidRPr="000F7BED">
        <w:rPr>
          <w:sz w:val="24"/>
          <w:vertAlign w:val="superscript"/>
        </w:rPr>
        <w:t>,</w:t>
      </w:r>
      <w:r>
        <w:rPr>
          <w:rStyle w:val="EndnoteReference"/>
          <w:sz w:val="24"/>
        </w:rPr>
        <w:endnoteReference w:id="16"/>
      </w:r>
      <w:r>
        <w:rPr>
          <w:sz w:val="24"/>
          <w:vertAlign w:val="superscript"/>
        </w:rPr>
        <w:t>,</w:t>
      </w:r>
      <w:r>
        <w:rPr>
          <w:rStyle w:val="EndnoteReference"/>
          <w:sz w:val="24"/>
        </w:rPr>
        <w:endnoteReference w:id="17"/>
      </w:r>
      <w:r>
        <w:rPr>
          <w:sz w:val="24"/>
          <w:vertAlign w:val="superscript"/>
        </w:rPr>
        <w:t>,</w:t>
      </w:r>
      <w:r>
        <w:rPr>
          <w:rStyle w:val="EndnoteReference"/>
          <w:sz w:val="24"/>
        </w:rPr>
        <w:endnoteReference w:id="18"/>
      </w:r>
      <w:r>
        <w:rPr>
          <w:sz w:val="24"/>
        </w:rPr>
        <w:t xml:space="preserve"> </w:t>
      </w:r>
      <w:r w:rsidRPr="00C179E4">
        <w:rPr>
          <w:sz w:val="24"/>
        </w:rPr>
        <w:t xml:space="preserve">on workplace violence that measure specific incidences of physical, verbal, psychological, or sexual violence. However, none of </w:t>
      </w:r>
      <w:r w:rsidR="00023476">
        <w:rPr>
          <w:sz w:val="24"/>
        </w:rPr>
        <w:t xml:space="preserve">these </w:t>
      </w:r>
      <w:r w:rsidRPr="00C179E4">
        <w:rPr>
          <w:sz w:val="24"/>
        </w:rPr>
        <w:t>focused on the culture</w:t>
      </w:r>
      <w:r>
        <w:rPr>
          <w:sz w:val="24"/>
        </w:rPr>
        <w:t xml:space="preserve"> around healthcare workplace violence. Some had questions related to reporting or training, but they did not capture the workplace culture that could impact either of those elements.</w:t>
      </w:r>
    </w:p>
    <w:p w:rsidR="008D0A0A" w:rsidP="008D0A0A" w:rsidRDefault="008D0A0A" w14:paraId="03C0B087" w14:textId="77777777">
      <w:pPr>
        <w:rPr>
          <w:sz w:val="24"/>
        </w:rPr>
      </w:pPr>
    </w:p>
    <w:p w:rsidR="008D0A0A" w:rsidP="008D0A0A" w:rsidRDefault="008D0A0A" w14:paraId="1240E018" w14:textId="6FF54E41">
      <w:pPr>
        <w:rPr>
          <w:sz w:val="24"/>
        </w:rPr>
      </w:pPr>
      <w:r w:rsidRPr="00A86EC0">
        <w:rPr>
          <w:sz w:val="24"/>
        </w:rPr>
        <w:t xml:space="preserve">The </w:t>
      </w:r>
      <w:r w:rsidRPr="00691D27">
        <w:rPr>
          <w:i/>
          <w:sz w:val="24"/>
        </w:rPr>
        <w:t>NY State Workplace Violence Prevention Program Guidelines</w:t>
      </w:r>
      <w:r>
        <w:rPr>
          <w:rStyle w:val="EndnoteReference"/>
          <w:sz w:val="24"/>
        </w:rPr>
        <w:endnoteReference w:id="19"/>
      </w:r>
      <w:r w:rsidRPr="00A86EC0">
        <w:rPr>
          <w:sz w:val="24"/>
        </w:rPr>
        <w:t xml:space="preserve"> included a list of sample questions that did touch on some culture aspects</w:t>
      </w:r>
      <w:r>
        <w:rPr>
          <w:sz w:val="24"/>
        </w:rPr>
        <w:t xml:space="preserve"> (via yes/no response option)</w:t>
      </w:r>
      <w:r w:rsidRPr="00B417E0">
        <w:rPr>
          <w:sz w:val="24"/>
        </w:rPr>
        <w:t>, however, the questions were limited to violence only while the proposed item set intends to cover more topic</w:t>
      </w:r>
      <w:r>
        <w:rPr>
          <w:sz w:val="24"/>
        </w:rPr>
        <w:t>s</w:t>
      </w:r>
      <w:r w:rsidRPr="00B417E0">
        <w:rPr>
          <w:sz w:val="24"/>
        </w:rPr>
        <w:t xml:space="preserve">. </w:t>
      </w:r>
      <w:r w:rsidR="007D4AAE">
        <w:rPr>
          <w:sz w:val="24"/>
        </w:rPr>
        <w:t xml:space="preserve">Further, we have heard from experts that violence and/or aggression are not the appropriate </w:t>
      </w:r>
      <w:r w:rsidR="007D4AAE">
        <w:rPr>
          <w:sz w:val="24"/>
        </w:rPr>
        <w:lastRenderedPageBreak/>
        <w:t>terms when referring to behaviors from nursing home residents, as it puts intent in their actions, when these behaviors are often due to dementia or confusion.</w:t>
      </w:r>
      <w:r>
        <w:rPr>
          <w:sz w:val="24"/>
        </w:rPr>
        <w:t xml:space="preserve"> </w:t>
      </w:r>
    </w:p>
    <w:p w:rsidR="008D0A0A" w:rsidP="008D0A0A" w:rsidRDefault="008D0A0A" w14:paraId="5A9D1F2B" w14:textId="76C560F5">
      <w:pPr>
        <w:rPr>
          <w:sz w:val="24"/>
          <w:szCs w:val="24"/>
        </w:rPr>
      </w:pPr>
    </w:p>
    <w:p w:rsidRPr="008D0A0A" w:rsidR="008D0A0A" w:rsidP="008D0A0A" w:rsidRDefault="008D0A0A" w14:paraId="58C1967A" w14:textId="77777777">
      <w:pPr>
        <w:pStyle w:val="ListParagraph"/>
        <w:ind w:left="0"/>
        <w:rPr>
          <w:b/>
          <w:sz w:val="24"/>
          <w:szCs w:val="24"/>
        </w:rPr>
      </w:pPr>
      <w:r w:rsidRPr="008D0A0A">
        <w:rPr>
          <w:b/>
          <w:sz w:val="24"/>
          <w:szCs w:val="24"/>
        </w:rPr>
        <w:t>Work Stress/Burnout</w:t>
      </w:r>
    </w:p>
    <w:p w:rsidRPr="0070770A" w:rsidR="008D0A0A" w:rsidP="008D0A0A" w:rsidRDefault="00023476" w14:paraId="15B6A8B4" w14:textId="26EAEDE2">
      <w:pPr>
        <w:pStyle w:val="ListParagraph"/>
        <w:ind w:left="0"/>
        <w:rPr>
          <w:sz w:val="24"/>
          <w:szCs w:val="24"/>
        </w:rPr>
      </w:pPr>
      <w:r>
        <w:rPr>
          <w:sz w:val="24"/>
          <w:szCs w:val="24"/>
        </w:rPr>
        <w:t xml:space="preserve">Several surveys </w:t>
      </w:r>
      <w:r w:rsidR="008D0A0A">
        <w:rPr>
          <w:sz w:val="24"/>
          <w:szCs w:val="24"/>
        </w:rPr>
        <w:t xml:space="preserve">assess burnout and stress among healthcare workers. We reviewed the </w:t>
      </w:r>
      <w:r w:rsidRPr="00691D27" w:rsidR="008D0A0A">
        <w:rPr>
          <w:i/>
          <w:sz w:val="24"/>
          <w:szCs w:val="24"/>
        </w:rPr>
        <w:t>Mini Z Burnout Survey</w:t>
      </w:r>
      <w:r w:rsidR="008D0A0A">
        <w:rPr>
          <w:rStyle w:val="EndnoteReference"/>
          <w:sz w:val="24"/>
          <w:szCs w:val="24"/>
        </w:rPr>
        <w:endnoteReference w:id="20"/>
      </w:r>
      <w:r w:rsidR="008D0A0A">
        <w:rPr>
          <w:sz w:val="24"/>
          <w:szCs w:val="24"/>
        </w:rPr>
        <w:t xml:space="preserve">, </w:t>
      </w:r>
      <w:r w:rsidRPr="00691D27" w:rsidR="008D0A0A">
        <w:rPr>
          <w:i/>
          <w:sz w:val="24"/>
          <w:szCs w:val="24"/>
        </w:rPr>
        <w:t>Maslach Burnout Inventory</w:t>
      </w:r>
      <w:r w:rsidR="008D0A0A">
        <w:rPr>
          <w:rStyle w:val="EndnoteReference"/>
          <w:sz w:val="24"/>
          <w:szCs w:val="24"/>
        </w:rPr>
        <w:endnoteReference w:id="21"/>
      </w:r>
      <w:r w:rsidR="008D0A0A">
        <w:rPr>
          <w:sz w:val="24"/>
          <w:szCs w:val="24"/>
        </w:rPr>
        <w:t xml:space="preserve">, </w:t>
      </w:r>
      <w:r w:rsidRPr="00691D27" w:rsidR="008D0A0A">
        <w:rPr>
          <w:i/>
          <w:sz w:val="24"/>
          <w:szCs w:val="24"/>
        </w:rPr>
        <w:t>Nursing Occupational Stressor Scale (NOSS)</w:t>
      </w:r>
      <w:r w:rsidR="008D0A0A">
        <w:rPr>
          <w:rStyle w:val="EndnoteReference"/>
          <w:sz w:val="24"/>
          <w:szCs w:val="24"/>
        </w:rPr>
        <w:endnoteReference w:id="22"/>
      </w:r>
      <w:r w:rsidR="008D0A0A">
        <w:rPr>
          <w:sz w:val="24"/>
          <w:szCs w:val="24"/>
        </w:rPr>
        <w:t xml:space="preserve">, </w:t>
      </w:r>
      <w:r w:rsidRPr="00691D27" w:rsidR="008D0A0A">
        <w:rPr>
          <w:i/>
          <w:sz w:val="24"/>
          <w:szCs w:val="24"/>
        </w:rPr>
        <w:t>Job Stress Scale</w:t>
      </w:r>
      <w:r w:rsidR="008D0A0A">
        <w:rPr>
          <w:rStyle w:val="EndnoteReference"/>
          <w:sz w:val="24"/>
          <w:szCs w:val="24"/>
        </w:rPr>
        <w:endnoteReference w:id="23"/>
      </w:r>
      <w:r w:rsidR="008D0A0A">
        <w:rPr>
          <w:sz w:val="24"/>
          <w:szCs w:val="24"/>
        </w:rPr>
        <w:t xml:space="preserve">, and </w:t>
      </w:r>
      <w:r w:rsidRPr="00691D27" w:rsidR="008D0A0A">
        <w:rPr>
          <w:i/>
          <w:sz w:val="24"/>
          <w:szCs w:val="24"/>
        </w:rPr>
        <w:t>American Psychological Association Workplace Survey</w:t>
      </w:r>
      <w:r w:rsidR="008D0A0A">
        <w:rPr>
          <w:rStyle w:val="EndnoteReference"/>
          <w:sz w:val="24"/>
          <w:szCs w:val="24"/>
        </w:rPr>
        <w:endnoteReference w:id="24"/>
      </w:r>
      <w:r w:rsidR="008D0A0A">
        <w:rPr>
          <w:sz w:val="24"/>
          <w:szCs w:val="24"/>
        </w:rPr>
        <w:t xml:space="preserve">. While all of these surveys measure burnout or stress, they do not include questions on the breadth of topics that the AHRQ SOPS Nursing Home Workplace Safety item set will measure. We have adapted a single </w:t>
      </w:r>
      <w:r w:rsidR="00AC26C4">
        <w:rPr>
          <w:sz w:val="24"/>
          <w:szCs w:val="24"/>
        </w:rPr>
        <w:t xml:space="preserve">item validated measure </w:t>
      </w:r>
      <w:r w:rsidR="008D0A0A">
        <w:rPr>
          <w:sz w:val="24"/>
          <w:szCs w:val="24"/>
        </w:rPr>
        <w:t xml:space="preserve">from the Mini Z to use in the item set to assess work stress and burnout with permission from the survey developer.  </w:t>
      </w:r>
    </w:p>
    <w:p w:rsidR="008D0A0A" w:rsidP="00D16324" w:rsidRDefault="008D0A0A" w14:paraId="10850AF1" w14:textId="77777777">
      <w:pPr>
        <w:pStyle w:val="ListParagraph"/>
        <w:ind w:left="0"/>
        <w:rPr>
          <w:sz w:val="24"/>
          <w:szCs w:val="24"/>
        </w:rPr>
      </w:pPr>
    </w:p>
    <w:p w:rsidRPr="008D0A0A" w:rsidR="008D0A0A" w:rsidP="008D0A0A" w:rsidRDefault="00DA22DA" w14:paraId="64C18A0C" w14:textId="6E0C15AD">
      <w:pPr>
        <w:rPr>
          <w:b/>
          <w:color w:val="000000" w:themeColor="text1"/>
          <w:sz w:val="24"/>
        </w:rPr>
      </w:pPr>
      <w:r>
        <w:rPr>
          <w:b/>
          <w:color w:val="000000" w:themeColor="text1"/>
          <w:sz w:val="24"/>
        </w:rPr>
        <w:t xml:space="preserve">Other </w:t>
      </w:r>
      <w:r w:rsidRPr="008D0A0A" w:rsidR="008D0A0A">
        <w:rPr>
          <w:b/>
          <w:color w:val="000000" w:themeColor="text1"/>
          <w:sz w:val="24"/>
        </w:rPr>
        <w:t xml:space="preserve">Components of Workplace Safety Surveys </w:t>
      </w:r>
    </w:p>
    <w:p w:rsidR="008D0A0A" w:rsidP="008D0A0A" w:rsidRDefault="008D0A0A" w14:paraId="6FD9ED23" w14:textId="49A966B7">
      <w:pPr>
        <w:rPr>
          <w:color w:val="000000" w:themeColor="text1"/>
          <w:sz w:val="24"/>
        </w:rPr>
      </w:pPr>
      <w:r w:rsidRPr="00446237">
        <w:rPr>
          <w:color w:val="000000" w:themeColor="text1"/>
          <w:sz w:val="24"/>
        </w:rPr>
        <w:t xml:space="preserve">Two surveys, the </w:t>
      </w:r>
      <w:r w:rsidRPr="00691D27">
        <w:rPr>
          <w:i/>
          <w:color w:val="000000" w:themeColor="text1"/>
          <w:sz w:val="24"/>
        </w:rPr>
        <w:t>NDNQI RN Survey with Practice Environment Scale</w:t>
      </w:r>
      <w:r w:rsidRPr="00446237">
        <w:rPr>
          <w:rStyle w:val="EndnoteReference"/>
          <w:color w:val="000000" w:themeColor="text1"/>
          <w:sz w:val="24"/>
        </w:rPr>
        <w:endnoteReference w:id="25"/>
      </w:r>
      <w:r w:rsidRPr="00446237">
        <w:rPr>
          <w:color w:val="000000" w:themeColor="text1"/>
          <w:sz w:val="24"/>
        </w:rPr>
        <w:t xml:space="preserve"> and the </w:t>
      </w:r>
      <w:r w:rsidRPr="00691D27">
        <w:rPr>
          <w:i/>
          <w:color w:val="000000" w:themeColor="text1"/>
          <w:sz w:val="24"/>
        </w:rPr>
        <w:t>Safe Patient Handling Staff Assessment Survey</w:t>
      </w:r>
      <w:r w:rsidRPr="00446237">
        <w:rPr>
          <w:rStyle w:val="EndnoteReference"/>
          <w:color w:val="000000" w:themeColor="text1"/>
          <w:sz w:val="24"/>
        </w:rPr>
        <w:endnoteReference w:id="26"/>
      </w:r>
      <w:r w:rsidRPr="00446237">
        <w:rPr>
          <w:color w:val="000000" w:themeColor="text1"/>
          <w:sz w:val="24"/>
        </w:rPr>
        <w:t xml:space="preserve">, both measure safe patient handling. The NDNQI survey asked about a specific program, the Safe Patient Handling and Mobility program. The wording for these items </w:t>
      </w:r>
      <w:r>
        <w:rPr>
          <w:color w:val="000000" w:themeColor="text1"/>
          <w:sz w:val="24"/>
        </w:rPr>
        <w:t>is</w:t>
      </w:r>
      <w:r w:rsidRPr="00446237">
        <w:rPr>
          <w:color w:val="000000" w:themeColor="text1"/>
          <w:sz w:val="24"/>
        </w:rPr>
        <w:t xml:space="preserve"> too complex or specific to be used in the </w:t>
      </w:r>
      <w:r>
        <w:rPr>
          <w:color w:val="000000" w:themeColor="text1"/>
          <w:sz w:val="24"/>
        </w:rPr>
        <w:t>AHRQ Nursing Home Workplace</w:t>
      </w:r>
      <w:r w:rsidRPr="00446237">
        <w:rPr>
          <w:color w:val="000000" w:themeColor="text1"/>
          <w:sz w:val="24"/>
        </w:rPr>
        <w:t xml:space="preserve"> </w:t>
      </w:r>
      <w:r>
        <w:rPr>
          <w:color w:val="000000" w:themeColor="text1"/>
          <w:sz w:val="24"/>
        </w:rPr>
        <w:t>S</w:t>
      </w:r>
      <w:r w:rsidRPr="00446237">
        <w:rPr>
          <w:color w:val="000000" w:themeColor="text1"/>
          <w:sz w:val="24"/>
        </w:rPr>
        <w:t xml:space="preserve">afety item set. The </w:t>
      </w:r>
      <w:r w:rsidRPr="00691D27">
        <w:rPr>
          <w:i/>
          <w:color w:val="000000" w:themeColor="text1"/>
          <w:sz w:val="24"/>
        </w:rPr>
        <w:t>Safe Patient Handling Staff Assessment Survey</w:t>
      </w:r>
      <w:r w:rsidRPr="00446237">
        <w:rPr>
          <w:color w:val="000000" w:themeColor="text1"/>
          <w:sz w:val="24"/>
        </w:rPr>
        <w:t xml:space="preserve"> is a collection of generally worded items questions on injury/incident reporting, safe patient handling training, and equipment availability. </w:t>
      </w:r>
      <w:r>
        <w:rPr>
          <w:color w:val="000000" w:themeColor="text1"/>
          <w:sz w:val="24"/>
        </w:rPr>
        <w:t>While these items could be adapted and tailored to the nursing home setting</w:t>
      </w:r>
      <w:r w:rsidR="007D4AAE">
        <w:rPr>
          <w:color w:val="000000" w:themeColor="text1"/>
          <w:sz w:val="24"/>
        </w:rPr>
        <w:t>; they are not directly applicable. Further</w:t>
      </w:r>
      <w:r>
        <w:rPr>
          <w:color w:val="000000" w:themeColor="text1"/>
          <w:sz w:val="24"/>
        </w:rPr>
        <w:t xml:space="preserve">, these surveys were limited in measuring safe patient handling.  </w:t>
      </w:r>
    </w:p>
    <w:p w:rsidR="008D0A0A" w:rsidP="008D0A0A" w:rsidRDefault="008D0A0A" w14:paraId="166B3E72" w14:textId="77777777">
      <w:pPr>
        <w:rPr>
          <w:color w:val="000000" w:themeColor="text1"/>
          <w:sz w:val="24"/>
        </w:rPr>
      </w:pPr>
    </w:p>
    <w:p w:rsidR="008D0A0A" w:rsidP="008D0A0A" w:rsidRDefault="008D0A0A" w14:paraId="29ECC22C" w14:textId="3F5B41E5">
      <w:pPr>
        <w:pStyle w:val="ListParagraph"/>
        <w:ind w:left="0"/>
        <w:rPr>
          <w:sz w:val="24"/>
          <w:szCs w:val="24"/>
        </w:rPr>
      </w:pPr>
      <w:r w:rsidRPr="004D5032">
        <w:rPr>
          <w:sz w:val="24"/>
          <w:szCs w:val="24"/>
        </w:rPr>
        <w:t xml:space="preserve">The Civil Money Penalty Reinvestment Program (CMPRP) and the Centers for Medicare and Medicaid Services (CMS) collaborated to develop the </w:t>
      </w:r>
      <w:r w:rsidRPr="004D5032">
        <w:rPr>
          <w:i/>
          <w:sz w:val="24"/>
          <w:szCs w:val="24"/>
        </w:rPr>
        <w:t>Nursing Home Employee Satisfaction Survey</w:t>
      </w:r>
      <w:r>
        <w:rPr>
          <w:rStyle w:val="EndnoteReference"/>
          <w:i/>
          <w:sz w:val="24"/>
          <w:szCs w:val="24"/>
        </w:rPr>
        <w:endnoteReference w:id="27"/>
      </w:r>
      <w:r>
        <w:rPr>
          <w:i/>
          <w:sz w:val="24"/>
          <w:szCs w:val="24"/>
        </w:rPr>
        <w:t>.</w:t>
      </w:r>
      <w:r w:rsidRPr="004D5032">
        <w:rPr>
          <w:i/>
          <w:sz w:val="24"/>
          <w:szCs w:val="24"/>
        </w:rPr>
        <w:t xml:space="preserve"> </w:t>
      </w:r>
      <w:r w:rsidRPr="00D0311F">
        <w:rPr>
          <w:sz w:val="24"/>
          <w:szCs w:val="24"/>
        </w:rPr>
        <w:t xml:space="preserve">The survey is a </w:t>
      </w:r>
      <w:r>
        <w:rPr>
          <w:sz w:val="24"/>
          <w:szCs w:val="24"/>
        </w:rPr>
        <w:t>38-item scale t</w:t>
      </w:r>
      <w:r w:rsidRPr="004D5032">
        <w:rPr>
          <w:sz w:val="24"/>
          <w:szCs w:val="24"/>
        </w:rPr>
        <w:t xml:space="preserve">hat measures </w:t>
      </w:r>
      <w:r>
        <w:rPr>
          <w:sz w:val="24"/>
          <w:szCs w:val="24"/>
        </w:rPr>
        <w:t xml:space="preserve">employee satisfaction across four topic areas: job satisfaction; team building communication; scheduling and staffing training; and management and leadership. </w:t>
      </w:r>
      <w:r w:rsidR="007D4AAE">
        <w:rPr>
          <w:sz w:val="24"/>
          <w:szCs w:val="24"/>
        </w:rPr>
        <w:t>One</w:t>
      </w:r>
      <w:r>
        <w:rPr>
          <w:sz w:val="24"/>
          <w:szCs w:val="24"/>
        </w:rPr>
        <w:t xml:space="preserve"> survey </w:t>
      </w:r>
      <w:r w:rsidR="007D4AAE">
        <w:rPr>
          <w:sz w:val="24"/>
          <w:szCs w:val="24"/>
        </w:rPr>
        <w:t xml:space="preserve">item measures an aspect of </w:t>
      </w:r>
      <w:r>
        <w:rPr>
          <w:sz w:val="24"/>
          <w:szCs w:val="24"/>
        </w:rPr>
        <w:t xml:space="preserve">workplace safety (My workplace is safe and well maintained) </w:t>
      </w:r>
      <w:r w:rsidR="007D4AAE">
        <w:rPr>
          <w:sz w:val="24"/>
          <w:szCs w:val="24"/>
        </w:rPr>
        <w:t xml:space="preserve">however is double barreled asking about if it is safe and if it is well-maintained. Further, </w:t>
      </w:r>
      <w:r>
        <w:rPr>
          <w:sz w:val="24"/>
          <w:szCs w:val="24"/>
        </w:rPr>
        <w:t xml:space="preserve">the </w:t>
      </w:r>
      <w:r w:rsidRPr="00B417E0">
        <w:rPr>
          <w:sz w:val="24"/>
        </w:rPr>
        <w:t xml:space="preserve">proposed </w:t>
      </w:r>
      <w:r>
        <w:rPr>
          <w:sz w:val="24"/>
        </w:rPr>
        <w:t xml:space="preserve">supplemental </w:t>
      </w:r>
      <w:r w:rsidRPr="00B417E0">
        <w:rPr>
          <w:sz w:val="24"/>
        </w:rPr>
        <w:t>item set intends to cover more topic</w:t>
      </w:r>
      <w:r>
        <w:rPr>
          <w:sz w:val="24"/>
        </w:rPr>
        <w:t>s.</w:t>
      </w:r>
      <w:r>
        <w:rPr>
          <w:sz w:val="24"/>
          <w:szCs w:val="24"/>
        </w:rPr>
        <w:t xml:space="preserve">  </w:t>
      </w:r>
    </w:p>
    <w:p w:rsidR="008D0A0A" w:rsidP="008D0A0A" w:rsidRDefault="008D0A0A" w14:paraId="48359970" w14:textId="77777777">
      <w:pPr>
        <w:pStyle w:val="ListParagraph"/>
        <w:ind w:left="0"/>
        <w:rPr>
          <w:sz w:val="24"/>
          <w:szCs w:val="24"/>
        </w:rPr>
      </w:pPr>
    </w:p>
    <w:p w:rsidRPr="008D0A0A" w:rsidR="001E7E30" w:rsidP="008D0A0A" w:rsidRDefault="00212560" w14:paraId="7187F994" w14:textId="57ADF8FB">
      <w:pPr>
        <w:pStyle w:val="ListParagraph"/>
        <w:ind w:left="0"/>
        <w:rPr>
          <w:b/>
          <w:sz w:val="24"/>
          <w:szCs w:val="24"/>
        </w:rPr>
      </w:pPr>
      <w:r w:rsidRPr="008D0A0A">
        <w:rPr>
          <w:b/>
          <w:sz w:val="24"/>
          <w:szCs w:val="24"/>
        </w:rPr>
        <w:t>General Well-being Surveys</w:t>
      </w:r>
    </w:p>
    <w:p w:rsidR="00D16324" w:rsidP="00D16324" w:rsidRDefault="00611BAB" w14:paraId="1C167228" w14:textId="3B4CAF30">
      <w:pPr>
        <w:pStyle w:val="ListParagraph"/>
        <w:ind w:left="0"/>
        <w:rPr>
          <w:sz w:val="24"/>
          <w:szCs w:val="24"/>
        </w:rPr>
      </w:pPr>
      <w:r w:rsidRPr="00D16324">
        <w:rPr>
          <w:sz w:val="24"/>
          <w:szCs w:val="24"/>
        </w:rPr>
        <w:t xml:space="preserve">The American Nurses </w:t>
      </w:r>
      <w:r w:rsidR="00D16324">
        <w:rPr>
          <w:sz w:val="24"/>
          <w:szCs w:val="24"/>
        </w:rPr>
        <w:t>Association (ANA)</w:t>
      </w:r>
      <w:r w:rsidRPr="00D16324">
        <w:rPr>
          <w:sz w:val="24"/>
          <w:szCs w:val="24"/>
        </w:rPr>
        <w:t xml:space="preserve"> </w:t>
      </w:r>
      <w:r w:rsidR="00D16324">
        <w:rPr>
          <w:sz w:val="24"/>
          <w:szCs w:val="24"/>
        </w:rPr>
        <w:t xml:space="preserve">Enterprise launched a </w:t>
      </w:r>
      <w:r w:rsidRPr="00FF7F35" w:rsidR="00D16324">
        <w:rPr>
          <w:i/>
          <w:sz w:val="24"/>
          <w:szCs w:val="24"/>
        </w:rPr>
        <w:t>Healthy Nurse, Healthy Nation</w:t>
      </w:r>
      <w:r w:rsidR="00D16324">
        <w:rPr>
          <w:sz w:val="24"/>
          <w:szCs w:val="24"/>
        </w:rPr>
        <w:t>™</w:t>
      </w:r>
      <w:r w:rsidRPr="00D16324" w:rsidR="00D16324">
        <w:rPr>
          <w:sz w:val="24"/>
          <w:szCs w:val="24"/>
        </w:rPr>
        <w:t xml:space="preserve"> </w:t>
      </w:r>
      <w:r w:rsidR="00D16324">
        <w:rPr>
          <w:sz w:val="24"/>
          <w:szCs w:val="24"/>
        </w:rPr>
        <w:t>Grand Challenge in May 2017</w:t>
      </w:r>
      <w:r w:rsidR="00DC0455">
        <w:rPr>
          <w:rStyle w:val="EndnoteReference"/>
          <w:sz w:val="24"/>
          <w:szCs w:val="24"/>
        </w:rPr>
        <w:endnoteReference w:id="28"/>
      </w:r>
      <w:r w:rsidR="00FF7F35">
        <w:rPr>
          <w:sz w:val="24"/>
          <w:szCs w:val="24"/>
        </w:rPr>
        <w:t>. Its purpose wa</w:t>
      </w:r>
      <w:r w:rsidR="00D16324">
        <w:rPr>
          <w:sz w:val="24"/>
          <w:szCs w:val="24"/>
        </w:rPr>
        <w:t>s to change the nation’s health by improvi</w:t>
      </w:r>
      <w:r w:rsidR="00FF7F35">
        <w:rPr>
          <w:sz w:val="24"/>
          <w:szCs w:val="24"/>
        </w:rPr>
        <w:t>ng the health of nurses. Data was</w:t>
      </w:r>
      <w:r w:rsidR="00D16324">
        <w:rPr>
          <w:sz w:val="24"/>
          <w:szCs w:val="24"/>
        </w:rPr>
        <w:t xml:space="preserve"> gathered through a </w:t>
      </w:r>
      <w:proofErr w:type="gramStart"/>
      <w:r w:rsidR="00D16324">
        <w:rPr>
          <w:sz w:val="24"/>
          <w:szCs w:val="24"/>
        </w:rPr>
        <w:t>99 question</w:t>
      </w:r>
      <w:proofErr w:type="gramEnd"/>
      <w:r w:rsidR="00D16324">
        <w:rPr>
          <w:sz w:val="24"/>
          <w:szCs w:val="24"/>
        </w:rPr>
        <w:t xml:space="preserve"> surv</w:t>
      </w:r>
      <w:r w:rsidR="00FF7F35">
        <w:rPr>
          <w:sz w:val="24"/>
          <w:szCs w:val="24"/>
        </w:rPr>
        <w:t>ey that comprehensively assessed</w:t>
      </w:r>
      <w:r w:rsidR="00D16324">
        <w:rPr>
          <w:sz w:val="24"/>
          <w:szCs w:val="24"/>
        </w:rPr>
        <w:t xml:space="preserve"> many aspects of health, safety, and wellness of the nursing </w:t>
      </w:r>
      <w:r w:rsidR="00B74B86">
        <w:rPr>
          <w:sz w:val="24"/>
          <w:szCs w:val="24"/>
        </w:rPr>
        <w:t>workplace</w:t>
      </w:r>
      <w:r w:rsidR="00D16324">
        <w:rPr>
          <w:sz w:val="24"/>
          <w:szCs w:val="24"/>
        </w:rPr>
        <w:t>.</w:t>
      </w:r>
      <w:r w:rsidR="00DC0455">
        <w:rPr>
          <w:sz w:val="24"/>
          <w:szCs w:val="24"/>
        </w:rPr>
        <w:t xml:space="preserve"> While this survey asks questions that are applicable to nurses and </w:t>
      </w:r>
      <w:r w:rsidR="00B74B86">
        <w:rPr>
          <w:sz w:val="24"/>
          <w:szCs w:val="24"/>
        </w:rPr>
        <w:t>workplace</w:t>
      </w:r>
      <w:r w:rsidR="00DC0455">
        <w:rPr>
          <w:sz w:val="24"/>
          <w:szCs w:val="24"/>
        </w:rPr>
        <w:t xml:space="preserve"> safety, it does not assess perceptions from all staff and providers in healthcare settings. The unique perspectives of other healthcare workers is important to capture in order to get an overall sense </w:t>
      </w:r>
      <w:r w:rsidR="00FF7F35">
        <w:rPr>
          <w:sz w:val="24"/>
          <w:szCs w:val="24"/>
        </w:rPr>
        <w:t>of the organizational culture around</w:t>
      </w:r>
      <w:r w:rsidR="00DC0455">
        <w:rPr>
          <w:sz w:val="24"/>
          <w:szCs w:val="24"/>
        </w:rPr>
        <w:t xml:space="preserve"> </w:t>
      </w:r>
      <w:r w:rsidR="00B74B86">
        <w:rPr>
          <w:sz w:val="24"/>
          <w:szCs w:val="24"/>
        </w:rPr>
        <w:t>workplace</w:t>
      </w:r>
      <w:r w:rsidR="00DC0455">
        <w:rPr>
          <w:sz w:val="24"/>
          <w:szCs w:val="24"/>
        </w:rPr>
        <w:t xml:space="preserve"> safety.</w:t>
      </w:r>
      <w:r w:rsidR="00D16324">
        <w:rPr>
          <w:sz w:val="24"/>
          <w:szCs w:val="24"/>
        </w:rPr>
        <w:t xml:space="preserve"> </w:t>
      </w:r>
    </w:p>
    <w:p w:rsidR="001E7E30" w:rsidP="00D16324" w:rsidRDefault="001E7E30" w14:paraId="07E98CD2" w14:textId="11CA1CF2">
      <w:pPr>
        <w:pStyle w:val="ListParagraph"/>
        <w:ind w:left="0"/>
        <w:rPr>
          <w:sz w:val="24"/>
          <w:szCs w:val="24"/>
        </w:rPr>
      </w:pPr>
    </w:p>
    <w:p w:rsidR="001E7E30" w:rsidP="001E7E30" w:rsidRDefault="001E7E30" w14:paraId="645D066F" w14:textId="3486D088">
      <w:pPr>
        <w:pStyle w:val="ListParagraph"/>
        <w:ind w:left="0"/>
        <w:rPr>
          <w:sz w:val="24"/>
          <w:szCs w:val="24"/>
        </w:rPr>
      </w:pPr>
      <w:r w:rsidRPr="004D5032">
        <w:rPr>
          <w:i/>
          <w:sz w:val="24"/>
          <w:szCs w:val="24"/>
        </w:rPr>
        <w:t>National Nursing Assistant Survey</w:t>
      </w:r>
      <w:r>
        <w:rPr>
          <w:rStyle w:val="EndnoteReference"/>
          <w:i/>
          <w:sz w:val="24"/>
          <w:szCs w:val="24"/>
        </w:rPr>
        <w:endnoteReference w:id="29"/>
      </w:r>
      <w:r>
        <w:rPr>
          <w:sz w:val="24"/>
          <w:szCs w:val="24"/>
        </w:rPr>
        <w:t xml:space="preserve">, part of the </w:t>
      </w:r>
      <w:r w:rsidRPr="004D5032">
        <w:rPr>
          <w:i/>
          <w:sz w:val="24"/>
          <w:szCs w:val="24"/>
        </w:rPr>
        <w:t>National Nursing Home Survey</w:t>
      </w:r>
      <w:r>
        <w:rPr>
          <w:sz w:val="24"/>
          <w:szCs w:val="24"/>
        </w:rPr>
        <w:t>, was the first national study of nursing assistants working in nursing homes. The survey, funded by the Office of the Assistant Secretary for Planning and Evaluation (ASPE), was conducted by the Centers for Disease Control and Prevention’s National</w:t>
      </w:r>
      <w:r w:rsidR="009D7CF0">
        <w:rPr>
          <w:sz w:val="24"/>
          <w:szCs w:val="24"/>
        </w:rPr>
        <w:t xml:space="preserve"> Center for Health Statistics. </w:t>
      </w:r>
      <w:r>
        <w:rPr>
          <w:sz w:val="24"/>
          <w:szCs w:val="24"/>
        </w:rPr>
        <w:t xml:space="preserve">The survey was conducted </w:t>
      </w:r>
      <w:r w:rsidRPr="004D5032">
        <w:rPr>
          <w:sz w:val="24"/>
          <w:szCs w:val="24"/>
        </w:rPr>
        <w:t xml:space="preserve">using a computer-assisted telephone interviewing (CATI) system </w:t>
      </w:r>
      <w:r>
        <w:rPr>
          <w:sz w:val="24"/>
          <w:szCs w:val="24"/>
        </w:rPr>
        <w:t xml:space="preserve">with a sample of </w:t>
      </w:r>
      <w:r>
        <w:rPr>
          <w:sz w:val="24"/>
          <w:szCs w:val="24"/>
        </w:rPr>
        <w:lastRenderedPageBreak/>
        <w:t>employees who provided daily living act</w:t>
      </w:r>
      <w:r w:rsidR="009D7CF0">
        <w:rPr>
          <w:sz w:val="24"/>
          <w:szCs w:val="24"/>
        </w:rPr>
        <w:t xml:space="preserve">ivity assistance to residents. </w:t>
      </w:r>
      <w:r>
        <w:rPr>
          <w:sz w:val="24"/>
          <w:szCs w:val="24"/>
        </w:rPr>
        <w:t xml:space="preserve">The survey included 123 questions across 11 modules including </w:t>
      </w:r>
      <w:r w:rsidRPr="00FE414C">
        <w:rPr>
          <w:sz w:val="24"/>
          <w:szCs w:val="24"/>
        </w:rPr>
        <w:t>management and supervision;</w:t>
      </w:r>
      <w:r w:rsidRPr="004D5032">
        <w:rPr>
          <w:sz w:val="24"/>
          <w:szCs w:val="24"/>
        </w:rPr>
        <w:t xml:space="preserve"> cl</w:t>
      </w:r>
      <w:r w:rsidRPr="00FE414C">
        <w:rPr>
          <w:sz w:val="24"/>
          <w:szCs w:val="24"/>
        </w:rPr>
        <w:t>ient relations;</w:t>
      </w:r>
      <w:r w:rsidRPr="004D5032">
        <w:rPr>
          <w:sz w:val="24"/>
          <w:szCs w:val="24"/>
        </w:rPr>
        <w:t xml:space="preserve"> organizational commitment and job</w:t>
      </w:r>
      <w:r w:rsidRPr="00FE414C">
        <w:rPr>
          <w:sz w:val="24"/>
          <w:szCs w:val="24"/>
        </w:rPr>
        <w:t xml:space="preserve"> satisfaction;</w:t>
      </w:r>
      <w:r w:rsidRPr="004D5032">
        <w:rPr>
          <w:sz w:val="24"/>
          <w:szCs w:val="24"/>
        </w:rPr>
        <w:t xml:space="preserve"> </w:t>
      </w:r>
      <w:r w:rsidRPr="00FE414C">
        <w:rPr>
          <w:sz w:val="24"/>
          <w:szCs w:val="24"/>
        </w:rPr>
        <w:t>workplace environment;</w:t>
      </w:r>
      <w:r w:rsidRPr="004D5032">
        <w:rPr>
          <w:sz w:val="24"/>
          <w:szCs w:val="24"/>
        </w:rPr>
        <w:t xml:space="preserve"> and work-related injuries. The </w:t>
      </w:r>
      <w:r>
        <w:rPr>
          <w:sz w:val="24"/>
          <w:szCs w:val="24"/>
        </w:rPr>
        <w:t xml:space="preserve">goal of the </w:t>
      </w:r>
      <w:r w:rsidRPr="00FE414C">
        <w:rPr>
          <w:sz w:val="24"/>
          <w:szCs w:val="24"/>
        </w:rPr>
        <w:t xml:space="preserve">survey was to </w:t>
      </w:r>
      <w:r w:rsidRPr="004D5032">
        <w:rPr>
          <w:sz w:val="24"/>
          <w:szCs w:val="24"/>
        </w:rPr>
        <w:t>identify nursing assistant priorities and ways to meet those priorities, as well as identif</w:t>
      </w:r>
      <w:r w:rsidRPr="00FE414C">
        <w:rPr>
          <w:sz w:val="24"/>
          <w:szCs w:val="24"/>
        </w:rPr>
        <w:t>y</w:t>
      </w:r>
      <w:r w:rsidRPr="004D5032">
        <w:rPr>
          <w:sz w:val="24"/>
          <w:szCs w:val="24"/>
        </w:rPr>
        <w:t xml:space="preserve"> ways to prevent future staffing shortages.</w:t>
      </w:r>
      <w:r>
        <w:rPr>
          <w:sz w:val="24"/>
          <w:szCs w:val="24"/>
        </w:rPr>
        <w:t xml:space="preserve"> While some questions are </w:t>
      </w:r>
      <w:proofErr w:type="gramStart"/>
      <w:r>
        <w:rPr>
          <w:sz w:val="24"/>
          <w:szCs w:val="24"/>
        </w:rPr>
        <w:t>similar to</w:t>
      </w:r>
      <w:proofErr w:type="gramEnd"/>
      <w:r>
        <w:rPr>
          <w:sz w:val="24"/>
          <w:szCs w:val="24"/>
        </w:rPr>
        <w:t xml:space="preserve"> questions that may be included in the proposed supplemental item set</w:t>
      </w:r>
      <w:r w:rsidR="007D4AAE">
        <w:rPr>
          <w:sz w:val="24"/>
          <w:szCs w:val="24"/>
        </w:rPr>
        <w:t xml:space="preserve"> (e.g., “How often is a lifting device available when you actually need to use one”), these items generally assess descriptive types of information (e.g., “During the past 12 months how many times were you accidentally stuck with a needle while working”) rather than aspects of culture. Further</w:t>
      </w:r>
      <w:r>
        <w:rPr>
          <w:sz w:val="24"/>
          <w:szCs w:val="24"/>
        </w:rPr>
        <w:t>, these items did not include all the topics on workplace safety we intend to include.</w:t>
      </w:r>
    </w:p>
    <w:p w:rsidR="003412B2" w:rsidP="00D16324" w:rsidRDefault="003412B2" w14:paraId="2C926EDB" w14:textId="6090BF54">
      <w:pPr>
        <w:pStyle w:val="ListParagraph"/>
        <w:ind w:left="0"/>
        <w:rPr>
          <w:sz w:val="24"/>
          <w:szCs w:val="24"/>
        </w:rPr>
      </w:pPr>
    </w:p>
    <w:p w:rsidRPr="008D0A0A" w:rsidR="001E7E30" w:rsidP="003412B2" w:rsidRDefault="00212560" w14:paraId="3C6AA1F7" w14:textId="77777777">
      <w:pPr>
        <w:pStyle w:val="ListParagraph"/>
        <w:ind w:left="0"/>
        <w:rPr>
          <w:b/>
          <w:sz w:val="24"/>
          <w:szCs w:val="24"/>
        </w:rPr>
      </w:pPr>
      <w:r w:rsidRPr="008D0A0A">
        <w:rPr>
          <w:b/>
          <w:sz w:val="24"/>
          <w:szCs w:val="24"/>
        </w:rPr>
        <w:t>Compliance Surveys</w:t>
      </w:r>
    </w:p>
    <w:p w:rsidRPr="00B50B66" w:rsidR="003412B2" w:rsidP="003412B2" w:rsidRDefault="0044209B" w14:paraId="61C31B4A" w14:textId="063512AC">
      <w:pPr>
        <w:pStyle w:val="ListParagraph"/>
        <w:ind w:left="0"/>
        <w:rPr>
          <w:sz w:val="24"/>
          <w:szCs w:val="24"/>
        </w:rPr>
      </w:pPr>
      <w:r>
        <w:rPr>
          <w:sz w:val="24"/>
          <w:szCs w:val="24"/>
        </w:rPr>
        <w:t>T</w:t>
      </w:r>
      <w:r w:rsidR="00F00F92">
        <w:rPr>
          <w:sz w:val="24"/>
          <w:szCs w:val="24"/>
        </w:rPr>
        <w:t>wo</w:t>
      </w:r>
      <w:r w:rsidRPr="00B50B66" w:rsidR="003412B2">
        <w:rPr>
          <w:sz w:val="24"/>
          <w:szCs w:val="24"/>
        </w:rPr>
        <w:t xml:space="preserve"> surveys, the </w:t>
      </w:r>
      <w:r w:rsidRPr="00FF7F35" w:rsidR="003412B2">
        <w:rPr>
          <w:i/>
          <w:sz w:val="24"/>
          <w:szCs w:val="24"/>
        </w:rPr>
        <w:t>OHS Vulnerability Scale</w:t>
      </w:r>
      <w:r w:rsidRPr="005055E4" w:rsidR="003412B2">
        <w:rPr>
          <w:sz w:val="24"/>
          <w:szCs w:val="24"/>
          <w:vertAlign w:val="superscript"/>
        </w:rPr>
        <w:endnoteReference w:id="30"/>
      </w:r>
      <w:r w:rsidR="00F00F92">
        <w:rPr>
          <w:sz w:val="24"/>
          <w:szCs w:val="24"/>
        </w:rPr>
        <w:t xml:space="preserve"> and</w:t>
      </w:r>
      <w:r>
        <w:rPr>
          <w:sz w:val="24"/>
          <w:szCs w:val="24"/>
        </w:rPr>
        <w:t xml:space="preserve"> t</w:t>
      </w:r>
      <w:r w:rsidRPr="00B50B66" w:rsidR="003412B2">
        <w:rPr>
          <w:sz w:val="24"/>
          <w:szCs w:val="24"/>
        </w:rPr>
        <w:t xml:space="preserve">he </w:t>
      </w:r>
      <w:r w:rsidRPr="00FF7F35" w:rsidR="003412B2">
        <w:rPr>
          <w:i/>
          <w:sz w:val="24"/>
          <w:szCs w:val="24"/>
        </w:rPr>
        <w:t>Health and Safety Practices Survey of Healthcare Workers</w:t>
      </w:r>
      <w:r w:rsidR="003412B2">
        <w:rPr>
          <w:sz w:val="24"/>
          <w:szCs w:val="24"/>
        </w:rPr>
        <w:t>,</w:t>
      </w:r>
      <w:r>
        <w:rPr>
          <w:sz w:val="24"/>
          <w:szCs w:val="24"/>
        </w:rPr>
        <w:t xml:space="preserve"> </w:t>
      </w:r>
      <w:r w:rsidRPr="00B50B66" w:rsidR="003412B2">
        <w:rPr>
          <w:sz w:val="24"/>
          <w:szCs w:val="24"/>
        </w:rPr>
        <w:t>are used to measure, in part, healthcare workers’ compliance with using personal protective equipment (PPE). The OHS Vulnerability Scale assesses occupational health and safety (OHS) in hazard exposure; workplace policies and procedures; worker awareness of hazards and OHS rights and responsibilities; and worker empowerment to participate in injury and illness</w:t>
      </w:r>
      <w:r w:rsidR="003412B2">
        <w:rPr>
          <w:sz w:val="24"/>
          <w:szCs w:val="24"/>
        </w:rPr>
        <w:t xml:space="preserve"> prevention.</w:t>
      </w:r>
      <w:r w:rsidRPr="00B50B66" w:rsidR="003412B2">
        <w:rPr>
          <w:sz w:val="24"/>
          <w:szCs w:val="24"/>
        </w:rPr>
        <w:t xml:space="preserve"> </w:t>
      </w:r>
      <w:r w:rsidR="00212560">
        <w:rPr>
          <w:sz w:val="24"/>
          <w:szCs w:val="24"/>
        </w:rPr>
        <w:t xml:space="preserve">The draft items do include a section on Protection from Workplace </w:t>
      </w:r>
      <w:proofErr w:type="gramStart"/>
      <w:r w:rsidR="00212560">
        <w:rPr>
          <w:sz w:val="24"/>
          <w:szCs w:val="24"/>
        </w:rPr>
        <w:t>Hazards,</w:t>
      </w:r>
      <w:proofErr w:type="gramEnd"/>
      <w:r w:rsidR="00212560">
        <w:rPr>
          <w:sz w:val="24"/>
          <w:szCs w:val="24"/>
        </w:rPr>
        <w:t xml:space="preserve"> however they focus on the culture supporting protections, rather than strictly examining compliance. </w:t>
      </w:r>
    </w:p>
    <w:p w:rsidR="00AC26C4" w:rsidP="00D16324" w:rsidRDefault="00AC26C4" w14:paraId="321CB220" w14:textId="77777777">
      <w:pPr>
        <w:pStyle w:val="ListParagraph"/>
        <w:ind w:left="0"/>
        <w:rPr>
          <w:sz w:val="24"/>
          <w:szCs w:val="24"/>
        </w:rPr>
      </w:pPr>
    </w:p>
    <w:p w:rsidR="00304C9F" w:rsidP="00D16324" w:rsidRDefault="0070770A" w14:paraId="712336B6" w14:textId="15B1C98D">
      <w:pPr>
        <w:pStyle w:val="ListParagraph"/>
        <w:ind w:left="0"/>
        <w:rPr>
          <w:sz w:val="24"/>
          <w:szCs w:val="24"/>
        </w:rPr>
      </w:pPr>
      <w:r w:rsidRPr="0070770A">
        <w:rPr>
          <w:sz w:val="24"/>
          <w:szCs w:val="24"/>
        </w:rPr>
        <w:t xml:space="preserve">In summary, while there are many surveys that assess specific components of </w:t>
      </w:r>
      <w:r w:rsidR="00B74B86">
        <w:rPr>
          <w:sz w:val="24"/>
          <w:szCs w:val="24"/>
        </w:rPr>
        <w:t>workplace</w:t>
      </w:r>
      <w:r w:rsidRPr="0070770A">
        <w:rPr>
          <w:sz w:val="24"/>
          <w:szCs w:val="24"/>
        </w:rPr>
        <w:t xml:space="preserve"> safety, we did not discover a brief, validated survey</w:t>
      </w:r>
      <w:r w:rsidR="00691D27">
        <w:rPr>
          <w:sz w:val="24"/>
          <w:szCs w:val="24"/>
        </w:rPr>
        <w:t>, covering the breadth of areas needed,</w:t>
      </w:r>
      <w:r w:rsidRPr="0070770A">
        <w:rPr>
          <w:sz w:val="24"/>
          <w:szCs w:val="24"/>
        </w:rPr>
        <w:t xml:space="preserve"> that could be administered to all providers and staff as a supplement to the AHRQ SOPS </w:t>
      </w:r>
      <w:r w:rsidR="00686F40">
        <w:rPr>
          <w:sz w:val="24"/>
          <w:szCs w:val="24"/>
        </w:rPr>
        <w:t xml:space="preserve">Nursing Home </w:t>
      </w:r>
      <w:r w:rsidR="00320634">
        <w:rPr>
          <w:sz w:val="24"/>
          <w:szCs w:val="24"/>
        </w:rPr>
        <w:t>Survey</w:t>
      </w:r>
      <w:r w:rsidRPr="0070770A" w:rsidR="00320634">
        <w:rPr>
          <w:sz w:val="24"/>
          <w:szCs w:val="24"/>
        </w:rPr>
        <w:t xml:space="preserve"> </w:t>
      </w:r>
      <w:r w:rsidRPr="0070770A">
        <w:rPr>
          <w:sz w:val="24"/>
          <w:szCs w:val="24"/>
        </w:rPr>
        <w:t xml:space="preserve">for assessing the organizational culture around </w:t>
      </w:r>
      <w:r w:rsidR="00B74B86">
        <w:rPr>
          <w:sz w:val="24"/>
          <w:szCs w:val="24"/>
        </w:rPr>
        <w:t>workplace</w:t>
      </w:r>
      <w:r w:rsidRPr="0070770A">
        <w:rPr>
          <w:sz w:val="24"/>
          <w:szCs w:val="24"/>
        </w:rPr>
        <w:t xml:space="preserve"> safety. </w:t>
      </w:r>
      <w:r w:rsidR="00691D27">
        <w:rPr>
          <w:sz w:val="24"/>
          <w:szCs w:val="24"/>
        </w:rPr>
        <w:t xml:space="preserve"> </w:t>
      </w:r>
      <w:r w:rsidRPr="00D30C4E" w:rsidR="007D4AAE">
        <w:rPr>
          <w:sz w:val="24"/>
          <w:szCs w:val="24"/>
        </w:rPr>
        <w:t>Where possible we have examined the types of concepts in these surveys that are relevant, to develop the proposed supplemental items. As noted above, we have taken one survey item from the Mini Z to assess work stress and burnout with permission from the author.  In conclusion</w:t>
      </w:r>
      <w:r w:rsidR="007D4AAE">
        <w:rPr>
          <w:sz w:val="24"/>
          <w:szCs w:val="24"/>
        </w:rPr>
        <w:t xml:space="preserve"> </w:t>
      </w:r>
      <w:r w:rsidR="00691D27">
        <w:rPr>
          <w:sz w:val="24"/>
          <w:szCs w:val="24"/>
        </w:rPr>
        <w:t>this development and data collection effort is not duplicative of existing measures.</w:t>
      </w:r>
    </w:p>
    <w:p w:rsidRPr="00FA7DB0" w:rsidR="0057087C" w:rsidP="003A074E" w:rsidRDefault="0057087C" w14:paraId="3E7EDAF9" w14:textId="77777777">
      <w:pPr>
        <w:pStyle w:val="Heading2"/>
        <w:spacing w:before="240" w:after="60"/>
        <w:rPr>
          <w:rFonts w:ascii="Arial" w:hAnsi="Arial" w:cs="Arial"/>
          <w:i/>
          <w:color w:val="auto"/>
          <w:sz w:val="24"/>
          <w:szCs w:val="24"/>
        </w:rPr>
      </w:pPr>
      <w:bookmarkStart w:name="_Toc92374292" w:id="8"/>
      <w:r w:rsidRPr="00FA7DB0">
        <w:rPr>
          <w:rFonts w:ascii="Arial" w:hAnsi="Arial" w:cs="Arial"/>
          <w:i/>
          <w:color w:val="auto"/>
          <w:sz w:val="24"/>
          <w:szCs w:val="24"/>
        </w:rPr>
        <w:t xml:space="preserve">5.  </w:t>
      </w:r>
      <w:r w:rsidRPr="00FA7DB0" w:rsidR="001D6B6C">
        <w:rPr>
          <w:rFonts w:ascii="Arial" w:hAnsi="Arial" w:cs="Arial"/>
          <w:i/>
          <w:color w:val="auto"/>
          <w:sz w:val="24"/>
        </w:rPr>
        <w:t>Involvement of</w:t>
      </w:r>
      <w:r w:rsidRPr="00FA7DB0" w:rsidR="001936AB">
        <w:rPr>
          <w:rFonts w:ascii="Arial" w:hAnsi="Arial" w:cs="Arial"/>
          <w:i/>
          <w:sz w:val="24"/>
        </w:rPr>
        <w:t xml:space="preserve"> </w:t>
      </w:r>
      <w:r w:rsidRPr="00FA7DB0">
        <w:rPr>
          <w:rFonts w:ascii="Arial" w:hAnsi="Arial" w:cs="Arial"/>
          <w:i/>
          <w:color w:val="auto"/>
          <w:sz w:val="24"/>
          <w:szCs w:val="24"/>
        </w:rPr>
        <w:t>Small Businesses</w:t>
      </w:r>
      <w:bookmarkEnd w:id="8"/>
    </w:p>
    <w:p w:rsidRPr="00B313FB" w:rsidR="00671306" w:rsidP="00D87493" w:rsidRDefault="003F66D9" w14:paraId="4BA8B1D6" w14:textId="7A74B476">
      <w:pPr>
        <w:pStyle w:val="ListParagraph"/>
        <w:ind w:left="0"/>
        <w:rPr>
          <w:sz w:val="24"/>
          <w:szCs w:val="24"/>
        </w:rPr>
      </w:pPr>
      <w:r w:rsidRPr="00D87493">
        <w:rPr>
          <w:sz w:val="24"/>
          <w:szCs w:val="24"/>
        </w:rPr>
        <w:t>AHRQ designed the data collection instrument and procedures to minimize burden on individual nursing home</w:t>
      </w:r>
      <w:r w:rsidR="005B68A4">
        <w:rPr>
          <w:sz w:val="24"/>
          <w:szCs w:val="24"/>
        </w:rPr>
        <w:t xml:space="preserve"> </w:t>
      </w:r>
      <w:r w:rsidRPr="00D87493">
        <w:rPr>
          <w:sz w:val="24"/>
          <w:szCs w:val="24"/>
        </w:rPr>
        <w:t xml:space="preserve">respondents. The data requested of nursing homes represents the absolute minimum information required for the intended uses, without unduly burdening small nursing homes or </w:t>
      </w:r>
      <w:proofErr w:type="gramStart"/>
      <w:r w:rsidRPr="00D87493">
        <w:rPr>
          <w:sz w:val="24"/>
          <w:szCs w:val="24"/>
        </w:rPr>
        <w:t>others</w:t>
      </w:r>
      <w:proofErr w:type="gramEnd"/>
      <w:r w:rsidRPr="00D87493">
        <w:rPr>
          <w:sz w:val="24"/>
          <w:szCs w:val="24"/>
        </w:rPr>
        <w:t xml:space="preserve"> businesses.</w:t>
      </w:r>
    </w:p>
    <w:p w:rsidRPr="00FA7DB0" w:rsidR="0057087C" w:rsidP="003A074E" w:rsidRDefault="0057087C" w14:paraId="71E98D83" w14:textId="7BC87296">
      <w:pPr>
        <w:pStyle w:val="Heading2"/>
        <w:spacing w:before="240" w:after="60"/>
        <w:rPr>
          <w:rFonts w:ascii="Arial" w:hAnsi="Arial" w:cs="Arial"/>
          <w:i/>
          <w:color w:val="auto"/>
          <w:sz w:val="24"/>
          <w:szCs w:val="24"/>
        </w:rPr>
      </w:pPr>
      <w:bookmarkStart w:name="_Toc92374293" w:id="9"/>
      <w:r w:rsidRPr="00B313FB">
        <w:rPr>
          <w:rFonts w:ascii="Arial" w:hAnsi="Arial" w:cs="Arial"/>
          <w:i/>
          <w:color w:val="auto"/>
          <w:sz w:val="24"/>
          <w:szCs w:val="24"/>
        </w:rPr>
        <w:t xml:space="preserve">6.  Consequences </w:t>
      </w:r>
      <w:r w:rsidRPr="00B313FB" w:rsidR="001936AB">
        <w:rPr>
          <w:rFonts w:ascii="Arial" w:hAnsi="Arial" w:cs="Arial"/>
          <w:i/>
          <w:color w:val="auto"/>
          <w:sz w:val="24"/>
          <w:szCs w:val="24"/>
        </w:rPr>
        <w:t>if Information Collected Less Frequently</w:t>
      </w:r>
      <w:bookmarkEnd w:id="9"/>
    </w:p>
    <w:p w:rsidRPr="00FA7DB0" w:rsidR="0057087C" w:rsidRDefault="0057087C" w14:paraId="5AE0B80C" w14:textId="0EDF40DF">
      <w:pPr>
        <w:rPr>
          <w:sz w:val="24"/>
          <w:szCs w:val="24"/>
        </w:rPr>
      </w:pPr>
      <w:r w:rsidRPr="00FA7DB0">
        <w:rPr>
          <w:sz w:val="24"/>
          <w:szCs w:val="24"/>
        </w:rPr>
        <w:t xml:space="preserve">This effort is a one-time </w:t>
      </w:r>
      <w:r w:rsidRPr="00FA7DB0" w:rsidR="009B7338">
        <w:rPr>
          <w:sz w:val="24"/>
          <w:szCs w:val="24"/>
        </w:rPr>
        <w:t>data collection</w:t>
      </w:r>
      <w:r w:rsidRPr="00FA7DB0">
        <w:rPr>
          <w:sz w:val="24"/>
          <w:szCs w:val="24"/>
        </w:rPr>
        <w:t>.</w:t>
      </w:r>
    </w:p>
    <w:p w:rsidRPr="00FA7DB0" w:rsidR="0057087C" w:rsidP="003A074E" w:rsidRDefault="0057087C" w14:paraId="262DDDE2" w14:textId="77777777">
      <w:pPr>
        <w:pStyle w:val="Heading2"/>
        <w:spacing w:before="240" w:after="60"/>
        <w:rPr>
          <w:rFonts w:ascii="Arial" w:hAnsi="Arial" w:cs="Arial"/>
          <w:i/>
          <w:color w:val="auto"/>
          <w:sz w:val="24"/>
          <w:szCs w:val="24"/>
        </w:rPr>
      </w:pPr>
      <w:bookmarkStart w:name="_Toc92374294" w:id="10"/>
      <w:r w:rsidRPr="00FA7DB0">
        <w:rPr>
          <w:rFonts w:ascii="Arial" w:hAnsi="Arial" w:cs="Arial"/>
          <w:i/>
          <w:color w:val="auto"/>
          <w:sz w:val="24"/>
          <w:szCs w:val="24"/>
        </w:rPr>
        <w:t xml:space="preserve">7.  </w:t>
      </w:r>
      <w:r w:rsidRPr="00FA7DB0" w:rsidR="001936AB">
        <w:rPr>
          <w:rFonts w:ascii="Arial" w:hAnsi="Arial" w:cs="Arial"/>
          <w:i/>
          <w:color w:val="auto"/>
          <w:sz w:val="24"/>
          <w:szCs w:val="24"/>
        </w:rPr>
        <w:t>Special Circumstances</w:t>
      </w:r>
      <w:bookmarkEnd w:id="10"/>
    </w:p>
    <w:p w:rsidRPr="00FA7DB0" w:rsidR="000761E1" w:rsidRDefault="0057087C" w14:paraId="154E556E" w14:textId="4A7B22DE">
      <w:pPr>
        <w:rPr>
          <w:sz w:val="24"/>
          <w:szCs w:val="24"/>
        </w:rPr>
      </w:pPr>
      <w:r w:rsidRPr="00FA7DB0">
        <w:rPr>
          <w:sz w:val="24"/>
          <w:szCs w:val="24"/>
        </w:rPr>
        <w:t>The data collection efforts will be consistent with the guidelines at 5 CFR 1320.5(d)(2).</w:t>
      </w:r>
      <w:r w:rsidR="00BF1651">
        <w:rPr>
          <w:sz w:val="24"/>
          <w:szCs w:val="24"/>
        </w:rPr>
        <w:t xml:space="preserve">  No special circumstances apply.</w:t>
      </w:r>
    </w:p>
    <w:p w:rsidRPr="00FA7DB0" w:rsidR="0057087C" w:rsidP="003A074E" w:rsidRDefault="0057087C" w14:paraId="4793E096" w14:textId="149852AF">
      <w:pPr>
        <w:pStyle w:val="Heading2"/>
        <w:spacing w:before="240" w:after="60"/>
        <w:rPr>
          <w:rFonts w:ascii="Arial" w:hAnsi="Arial" w:cs="Arial"/>
          <w:i/>
          <w:sz w:val="24"/>
        </w:rPr>
      </w:pPr>
      <w:bookmarkStart w:name="_Toc92374295" w:id="11"/>
      <w:r w:rsidRPr="00FA7DB0">
        <w:rPr>
          <w:rFonts w:ascii="Arial" w:hAnsi="Arial" w:cs="Arial"/>
          <w:i/>
          <w:color w:val="auto"/>
          <w:sz w:val="24"/>
        </w:rPr>
        <w:t>8.</w:t>
      </w:r>
      <w:r w:rsidRPr="00FA7DB0">
        <w:rPr>
          <w:rFonts w:ascii="Arial" w:hAnsi="Arial" w:cs="Arial"/>
          <w:i/>
          <w:sz w:val="24"/>
        </w:rPr>
        <w:t xml:space="preserve">  </w:t>
      </w:r>
      <w:r w:rsidRPr="00FA7DB0" w:rsidR="001936AB">
        <w:rPr>
          <w:rFonts w:ascii="Arial" w:hAnsi="Arial" w:cs="Arial"/>
          <w:i/>
          <w:color w:val="auto"/>
          <w:sz w:val="24"/>
        </w:rPr>
        <w:t>Consultation</w:t>
      </w:r>
      <w:r w:rsidR="009E481E">
        <w:rPr>
          <w:rFonts w:ascii="Arial" w:hAnsi="Arial" w:cs="Arial"/>
          <w:i/>
          <w:color w:val="auto"/>
          <w:sz w:val="24"/>
        </w:rPr>
        <w:t xml:space="preserve"> Outside the Agency</w:t>
      </w:r>
      <w:bookmarkEnd w:id="11"/>
      <w:r w:rsidRPr="00FA7DB0" w:rsidDel="001936AB" w:rsidR="001936AB">
        <w:rPr>
          <w:rFonts w:ascii="Arial" w:hAnsi="Arial" w:cs="Arial"/>
          <w:i/>
          <w:sz w:val="24"/>
        </w:rPr>
        <w:t xml:space="preserve"> </w:t>
      </w:r>
    </w:p>
    <w:p w:rsidRPr="00FA7DB0" w:rsidR="00483835" w:rsidP="00483835" w:rsidRDefault="008E554C" w14:paraId="6D24263F" w14:textId="1F839260">
      <w:pPr>
        <w:pStyle w:val="ListParagraph"/>
        <w:ind w:left="0"/>
        <w:rPr>
          <w:sz w:val="24"/>
          <w:szCs w:val="24"/>
          <w:highlight w:val="yellow"/>
        </w:rPr>
      </w:pPr>
      <w:r w:rsidRPr="008E554C">
        <w:rPr>
          <w:sz w:val="24"/>
          <w:szCs w:val="24"/>
        </w:rPr>
        <w:t>The SOPS Technical E</w:t>
      </w:r>
      <w:r w:rsidR="003C354C">
        <w:rPr>
          <w:sz w:val="24"/>
          <w:szCs w:val="24"/>
        </w:rPr>
        <w:t xml:space="preserve">xpert Panel (TEP) </w:t>
      </w:r>
      <w:r w:rsidRPr="008E554C">
        <w:rPr>
          <w:sz w:val="24"/>
          <w:szCs w:val="24"/>
        </w:rPr>
        <w:t>will be consulted t</w:t>
      </w:r>
      <w:r w:rsidRPr="008E554C" w:rsidR="00812FFC">
        <w:rPr>
          <w:sz w:val="24"/>
          <w:szCs w:val="24"/>
        </w:rPr>
        <w:t xml:space="preserve">o guide the development of </w:t>
      </w:r>
      <w:r w:rsidRPr="008E554C" w:rsidR="00671306">
        <w:rPr>
          <w:sz w:val="24"/>
          <w:szCs w:val="24"/>
        </w:rPr>
        <w:t xml:space="preserve">the </w:t>
      </w:r>
      <w:r w:rsidR="00B74B86">
        <w:rPr>
          <w:sz w:val="24"/>
          <w:szCs w:val="24"/>
        </w:rPr>
        <w:t>Workplace</w:t>
      </w:r>
      <w:r w:rsidRPr="008E554C">
        <w:rPr>
          <w:sz w:val="24"/>
          <w:szCs w:val="24"/>
        </w:rPr>
        <w:t xml:space="preserve"> Safety supplemental items. </w:t>
      </w:r>
      <w:r w:rsidR="003A4E33">
        <w:rPr>
          <w:sz w:val="24"/>
          <w:szCs w:val="24"/>
        </w:rPr>
        <w:t xml:space="preserve">As part of our </w:t>
      </w:r>
      <w:r w:rsidR="008D2B3F">
        <w:rPr>
          <w:sz w:val="24"/>
          <w:szCs w:val="24"/>
        </w:rPr>
        <w:t xml:space="preserve">standard survey development </w:t>
      </w:r>
      <w:r w:rsidR="003A4E33">
        <w:rPr>
          <w:sz w:val="24"/>
          <w:szCs w:val="24"/>
        </w:rPr>
        <w:t xml:space="preserve">process, we </w:t>
      </w:r>
      <w:r w:rsidR="003A4E33">
        <w:rPr>
          <w:sz w:val="24"/>
          <w:szCs w:val="24"/>
        </w:rPr>
        <w:lastRenderedPageBreak/>
        <w:t xml:space="preserve">engage the TEP on a regular basis. </w:t>
      </w:r>
      <w:r w:rsidRPr="008E554C">
        <w:rPr>
          <w:sz w:val="24"/>
          <w:szCs w:val="24"/>
        </w:rPr>
        <w:t>The TEP will review</w:t>
      </w:r>
      <w:r w:rsidRPr="008E554C" w:rsidR="00FA4EF7">
        <w:rPr>
          <w:sz w:val="24"/>
          <w:szCs w:val="24"/>
        </w:rPr>
        <w:t xml:space="preserve"> drafts of </w:t>
      </w:r>
      <w:r w:rsidR="00D94149">
        <w:rPr>
          <w:sz w:val="24"/>
          <w:szCs w:val="24"/>
        </w:rPr>
        <w:t>the supplemental items and the</w:t>
      </w:r>
      <w:r w:rsidRPr="008E554C" w:rsidR="00671306">
        <w:rPr>
          <w:sz w:val="24"/>
          <w:szCs w:val="24"/>
        </w:rPr>
        <w:t xml:space="preserve"> </w:t>
      </w:r>
      <w:r w:rsidRPr="008E554C" w:rsidR="00850E7A">
        <w:rPr>
          <w:sz w:val="24"/>
          <w:szCs w:val="24"/>
        </w:rPr>
        <w:t>feedback f</w:t>
      </w:r>
      <w:r w:rsidR="00D94149">
        <w:rPr>
          <w:sz w:val="24"/>
          <w:szCs w:val="24"/>
        </w:rPr>
        <w:t>rom the cognitive interviews to</w:t>
      </w:r>
      <w:r w:rsidRPr="008E554C" w:rsidR="00850E7A">
        <w:rPr>
          <w:sz w:val="24"/>
          <w:szCs w:val="24"/>
        </w:rPr>
        <w:t xml:space="preserve"> assist in finalizing the </w:t>
      </w:r>
      <w:r w:rsidRPr="008E554C" w:rsidR="00850E24">
        <w:rPr>
          <w:sz w:val="24"/>
          <w:szCs w:val="24"/>
        </w:rPr>
        <w:t>supplemental items</w:t>
      </w:r>
      <w:r w:rsidRPr="008E554C" w:rsidR="00850E7A">
        <w:rPr>
          <w:sz w:val="24"/>
          <w:szCs w:val="24"/>
        </w:rPr>
        <w:t xml:space="preserve">. </w:t>
      </w:r>
      <w:r w:rsidR="00C8271D">
        <w:rPr>
          <w:sz w:val="24"/>
          <w:szCs w:val="24"/>
        </w:rPr>
        <w:t xml:space="preserve">The </w:t>
      </w:r>
      <w:r w:rsidR="00B72A5B">
        <w:rPr>
          <w:sz w:val="24"/>
          <w:szCs w:val="24"/>
        </w:rPr>
        <w:t xml:space="preserve">SOPS </w:t>
      </w:r>
      <w:r w:rsidR="00C8271D">
        <w:rPr>
          <w:sz w:val="24"/>
          <w:szCs w:val="24"/>
        </w:rPr>
        <w:t xml:space="preserve">TEP </w:t>
      </w:r>
      <w:r w:rsidR="00023476">
        <w:rPr>
          <w:sz w:val="24"/>
          <w:szCs w:val="24"/>
        </w:rPr>
        <w:t>includes</w:t>
      </w:r>
      <w:r w:rsidR="00C8271D">
        <w:rPr>
          <w:sz w:val="24"/>
          <w:szCs w:val="24"/>
        </w:rPr>
        <w:t xml:space="preserve"> </w:t>
      </w:r>
      <w:r w:rsidR="00EA6A30">
        <w:rPr>
          <w:sz w:val="24"/>
          <w:szCs w:val="24"/>
        </w:rPr>
        <w:t>1</w:t>
      </w:r>
      <w:r w:rsidR="003A4E33">
        <w:rPr>
          <w:sz w:val="24"/>
          <w:szCs w:val="24"/>
        </w:rPr>
        <w:t>9</w:t>
      </w:r>
      <w:r w:rsidR="00EA6A30">
        <w:rPr>
          <w:sz w:val="24"/>
          <w:szCs w:val="24"/>
        </w:rPr>
        <w:t xml:space="preserve"> </w:t>
      </w:r>
      <w:r w:rsidR="00C8271D">
        <w:rPr>
          <w:sz w:val="24"/>
          <w:szCs w:val="24"/>
        </w:rPr>
        <w:t xml:space="preserve">members from </w:t>
      </w:r>
      <w:r w:rsidRPr="002D4261" w:rsidR="00C8271D">
        <w:rPr>
          <w:sz w:val="24"/>
          <w:szCs w:val="24"/>
        </w:rPr>
        <w:t>various parts of the health sector covered by the patient safety culture surveys</w:t>
      </w:r>
      <w:r w:rsidRPr="002D4261" w:rsidR="003A4E33">
        <w:rPr>
          <w:sz w:val="24"/>
          <w:szCs w:val="24"/>
        </w:rPr>
        <w:t xml:space="preserve">, including nursing homes </w:t>
      </w:r>
      <w:r w:rsidRPr="002D4261" w:rsidR="0072164D">
        <w:rPr>
          <w:sz w:val="24"/>
          <w:szCs w:val="24"/>
        </w:rPr>
        <w:t xml:space="preserve">(see Attachment </w:t>
      </w:r>
      <w:r w:rsidRPr="002D4261" w:rsidR="00EF0EF8">
        <w:rPr>
          <w:sz w:val="24"/>
          <w:szCs w:val="24"/>
        </w:rPr>
        <w:t>E</w:t>
      </w:r>
      <w:r w:rsidRPr="002D4261" w:rsidR="0072164D">
        <w:rPr>
          <w:sz w:val="24"/>
          <w:szCs w:val="24"/>
        </w:rPr>
        <w:t>)</w:t>
      </w:r>
      <w:r w:rsidRPr="002D4261" w:rsidR="00671306">
        <w:rPr>
          <w:sz w:val="24"/>
          <w:szCs w:val="24"/>
        </w:rPr>
        <w:t>.</w:t>
      </w:r>
    </w:p>
    <w:p w:rsidRPr="00FA7DB0" w:rsidR="0057087C" w:rsidP="003A074E" w:rsidRDefault="0057087C" w14:paraId="01B52F62" w14:textId="77777777">
      <w:pPr>
        <w:pStyle w:val="Heading2"/>
        <w:spacing w:before="240" w:after="60"/>
        <w:rPr>
          <w:color w:val="auto"/>
          <w:sz w:val="24"/>
          <w:szCs w:val="24"/>
        </w:rPr>
      </w:pPr>
      <w:bookmarkStart w:name="_Toc92374296" w:id="12"/>
      <w:r w:rsidRPr="00FA7DB0">
        <w:rPr>
          <w:rFonts w:ascii="Arial" w:hAnsi="Arial" w:cs="Arial"/>
          <w:i/>
          <w:color w:val="auto"/>
          <w:sz w:val="24"/>
        </w:rPr>
        <w:t xml:space="preserve">9.  </w:t>
      </w:r>
      <w:r w:rsidRPr="00FA7DB0" w:rsidR="001936AB">
        <w:rPr>
          <w:rFonts w:ascii="Arial" w:hAnsi="Arial" w:cs="Arial"/>
          <w:i/>
          <w:color w:val="auto"/>
          <w:sz w:val="24"/>
        </w:rPr>
        <w:t>Payments/Gifts to Respondents</w:t>
      </w:r>
      <w:bookmarkEnd w:id="12"/>
    </w:p>
    <w:p w:rsidR="00671199" w:rsidP="00671199" w:rsidRDefault="00312519" w14:paraId="1F67CE8F" w14:textId="4C860535">
      <w:pPr>
        <w:shd w:val="clear" w:color="auto" w:fill="FFFFFF"/>
        <w:spacing w:line="285" w:lineRule="atLeast"/>
        <w:rPr>
          <w:sz w:val="24"/>
          <w:szCs w:val="24"/>
        </w:rPr>
      </w:pPr>
      <w:r w:rsidRPr="00872C51">
        <w:rPr>
          <w:b/>
          <w:sz w:val="24"/>
          <w:szCs w:val="24"/>
        </w:rPr>
        <w:t>Cognitive Interview Respondents</w:t>
      </w:r>
      <w:r w:rsidR="007D4AAE">
        <w:rPr>
          <w:b/>
          <w:sz w:val="24"/>
          <w:szCs w:val="24"/>
        </w:rPr>
        <w:t>.</w:t>
      </w:r>
      <w:r w:rsidRPr="00872C51" w:rsidDel="007D4AAE" w:rsidR="007D4AAE">
        <w:rPr>
          <w:i/>
          <w:sz w:val="24"/>
          <w:szCs w:val="24"/>
        </w:rPr>
        <w:t xml:space="preserve"> </w:t>
      </w:r>
      <w:r w:rsidR="0038556C">
        <w:rPr>
          <w:sz w:val="24"/>
          <w:szCs w:val="24"/>
        </w:rPr>
        <w:t>Incentives</w:t>
      </w:r>
      <w:r w:rsidRPr="00D640E7" w:rsidR="00A429E7">
        <w:rPr>
          <w:sz w:val="24"/>
          <w:szCs w:val="24"/>
        </w:rPr>
        <w:t xml:space="preserve"> </w:t>
      </w:r>
      <w:r w:rsidR="003C354C">
        <w:rPr>
          <w:sz w:val="24"/>
          <w:szCs w:val="24"/>
        </w:rPr>
        <w:t xml:space="preserve">or honoraria are </w:t>
      </w:r>
      <w:r w:rsidR="0038556C">
        <w:rPr>
          <w:sz w:val="24"/>
          <w:szCs w:val="24"/>
        </w:rPr>
        <w:t xml:space="preserve">often </w:t>
      </w:r>
      <w:r w:rsidR="003C354C">
        <w:rPr>
          <w:sz w:val="24"/>
          <w:szCs w:val="24"/>
        </w:rPr>
        <w:t>offered to healthcare staff for participation in research</w:t>
      </w:r>
      <w:r w:rsidR="007D4AAE">
        <w:rPr>
          <w:sz w:val="24"/>
          <w:szCs w:val="24"/>
        </w:rPr>
        <w:t xml:space="preserve">. </w:t>
      </w:r>
      <w:r w:rsidR="00AA0CC3">
        <w:rPr>
          <w:sz w:val="24"/>
          <w:szCs w:val="24"/>
        </w:rPr>
        <w:t>R</w:t>
      </w:r>
      <w:r w:rsidR="007D4AAE">
        <w:rPr>
          <w:sz w:val="24"/>
          <w:szCs w:val="24"/>
        </w:rPr>
        <w:t>espondents are being recruited for specific characteristics (e.g., a specific staff position within a nur</w:t>
      </w:r>
      <w:r w:rsidR="00D1013A">
        <w:rPr>
          <w:sz w:val="24"/>
          <w:szCs w:val="24"/>
        </w:rPr>
        <w:t xml:space="preserve">sing home setting). </w:t>
      </w:r>
      <w:r w:rsidR="00AA0CC3">
        <w:rPr>
          <w:sz w:val="24"/>
          <w:szCs w:val="24"/>
        </w:rPr>
        <w:t>Recruitment of clinical staff is particularly challenging as there is a high turnover rate that has been exacerbated by COVID-19 and i</w:t>
      </w:r>
      <w:r w:rsidR="007D4AAE">
        <w:rPr>
          <w:sz w:val="24"/>
          <w:szCs w:val="24"/>
        </w:rPr>
        <w:t xml:space="preserve">ncentives </w:t>
      </w:r>
      <w:r w:rsidR="00D1013A">
        <w:rPr>
          <w:sz w:val="24"/>
          <w:szCs w:val="24"/>
        </w:rPr>
        <w:t xml:space="preserve">can </w:t>
      </w:r>
      <w:r w:rsidR="007D4AAE">
        <w:rPr>
          <w:sz w:val="24"/>
          <w:szCs w:val="24"/>
        </w:rPr>
        <w:t xml:space="preserve">help </w:t>
      </w:r>
      <w:r w:rsidR="00AA0CC3">
        <w:rPr>
          <w:sz w:val="24"/>
          <w:szCs w:val="24"/>
        </w:rPr>
        <w:t xml:space="preserve">increase </w:t>
      </w:r>
      <w:proofErr w:type="gramStart"/>
      <w:r w:rsidR="00AA0CC3">
        <w:rPr>
          <w:sz w:val="24"/>
          <w:szCs w:val="24"/>
        </w:rPr>
        <w:t>interest</w:t>
      </w:r>
      <w:proofErr w:type="gramEnd"/>
      <w:r w:rsidR="00AA0CC3">
        <w:rPr>
          <w:sz w:val="24"/>
          <w:szCs w:val="24"/>
        </w:rPr>
        <w:t xml:space="preserve"> so these individuals are able to be recruited i</w:t>
      </w:r>
      <w:r w:rsidR="007D4AAE">
        <w:rPr>
          <w:sz w:val="24"/>
          <w:szCs w:val="24"/>
        </w:rPr>
        <w:t xml:space="preserve">n a timely manner. </w:t>
      </w:r>
      <w:r w:rsidR="00D1013A">
        <w:rPr>
          <w:sz w:val="24"/>
          <w:szCs w:val="24"/>
        </w:rPr>
        <w:t>Additionally, c</w:t>
      </w:r>
      <w:r w:rsidRPr="000D3275" w:rsidR="007D4AAE">
        <w:rPr>
          <w:sz w:val="24"/>
          <w:szCs w:val="24"/>
        </w:rPr>
        <w:t xml:space="preserve">ognitive </w:t>
      </w:r>
      <w:r w:rsidR="007D4AAE">
        <w:rPr>
          <w:sz w:val="24"/>
          <w:szCs w:val="24"/>
        </w:rPr>
        <w:t>interviews require</w:t>
      </w:r>
      <w:r w:rsidRPr="000D3275" w:rsidR="007D4AAE">
        <w:rPr>
          <w:sz w:val="24"/>
          <w:szCs w:val="24"/>
        </w:rPr>
        <w:t xml:space="preserve"> a high level of effort for the respondent given that they are asked to explain their thought processes for selecting an answer to each proposed item</w:t>
      </w:r>
      <w:r w:rsidR="007D4AAE">
        <w:rPr>
          <w:sz w:val="24"/>
          <w:szCs w:val="24"/>
        </w:rPr>
        <w:t>, discuss what it means to them, and if there was anything confusing.</w:t>
      </w:r>
    </w:p>
    <w:p w:rsidR="003C354C" w:rsidP="00671199" w:rsidRDefault="003C354C" w14:paraId="1CCE2168" w14:textId="77777777">
      <w:pPr>
        <w:shd w:val="clear" w:color="auto" w:fill="FFFFFF"/>
        <w:spacing w:line="285" w:lineRule="atLeast"/>
        <w:rPr>
          <w:sz w:val="24"/>
          <w:szCs w:val="24"/>
        </w:rPr>
      </w:pPr>
    </w:p>
    <w:p w:rsidRPr="00D640E7" w:rsidR="003C354C" w:rsidP="009C5DBC" w:rsidRDefault="003C354C" w14:paraId="5F856420" w14:textId="611E92C9">
      <w:pPr>
        <w:shd w:val="clear" w:color="auto" w:fill="FFFFFF"/>
        <w:spacing w:line="285" w:lineRule="atLeast"/>
        <w:rPr>
          <w:sz w:val="24"/>
          <w:szCs w:val="24"/>
        </w:rPr>
      </w:pPr>
      <w:r w:rsidRPr="00D640E7">
        <w:rPr>
          <w:sz w:val="24"/>
          <w:szCs w:val="24"/>
        </w:rPr>
        <w:t xml:space="preserve">The amounts proposed </w:t>
      </w:r>
      <w:r>
        <w:rPr>
          <w:sz w:val="24"/>
          <w:szCs w:val="24"/>
        </w:rPr>
        <w:t xml:space="preserve">for cognitive interview </w:t>
      </w:r>
      <w:r w:rsidR="00BA2D4E">
        <w:rPr>
          <w:sz w:val="24"/>
          <w:szCs w:val="24"/>
        </w:rPr>
        <w:t>incentives</w:t>
      </w:r>
      <w:r w:rsidRPr="00D640E7" w:rsidR="00BA2D4E">
        <w:rPr>
          <w:sz w:val="24"/>
          <w:szCs w:val="24"/>
        </w:rPr>
        <w:t xml:space="preserve"> </w:t>
      </w:r>
      <w:r w:rsidRPr="00D640E7">
        <w:rPr>
          <w:sz w:val="24"/>
          <w:szCs w:val="24"/>
        </w:rPr>
        <w:t>are based on the average</w:t>
      </w:r>
      <w:r>
        <w:rPr>
          <w:sz w:val="24"/>
          <w:szCs w:val="24"/>
        </w:rPr>
        <w:t xml:space="preserve"> amounts typically paid by research recruitment vendors for these positions</w:t>
      </w:r>
      <w:r w:rsidRPr="00D640E7">
        <w:rPr>
          <w:sz w:val="24"/>
          <w:szCs w:val="24"/>
        </w:rPr>
        <w:t xml:space="preserve">. </w:t>
      </w:r>
      <w:r>
        <w:rPr>
          <w:sz w:val="24"/>
          <w:szCs w:val="24"/>
        </w:rPr>
        <w:t xml:space="preserve">As these vendors attest per their experience, healthcare positions, </w:t>
      </w:r>
      <w:r w:rsidR="000A3A91">
        <w:rPr>
          <w:sz w:val="24"/>
          <w:szCs w:val="24"/>
        </w:rPr>
        <w:t xml:space="preserve">and </w:t>
      </w:r>
      <w:r w:rsidRPr="003D4669">
        <w:rPr>
          <w:sz w:val="24"/>
          <w:szCs w:val="24"/>
        </w:rPr>
        <w:t>physicians</w:t>
      </w:r>
      <w:r>
        <w:rPr>
          <w:sz w:val="24"/>
          <w:szCs w:val="24"/>
        </w:rPr>
        <w:t xml:space="preserve"> particularly, are </w:t>
      </w:r>
      <w:r w:rsidR="00F10959">
        <w:rPr>
          <w:sz w:val="24"/>
          <w:szCs w:val="24"/>
        </w:rPr>
        <w:t xml:space="preserve">very </w:t>
      </w:r>
      <w:r>
        <w:rPr>
          <w:sz w:val="24"/>
          <w:szCs w:val="24"/>
        </w:rPr>
        <w:t xml:space="preserve">difficult to recruit for research participation unless </w:t>
      </w:r>
      <w:r w:rsidR="006C10DC">
        <w:rPr>
          <w:sz w:val="24"/>
          <w:szCs w:val="24"/>
        </w:rPr>
        <w:t xml:space="preserve">incentives are </w:t>
      </w:r>
      <w:r>
        <w:rPr>
          <w:sz w:val="24"/>
          <w:szCs w:val="24"/>
        </w:rPr>
        <w:t xml:space="preserve">sufficient. </w:t>
      </w:r>
      <w:r w:rsidRPr="00872C51">
        <w:rPr>
          <w:sz w:val="24"/>
          <w:szCs w:val="24"/>
        </w:rPr>
        <w:t>T</w:t>
      </w:r>
      <w:r>
        <w:rPr>
          <w:sz w:val="24"/>
          <w:szCs w:val="24"/>
        </w:rPr>
        <w:t>herefore, t</w:t>
      </w:r>
      <w:r w:rsidRPr="00872C51">
        <w:rPr>
          <w:sz w:val="24"/>
          <w:szCs w:val="24"/>
        </w:rPr>
        <w:t xml:space="preserve">o successfully recruit </w:t>
      </w:r>
      <w:r w:rsidRPr="003D4669">
        <w:rPr>
          <w:sz w:val="24"/>
          <w:szCs w:val="24"/>
        </w:rPr>
        <w:t>2</w:t>
      </w:r>
      <w:r w:rsidRPr="003D4669" w:rsidR="0061127A">
        <w:rPr>
          <w:sz w:val="24"/>
          <w:szCs w:val="24"/>
        </w:rPr>
        <w:t>5</w:t>
      </w:r>
      <w:r w:rsidRPr="003D4669">
        <w:rPr>
          <w:sz w:val="24"/>
          <w:szCs w:val="24"/>
        </w:rPr>
        <w:t xml:space="preserve"> cognitive interview</w:t>
      </w:r>
      <w:r>
        <w:rPr>
          <w:sz w:val="24"/>
          <w:szCs w:val="24"/>
        </w:rPr>
        <w:t xml:space="preserve"> participants</w:t>
      </w:r>
      <w:r w:rsidRPr="00872C51">
        <w:rPr>
          <w:sz w:val="24"/>
          <w:szCs w:val="24"/>
        </w:rPr>
        <w:t xml:space="preserve"> </w:t>
      </w:r>
      <w:r>
        <w:rPr>
          <w:sz w:val="24"/>
          <w:szCs w:val="24"/>
        </w:rPr>
        <w:t>f</w:t>
      </w:r>
      <w:r w:rsidRPr="00872C51">
        <w:rPr>
          <w:sz w:val="24"/>
          <w:szCs w:val="24"/>
        </w:rPr>
        <w:t>or 1-hour cog</w:t>
      </w:r>
      <w:r>
        <w:rPr>
          <w:sz w:val="24"/>
          <w:szCs w:val="24"/>
        </w:rPr>
        <w:t>nitive interviews</w:t>
      </w:r>
      <w:r w:rsidRPr="00D1013A" w:rsidR="00D1013A">
        <w:rPr>
          <w:sz w:val="24"/>
          <w:szCs w:val="24"/>
        </w:rPr>
        <w:t xml:space="preserve"> </w:t>
      </w:r>
      <w:r w:rsidR="00D1013A">
        <w:rPr>
          <w:sz w:val="24"/>
          <w:szCs w:val="24"/>
        </w:rPr>
        <w:t>using established vendors</w:t>
      </w:r>
      <w:r>
        <w:rPr>
          <w:sz w:val="24"/>
          <w:szCs w:val="24"/>
        </w:rPr>
        <w:t xml:space="preserve">, we propose </w:t>
      </w:r>
      <w:r w:rsidRPr="00872C51">
        <w:rPr>
          <w:sz w:val="24"/>
          <w:szCs w:val="24"/>
        </w:rPr>
        <w:t>$</w:t>
      </w:r>
      <w:r w:rsidR="0012035D">
        <w:rPr>
          <w:sz w:val="24"/>
          <w:szCs w:val="24"/>
        </w:rPr>
        <w:t>3</w:t>
      </w:r>
      <w:r>
        <w:rPr>
          <w:sz w:val="24"/>
          <w:szCs w:val="24"/>
        </w:rPr>
        <w:t>00</w:t>
      </w:r>
      <w:r w:rsidRPr="00872C51">
        <w:rPr>
          <w:sz w:val="24"/>
          <w:szCs w:val="24"/>
        </w:rPr>
        <w:t xml:space="preserve"> cash </w:t>
      </w:r>
      <w:r w:rsidR="00D1013A">
        <w:rPr>
          <w:sz w:val="24"/>
          <w:szCs w:val="24"/>
        </w:rPr>
        <w:t xml:space="preserve">incentive </w:t>
      </w:r>
      <w:r w:rsidRPr="00872C51">
        <w:rPr>
          <w:sz w:val="24"/>
          <w:szCs w:val="24"/>
        </w:rPr>
        <w:t xml:space="preserve">for </w:t>
      </w:r>
      <w:r>
        <w:rPr>
          <w:sz w:val="24"/>
          <w:szCs w:val="24"/>
        </w:rPr>
        <w:t xml:space="preserve">each of an estimated </w:t>
      </w:r>
      <w:r w:rsidR="001F4A8A">
        <w:rPr>
          <w:sz w:val="24"/>
          <w:szCs w:val="24"/>
        </w:rPr>
        <w:t>3</w:t>
      </w:r>
      <w:r w:rsidRPr="00872C51">
        <w:rPr>
          <w:sz w:val="24"/>
          <w:szCs w:val="24"/>
        </w:rPr>
        <w:t xml:space="preserve"> </w:t>
      </w:r>
      <w:r w:rsidR="002900F4">
        <w:rPr>
          <w:sz w:val="24"/>
          <w:szCs w:val="24"/>
        </w:rPr>
        <w:t>physicians</w:t>
      </w:r>
      <w:r w:rsidRPr="00872C51">
        <w:rPr>
          <w:sz w:val="24"/>
          <w:szCs w:val="24"/>
        </w:rPr>
        <w:t>, $</w:t>
      </w:r>
      <w:r w:rsidR="008B4886">
        <w:rPr>
          <w:sz w:val="24"/>
          <w:szCs w:val="24"/>
        </w:rPr>
        <w:t>2</w:t>
      </w:r>
      <w:r>
        <w:rPr>
          <w:sz w:val="24"/>
          <w:szCs w:val="24"/>
        </w:rPr>
        <w:t>00</w:t>
      </w:r>
      <w:r w:rsidRPr="00872C51">
        <w:rPr>
          <w:sz w:val="24"/>
          <w:szCs w:val="24"/>
        </w:rPr>
        <w:t xml:space="preserve"> cash</w:t>
      </w:r>
      <w:r w:rsidR="00D1013A">
        <w:rPr>
          <w:sz w:val="24"/>
          <w:szCs w:val="24"/>
        </w:rPr>
        <w:t xml:space="preserve"> incentive</w:t>
      </w:r>
      <w:r w:rsidRPr="00872C51">
        <w:rPr>
          <w:sz w:val="24"/>
          <w:szCs w:val="24"/>
        </w:rPr>
        <w:t xml:space="preserve"> for </w:t>
      </w:r>
      <w:r>
        <w:rPr>
          <w:sz w:val="24"/>
          <w:szCs w:val="24"/>
        </w:rPr>
        <w:t xml:space="preserve">each of an estimated </w:t>
      </w:r>
      <w:r w:rsidR="002900F4">
        <w:rPr>
          <w:sz w:val="24"/>
          <w:szCs w:val="24"/>
        </w:rPr>
        <w:t>8</w:t>
      </w:r>
      <w:r>
        <w:rPr>
          <w:sz w:val="24"/>
          <w:szCs w:val="24"/>
        </w:rPr>
        <w:t xml:space="preserve"> registered nurses, </w:t>
      </w:r>
      <w:r w:rsidR="004D5032">
        <w:rPr>
          <w:sz w:val="24"/>
          <w:szCs w:val="24"/>
        </w:rPr>
        <w:t xml:space="preserve">and </w:t>
      </w:r>
      <w:r>
        <w:rPr>
          <w:sz w:val="24"/>
          <w:szCs w:val="24"/>
        </w:rPr>
        <w:t xml:space="preserve">$150 cash </w:t>
      </w:r>
      <w:r w:rsidR="00D1013A">
        <w:rPr>
          <w:sz w:val="24"/>
          <w:szCs w:val="24"/>
        </w:rPr>
        <w:t xml:space="preserve">incentive </w:t>
      </w:r>
      <w:r>
        <w:rPr>
          <w:sz w:val="24"/>
          <w:szCs w:val="24"/>
        </w:rPr>
        <w:t xml:space="preserve">for each of an estimated </w:t>
      </w:r>
      <w:r w:rsidR="002900F4">
        <w:rPr>
          <w:sz w:val="24"/>
          <w:szCs w:val="24"/>
        </w:rPr>
        <w:t>14</w:t>
      </w:r>
      <w:r>
        <w:rPr>
          <w:sz w:val="24"/>
          <w:szCs w:val="24"/>
        </w:rPr>
        <w:t xml:space="preserve"> staff members (</w:t>
      </w:r>
      <w:r w:rsidR="002900F4">
        <w:rPr>
          <w:sz w:val="24"/>
          <w:szCs w:val="24"/>
        </w:rPr>
        <w:t xml:space="preserve">12 </w:t>
      </w:r>
      <w:r>
        <w:rPr>
          <w:sz w:val="24"/>
          <w:szCs w:val="24"/>
        </w:rPr>
        <w:t>nursing assistants</w:t>
      </w:r>
      <w:r w:rsidR="0012035D">
        <w:rPr>
          <w:sz w:val="24"/>
          <w:szCs w:val="24"/>
        </w:rPr>
        <w:t xml:space="preserve">, </w:t>
      </w:r>
      <w:r w:rsidR="002900F4">
        <w:rPr>
          <w:sz w:val="24"/>
          <w:szCs w:val="24"/>
        </w:rPr>
        <w:t>2 administrators</w:t>
      </w:r>
      <w:r>
        <w:rPr>
          <w:sz w:val="24"/>
          <w:szCs w:val="24"/>
        </w:rPr>
        <w:t>)</w:t>
      </w:r>
      <w:r w:rsidR="003D4669">
        <w:rPr>
          <w:sz w:val="24"/>
          <w:szCs w:val="24"/>
        </w:rPr>
        <w:t>.</w:t>
      </w:r>
      <w:r w:rsidR="0012035D">
        <w:rPr>
          <w:sz w:val="24"/>
          <w:szCs w:val="24"/>
        </w:rPr>
        <w:t xml:space="preserve"> </w:t>
      </w:r>
      <w:r w:rsidRPr="00872C51">
        <w:rPr>
          <w:sz w:val="24"/>
          <w:szCs w:val="24"/>
        </w:rPr>
        <w:t xml:space="preserve">The amount for </w:t>
      </w:r>
      <w:r>
        <w:rPr>
          <w:sz w:val="24"/>
          <w:szCs w:val="24"/>
        </w:rPr>
        <w:t>th</w:t>
      </w:r>
      <w:r w:rsidR="0091546F">
        <w:rPr>
          <w:sz w:val="24"/>
          <w:szCs w:val="24"/>
        </w:rPr>
        <w:t>e</w:t>
      </w:r>
      <w:r>
        <w:rPr>
          <w:sz w:val="24"/>
          <w:szCs w:val="24"/>
        </w:rPr>
        <w:t xml:space="preserve"> </w:t>
      </w:r>
      <w:r w:rsidR="00D1013A">
        <w:rPr>
          <w:sz w:val="24"/>
          <w:szCs w:val="24"/>
        </w:rPr>
        <w:t>incentives</w:t>
      </w:r>
      <w:r w:rsidRPr="00872C51">
        <w:rPr>
          <w:sz w:val="24"/>
          <w:szCs w:val="24"/>
        </w:rPr>
        <w:t xml:space="preserve"> totals $</w:t>
      </w:r>
      <w:r w:rsidR="008B4886">
        <w:rPr>
          <w:sz w:val="24"/>
          <w:szCs w:val="24"/>
        </w:rPr>
        <w:t>4,600</w:t>
      </w:r>
      <w:r w:rsidRPr="00872C51">
        <w:rPr>
          <w:sz w:val="24"/>
          <w:szCs w:val="24"/>
        </w:rPr>
        <w:t>.</w:t>
      </w:r>
      <w:r w:rsidR="009C5DBC">
        <w:rPr>
          <w:sz w:val="24"/>
          <w:szCs w:val="24"/>
        </w:rPr>
        <w:t xml:space="preserve"> These amounts are consistent with the amounts recently paid for the cognitive interviews used for testing the AHRQ Workplace Safety Supplemental Items for the Hospital Survey (as approved under OMB control # </w:t>
      </w:r>
      <w:r w:rsidRPr="009C5DBC" w:rsidR="009C5DBC">
        <w:rPr>
          <w:sz w:val="24"/>
          <w:szCs w:val="24"/>
        </w:rPr>
        <w:t>0935-0124</w:t>
      </w:r>
      <w:r w:rsidR="009C5DBC">
        <w:rPr>
          <w:sz w:val="24"/>
          <w:szCs w:val="24"/>
        </w:rPr>
        <w:t xml:space="preserve">, expiry: </w:t>
      </w:r>
      <w:r w:rsidRPr="009C5DBC" w:rsidR="009C5DBC">
        <w:rPr>
          <w:sz w:val="24"/>
          <w:szCs w:val="24"/>
        </w:rPr>
        <w:t>01-31-2024</w:t>
      </w:r>
      <w:r w:rsidR="009C5DBC">
        <w:rPr>
          <w:sz w:val="24"/>
          <w:szCs w:val="24"/>
        </w:rPr>
        <w:t xml:space="preserve">). </w:t>
      </w:r>
    </w:p>
    <w:p w:rsidRPr="00FA7DB0" w:rsidR="00121F5D" w:rsidP="0070013C" w:rsidRDefault="00121F5D" w14:paraId="6C6BFBC5" w14:textId="77777777">
      <w:pPr>
        <w:rPr>
          <w:sz w:val="24"/>
          <w:szCs w:val="24"/>
          <w:highlight w:val="yellow"/>
        </w:rPr>
      </w:pPr>
    </w:p>
    <w:p w:rsidRPr="00D640E7" w:rsidR="00A03C13" w:rsidP="0070013C" w:rsidRDefault="009E5A2B" w14:paraId="05A69AC6" w14:textId="0D1E2066">
      <w:pPr>
        <w:rPr>
          <w:sz w:val="24"/>
          <w:szCs w:val="24"/>
        </w:rPr>
      </w:pPr>
      <w:r w:rsidRPr="003D4669">
        <w:rPr>
          <w:b/>
          <w:sz w:val="24"/>
          <w:szCs w:val="24"/>
        </w:rPr>
        <w:t>Pilot Test</w:t>
      </w:r>
      <w:r w:rsidRPr="003D4669" w:rsidR="00312519">
        <w:rPr>
          <w:b/>
          <w:sz w:val="24"/>
          <w:szCs w:val="24"/>
        </w:rPr>
        <w:t xml:space="preserve"> </w:t>
      </w:r>
      <w:r w:rsidRPr="003D4669" w:rsidR="00B77750">
        <w:rPr>
          <w:b/>
          <w:sz w:val="24"/>
          <w:szCs w:val="24"/>
        </w:rPr>
        <w:t>Sites</w:t>
      </w:r>
      <w:r w:rsidRPr="003D4669" w:rsidR="00312519">
        <w:rPr>
          <w:i/>
          <w:sz w:val="24"/>
          <w:szCs w:val="24"/>
        </w:rPr>
        <w:t>.</w:t>
      </w:r>
      <w:r w:rsidRPr="00D640E7" w:rsidR="00312519">
        <w:rPr>
          <w:sz w:val="24"/>
          <w:szCs w:val="24"/>
        </w:rPr>
        <w:t xml:space="preserve"> </w:t>
      </w:r>
      <w:r w:rsidR="001F4A8A">
        <w:rPr>
          <w:sz w:val="24"/>
          <w:szCs w:val="24"/>
        </w:rPr>
        <w:t>A $1,</w:t>
      </w:r>
      <w:r w:rsidRPr="008F55BC" w:rsidR="00A429E7">
        <w:rPr>
          <w:sz w:val="24"/>
          <w:szCs w:val="24"/>
        </w:rPr>
        <w:t>500</w:t>
      </w:r>
      <w:r w:rsidRPr="008F55BC" w:rsidR="001F4A8A">
        <w:rPr>
          <w:sz w:val="24"/>
          <w:szCs w:val="24"/>
        </w:rPr>
        <w:t xml:space="preserve"> </w:t>
      </w:r>
      <w:r w:rsidR="00D1013A">
        <w:rPr>
          <w:sz w:val="24"/>
          <w:szCs w:val="24"/>
        </w:rPr>
        <w:t>incentive</w:t>
      </w:r>
      <w:r w:rsidRPr="008F55BC" w:rsidR="00A429E7">
        <w:rPr>
          <w:sz w:val="24"/>
          <w:szCs w:val="24"/>
        </w:rPr>
        <w:t xml:space="preserve"> </w:t>
      </w:r>
      <w:r w:rsidRPr="008F55BC" w:rsidR="001F4A8A">
        <w:rPr>
          <w:sz w:val="24"/>
          <w:szCs w:val="24"/>
        </w:rPr>
        <w:t xml:space="preserve">is proposed for </w:t>
      </w:r>
      <w:r w:rsidR="00D1013A">
        <w:rPr>
          <w:sz w:val="24"/>
          <w:szCs w:val="24"/>
        </w:rPr>
        <w:t xml:space="preserve">active </w:t>
      </w:r>
      <w:r w:rsidRPr="008F55BC" w:rsidR="001F4A8A">
        <w:rPr>
          <w:sz w:val="24"/>
          <w:szCs w:val="24"/>
        </w:rPr>
        <w:t xml:space="preserve">nursing home participation. The first </w:t>
      </w:r>
      <w:r w:rsidR="00D1013A">
        <w:rPr>
          <w:sz w:val="24"/>
          <w:szCs w:val="24"/>
        </w:rPr>
        <w:t>portion</w:t>
      </w:r>
      <w:r w:rsidRPr="008F55BC" w:rsidR="001F4A8A">
        <w:rPr>
          <w:sz w:val="24"/>
          <w:szCs w:val="24"/>
        </w:rPr>
        <w:t xml:space="preserve"> ($</w:t>
      </w:r>
      <w:r w:rsidR="00D1013A">
        <w:rPr>
          <w:sz w:val="24"/>
          <w:szCs w:val="24"/>
        </w:rPr>
        <w:t>1,0</w:t>
      </w:r>
      <w:r w:rsidRPr="008F55BC" w:rsidR="001F4A8A">
        <w:rPr>
          <w:sz w:val="24"/>
          <w:szCs w:val="24"/>
        </w:rPr>
        <w:t>00) will be awarded at the start of</w:t>
      </w:r>
      <w:r w:rsidR="001F4A8A">
        <w:rPr>
          <w:sz w:val="24"/>
          <w:szCs w:val="24"/>
        </w:rPr>
        <w:t xml:space="preserve"> data collection and the remaining </w:t>
      </w:r>
      <w:r w:rsidRPr="003D4669" w:rsidR="001F4A8A">
        <w:rPr>
          <w:sz w:val="24"/>
          <w:szCs w:val="24"/>
        </w:rPr>
        <w:t>$500</w:t>
      </w:r>
      <w:r w:rsidR="001F4A8A">
        <w:rPr>
          <w:sz w:val="24"/>
          <w:szCs w:val="24"/>
        </w:rPr>
        <w:t xml:space="preserve"> will be awarded </w:t>
      </w:r>
      <w:r w:rsidR="0061127A">
        <w:rPr>
          <w:sz w:val="24"/>
          <w:szCs w:val="24"/>
        </w:rPr>
        <w:t>if a 50 percent</w:t>
      </w:r>
      <w:r w:rsidR="00CF594A">
        <w:rPr>
          <w:sz w:val="24"/>
          <w:szCs w:val="24"/>
        </w:rPr>
        <w:t xml:space="preserve"> or higher</w:t>
      </w:r>
      <w:r w:rsidR="0061127A">
        <w:rPr>
          <w:sz w:val="24"/>
          <w:szCs w:val="24"/>
        </w:rPr>
        <w:t xml:space="preserve"> response rate is achieved</w:t>
      </w:r>
      <w:r w:rsidR="009D7CF0">
        <w:rPr>
          <w:sz w:val="24"/>
          <w:szCs w:val="24"/>
        </w:rPr>
        <w:t xml:space="preserve">. </w:t>
      </w:r>
      <w:r w:rsidR="00792ABA">
        <w:rPr>
          <w:sz w:val="24"/>
          <w:szCs w:val="24"/>
        </w:rPr>
        <w:t xml:space="preserve">Participating pilot </w:t>
      </w:r>
      <w:r w:rsidR="001F4A8A">
        <w:rPr>
          <w:sz w:val="24"/>
          <w:szCs w:val="24"/>
        </w:rPr>
        <w:t>nursing homes</w:t>
      </w:r>
      <w:r w:rsidRPr="00D640E7" w:rsidR="00BC1857">
        <w:rPr>
          <w:sz w:val="24"/>
          <w:szCs w:val="24"/>
        </w:rPr>
        <w:t xml:space="preserve"> </w:t>
      </w:r>
      <w:r w:rsidRPr="00D640E7" w:rsidR="004F6793">
        <w:rPr>
          <w:sz w:val="24"/>
          <w:szCs w:val="24"/>
        </w:rPr>
        <w:t xml:space="preserve">will </w:t>
      </w:r>
      <w:r w:rsidR="00792ABA">
        <w:rPr>
          <w:sz w:val="24"/>
          <w:szCs w:val="24"/>
        </w:rPr>
        <w:t xml:space="preserve">have the AHRQ </w:t>
      </w:r>
      <w:r w:rsidR="00324F7E">
        <w:rPr>
          <w:sz w:val="24"/>
          <w:szCs w:val="24"/>
        </w:rPr>
        <w:t xml:space="preserve">SOPS </w:t>
      </w:r>
      <w:r w:rsidR="001F4A8A">
        <w:rPr>
          <w:sz w:val="24"/>
          <w:szCs w:val="24"/>
        </w:rPr>
        <w:t>Nursing Home Survey</w:t>
      </w:r>
      <w:r w:rsidR="00792ABA">
        <w:rPr>
          <w:sz w:val="24"/>
          <w:szCs w:val="24"/>
        </w:rPr>
        <w:t xml:space="preserve"> </w:t>
      </w:r>
      <w:r w:rsidR="00CF594A">
        <w:rPr>
          <w:sz w:val="24"/>
          <w:szCs w:val="24"/>
        </w:rPr>
        <w:t xml:space="preserve">and workplace safety supplemental items </w:t>
      </w:r>
      <w:r w:rsidR="00792ABA">
        <w:rPr>
          <w:sz w:val="24"/>
          <w:szCs w:val="24"/>
        </w:rPr>
        <w:t xml:space="preserve">administered to providers and staff free-of-charge and will </w:t>
      </w:r>
      <w:r w:rsidRPr="00D640E7" w:rsidR="004F6793">
        <w:rPr>
          <w:sz w:val="24"/>
          <w:szCs w:val="24"/>
        </w:rPr>
        <w:t>receive</w:t>
      </w:r>
      <w:r w:rsidR="00792ABA">
        <w:rPr>
          <w:sz w:val="24"/>
          <w:szCs w:val="24"/>
        </w:rPr>
        <w:t xml:space="preserve"> a customized feedback report</w:t>
      </w:r>
      <w:r w:rsidRPr="00D640E7" w:rsidR="00BC1857">
        <w:rPr>
          <w:sz w:val="24"/>
          <w:szCs w:val="24"/>
        </w:rPr>
        <w:t xml:space="preserve"> that </w:t>
      </w:r>
      <w:r w:rsidRPr="00D640E7" w:rsidR="00830E86">
        <w:rPr>
          <w:sz w:val="24"/>
          <w:szCs w:val="24"/>
        </w:rPr>
        <w:t>compare</w:t>
      </w:r>
      <w:r w:rsidR="00792ABA">
        <w:rPr>
          <w:sz w:val="24"/>
          <w:szCs w:val="24"/>
        </w:rPr>
        <w:t>s</w:t>
      </w:r>
      <w:r w:rsidRPr="00D640E7" w:rsidR="00830E86">
        <w:rPr>
          <w:sz w:val="24"/>
          <w:szCs w:val="24"/>
        </w:rPr>
        <w:t xml:space="preserve"> </w:t>
      </w:r>
      <w:r w:rsidRPr="00D640E7" w:rsidR="00BC1857">
        <w:rPr>
          <w:sz w:val="24"/>
          <w:szCs w:val="24"/>
        </w:rPr>
        <w:t xml:space="preserve">their results </w:t>
      </w:r>
      <w:r w:rsidRPr="00D640E7" w:rsidR="00830E86">
        <w:rPr>
          <w:sz w:val="24"/>
          <w:szCs w:val="24"/>
        </w:rPr>
        <w:t xml:space="preserve">with </w:t>
      </w:r>
      <w:r w:rsidR="00792ABA">
        <w:rPr>
          <w:sz w:val="24"/>
          <w:szCs w:val="24"/>
        </w:rPr>
        <w:t xml:space="preserve">the aggregated results from </w:t>
      </w:r>
      <w:r w:rsidRPr="00D640E7" w:rsidR="00BC1857">
        <w:rPr>
          <w:sz w:val="24"/>
          <w:szCs w:val="24"/>
        </w:rPr>
        <w:t xml:space="preserve">other participating </w:t>
      </w:r>
      <w:r w:rsidR="001F4A8A">
        <w:rPr>
          <w:sz w:val="24"/>
          <w:szCs w:val="24"/>
        </w:rPr>
        <w:t>nursing homes</w:t>
      </w:r>
      <w:r w:rsidR="00D640E7">
        <w:rPr>
          <w:sz w:val="24"/>
          <w:szCs w:val="24"/>
        </w:rPr>
        <w:t>.</w:t>
      </w:r>
      <w:r w:rsidR="009C5DBC">
        <w:rPr>
          <w:sz w:val="24"/>
          <w:szCs w:val="24"/>
        </w:rPr>
        <w:t xml:space="preserve"> </w:t>
      </w:r>
    </w:p>
    <w:p w:rsidRPr="00FA7DB0" w:rsidR="0057087C" w:rsidP="003A074E" w:rsidRDefault="0057087C" w14:paraId="17B7647E" w14:textId="77777777">
      <w:pPr>
        <w:pStyle w:val="Heading2"/>
        <w:spacing w:before="240" w:after="60"/>
        <w:rPr>
          <w:rFonts w:ascii="Arial" w:hAnsi="Arial" w:cs="Arial"/>
          <w:i/>
          <w:color w:val="auto"/>
          <w:sz w:val="24"/>
        </w:rPr>
      </w:pPr>
      <w:bookmarkStart w:name="_Toc92374297" w:id="13"/>
      <w:r w:rsidRPr="00FA7DB0">
        <w:rPr>
          <w:rFonts w:ascii="Arial" w:hAnsi="Arial" w:cs="Arial"/>
          <w:i/>
          <w:color w:val="auto"/>
          <w:sz w:val="24"/>
        </w:rPr>
        <w:t>10.  Assurance of Confidentiality</w:t>
      </w:r>
      <w:bookmarkEnd w:id="13"/>
    </w:p>
    <w:p w:rsidRPr="00D640E7" w:rsidR="00BC1857" w:rsidP="003A074E" w:rsidRDefault="00BC1857" w14:paraId="4745397D" w14:textId="31C1EA99">
      <w:pPr>
        <w:rPr>
          <w:sz w:val="24"/>
          <w:szCs w:val="24"/>
        </w:rPr>
      </w:pPr>
      <w:r w:rsidRPr="00D640E7">
        <w:rPr>
          <w:sz w:val="24"/>
          <w:szCs w:val="24"/>
        </w:rPr>
        <w:t xml:space="preserve">Individuals and organizations will be assured limitation on use of certain information under Section 944(c) of the Public Health Service Act, 42 </w:t>
      </w:r>
      <w:smartTag w:uri="urn:schemas-microsoft-com:office:smarttags" w:element="stockticker">
        <w:r w:rsidRPr="00D640E7">
          <w:rPr>
            <w:sz w:val="24"/>
            <w:szCs w:val="24"/>
          </w:rPr>
          <w:t>USC</w:t>
        </w:r>
      </w:smartTag>
      <w:r w:rsidRPr="00D640E7">
        <w:rPr>
          <w:sz w:val="24"/>
          <w:szCs w:val="24"/>
        </w:rPr>
        <w:t xml:space="preserve"> 299c-3(c). Th</w:t>
      </w:r>
      <w:r w:rsidRPr="00D640E7" w:rsidR="00B40297">
        <w:rPr>
          <w:sz w:val="24"/>
          <w:szCs w:val="24"/>
        </w:rPr>
        <w:t>is</w:t>
      </w:r>
      <w:r w:rsidRPr="00D640E7">
        <w:rPr>
          <w:sz w:val="24"/>
          <w:szCs w:val="24"/>
        </w:rPr>
        <w:t xml:space="preserve"> law requires that information collected for research conducted or supported by AHRQ that identifies individuals or establishments be used only for the purpose for which it was supplied.</w:t>
      </w:r>
    </w:p>
    <w:p w:rsidRPr="00FA7DB0" w:rsidR="0057087C" w:rsidP="003A074E" w:rsidRDefault="0057087C" w14:paraId="51FA3079" w14:textId="77777777">
      <w:pPr>
        <w:pStyle w:val="Heading2"/>
        <w:spacing w:before="240" w:after="60"/>
        <w:rPr>
          <w:rFonts w:ascii="Arial" w:hAnsi="Arial" w:cs="Arial"/>
          <w:i/>
          <w:color w:val="auto"/>
          <w:sz w:val="24"/>
        </w:rPr>
      </w:pPr>
      <w:bookmarkStart w:name="_Toc92374298" w:id="14"/>
      <w:r w:rsidRPr="00FA7DB0">
        <w:rPr>
          <w:rFonts w:ascii="Arial" w:hAnsi="Arial" w:cs="Arial"/>
          <w:i/>
          <w:color w:val="auto"/>
          <w:sz w:val="24"/>
        </w:rPr>
        <w:t>11.  Questions of a Sensitive Nature</w:t>
      </w:r>
      <w:bookmarkEnd w:id="14"/>
    </w:p>
    <w:p w:rsidRPr="00D640E7" w:rsidR="0057087C" w:rsidRDefault="00FD6872" w14:paraId="70F8C981" w14:textId="333F5508">
      <w:pPr>
        <w:rPr>
          <w:sz w:val="24"/>
          <w:szCs w:val="24"/>
        </w:rPr>
      </w:pPr>
      <w:r w:rsidRPr="00D640E7">
        <w:rPr>
          <w:sz w:val="24"/>
          <w:szCs w:val="24"/>
        </w:rPr>
        <w:t xml:space="preserve">We do not </w:t>
      </w:r>
      <w:r w:rsidRPr="00D640E7" w:rsidR="00B40297">
        <w:rPr>
          <w:sz w:val="24"/>
          <w:szCs w:val="24"/>
        </w:rPr>
        <w:t xml:space="preserve">consider survey questions related to </w:t>
      </w:r>
      <w:r w:rsidR="00F1448D">
        <w:rPr>
          <w:sz w:val="24"/>
          <w:szCs w:val="24"/>
        </w:rPr>
        <w:t xml:space="preserve">the culture of </w:t>
      </w:r>
      <w:r w:rsidR="00B74B86">
        <w:rPr>
          <w:sz w:val="24"/>
          <w:szCs w:val="24"/>
        </w:rPr>
        <w:t>workplace</w:t>
      </w:r>
      <w:r w:rsidR="00F1448D">
        <w:rPr>
          <w:sz w:val="24"/>
          <w:szCs w:val="24"/>
        </w:rPr>
        <w:t xml:space="preserve"> safety as</w:t>
      </w:r>
      <w:r w:rsidRPr="00D640E7" w:rsidR="0057087C">
        <w:rPr>
          <w:sz w:val="24"/>
          <w:szCs w:val="24"/>
        </w:rPr>
        <w:t xml:space="preserve"> </w:t>
      </w:r>
      <w:r w:rsidRPr="00D640E7" w:rsidR="00995C3C">
        <w:rPr>
          <w:sz w:val="24"/>
          <w:szCs w:val="24"/>
        </w:rPr>
        <w:t xml:space="preserve">particularly </w:t>
      </w:r>
      <w:r w:rsidRPr="00D640E7" w:rsidR="0057087C">
        <w:rPr>
          <w:sz w:val="24"/>
          <w:szCs w:val="24"/>
        </w:rPr>
        <w:t>sensitive</w:t>
      </w:r>
      <w:r w:rsidRPr="00D640E7" w:rsidR="00B40297">
        <w:rPr>
          <w:sz w:val="24"/>
          <w:szCs w:val="24"/>
        </w:rPr>
        <w:t>; however,</w:t>
      </w:r>
      <w:r w:rsidRPr="00D640E7">
        <w:rPr>
          <w:sz w:val="24"/>
          <w:szCs w:val="24"/>
        </w:rPr>
        <w:t xml:space="preserve"> if during cognitive testing</w:t>
      </w:r>
      <w:r w:rsidRPr="00D640E7" w:rsidR="00EC3FF4">
        <w:rPr>
          <w:sz w:val="24"/>
          <w:szCs w:val="24"/>
        </w:rPr>
        <w:t xml:space="preserve"> we discover any</w:t>
      </w:r>
      <w:r w:rsidRPr="00D640E7">
        <w:rPr>
          <w:sz w:val="24"/>
          <w:szCs w:val="24"/>
        </w:rPr>
        <w:t xml:space="preserve"> sensitivities, </w:t>
      </w:r>
      <w:r w:rsidRPr="00D640E7" w:rsidR="00EC3FF4">
        <w:rPr>
          <w:sz w:val="24"/>
          <w:szCs w:val="24"/>
        </w:rPr>
        <w:t xml:space="preserve">we will modify or delete these </w:t>
      </w:r>
      <w:r w:rsidRPr="00D640E7">
        <w:rPr>
          <w:sz w:val="24"/>
          <w:szCs w:val="24"/>
        </w:rPr>
        <w:t>questions</w:t>
      </w:r>
      <w:r w:rsidRPr="00D640E7" w:rsidR="00EC3FF4">
        <w:rPr>
          <w:sz w:val="24"/>
          <w:szCs w:val="24"/>
        </w:rPr>
        <w:t xml:space="preserve"> accordingly</w:t>
      </w:r>
      <w:r w:rsidR="006C7913">
        <w:rPr>
          <w:sz w:val="24"/>
          <w:szCs w:val="24"/>
        </w:rPr>
        <w:t xml:space="preserve"> and develop any modified survey protocols as needed</w:t>
      </w:r>
      <w:r w:rsidRPr="00D640E7" w:rsidR="00EC3FF4">
        <w:rPr>
          <w:sz w:val="24"/>
          <w:szCs w:val="24"/>
        </w:rPr>
        <w:t>.</w:t>
      </w:r>
    </w:p>
    <w:p w:rsidR="0057087C" w:rsidP="003A074E" w:rsidRDefault="0057087C" w14:paraId="16B46C1E" w14:textId="1C3C3992">
      <w:pPr>
        <w:pStyle w:val="Heading2"/>
        <w:spacing w:before="240" w:after="60"/>
        <w:rPr>
          <w:rFonts w:ascii="Arial" w:hAnsi="Arial" w:cs="Arial"/>
          <w:i/>
          <w:color w:val="auto"/>
          <w:sz w:val="24"/>
        </w:rPr>
      </w:pPr>
      <w:bookmarkStart w:name="_Toc92374299" w:id="15"/>
      <w:r w:rsidRPr="00FA7DB0">
        <w:rPr>
          <w:rFonts w:ascii="Arial" w:hAnsi="Arial" w:cs="Arial"/>
          <w:i/>
          <w:color w:val="auto"/>
          <w:sz w:val="24"/>
        </w:rPr>
        <w:lastRenderedPageBreak/>
        <w:t xml:space="preserve">12.  Estimates of Annualized </w:t>
      </w:r>
      <w:r w:rsidRPr="00FA7DB0" w:rsidR="003321EC">
        <w:rPr>
          <w:rFonts w:ascii="Arial" w:hAnsi="Arial" w:cs="Arial"/>
          <w:i/>
          <w:color w:val="auto"/>
          <w:sz w:val="24"/>
        </w:rPr>
        <w:t>Burden Hours and Costs</w:t>
      </w:r>
      <w:bookmarkEnd w:id="15"/>
    </w:p>
    <w:p w:rsidR="005A026A" w:rsidP="005A026A" w:rsidRDefault="005A026A" w14:paraId="4D796490" w14:textId="711A3C3B"/>
    <w:p w:rsidRPr="00FA7DB0" w:rsidR="00231CE6" w:rsidP="00C758D4" w:rsidRDefault="00FE762F" w14:paraId="73A58F8A" w14:textId="3E99C608">
      <w:pPr>
        <w:rPr>
          <w:sz w:val="24"/>
          <w:szCs w:val="24"/>
          <w:highlight w:val="yellow"/>
        </w:rPr>
      </w:pPr>
      <w:r w:rsidRPr="00D640E7">
        <w:rPr>
          <w:sz w:val="24"/>
          <w:szCs w:val="24"/>
        </w:rPr>
        <w:t xml:space="preserve">Exhibit </w:t>
      </w:r>
      <w:r w:rsidRPr="00D640E7" w:rsidR="00932ED2">
        <w:rPr>
          <w:sz w:val="24"/>
          <w:szCs w:val="24"/>
        </w:rPr>
        <w:t>1</w:t>
      </w:r>
      <w:r w:rsidRPr="00D640E7">
        <w:rPr>
          <w:sz w:val="24"/>
          <w:szCs w:val="24"/>
        </w:rPr>
        <w:t xml:space="preserve"> shows the estimated annualized burden hours for the </w:t>
      </w:r>
      <w:r w:rsidRPr="00D640E7" w:rsidR="00C91A44">
        <w:rPr>
          <w:sz w:val="24"/>
          <w:szCs w:val="24"/>
        </w:rPr>
        <w:t xml:space="preserve">participants’ </w:t>
      </w:r>
      <w:r w:rsidRPr="00D640E7">
        <w:rPr>
          <w:sz w:val="24"/>
          <w:szCs w:val="24"/>
        </w:rPr>
        <w:t xml:space="preserve">time to </w:t>
      </w:r>
      <w:r w:rsidRPr="00D640E7" w:rsidR="00566CFD">
        <w:rPr>
          <w:sz w:val="24"/>
          <w:szCs w:val="24"/>
        </w:rPr>
        <w:t xml:space="preserve">take part </w:t>
      </w:r>
      <w:r w:rsidRPr="00D640E7">
        <w:rPr>
          <w:sz w:val="24"/>
          <w:szCs w:val="24"/>
        </w:rPr>
        <w:t xml:space="preserve">in </w:t>
      </w:r>
      <w:r w:rsidRPr="005A026A">
        <w:rPr>
          <w:sz w:val="24"/>
          <w:szCs w:val="24"/>
        </w:rPr>
        <w:t>th</w:t>
      </w:r>
      <w:r w:rsidRPr="005A026A" w:rsidR="00452F9A">
        <w:rPr>
          <w:sz w:val="24"/>
          <w:szCs w:val="24"/>
        </w:rPr>
        <w:t xml:space="preserve">is research. </w:t>
      </w:r>
      <w:r w:rsidRPr="005A026A" w:rsidR="0053705B">
        <w:rPr>
          <w:sz w:val="24"/>
          <w:szCs w:val="24"/>
        </w:rPr>
        <w:t xml:space="preserve">Cognitive interviews for the supplemental items will be conducted with </w:t>
      </w:r>
      <w:r w:rsidRPr="00CC77EC" w:rsidR="00A8475F">
        <w:rPr>
          <w:sz w:val="24"/>
          <w:szCs w:val="24"/>
        </w:rPr>
        <w:t>2</w:t>
      </w:r>
      <w:r w:rsidRPr="00CC77EC" w:rsidR="002900F4">
        <w:rPr>
          <w:sz w:val="24"/>
          <w:szCs w:val="24"/>
        </w:rPr>
        <w:t>5</w:t>
      </w:r>
      <w:r w:rsidRPr="00CC77EC" w:rsidR="00D640E7">
        <w:rPr>
          <w:sz w:val="24"/>
          <w:szCs w:val="24"/>
        </w:rPr>
        <w:t xml:space="preserve"> </w:t>
      </w:r>
      <w:r w:rsidRPr="00CC77EC" w:rsidR="0053705B">
        <w:rPr>
          <w:sz w:val="24"/>
          <w:szCs w:val="24"/>
        </w:rPr>
        <w:t xml:space="preserve">individuals </w:t>
      </w:r>
      <w:r w:rsidRPr="00CC77EC" w:rsidR="00787411">
        <w:rPr>
          <w:sz w:val="24"/>
          <w:szCs w:val="24"/>
        </w:rPr>
        <w:t>(</w:t>
      </w:r>
      <w:r w:rsidRPr="00CC77EC" w:rsidR="00C758D4">
        <w:rPr>
          <w:sz w:val="24"/>
          <w:szCs w:val="24"/>
        </w:rPr>
        <w:t xml:space="preserve">approximately </w:t>
      </w:r>
      <w:r w:rsidRPr="00CC77EC" w:rsidR="009729C6">
        <w:rPr>
          <w:sz w:val="24"/>
          <w:szCs w:val="24"/>
        </w:rPr>
        <w:t>3</w:t>
      </w:r>
      <w:r w:rsidRPr="00CC77EC" w:rsidR="00C707B4">
        <w:rPr>
          <w:sz w:val="24"/>
          <w:szCs w:val="24"/>
        </w:rPr>
        <w:t xml:space="preserve"> physicians, </w:t>
      </w:r>
      <w:r w:rsidRPr="00CC77EC" w:rsidR="0012035D">
        <w:rPr>
          <w:sz w:val="24"/>
          <w:szCs w:val="24"/>
        </w:rPr>
        <w:t>8</w:t>
      </w:r>
      <w:r w:rsidRPr="00CC77EC" w:rsidR="00C707B4">
        <w:rPr>
          <w:sz w:val="24"/>
          <w:szCs w:val="24"/>
        </w:rPr>
        <w:t xml:space="preserve"> </w:t>
      </w:r>
      <w:r w:rsidRPr="00CC77EC" w:rsidR="00C758D4">
        <w:rPr>
          <w:sz w:val="24"/>
          <w:szCs w:val="24"/>
        </w:rPr>
        <w:t xml:space="preserve">registered </w:t>
      </w:r>
      <w:r w:rsidRPr="00CC77EC" w:rsidR="00C707B4">
        <w:rPr>
          <w:sz w:val="24"/>
          <w:szCs w:val="24"/>
        </w:rPr>
        <w:t xml:space="preserve">nurses, </w:t>
      </w:r>
      <w:r w:rsidR="00CC77EC">
        <w:rPr>
          <w:sz w:val="24"/>
          <w:szCs w:val="24"/>
        </w:rPr>
        <w:t>12</w:t>
      </w:r>
      <w:r w:rsidRPr="00CC77EC" w:rsidR="005A026A">
        <w:rPr>
          <w:sz w:val="24"/>
          <w:szCs w:val="24"/>
        </w:rPr>
        <w:t xml:space="preserve"> nursing assistant</w:t>
      </w:r>
      <w:r w:rsidRPr="00CC77EC" w:rsidR="0012035D">
        <w:rPr>
          <w:sz w:val="24"/>
          <w:szCs w:val="24"/>
        </w:rPr>
        <w:t>s</w:t>
      </w:r>
      <w:r w:rsidRPr="00CC77EC" w:rsidR="005A026A">
        <w:rPr>
          <w:sz w:val="24"/>
          <w:szCs w:val="24"/>
        </w:rPr>
        <w:t xml:space="preserve">, </w:t>
      </w:r>
      <w:r w:rsidRPr="00CC77EC" w:rsidR="00A8475F">
        <w:rPr>
          <w:sz w:val="24"/>
          <w:szCs w:val="24"/>
        </w:rPr>
        <w:t xml:space="preserve">and </w:t>
      </w:r>
      <w:r w:rsidR="00CC77EC">
        <w:rPr>
          <w:sz w:val="24"/>
          <w:szCs w:val="24"/>
        </w:rPr>
        <w:t xml:space="preserve">2 administrators) </w:t>
      </w:r>
      <w:r w:rsidRPr="005A026A" w:rsidR="0053705B">
        <w:rPr>
          <w:sz w:val="24"/>
          <w:szCs w:val="24"/>
        </w:rPr>
        <w:t>and</w:t>
      </w:r>
      <w:r w:rsidRPr="00D640E7" w:rsidR="0053705B">
        <w:rPr>
          <w:sz w:val="24"/>
          <w:szCs w:val="24"/>
        </w:rPr>
        <w:t xml:space="preserve"> </w:t>
      </w:r>
      <w:r w:rsidRPr="00D640E7" w:rsidR="00EC3FF4">
        <w:rPr>
          <w:sz w:val="24"/>
          <w:szCs w:val="24"/>
        </w:rPr>
        <w:t xml:space="preserve">require approximately </w:t>
      </w:r>
      <w:r w:rsidRPr="00D640E7" w:rsidR="0053705B">
        <w:rPr>
          <w:sz w:val="24"/>
          <w:szCs w:val="24"/>
        </w:rPr>
        <w:t>one hour to complete.</w:t>
      </w:r>
      <w:r w:rsidRPr="00D640E7" w:rsidR="00A641D4">
        <w:rPr>
          <w:sz w:val="24"/>
          <w:szCs w:val="24"/>
        </w:rPr>
        <w:t xml:space="preserve"> </w:t>
      </w:r>
      <w:r w:rsidRPr="00D640E7" w:rsidR="00C758D4">
        <w:rPr>
          <w:sz w:val="24"/>
          <w:szCs w:val="24"/>
        </w:rPr>
        <w:t xml:space="preserve"> </w:t>
      </w:r>
    </w:p>
    <w:p w:rsidRPr="00FA7DB0" w:rsidR="00231CE6" w:rsidP="00FE762F" w:rsidRDefault="00231CE6" w14:paraId="2858240C" w14:textId="77777777">
      <w:pPr>
        <w:rPr>
          <w:sz w:val="24"/>
          <w:szCs w:val="24"/>
          <w:highlight w:val="yellow"/>
        </w:rPr>
      </w:pPr>
    </w:p>
    <w:p w:rsidRPr="00FA7DB0" w:rsidR="00A641D4" w:rsidP="00FE762F" w:rsidRDefault="00CD3DD6" w14:paraId="3B47CA8A" w14:textId="57CDB2A2">
      <w:pPr>
        <w:rPr>
          <w:sz w:val="24"/>
          <w:szCs w:val="24"/>
          <w:highlight w:val="yellow"/>
        </w:rPr>
      </w:pPr>
      <w:r w:rsidRPr="00CC77EC">
        <w:rPr>
          <w:sz w:val="24"/>
          <w:szCs w:val="24"/>
        </w:rPr>
        <w:t>For the pilot test, t</w:t>
      </w:r>
      <w:r w:rsidRPr="00CC77EC" w:rsidR="00787411">
        <w:rPr>
          <w:sz w:val="24"/>
          <w:szCs w:val="24"/>
        </w:rPr>
        <w:t>he</w:t>
      </w:r>
      <w:r w:rsidRPr="005A026A" w:rsidR="00787411">
        <w:rPr>
          <w:sz w:val="24"/>
          <w:szCs w:val="24"/>
        </w:rPr>
        <w:t xml:space="preserve"> supplemental items w</w:t>
      </w:r>
      <w:r w:rsidRPr="005A026A" w:rsidR="004A003D">
        <w:rPr>
          <w:sz w:val="24"/>
          <w:szCs w:val="24"/>
        </w:rPr>
        <w:t xml:space="preserve">ill be administered to about </w:t>
      </w:r>
      <w:r w:rsidR="00786CC4">
        <w:rPr>
          <w:sz w:val="24"/>
          <w:szCs w:val="24"/>
        </w:rPr>
        <w:t>7,015</w:t>
      </w:r>
      <w:r w:rsidRPr="00CC77EC" w:rsidR="004A003D">
        <w:rPr>
          <w:sz w:val="24"/>
          <w:szCs w:val="24"/>
        </w:rPr>
        <w:t xml:space="preserve"> individuals from </w:t>
      </w:r>
      <w:r w:rsidRPr="00CC77EC" w:rsidR="002900F4">
        <w:rPr>
          <w:sz w:val="24"/>
          <w:szCs w:val="24"/>
        </w:rPr>
        <w:t>75</w:t>
      </w:r>
      <w:r w:rsidRPr="00CC77EC" w:rsidR="00AA5523">
        <w:rPr>
          <w:sz w:val="24"/>
          <w:szCs w:val="24"/>
        </w:rPr>
        <w:t xml:space="preserve"> nursing homes</w:t>
      </w:r>
      <w:r w:rsidRPr="00CC77EC" w:rsidR="00787411">
        <w:rPr>
          <w:sz w:val="24"/>
          <w:szCs w:val="24"/>
        </w:rPr>
        <w:t xml:space="preserve"> </w:t>
      </w:r>
      <w:r w:rsidRPr="00CC77EC" w:rsidR="004A003D">
        <w:rPr>
          <w:sz w:val="24"/>
          <w:szCs w:val="24"/>
        </w:rPr>
        <w:t>and require 2</w:t>
      </w:r>
      <w:r w:rsidRPr="00CC77EC" w:rsidR="00AA5523">
        <w:rPr>
          <w:sz w:val="24"/>
          <w:szCs w:val="24"/>
        </w:rPr>
        <w:t>5</w:t>
      </w:r>
      <w:r w:rsidRPr="00CC77EC" w:rsidR="00787411">
        <w:rPr>
          <w:sz w:val="24"/>
          <w:szCs w:val="24"/>
        </w:rPr>
        <w:t xml:space="preserve"> minutes to complete</w:t>
      </w:r>
      <w:r w:rsidRPr="00CC77EC" w:rsidR="00BC1857">
        <w:rPr>
          <w:sz w:val="24"/>
          <w:szCs w:val="24"/>
        </w:rPr>
        <w:t xml:space="preserve">. </w:t>
      </w:r>
      <w:r w:rsidRPr="00CC77EC" w:rsidR="000A687C">
        <w:rPr>
          <w:sz w:val="24"/>
          <w:szCs w:val="24"/>
        </w:rPr>
        <w:t xml:space="preserve">Assuming a response rate of </w:t>
      </w:r>
      <w:r w:rsidRPr="00CC77EC" w:rsidR="00147051">
        <w:rPr>
          <w:sz w:val="24"/>
          <w:szCs w:val="24"/>
        </w:rPr>
        <w:t>60</w:t>
      </w:r>
      <w:r w:rsidRPr="00CC77EC" w:rsidR="000A687C">
        <w:rPr>
          <w:sz w:val="24"/>
          <w:szCs w:val="24"/>
        </w:rPr>
        <w:t xml:space="preserve"> percent, this data collection e</w:t>
      </w:r>
      <w:r w:rsidRPr="00CC77EC" w:rsidR="005A026A">
        <w:rPr>
          <w:sz w:val="24"/>
          <w:szCs w:val="24"/>
        </w:rPr>
        <w:t>ffort will yield a total of</w:t>
      </w:r>
      <w:r w:rsidR="00786CC4">
        <w:rPr>
          <w:sz w:val="24"/>
          <w:szCs w:val="24"/>
        </w:rPr>
        <w:t xml:space="preserve"> approximately 4,209</w:t>
      </w:r>
      <w:r w:rsidRPr="00CC77EC" w:rsidR="00E728B9">
        <w:rPr>
          <w:sz w:val="24"/>
          <w:szCs w:val="24"/>
        </w:rPr>
        <w:t xml:space="preserve"> </w:t>
      </w:r>
      <w:r w:rsidRPr="00CC77EC" w:rsidR="000A687C">
        <w:rPr>
          <w:sz w:val="24"/>
          <w:szCs w:val="24"/>
        </w:rPr>
        <w:t xml:space="preserve">completed questionnaires. </w:t>
      </w:r>
      <w:r w:rsidRPr="00CC77EC" w:rsidR="00BE3E5F">
        <w:rPr>
          <w:sz w:val="24"/>
          <w:szCs w:val="24"/>
        </w:rPr>
        <w:t>We expect a</w:t>
      </w:r>
      <w:r w:rsidRPr="00CC77EC" w:rsidR="00A641D4">
        <w:rPr>
          <w:sz w:val="24"/>
          <w:szCs w:val="24"/>
        </w:rPr>
        <w:t xml:space="preserve">n estimated </w:t>
      </w:r>
      <w:r w:rsidRPr="00CC77EC" w:rsidR="00147051">
        <w:rPr>
          <w:sz w:val="24"/>
          <w:szCs w:val="24"/>
        </w:rPr>
        <w:t>75</w:t>
      </w:r>
      <w:r w:rsidRPr="00CC77EC" w:rsidR="005A026A">
        <w:rPr>
          <w:sz w:val="24"/>
          <w:szCs w:val="24"/>
        </w:rPr>
        <w:t xml:space="preserve"> POCs, each representing a single</w:t>
      </w:r>
      <w:r w:rsidRPr="005A026A" w:rsidR="005A026A">
        <w:rPr>
          <w:sz w:val="24"/>
          <w:szCs w:val="24"/>
        </w:rPr>
        <w:t xml:space="preserve"> </w:t>
      </w:r>
      <w:r w:rsidR="00AA5523">
        <w:rPr>
          <w:sz w:val="24"/>
          <w:szCs w:val="24"/>
        </w:rPr>
        <w:t>nursing home</w:t>
      </w:r>
      <w:r w:rsidRPr="005A026A" w:rsidR="005A026A">
        <w:rPr>
          <w:sz w:val="24"/>
          <w:szCs w:val="24"/>
        </w:rPr>
        <w:t xml:space="preserve">, will complete the </w:t>
      </w:r>
      <w:r w:rsidR="00AA5523">
        <w:rPr>
          <w:sz w:val="24"/>
          <w:szCs w:val="24"/>
        </w:rPr>
        <w:t>nursing home</w:t>
      </w:r>
      <w:r w:rsidRPr="005A026A" w:rsidR="00A641D4">
        <w:rPr>
          <w:sz w:val="24"/>
          <w:szCs w:val="24"/>
        </w:rPr>
        <w:t xml:space="preserve"> </w:t>
      </w:r>
      <w:r w:rsidR="003758A8">
        <w:rPr>
          <w:sz w:val="24"/>
          <w:szCs w:val="24"/>
        </w:rPr>
        <w:t xml:space="preserve">background </w:t>
      </w:r>
      <w:r w:rsidRPr="005A026A" w:rsidR="00A641D4">
        <w:rPr>
          <w:sz w:val="24"/>
          <w:szCs w:val="24"/>
        </w:rPr>
        <w:t>information form</w:t>
      </w:r>
      <w:r w:rsidR="003758A8">
        <w:rPr>
          <w:sz w:val="24"/>
          <w:szCs w:val="24"/>
        </w:rPr>
        <w:t xml:space="preserve"> (Attachment </w:t>
      </w:r>
      <w:proofErr w:type="gramStart"/>
      <w:r w:rsidR="003758A8">
        <w:rPr>
          <w:sz w:val="24"/>
          <w:szCs w:val="24"/>
        </w:rPr>
        <w:t>F)</w:t>
      </w:r>
      <w:r w:rsidRPr="005A026A" w:rsidR="00A641D4">
        <w:rPr>
          <w:sz w:val="24"/>
          <w:szCs w:val="24"/>
        </w:rPr>
        <w:t xml:space="preserve">  (</w:t>
      </w:r>
      <w:proofErr w:type="gramEnd"/>
      <w:r w:rsidRPr="005A026A" w:rsidR="00A641D4">
        <w:rPr>
          <w:sz w:val="24"/>
          <w:szCs w:val="24"/>
        </w:rPr>
        <w:t xml:space="preserve">completion is estimated to take about 3 minutes). </w:t>
      </w:r>
    </w:p>
    <w:p w:rsidRPr="00E728B9" w:rsidR="00A641D4" w:rsidP="00FE762F" w:rsidRDefault="00A641D4" w14:paraId="6239DC9E" w14:textId="77777777">
      <w:pPr>
        <w:rPr>
          <w:sz w:val="24"/>
          <w:szCs w:val="24"/>
        </w:rPr>
      </w:pPr>
    </w:p>
    <w:p w:rsidRPr="00E728B9" w:rsidR="00FE762F" w:rsidP="00FE762F" w:rsidRDefault="00EC3FF4" w14:paraId="1C8C639F" w14:textId="4404EEE7">
      <w:pPr>
        <w:rPr>
          <w:sz w:val="24"/>
          <w:szCs w:val="24"/>
        </w:rPr>
      </w:pPr>
      <w:r w:rsidRPr="00E728B9">
        <w:rPr>
          <w:sz w:val="24"/>
          <w:szCs w:val="24"/>
        </w:rPr>
        <w:t xml:space="preserve">We estimate the </w:t>
      </w:r>
      <w:r w:rsidRPr="00E728B9" w:rsidR="00FE762F">
        <w:rPr>
          <w:sz w:val="24"/>
          <w:szCs w:val="24"/>
        </w:rPr>
        <w:t xml:space="preserve">total annualized burden </w:t>
      </w:r>
      <w:r w:rsidRPr="00E728B9">
        <w:rPr>
          <w:sz w:val="24"/>
          <w:szCs w:val="24"/>
        </w:rPr>
        <w:t xml:space="preserve">is </w:t>
      </w:r>
      <w:r w:rsidR="00F64119">
        <w:rPr>
          <w:sz w:val="24"/>
          <w:szCs w:val="24"/>
        </w:rPr>
        <w:t>1,4</w:t>
      </w:r>
      <w:r w:rsidR="009D7CF0">
        <w:rPr>
          <w:sz w:val="24"/>
          <w:szCs w:val="24"/>
        </w:rPr>
        <w:t>31.75</w:t>
      </w:r>
      <w:r w:rsidRPr="00716AE9" w:rsidR="00566CFD">
        <w:rPr>
          <w:sz w:val="24"/>
          <w:szCs w:val="24"/>
        </w:rPr>
        <w:t xml:space="preserve"> </w:t>
      </w:r>
      <w:r w:rsidRPr="00716AE9" w:rsidR="00FE762F">
        <w:rPr>
          <w:sz w:val="24"/>
          <w:szCs w:val="24"/>
        </w:rPr>
        <w:t>hours</w:t>
      </w:r>
      <w:r w:rsidRPr="00E728B9" w:rsidR="00FE762F">
        <w:rPr>
          <w:sz w:val="24"/>
          <w:szCs w:val="24"/>
        </w:rPr>
        <w:t>.</w:t>
      </w:r>
    </w:p>
    <w:p w:rsidRPr="00E728B9" w:rsidR="00FE762F" w:rsidP="00FE762F" w:rsidRDefault="00FE762F" w14:paraId="50D69756" w14:textId="77777777">
      <w:pPr>
        <w:rPr>
          <w:sz w:val="24"/>
          <w:szCs w:val="24"/>
        </w:rPr>
      </w:pPr>
    </w:p>
    <w:p w:rsidRPr="00E728B9" w:rsidR="00262784" w:rsidRDefault="00FE762F" w14:paraId="5378B082" w14:textId="58B4CA36">
      <w:pPr>
        <w:rPr>
          <w:sz w:val="24"/>
          <w:szCs w:val="24"/>
        </w:rPr>
      </w:pPr>
      <w:r w:rsidRPr="00E728B9">
        <w:rPr>
          <w:sz w:val="24"/>
          <w:szCs w:val="24"/>
        </w:rPr>
        <w:t xml:space="preserve">Exhibit </w:t>
      </w:r>
      <w:r w:rsidRPr="00E728B9" w:rsidR="00932ED2">
        <w:rPr>
          <w:sz w:val="24"/>
          <w:szCs w:val="24"/>
        </w:rPr>
        <w:t>2</w:t>
      </w:r>
      <w:r w:rsidRPr="00E728B9">
        <w:rPr>
          <w:sz w:val="24"/>
          <w:szCs w:val="24"/>
        </w:rPr>
        <w:t xml:space="preserve"> shows the estimated annualized cost burden associated with the </w:t>
      </w:r>
      <w:r w:rsidRPr="00E728B9" w:rsidR="00566CFD">
        <w:rPr>
          <w:sz w:val="24"/>
          <w:szCs w:val="24"/>
        </w:rPr>
        <w:t xml:space="preserve">participants’ </w:t>
      </w:r>
      <w:r w:rsidRPr="00E728B9">
        <w:rPr>
          <w:sz w:val="24"/>
          <w:szCs w:val="24"/>
        </w:rPr>
        <w:t xml:space="preserve">time to </w:t>
      </w:r>
      <w:r w:rsidRPr="00E728B9" w:rsidR="00566CFD">
        <w:rPr>
          <w:sz w:val="24"/>
          <w:szCs w:val="24"/>
        </w:rPr>
        <w:t xml:space="preserve">take part </w:t>
      </w:r>
      <w:r w:rsidRPr="00E728B9">
        <w:rPr>
          <w:sz w:val="24"/>
          <w:szCs w:val="24"/>
        </w:rPr>
        <w:t>in this research. The total cost burden is estimated to be</w:t>
      </w:r>
      <w:r w:rsidR="00F1290E">
        <w:rPr>
          <w:sz w:val="24"/>
          <w:szCs w:val="24"/>
        </w:rPr>
        <w:t xml:space="preserve"> $</w:t>
      </w:r>
      <w:r w:rsidRPr="00F1290E" w:rsidR="00F1290E">
        <w:rPr>
          <w:sz w:val="24"/>
          <w:szCs w:val="24"/>
        </w:rPr>
        <w:t>33,219.70</w:t>
      </w:r>
      <w:r w:rsidRPr="00E728B9">
        <w:rPr>
          <w:sz w:val="24"/>
          <w:szCs w:val="24"/>
        </w:rPr>
        <w:t>.</w:t>
      </w:r>
    </w:p>
    <w:p w:rsidRPr="00FA7DB0" w:rsidR="00414B3C" w:rsidP="00262784" w:rsidRDefault="00414B3C" w14:paraId="58184524" w14:textId="77777777">
      <w:pPr>
        <w:rPr>
          <w:b/>
          <w:bCs/>
          <w:sz w:val="24"/>
          <w:szCs w:val="24"/>
          <w:highlight w:val="yellow"/>
        </w:rPr>
      </w:pPr>
      <w:bookmarkStart w:name="OLE_LINK1" w:id="16"/>
      <w:bookmarkStart w:name="OLE_LINK2" w:id="17"/>
    </w:p>
    <w:p w:rsidRPr="00E728B9" w:rsidR="00262784" w:rsidP="00262784" w:rsidRDefault="00262784" w14:paraId="36214EB8" w14:textId="7F524B34">
      <w:pPr>
        <w:rPr>
          <w:b/>
          <w:bCs/>
          <w:sz w:val="24"/>
          <w:szCs w:val="24"/>
        </w:rPr>
      </w:pPr>
      <w:r w:rsidRPr="00E728B9">
        <w:rPr>
          <w:b/>
          <w:bCs/>
          <w:sz w:val="24"/>
          <w:szCs w:val="24"/>
        </w:rPr>
        <w:t xml:space="preserve">Exhibit </w:t>
      </w:r>
      <w:r w:rsidRPr="00E728B9" w:rsidR="00932ED2">
        <w:rPr>
          <w:b/>
          <w:bCs/>
          <w:sz w:val="24"/>
          <w:szCs w:val="24"/>
        </w:rPr>
        <w:t>1</w:t>
      </w:r>
      <w:r w:rsidRPr="00E728B9">
        <w:rPr>
          <w:b/>
          <w:bCs/>
          <w:sz w:val="24"/>
          <w:szCs w:val="24"/>
        </w:rPr>
        <w:t>.  Estimated annualized burden hours</w:t>
      </w:r>
    </w:p>
    <w:tbl>
      <w:tblPr>
        <w:tblW w:w="5000" w:type="pct"/>
        <w:tblCellMar>
          <w:left w:w="0" w:type="dxa"/>
          <w:right w:w="0" w:type="dxa"/>
        </w:tblCellMar>
        <w:tblLook w:val="0000" w:firstRow="0" w:lastRow="0" w:firstColumn="0" w:lastColumn="0" w:noHBand="0" w:noVBand="0"/>
      </w:tblPr>
      <w:tblGrid>
        <w:gridCol w:w="3698"/>
        <w:gridCol w:w="2123"/>
        <w:gridCol w:w="1303"/>
        <w:gridCol w:w="991"/>
        <w:gridCol w:w="1225"/>
      </w:tblGrid>
      <w:tr w:rsidRPr="00E728B9" w:rsidR="00CD3DD6" w:rsidTr="00741423" w14:paraId="6739570F" w14:textId="77777777">
        <w:tc>
          <w:tcPr>
            <w:tcW w:w="198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FE762F" w:rsidRDefault="00CD3DD6" w14:paraId="36D5BE1D" w14:textId="77777777">
            <w:pPr>
              <w:rPr>
                <w:b/>
                <w:sz w:val="24"/>
                <w:szCs w:val="24"/>
              </w:rPr>
            </w:pPr>
            <w:r w:rsidRPr="00E728B9">
              <w:rPr>
                <w:b/>
                <w:sz w:val="24"/>
                <w:szCs w:val="24"/>
              </w:rPr>
              <w:t>Form Name/Activity</w:t>
            </w:r>
          </w:p>
        </w:tc>
        <w:tc>
          <w:tcPr>
            <w:tcW w:w="113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E43093" w:rsidRDefault="00CD3DD6" w14:paraId="40EB2D23" w14:textId="20F88801">
            <w:pPr>
              <w:jc w:val="center"/>
              <w:rPr>
                <w:b/>
                <w:sz w:val="24"/>
                <w:szCs w:val="24"/>
              </w:rPr>
            </w:pPr>
            <w:r w:rsidRPr="00E728B9">
              <w:rPr>
                <w:b/>
                <w:sz w:val="24"/>
                <w:szCs w:val="24"/>
              </w:rPr>
              <w:t>Number of respondents/POCs</w:t>
            </w:r>
          </w:p>
        </w:tc>
        <w:tc>
          <w:tcPr>
            <w:tcW w:w="692" w:type="pct"/>
            <w:tcBorders>
              <w:top w:val="single" w:color="auto" w:sz="8" w:space="0"/>
              <w:left w:val="single" w:color="auto" w:sz="8" w:space="0"/>
              <w:bottom w:val="single" w:color="auto" w:sz="8" w:space="0"/>
              <w:right w:val="single" w:color="auto" w:sz="8" w:space="0"/>
            </w:tcBorders>
          </w:tcPr>
          <w:p w:rsidRPr="00E728B9" w:rsidR="00CD3DD6" w:rsidP="00FE762F" w:rsidRDefault="00CD3DD6" w14:paraId="727BFA5E" w14:textId="44DBF6D7">
            <w:pPr>
              <w:ind w:left="76" w:right="60"/>
              <w:jc w:val="center"/>
              <w:rPr>
                <w:b/>
                <w:sz w:val="24"/>
                <w:szCs w:val="24"/>
              </w:rPr>
            </w:pPr>
            <w:r w:rsidRPr="00E728B9">
              <w:rPr>
                <w:b/>
                <w:sz w:val="24"/>
                <w:szCs w:val="24"/>
              </w:rPr>
              <w:t>Number of responses per respondent</w:t>
            </w:r>
          </w:p>
        </w:tc>
        <w:tc>
          <w:tcPr>
            <w:tcW w:w="533" w:type="pct"/>
            <w:tcBorders>
              <w:top w:val="single" w:color="auto" w:sz="8" w:space="0"/>
              <w:left w:val="single" w:color="auto" w:sz="8" w:space="0"/>
              <w:bottom w:val="single" w:color="auto" w:sz="8" w:space="0"/>
              <w:right w:val="single" w:color="auto" w:sz="8" w:space="0"/>
            </w:tcBorders>
            <w:vAlign w:val="center"/>
          </w:tcPr>
          <w:p w:rsidRPr="00E728B9" w:rsidR="00CD3DD6" w:rsidP="00FE762F" w:rsidRDefault="00CD3DD6" w14:paraId="192F5FF3" w14:textId="2A3FF3E2">
            <w:pPr>
              <w:jc w:val="center"/>
              <w:rPr>
                <w:b/>
                <w:sz w:val="24"/>
                <w:szCs w:val="24"/>
              </w:rPr>
            </w:pPr>
            <w:r w:rsidRPr="00E728B9">
              <w:rPr>
                <w:b/>
                <w:sz w:val="24"/>
                <w:szCs w:val="24"/>
              </w:rPr>
              <w:t>Hours per response</w:t>
            </w:r>
          </w:p>
        </w:tc>
        <w:tc>
          <w:tcPr>
            <w:tcW w:w="6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FE762F" w:rsidRDefault="00CD3DD6" w14:paraId="4980A4A6" w14:textId="77777777">
            <w:pPr>
              <w:jc w:val="center"/>
              <w:rPr>
                <w:b/>
                <w:sz w:val="24"/>
                <w:szCs w:val="24"/>
              </w:rPr>
            </w:pPr>
            <w:r w:rsidRPr="00E728B9">
              <w:rPr>
                <w:b/>
                <w:sz w:val="24"/>
                <w:szCs w:val="24"/>
              </w:rPr>
              <w:t>Total burden hours</w:t>
            </w:r>
          </w:p>
        </w:tc>
      </w:tr>
      <w:tr w:rsidRPr="00E728B9" w:rsidR="00CD3DD6" w:rsidTr="00741423" w14:paraId="253C96E6" w14:textId="77777777">
        <w:tc>
          <w:tcPr>
            <w:tcW w:w="198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BC1857" w:rsidRDefault="00CD3DD6" w14:paraId="0A0E7622" w14:textId="2083CC29">
            <w:pPr>
              <w:rPr>
                <w:sz w:val="24"/>
                <w:szCs w:val="24"/>
              </w:rPr>
            </w:pPr>
            <w:r w:rsidRPr="00E728B9">
              <w:rPr>
                <w:sz w:val="24"/>
                <w:szCs w:val="24"/>
              </w:rPr>
              <w:t xml:space="preserve">Cognitive interviews </w:t>
            </w:r>
          </w:p>
        </w:tc>
        <w:tc>
          <w:tcPr>
            <w:tcW w:w="113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RDefault="00AA5523" w14:paraId="67D6B37E" w14:textId="3665FCEF">
            <w:pPr>
              <w:jc w:val="center"/>
              <w:rPr>
                <w:color w:val="000000"/>
                <w:sz w:val="24"/>
                <w:szCs w:val="24"/>
              </w:rPr>
            </w:pPr>
            <w:r>
              <w:rPr>
                <w:color w:val="000000"/>
                <w:sz w:val="24"/>
                <w:szCs w:val="24"/>
              </w:rPr>
              <w:t>2</w:t>
            </w:r>
            <w:r w:rsidR="00733845">
              <w:rPr>
                <w:color w:val="000000"/>
                <w:sz w:val="24"/>
                <w:szCs w:val="24"/>
              </w:rPr>
              <w:t>5</w:t>
            </w:r>
          </w:p>
        </w:tc>
        <w:tc>
          <w:tcPr>
            <w:tcW w:w="692" w:type="pct"/>
            <w:tcBorders>
              <w:top w:val="single" w:color="auto" w:sz="8" w:space="0"/>
              <w:left w:val="single" w:color="auto" w:sz="8" w:space="0"/>
              <w:bottom w:val="single" w:color="auto" w:sz="8" w:space="0"/>
              <w:right w:val="single" w:color="auto" w:sz="8" w:space="0"/>
            </w:tcBorders>
          </w:tcPr>
          <w:p w:rsidRPr="00E728B9" w:rsidR="00CD3DD6" w:rsidDel="00CD3DD6" w:rsidP="00CD3DD6" w:rsidRDefault="00CD3DD6" w14:paraId="43B580D5" w14:textId="32F47FE7">
            <w:pPr>
              <w:jc w:val="center"/>
              <w:rPr>
                <w:color w:val="000000"/>
                <w:sz w:val="24"/>
                <w:szCs w:val="24"/>
              </w:rPr>
            </w:pPr>
            <w:r w:rsidRPr="00E728B9">
              <w:rPr>
                <w:color w:val="000000"/>
                <w:sz w:val="24"/>
                <w:szCs w:val="24"/>
              </w:rPr>
              <w:t>1</w:t>
            </w:r>
          </w:p>
        </w:tc>
        <w:tc>
          <w:tcPr>
            <w:tcW w:w="533" w:type="pct"/>
            <w:tcBorders>
              <w:top w:val="single" w:color="auto" w:sz="8" w:space="0"/>
              <w:left w:val="single" w:color="auto" w:sz="8" w:space="0"/>
              <w:bottom w:val="single" w:color="auto" w:sz="8" w:space="0"/>
              <w:right w:val="single" w:color="auto" w:sz="8" w:space="0"/>
            </w:tcBorders>
            <w:vAlign w:val="center"/>
          </w:tcPr>
          <w:p w:rsidRPr="00E728B9" w:rsidR="00CD3DD6" w:rsidRDefault="00CD3DD6" w14:paraId="32B0CB01" w14:textId="48E0B23D">
            <w:pPr>
              <w:jc w:val="center"/>
              <w:rPr>
                <w:color w:val="000000"/>
                <w:sz w:val="24"/>
                <w:szCs w:val="24"/>
              </w:rPr>
            </w:pPr>
            <w:r w:rsidRPr="00E728B9">
              <w:rPr>
                <w:color w:val="000000"/>
                <w:sz w:val="24"/>
                <w:szCs w:val="24"/>
              </w:rPr>
              <w:t>1</w:t>
            </w:r>
          </w:p>
        </w:tc>
        <w:tc>
          <w:tcPr>
            <w:tcW w:w="6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RDefault="00A8475F" w14:paraId="4368C439" w14:textId="5D863948">
            <w:pPr>
              <w:jc w:val="center"/>
              <w:rPr>
                <w:color w:val="000000"/>
                <w:sz w:val="24"/>
                <w:szCs w:val="24"/>
              </w:rPr>
            </w:pPr>
            <w:r>
              <w:rPr>
                <w:color w:val="000000"/>
                <w:sz w:val="24"/>
                <w:szCs w:val="24"/>
              </w:rPr>
              <w:t>2</w:t>
            </w:r>
            <w:r w:rsidR="0012035D">
              <w:rPr>
                <w:color w:val="000000"/>
                <w:sz w:val="24"/>
                <w:szCs w:val="24"/>
              </w:rPr>
              <w:t>5</w:t>
            </w:r>
          </w:p>
        </w:tc>
      </w:tr>
      <w:tr w:rsidRPr="00E728B9" w:rsidR="00CD3DD6" w:rsidTr="00741423" w14:paraId="4CBCA3A6" w14:textId="77777777">
        <w:tc>
          <w:tcPr>
            <w:tcW w:w="198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3758A8" w:rsidRDefault="00AA5523" w14:paraId="184ECB14" w14:textId="094AD8EE">
            <w:pPr>
              <w:rPr>
                <w:sz w:val="24"/>
                <w:szCs w:val="24"/>
              </w:rPr>
            </w:pPr>
            <w:r>
              <w:rPr>
                <w:sz w:val="24"/>
                <w:szCs w:val="24"/>
              </w:rPr>
              <w:t>Nursing home</w:t>
            </w:r>
            <w:r w:rsidRPr="00E728B9" w:rsidR="00CD3DD6">
              <w:rPr>
                <w:sz w:val="24"/>
                <w:szCs w:val="24"/>
              </w:rPr>
              <w:t xml:space="preserve"> </w:t>
            </w:r>
            <w:r w:rsidR="003758A8">
              <w:rPr>
                <w:sz w:val="24"/>
                <w:szCs w:val="24"/>
              </w:rPr>
              <w:t xml:space="preserve">background </w:t>
            </w:r>
            <w:r w:rsidRPr="00E728B9" w:rsidR="00CD3DD6">
              <w:rPr>
                <w:sz w:val="24"/>
                <w:szCs w:val="24"/>
              </w:rPr>
              <w:t xml:space="preserve">information </w:t>
            </w:r>
            <w:r w:rsidR="003758A8">
              <w:rPr>
                <w:sz w:val="24"/>
                <w:szCs w:val="24"/>
              </w:rPr>
              <w:t>form</w:t>
            </w:r>
          </w:p>
        </w:tc>
        <w:tc>
          <w:tcPr>
            <w:tcW w:w="113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Del="00A4791B" w:rsidRDefault="00733845" w14:paraId="21D1891F" w14:textId="6D82155F">
            <w:pPr>
              <w:jc w:val="center"/>
              <w:rPr>
                <w:color w:val="000000"/>
                <w:sz w:val="24"/>
                <w:szCs w:val="24"/>
              </w:rPr>
            </w:pPr>
            <w:r>
              <w:rPr>
                <w:color w:val="000000"/>
                <w:sz w:val="24"/>
                <w:szCs w:val="24"/>
              </w:rPr>
              <w:t>75</w:t>
            </w:r>
          </w:p>
        </w:tc>
        <w:tc>
          <w:tcPr>
            <w:tcW w:w="692" w:type="pct"/>
            <w:tcBorders>
              <w:top w:val="single" w:color="auto" w:sz="8" w:space="0"/>
              <w:left w:val="single" w:color="auto" w:sz="8" w:space="0"/>
              <w:bottom w:val="single" w:color="auto" w:sz="8" w:space="0"/>
              <w:right w:val="single" w:color="auto" w:sz="8" w:space="0"/>
            </w:tcBorders>
          </w:tcPr>
          <w:p w:rsidRPr="00E728B9" w:rsidR="00CD3DD6" w:rsidRDefault="00E62971" w14:paraId="4AF6CBBA" w14:textId="396A4A39">
            <w:pPr>
              <w:jc w:val="center"/>
              <w:rPr>
                <w:color w:val="000000"/>
                <w:sz w:val="24"/>
                <w:szCs w:val="24"/>
              </w:rPr>
            </w:pPr>
            <w:r w:rsidRPr="00E728B9">
              <w:rPr>
                <w:color w:val="000000"/>
                <w:sz w:val="24"/>
                <w:szCs w:val="24"/>
              </w:rPr>
              <w:t>1</w:t>
            </w:r>
          </w:p>
        </w:tc>
        <w:tc>
          <w:tcPr>
            <w:tcW w:w="533" w:type="pct"/>
            <w:tcBorders>
              <w:top w:val="single" w:color="auto" w:sz="8" w:space="0"/>
              <w:left w:val="single" w:color="auto" w:sz="8" w:space="0"/>
              <w:bottom w:val="single" w:color="auto" w:sz="8" w:space="0"/>
              <w:right w:val="single" w:color="auto" w:sz="8" w:space="0"/>
            </w:tcBorders>
            <w:vAlign w:val="center"/>
          </w:tcPr>
          <w:p w:rsidRPr="00E728B9" w:rsidR="00CD3DD6" w:rsidRDefault="004A003D" w14:paraId="7E862F58" w14:textId="17E9372C">
            <w:pPr>
              <w:jc w:val="center"/>
              <w:rPr>
                <w:color w:val="000000"/>
                <w:sz w:val="24"/>
                <w:szCs w:val="24"/>
              </w:rPr>
            </w:pPr>
            <w:r w:rsidRPr="00E728B9">
              <w:rPr>
                <w:color w:val="000000"/>
                <w:sz w:val="24"/>
                <w:szCs w:val="24"/>
              </w:rPr>
              <w:t>3</w:t>
            </w:r>
            <w:r w:rsidRPr="00E728B9" w:rsidR="00CD3DD6">
              <w:rPr>
                <w:color w:val="000000"/>
                <w:sz w:val="24"/>
                <w:szCs w:val="24"/>
              </w:rPr>
              <w:t>/60</w:t>
            </w:r>
          </w:p>
        </w:tc>
        <w:tc>
          <w:tcPr>
            <w:tcW w:w="6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Del="00A4791B" w:rsidP="00E413A5" w:rsidRDefault="00902086" w14:paraId="7CD32EF0" w14:textId="3B7BDFDC">
            <w:pPr>
              <w:jc w:val="center"/>
              <w:rPr>
                <w:color w:val="000000"/>
                <w:sz w:val="24"/>
                <w:szCs w:val="24"/>
              </w:rPr>
            </w:pPr>
            <w:r>
              <w:rPr>
                <w:color w:val="000000"/>
                <w:sz w:val="24"/>
                <w:szCs w:val="24"/>
              </w:rPr>
              <w:t>3.75</w:t>
            </w:r>
          </w:p>
        </w:tc>
      </w:tr>
      <w:tr w:rsidRPr="00E728B9" w:rsidR="00CD3DD6" w:rsidTr="00741423" w14:paraId="58DA3EAC" w14:textId="77777777">
        <w:tc>
          <w:tcPr>
            <w:tcW w:w="198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BC1857" w:rsidRDefault="00CD3DD6" w14:paraId="2075C761" w14:textId="22347B69">
            <w:pPr>
              <w:rPr>
                <w:sz w:val="24"/>
                <w:szCs w:val="24"/>
              </w:rPr>
            </w:pPr>
            <w:r w:rsidRPr="00E728B9">
              <w:rPr>
                <w:sz w:val="24"/>
                <w:szCs w:val="24"/>
              </w:rPr>
              <w:t xml:space="preserve">Pilot test </w:t>
            </w:r>
          </w:p>
        </w:tc>
        <w:tc>
          <w:tcPr>
            <w:tcW w:w="113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RDefault="00786CC4" w14:paraId="616E9533" w14:textId="3F1F6498">
            <w:pPr>
              <w:jc w:val="center"/>
              <w:rPr>
                <w:color w:val="000000"/>
                <w:sz w:val="24"/>
                <w:szCs w:val="24"/>
              </w:rPr>
            </w:pPr>
            <w:r>
              <w:rPr>
                <w:color w:val="000000"/>
                <w:sz w:val="24"/>
                <w:szCs w:val="24"/>
              </w:rPr>
              <w:t>4,209</w:t>
            </w:r>
          </w:p>
        </w:tc>
        <w:tc>
          <w:tcPr>
            <w:tcW w:w="692" w:type="pct"/>
            <w:tcBorders>
              <w:top w:val="single" w:color="auto" w:sz="8" w:space="0"/>
              <w:left w:val="single" w:color="auto" w:sz="8" w:space="0"/>
              <w:bottom w:val="single" w:color="auto" w:sz="8" w:space="0"/>
              <w:right w:val="single" w:color="auto" w:sz="8" w:space="0"/>
            </w:tcBorders>
          </w:tcPr>
          <w:p w:rsidRPr="00E728B9" w:rsidR="00CD3DD6" w:rsidDel="00CD3DD6" w:rsidRDefault="00CD3DD6" w14:paraId="0ADC707B" w14:textId="3EE41209">
            <w:pPr>
              <w:jc w:val="center"/>
              <w:rPr>
                <w:color w:val="000000"/>
                <w:sz w:val="24"/>
                <w:szCs w:val="24"/>
              </w:rPr>
            </w:pPr>
            <w:r w:rsidRPr="00E728B9">
              <w:rPr>
                <w:color w:val="000000"/>
                <w:sz w:val="24"/>
                <w:szCs w:val="24"/>
              </w:rPr>
              <w:t>1</w:t>
            </w:r>
          </w:p>
        </w:tc>
        <w:tc>
          <w:tcPr>
            <w:tcW w:w="533" w:type="pct"/>
            <w:tcBorders>
              <w:top w:val="single" w:color="auto" w:sz="8" w:space="0"/>
              <w:left w:val="single" w:color="auto" w:sz="8" w:space="0"/>
              <w:bottom w:val="single" w:color="auto" w:sz="8" w:space="0"/>
              <w:right w:val="single" w:color="auto" w:sz="8" w:space="0"/>
            </w:tcBorders>
            <w:vAlign w:val="center"/>
          </w:tcPr>
          <w:p w:rsidRPr="00E728B9" w:rsidR="00CD3DD6" w:rsidP="004A003D" w:rsidRDefault="004A003D" w14:paraId="6A5EB1DF" w14:textId="10DBD30D">
            <w:pPr>
              <w:jc w:val="center"/>
              <w:rPr>
                <w:color w:val="000000"/>
                <w:sz w:val="24"/>
                <w:szCs w:val="24"/>
              </w:rPr>
            </w:pPr>
            <w:r w:rsidRPr="00E728B9">
              <w:rPr>
                <w:color w:val="000000"/>
                <w:sz w:val="24"/>
                <w:szCs w:val="24"/>
              </w:rPr>
              <w:t>20</w:t>
            </w:r>
            <w:r w:rsidRPr="00E728B9" w:rsidR="00CD3DD6">
              <w:rPr>
                <w:color w:val="000000"/>
                <w:sz w:val="24"/>
                <w:szCs w:val="24"/>
              </w:rPr>
              <w:t>/60</w:t>
            </w:r>
          </w:p>
        </w:tc>
        <w:tc>
          <w:tcPr>
            <w:tcW w:w="6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4A003D" w:rsidRDefault="005F0DBC" w14:paraId="4DDAAAE0" w14:textId="652AADF1">
            <w:pPr>
              <w:jc w:val="center"/>
              <w:rPr>
                <w:color w:val="000000"/>
                <w:sz w:val="24"/>
                <w:szCs w:val="24"/>
              </w:rPr>
            </w:pPr>
            <w:r>
              <w:rPr>
                <w:color w:val="000000"/>
                <w:sz w:val="24"/>
                <w:szCs w:val="24"/>
              </w:rPr>
              <w:t>1,403</w:t>
            </w:r>
          </w:p>
        </w:tc>
      </w:tr>
      <w:tr w:rsidRPr="00FA7DB0" w:rsidR="00CD3DD6" w:rsidTr="00741423" w14:paraId="70011A1F" w14:textId="77777777">
        <w:tc>
          <w:tcPr>
            <w:tcW w:w="198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FE762F" w:rsidRDefault="00CD3DD6" w14:paraId="47A32A85" w14:textId="77777777">
            <w:pPr>
              <w:rPr>
                <w:sz w:val="24"/>
                <w:szCs w:val="24"/>
              </w:rPr>
            </w:pPr>
            <w:r w:rsidRPr="00E728B9">
              <w:rPr>
                <w:b/>
                <w:bCs/>
                <w:sz w:val="24"/>
                <w:szCs w:val="24"/>
              </w:rPr>
              <w:t>Total</w:t>
            </w:r>
          </w:p>
        </w:tc>
        <w:tc>
          <w:tcPr>
            <w:tcW w:w="113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53705B" w:rsidRDefault="00F64119" w14:paraId="59A30895" w14:textId="050C2B2C">
            <w:pPr>
              <w:jc w:val="center"/>
              <w:rPr>
                <w:color w:val="000000"/>
                <w:sz w:val="24"/>
                <w:szCs w:val="24"/>
              </w:rPr>
            </w:pPr>
            <w:r>
              <w:rPr>
                <w:color w:val="000000"/>
                <w:sz w:val="24"/>
                <w:szCs w:val="24"/>
              </w:rPr>
              <w:t>4,309</w:t>
            </w:r>
          </w:p>
        </w:tc>
        <w:tc>
          <w:tcPr>
            <w:tcW w:w="692" w:type="pct"/>
            <w:tcBorders>
              <w:top w:val="single" w:color="auto" w:sz="8" w:space="0"/>
              <w:left w:val="single" w:color="auto" w:sz="8" w:space="0"/>
              <w:bottom w:val="single" w:color="auto" w:sz="8" w:space="0"/>
              <w:right w:val="single" w:color="auto" w:sz="8" w:space="0"/>
            </w:tcBorders>
          </w:tcPr>
          <w:p w:rsidRPr="00E728B9" w:rsidR="00CD3DD6" w:rsidRDefault="00CD3DD6" w14:paraId="6BB92EFA" w14:textId="444A0CA1">
            <w:pPr>
              <w:jc w:val="center"/>
              <w:rPr>
                <w:color w:val="000000"/>
                <w:sz w:val="24"/>
                <w:szCs w:val="24"/>
              </w:rPr>
            </w:pPr>
            <w:proofErr w:type="spellStart"/>
            <w:r w:rsidRPr="00E728B9">
              <w:rPr>
                <w:color w:val="000000"/>
                <w:sz w:val="24"/>
                <w:szCs w:val="24"/>
              </w:rPr>
              <w:t>na</w:t>
            </w:r>
            <w:proofErr w:type="spellEnd"/>
          </w:p>
        </w:tc>
        <w:tc>
          <w:tcPr>
            <w:tcW w:w="533" w:type="pct"/>
            <w:tcBorders>
              <w:top w:val="single" w:color="auto" w:sz="8" w:space="0"/>
              <w:left w:val="single" w:color="auto" w:sz="8" w:space="0"/>
              <w:bottom w:val="single" w:color="auto" w:sz="8" w:space="0"/>
              <w:right w:val="single" w:color="auto" w:sz="8" w:space="0"/>
            </w:tcBorders>
            <w:vAlign w:val="center"/>
          </w:tcPr>
          <w:p w:rsidRPr="00E728B9" w:rsidR="00CD3DD6" w:rsidRDefault="00CD3DD6" w14:paraId="5E8D14EB" w14:textId="45D3DC59">
            <w:pPr>
              <w:jc w:val="center"/>
              <w:rPr>
                <w:color w:val="000000"/>
                <w:sz w:val="24"/>
                <w:szCs w:val="24"/>
              </w:rPr>
            </w:pPr>
            <w:proofErr w:type="spellStart"/>
            <w:r w:rsidRPr="00E728B9">
              <w:rPr>
                <w:color w:val="000000"/>
                <w:sz w:val="24"/>
                <w:szCs w:val="24"/>
              </w:rPr>
              <w:t>na</w:t>
            </w:r>
            <w:proofErr w:type="spellEnd"/>
          </w:p>
        </w:tc>
        <w:tc>
          <w:tcPr>
            <w:tcW w:w="6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728B9" w:rsidR="00CD3DD6" w:rsidP="00E413A5" w:rsidRDefault="005F0DBC" w14:paraId="65685E93" w14:textId="57384046">
            <w:pPr>
              <w:jc w:val="center"/>
              <w:rPr>
                <w:color w:val="000000"/>
                <w:sz w:val="24"/>
                <w:szCs w:val="24"/>
              </w:rPr>
            </w:pPr>
            <w:r>
              <w:rPr>
                <w:color w:val="000000"/>
                <w:sz w:val="24"/>
                <w:szCs w:val="24"/>
              </w:rPr>
              <w:t>1,431.75</w:t>
            </w:r>
          </w:p>
        </w:tc>
      </w:tr>
      <w:bookmarkEnd w:id="16"/>
      <w:bookmarkEnd w:id="17"/>
    </w:tbl>
    <w:p w:rsidRPr="00FA7DB0" w:rsidR="00262784" w:rsidP="00262784" w:rsidRDefault="00262784" w14:paraId="7554069A" w14:textId="77777777">
      <w:pPr>
        <w:rPr>
          <w:sz w:val="24"/>
          <w:szCs w:val="24"/>
          <w:highlight w:val="yellow"/>
        </w:rPr>
      </w:pPr>
    </w:p>
    <w:p w:rsidRPr="00886A66" w:rsidR="00262784" w:rsidP="00F627AD" w:rsidRDefault="00566CFD" w14:paraId="338E3F27" w14:textId="77777777">
      <w:pPr>
        <w:keepNext/>
        <w:rPr>
          <w:b/>
          <w:sz w:val="24"/>
          <w:szCs w:val="24"/>
        </w:rPr>
      </w:pPr>
      <w:r w:rsidRPr="00886A66">
        <w:rPr>
          <w:b/>
          <w:sz w:val="24"/>
          <w:szCs w:val="24"/>
        </w:rPr>
        <w:t>E</w:t>
      </w:r>
      <w:r w:rsidRPr="00886A66" w:rsidR="00262784">
        <w:rPr>
          <w:b/>
          <w:sz w:val="24"/>
          <w:szCs w:val="24"/>
        </w:rPr>
        <w:t xml:space="preserve">xhibit </w:t>
      </w:r>
      <w:r w:rsidRPr="00886A66" w:rsidR="00932ED2">
        <w:rPr>
          <w:b/>
          <w:sz w:val="24"/>
          <w:szCs w:val="24"/>
        </w:rPr>
        <w:t>2</w:t>
      </w:r>
      <w:r w:rsidRPr="00886A66" w:rsidR="00262784">
        <w:rPr>
          <w:b/>
          <w:sz w:val="24"/>
          <w:szCs w:val="24"/>
        </w:rPr>
        <w:t>.  Estimated annualized cost burden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072"/>
        <w:gridCol w:w="1609"/>
        <w:gridCol w:w="1507"/>
        <w:gridCol w:w="2162"/>
      </w:tblGrid>
      <w:tr w:rsidRPr="00886A66" w:rsidR="00AD4588" w:rsidTr="008F0C77" w14:paraId="3FAA5114" w14:textId="77777777">
        <w:tc>
          <w:tcPr>
            <w:tcW w:w="2177" w:type="pct"/>
            <w:shd w:val="clear" w:color="auto" w:fill="auto"/>
            <w:tcMar>
              <w:top w:w="0" w:type="dxa"/>
              <w:left w:w="108" w:type="dxa"/>
              <w:bottom w:w="0" w:type="dxa"/>
              <w:right w:w="108" w:type="dxa"/>
            </w:tcMar>
            <w:vAlign w:val="center"/>
          </w:tcPr>
          <w:p w:rsidRPr="00886A66" w:rsidR="00AD4588" w:rsidP="00FE762F" w:rsidRDefault="00AD4588" w14:paraId="731982B9" w14:textId="77777777">
            <w:pPr>
              <w:rPr>
                <w:b/>
                <w:sz w:val="24"/>
                <w:szCs w:val="24"/>
              </w:rPr>
            </w:pPr>
            <w:r w:rsidRPr="00886A66">
              <w:rPr>
                <w:b/>
                <w:sz w:val="24"/>
                <w:szCs w:val="24"/>
              </w:rPr>
              <w:t>Form Name/Activity</w:t>
            </w:r>
          </w:p>
        </w:tc>
        <w:tc>
          <w:tcPr>
            <w:tcW w:w="860" w:type="pct"/>
            <w:shd w:val="clear" w:color="auto" w:fill="auto"/>
            <w:tcMar>
              <w:top w:w="0" w:type="dxa"/>
              <w:left w:w="108" w:type="dxa"/>
              <w:bottom w:w="0" w:type="dxa"/>
              <w:right w:w="108" w:type="dxa"/>
            </w:tcMar>
            <w:vAlign w:val="center"/>
          </w:tcPr>
          <w:p w:rsidRPr="00886A66" w:rsidR="00AD4588" w:rsidP="00FE762F" w:rsidRDefault="00AD4588" w14:paraId="34B8DEF4" w14:textId="77777777">
            <w:pPr>
              <w:jc w:val="center"/>
              <w:rPr>
                <w:b/>
                <w:sz w:val="24"/>
                <w:szCs w:val="24"/>
              </w:rPr>
            </w:pPr>
            <w:r w:rsidRPr="00886A66">
              <w:rPr>
                <w:b/>
                <w:sz w:val="24"/>
                <w:szCs w:val="24"/>
              </w:rPr>
              <w:t>Total burden hours</w:t>
            </w:r>
          </w:p>
        </w:tc>
        <w:tc>
          <w:tcPr>
            <w:tcW w:w="806" w:type="pct"/>
            <w:shd w:val="clear" w:color="auto" w:fill="auto"/>
            <w:tcMar>
              <w:top w:w="0" w:type="dxa"/>
              <w:left w:w="108" w:type="dxa"/>
              <w:bottom w:w="0" w:type="dxa"/>
              <w:right w:w="108" w:type="dxa"/>
            </w:tcMar>
            <w:vAlign w:val="center"/>
          </w:tcPr>
          <w:p w:rsidRPr="00886A66" w:rsidR="00AD4588" w:rsidP="00FE762F" w:rsidRDefault="00741BFF" w14:paraId="334E1846" w14:textId="77777777">
            <w:pPr>
              <w:jc w:val="center"/>
              <w:rPr>
                <w:b/>
                <w:sz w:val="24"/>
                <w:szCs w:val="24"/>
              </w:rPr>
            </w:pPr>
            <w:r w:rsidRPr="00886A66">
              <w:rPr>
                <w:b/>
                <w:sz w:val="24"/>
                <w:szCs w:val="24"/>
              </w:rPr>
              <w:t>Average hourly wage rate</w:t>
            </w:r>
            <w:r w:rsidRPr="00886A66" w:rsidR="00E71D83">
              <w:rPr>
                <w:b/>
                <w:sz w:val="24"/>
                <w:szCs w:val="24"/>
              </w:rPr>
              <w:t>*</w:t>
            </w:r>
          </w:p>
        </w:tc>
        <w:tc>
          <w:tcPr>
            <w:tcW w:w="1156" w:type="pct"/>
            <w:shd w:val="clear" w:color="auto" w:fill="auto"/>
            <w:tcMar>
              <w:top w:w="0" w:type="dxa"/>
              <w:left w:w="108" w:type="dxa"/>
              <w:bottom w:w="0" w:type="dxa"/>
              <w:right w:w="108" w:type="dxa"/>
            </w:tcMar>
            <w:vAlign w:val="center"/>
          </w:tcPr>
          <w:p w:rsidRPr="00886A66" w:rsidR="00AD4588" w:rsidP="00BC1857" w:rsidRDefault="00AD4588" w14:paraId="560602E8" w14:textId="6EB8B5BD">
            <w:pPr>
              <w:jc w:val="center"/>
              <w:rPr>
                <w:b/>
                <w:sz w:val="24"/>
                <w:szCs w:val="24"/>
              </w:rPr>
            </w:pPr>
            <w:r w:rsidRPr="00886A66">
              <w:rPr>
                <w:b/>
                <w:sz w:val="24"/>
                <w:szCs w:val="24"/>
              </w:rPr>
              <w:t>Total cost burden</w:t>
            </w:r>
          </w:p>
        </w:tc>
      </w:tr>
      <w:tr w:rsidRPr="00886A66" w:rsidR="00323FCD" w:rsidTr="008F0C77" w14:paraId="15517C3E" w14:textId="77777777">
        <w:tc>
          <w:tcPr>
            <w:tcW w:w="2177" w:type="pct"/>
            <w:shd w:val="clear" w:color="auto" w:fill="auto"/>
            <w:tcMar>
              <w:top w:w="0" w:type="dxa"/>
              <w:left w:w="108" w:type="dxa"/>
              <w:bottom w:w="0" w:type="dxa"/>
              <w:right w:w="108" w:type="dxa"/>
            </w:tcMar>
            <w:vAlign w:val="center"/>
          </w:tcPr>
          <w:p w:rsidRPr="00886A66" w:rsidR="00323FCD" w:rsidP="00BC1857" w:rsidRDefault="00323FCD" w14:paraId="03F53B18" w14:textId="542672C4">
            <w:pPr>
              <w:rPr>
                <w:sz w:val="24"/>
                <w:szCs w:val="24"/>
              </w:rPr>
            </w:pPr>
            <w:r w:rsidRPr="00886A66">
              <w:rPr>
                <w:sz w:val="24"/>
                <w:szCs w:val="24"/>
              </w:rPr>
              <w:t xml:space="preserve">Cognitive </w:t>
            </w:r>
            <w:proofErr w:type="spellStart"/>
            <w:r w:rsidRPr="00886A66">
              <w:rPr>
                <w:sz w:val="24"/>
                <w:szCs w:val="24"/>
              </w:rPr>
              <w:t>interview</w:t>
            </w:r>
            <w:r w:rsidRPr="00886A66" w:rsidR="00E728B9">
              <w:rPr>
                <w:sz w:val="24"/>
                <w:szCs w:val="24"/>
              </w:rPr>
              <w:t>s</w:t>
            </w:r>
            <w:r w:rsidRPr="00886A66" w:rsidR="00E728B9">
              <w:rPr>
                <w:sz w:val="24"/>
                <w:szCs w:val="24"/>
                <w:vertAlign w:val="superscript"/>
              </w:rPr>
              <w:t>a</w:t>
            </w:r>
            <w:proofErr w:type="spellEnd"/>
          </w:p>
        </w:tc>
        <w:tc>
          <w:tcPr>
            <w:tcW w:w="860" w:type="pct"/>
            <w:shd w:val="clear" w:color="auto" w:fill="auto"/>
            <w:tcMar>
              <w:top w:w="0" w:type="dxa"/>
              <w:left w:w="108" w:type="dxa"/>
              <w:bottom w:w="0" w:type="dxa"/>
              <w:right w:w="108" w:type="dxa"/>
            </w:tcMar>
            <w:vAlign w:val="center"/>
          </w:tcPr>
          <w:p w:rsidRPr="00886A66" w:rsidR="00323FCD" w:rsidP="0053705B" w:rsidRDefault="00A8475F" w14:paraId="71E8BE7D" w14:textId="6DC3D046">
            <w:pPr>
              <w:jc w:val="center"/>
              <w:rPr>
                <w:color w:val="000000"/>
                <w:sz w:val="24"/>
                <w:szCs w:val="24"/>
              </w:rPr>
            </w:pPr>
            <w:r>
              <w:rPr>
                <w:color w:val="000000"/>
                <w:sz w:val="24"/>
                <w:szCs w:val="24"/>
              </w:rPr>
              <w:t>2</w:t>
            </w:r>
            <w:r w:rsidR="00A62486">
              <w:rPr>
                <w:color w:val="000000"/>
                <w:sz w:val="24"/>
                <w:szCs w:val="24"/>
              </w:rPr>
              <w:t>5</w:t>
            </w:r>
          </w:p>
        </w:tc>
        <w:tc>
          <w:tcPr>
            <w:tcW w:w="806" w:type="pct"/>
            <w:shd w:val="clear" w:color="auto" w:fill="auto"/>
            <w:tcMar>
              <w:top w:w="0" w:type="dxa"/>
              <w:left w:w="108" w:type="dxa"/>
              <w:bottom w:w="0" w:type="dxa"/>
              <w:right w:w="108" w:type="dxa"/>
            </w:tcMar>
            <w:vAlign w:val="center"/>
          </w:tcPr>
          <w:p w:rsidRPr="00886A66" w:rsidR="00323FCD" w:rsidP="0012035D" w:rsidRDefault="00A8475F" w14:paraId="08E0B926" w14:textId="73BEBAEB">
            <w:pPr>
              <w:jc w:val="center"/>
              <w:rPr>
                <w:sz w:val="24"/>
                <w:szCs w:val="24"/>
                <w:vertAlign w:val="superscript"/>
              </w:rPr>
            </w:pPr>
            <w:r>
              <w:rPr>
                <w:sz w:val="24"/>
                <w:szCs w:val="24"/>
              </w:rPr>
              <w:t>$</w:t>
            </w:r>
            <w:r w:rsidR="005F0DBC">
              <w:rPr>
                <w:sz w:val="24"/>
                <w:szCs w:val="24"/>
              </w:rPr>
              <w:t>30.89</w:t>
            </w:r>
          </w:p>
        </w:tc>
        <w:tc>
          <w:tcPr>
            <w:tcW w:w="1156" w:type="pct"/>
            <w:shd w:val="clear" w:color="auto" w:fill="auto"/>
            <w:tcMar>
              <w:top w:w="0" w:type="dxa"/>
              <w:left w:w="108" w:type="dxa"/>
              <w:bottom w:w="0" w:type="dxa"/>
              <w:right w:w="108" w:type="dxa"/>
            </w:tcMar>
            <w:vAlign w:val="center"/>
          </w:tcPr>
          <w:p w:rsidRPr="00886A66" w:rsidR="00323FCD" w:rsidP="0012035D" w:rsidRDefault="00E728B9" w14:paraId="302BA479" w14:textId="729F39BF">
            <w:pPr>
              <w:jc w:val="center"/>
              <w:rPr>
                <w:color w:val="000000"/>
                <w:sz w:val="24"/>
                <w:szCs w:val="24"/>
              </w:rPr>
            </w:pPr>
            <w:r w:rsidRPr="00886A66">
              <w:rPr>
                <w:color w:val="000000"/>
                <w:sz w:val="24"/>
                <w:szCs w:val="24"/>
              </w:rPr>
              <w:t>$</w:t>
            </w:r>
            <w:r w:rsidR="005F0DBC">
              <w:rPr>
                <w:color w:val="000000"/>
                <w:sz w:val="24"/>
                <w:szCs w:val="24"/>
              </w:rPr>
              <w:t>772.16</w:t>
            </w:r>
          </w:p>
        </w:tc>
      </w:tr>
      <w:tr w:rsidRPr="00886A66" w:rsidR="00CD3DD6" w:rsidTr="008F0C77" w14:paraId="763DD903" w14:textId="77777777">
        <w:tc>
          <w:tcPr>
            <w:tcW w:w="2177" w:type="pct"/>
            <w:shd w:val="clear" w:color="auto" w:fill="auto"/>
            <w:tcMar>
              <w:top w:w="0" w:type="dxa"/>
              <w:left w:w="108" w:type="dxa"/>
              <w:bottom w:w="0" w:type="dxa"/>
              <w:right w:w="108" w:type="dxa"/>
            </w:tcMar>
            <w:vAlign w:val="center"/>
          </w:tcPr>
          <w:p w:rsidRPr="00886A66" w:rsidR="00CD3DD6" w:rsidP="00BC1857" w:rsidRDefault="00AA5523" w14:paraId="7B090D83" w14:textId="07FF4995">
            <w:pPr>
              <w:rPr>
                <w:sz w:val="24"/>
                <w:szCs w:val="24"/>
              </w:rPr>
            </w:pPr>
            <w:r>
              <w:rPr>
                <w:sz w:val="24"/>
                <w:szCs w:val="24"/>
              </w:rPr>
              <w:t>Nursing home</w:t>
            </w:r>
            <w:r w:rsidRPr="00886A66">
              <w:rPr>
                <w:sz w:val="24"/>
                <w:szCs w:val="24"/>
              </w:rPr>
              <w:t xml:space="preserve"> </w:t>
            </w:r>
            <w:r w:rsidRPr="00886A66" w:rsidR="00CD3DD6">
              <w:rPr>
                <w:sz w:val="24"/>
                <w:szCs w:val="24"/>
              </w:rPr>
              <w:t xml:space="preserve">information </w:t>
            </w:r>
            <w:proofErr w:type="spellStart"/>
            <w:r w:rsidRPr="00886A66" w:rsidR="00CD3DD6">
              <w:rPr>
                <w:sz w:val="24"/>
                <w:szCs w:val="24"/>
              </w:rPr>
              <w:t>survey</w:t>
            </w:r>
            <w:r w:rsidRPr="00886A66" w:rsidR="00231CE6">
              <w:rPr>
                <w:sz w:val="24"/>
                <w:szCs w:val="24"/>
                <w:vertAlign w:val="superscript"/>
              </w:rPr>
              <w:t>b</w:t>
            </w:r>
            <w:proofErr w:type="spellEnd"/>
          </w:p>
        </w:tc>
        <w:tc>
          <w:tcPr>
            <w:tcW w:w="860" w:type="pct"/>
            <w:shd w:val="clear" w:color="auto" w:fill="auto"/>
            <w:tcMar>
              <w:top w:w="0" w:type="dxa"/>
              <w:left w:w="108" w:type="dxa"/>
              <w:bottom w:w="0" w:type="dxa"/>
              <w:right w:w="108" w:type="dxa"/>
            </w:tcMar>
            <w:vAlign w:val="center"/>
          </w:tcPr>
          <w:p w:rsidRPr="00886A66" w:rsidR="00CD3DD6" w:rsidP="00E413A5" w:rsidRDefault="009D7CF0" w14:paraId="2558418B" w14:textId="735C38AB">
            <w:pPr>
              <w:jc w:val="center"/>
              <w:rPr>
                <w:color w:val="000000"/>
                <w:sz w:val="24"/>
                <w:szCs w:val="24"/>
              </w:rPr>
            </w:pPr>
            <w:r>
              <w:rPr>
                <w:color w:val="000000"/>
                <w:sz w:val="24"/>
                <w:szCs w:val="24"/>
              </w:rPr>
              <w:t>3.75</w:t>
            </w:r>
          </w:p>
        </w:tc>
        <w:tc>
          <w:tcPr>
            <w:tcW w:w="806" w:type="pct"/>
            <w:shd w:val="clear" w:color="auto" w:fill="auto"/>
            <w:tcMar>
              <w:top w:w="0" w:type="dxa"/>
              <w:left w:w="108" w:type="dxa"/>
              <w:bottom w:w="0" w:type="dxa"/>
              <w:right w:w="108" w:type="dxa"/>
            </w:tcMar>
            <w:vAlign w:val="center"/>
          </w:tcPr>
          <w:p w:rsidRPr="00886A66" w:rsidR="00CD3DD6" w:rsidP="004A6BEF" w:rsidRDefault="00A62486" w14:paraId="45D73B27" w14:textId="222F5A63">
            <w:pPr>
              <w:jc w:val="center"/>
              <w:rPr>
                <w:sz w:val="24"/>
                <w:szCs w:val="24"/>
              </w:rPr>
            </w:pPr>
            <w:r>
              <w:rPr>
                <w:sz w:val="24"/>
                <w:szCs w:val="24"/>
              </w:rPr>
              <w:t>$40.65</w:t>
            </w:r>
          </w:p>
        </w:tc>
        <w:tc>
          <w:tcPr>
            <w:tcW w:w="1156" w:type="pct"/>
            <w:shd w:val="clear" w:color="auto" w:fill="auto"/>
            <w:tcMar>
              <w:top w:w="0" w:type="dxa"/>
              <w:left w:w="108" w:type="dxa"/>
              <w:bottom w:w="0" w:type="dxa"/>
              <w:right w:w="108" w:type="dxa"/>
            </w:tcMar>
            <w:vAlign w:val="center"/>
          </w:tcPr>
          <w:p w:rsidRPr="00886A66" w:rsidR="00CD3DD6" w:rsidP="009D7CF0" w:rsidRDefault="00A62486" w14:paraId="6D050FD9" w14:textId="5E2CF998">
            <w:pPr>
              <w:jc w:val="center"/>
              <w:rPr>
                <w:color w:val="000000"/>
                <w:sz w:val="24"/>
                <w:szCs w:val="24"/>
              </w:rPr>
            </w:pPr>
            <w:r>
              <w:rPr>
                <w:color w:val="000000"/>
                <w:sz w:val="24"/>
                <w:szCs w:val="24"/>
              </w:rPr>
              <w:t>$</w:t>
            </w:r>
            <w:r w:rsidR="009D7CF0">
              <w:rPr>
                <w:color w:val="000000"/>
                <w:sz w:val="24"/>
                <w:szCs w:val="24"/>
              </w:rPr>
              <w:t>152.44</w:t>
            </w:r>
          </w:p>
        </w:tc>
      </w:tr>
      <w:tr w:rsidRPr="00886A66" w:rsidR="00C55F3A" w:rsidTr="008F0C77" w14:paraId="37DDAE49" w14:textId="77777777">
        <w:tc>
          <w:tcPr>
            <w:tcW w:w="2177" w:type="pct"/>
            <w:shd w:val="clear" w:color="auto" w:fill="auto"/>
            <w:tcMar>
              <w:top w:w="0" w:type="dxa"/>
              <w:left w:w="108" w:type="dxa"/>
              <w:bottom w:w="0" w:type="dxa"/>
              <w:right w:w="108" w:type="dxa"/>
            </w:tcMar>
            <w:vAlign w:val="center"/>
          </w:tcPr>
          <w:p w:rsidRPr="00886A66" w:rsidR="00C55F3A" w:rsidP="00BC1857" w:rsidRDefault="00E24343" w14:paraId="72181888" w14:textId="591B8F3C">
            <w:pPr>
              <w:rPr>
                <w:sz w:val="24"/>
                <w:szCs w:val="24"/>
              </w:rPr>
            </w:pPr>
            <w:r w:rsidRPr="00886A66">
              <w:rPr>
                <w:sz w:val="24"/>
                <w:szCs w:val="24"/>
              </w:rPr>
              <w:t xml:space="preserve">Pilot </w:t>
            </w:r>
            <w:proofErr w:type="spellStart"/>
            <w:r w:rsidRPr="00886A66">
              <w:rPr>
                <w:sz w:val="24"/>
                <w:szCs w:val="24"/>
              </w:rPr>
              <w:t>test</w:t>
            </w:r>
            <w:r w:rsidRPr="00886A66" w:rsidR="00231CE6">
              <w:rPr>
                <w:sz w:val="24"/>
                <w:szCs w:val="24"/>
                <w:vertAlign w:val="superscript"/>
              </w:rPr>
              <w:t>c</w:t>
            </w:r>
            <w:proofErr w:type="spellEnd"/>
          </w:p>
        </w:tc>
        <w:tc>
          <w:tcPr>
            <w:tcW w:w="860" w:type="pct"/>
            <w:shd w:val="clear" w:color="auto" w:fill="auto"/>
            <w:tcMar>
              <w:top w:w="0" w:type="dxa"/>
              <w:left w:w="108" w:type="dxa"/>
              <w:bottom w:w="0" w:type="dxa"/>
              <w:right w:w="108" w:type="dxa"/>
            </w:tcMar>
            <w:vAlign w:val="center"/>
          </w:tcPr>
          <w:p w:rsidRPr="00886A66" w:rsidR="00C55F3A" w:rsidP="00E413A5" w:rsidRDefault="005F0DBC" w14:paraId="21721A96" w14:textId="39A313BC">
            <w:pPr>
              <w:jc w:val="center"/>
              <w:rPr>
                <w:color w:val="000000"/>
                <w:sz w:val="24"/>
                <w:szCs w:val="24"/>
              </w:rPr>
            </w:pPr>
            <w:r>
              <w:rPr>
                <w:color w:val="000000"/>
                <w:sz w:val="24"/>
                <w:szCs w:val="24"/>
              </w:rPr>
              <w:t>1,403</w:t>
            </w:r>
          </w:p>
        </w:tc>
        <w:tc>
          <w:tcPr>
            <w:tcW w:w="806" w:type="pct"/>
            <w:shd w:val="clear" w:color="auto" w:fill="auto"/>
            <w:tcMar>
              <w:top w:w="0" w:type="dxa"/>
              <w:left w:w="108" w:type="dxa"/>
              <w:bottom w:w="0" w:type="dxa"/>
              <w:right w:w="108" w:type="dxa"/>
            </w:tcMar>
            <w:vAlign w:val="center"/>
          </w:tcPr>
          <w:p w:rsidRPr="00886A66" w:rsidR="00C55F3A" w:rsidP="00D74F27" w:rsidRDefault="00247A84" w14:paraId="3172A5AA" w14:textId="7DBB6283">
            <w:pPr>
              <w:jc w:val="center"/>
              <w:rPr>
                <w:sz w:val="24"/>
                <w:szCs w:val="24"/>
              </w:rPr>
            </w:pPr>
            <w:r>
              <w:rPr>
                <w:sz w:val="24"/>
                <w:szCs w:val="24"/>
              </w:rPr>
              <w:t>$23.09</w:t>
            </w:r>
          </w:p>
        </w:tc>
        <w:tc>
          <w:tcPr>
            <w:tcW w:w="1156" w:type="pct"/>
            <w:shd w:val="clear" w:color="auto" w:fill="auto"/>
            <w:tcMar>
              <w:top w:w="0" w:type="dxa"/>
              <w:left w:w="108" w:type="dxa"/>
              <w:bottom w:w="0" w:type="dxa"/>
              <w:right w:w="108" w:type="dxa"/>
            </w:tcMar>
            <w:vAlign w:val="center"/>
          </w:tcPr>
          <w:p w:rsidRPr="00941186" w:rsidR="00C55F3A" w:rsidP="00CE08E3" w:rsidRDefault="00A62486" w14:paraId="164A34F1" w14:textId="7DF80FB0">
            <w:pPr>
              <w:jc w:val="center"/>
              <w:rPr>
                <w:color w:val="000000"/>
                <w:sz w:val="24"/>
                <w:szCs w:val="24"/>
              </w:rPr>
            </w:pPr>
            <w:r w:rsidRPr="00941186">
              <w:rPr>
                <w:color w:val="000000"/>
                <w:sz w:val="24"/>
                <w:szCs w:val="24"/>
              </w:rPr>
              <w:t>$</w:t>
            </w:r>
            <w:r w:rsidRPr="00941186" w:rsidR="00CE08E3">
              <w:rPr>
                <w:color w:val="000000"/>
                <w:sz w:val="24"/>
                <w:szCs w:val="24"/>
              </w:rPr>
              <w:t>32,396.73</w:t>
            </w:r>
          </w:p>
        </w:tc>
      </w:tr>
      <w:tr w:rsidRPr="00FA7DB0" w:rsidR="00C55F3A" w:rsidTr="008F0C77" w14:paraId="445C2AE8" w14:textId="77777777">
        <w:tc>
          <w:tcPr>
            <w:tcW w:w="2177" w:type="pct"/>
            <w:shd w:val="clear" w:color="auto" w:fill="auto"/>
            <w:tcMar>
              <w:top w:w="0" w:type="dxa"/>
              <w:left w:w="108" w:type="dxa"/>
              <w:bottom w:w="0" w:type="dxa"/>
              <w:right w:w="108" w:type="dxa"/>
            </w:tcMar>
            <w:vAlign w:val="center"/>
          </w:tcPr>
          <w:p w:rsidRPr="00886A66" w:rsidR="00C55F3A" w:rsidP="00FE762F" w:rsidRDefault="00C55F3A" w14:paraId="4E73EADB" w14:textId="77777777">
            <w:pPr>
              <w:rPr>
                <w:sz w:val="24"/>
                <w:szCs w:val="24"/>
              </w:rPr>
            </w:pPr>
            <w:r w:rsidRPr="00886A66">
              <w:rPr>
                <w:b/>
                <w:bCs/>
                <w:sz w:val="24"/>
                <w:szCs w:val="24"/>
              </w:rPr>
              <w:t>Total</w:t>
            </w:r>
          </w:p>
        </w:tc>
        <w:tc>
          <w:tcPr>
            <w:tcW w:w="860" w:type="pct"/>
            <w:shd w:val="clear" w:color="auto" w:fill="auto"/>
            <w:tcMar>
              <w:top w:w="0" w:type="dxa"/>
              <w:left w:w="108" w:type="dxa"/>
              <w:bottom w:w="0" w:type="dxa"/>
              <w:right w:w="108" w:type="dxa"/>
            </w:tcMar>
            <w:vAlign w:val="center"/>
          </w:tcPr>
          <w:p w:rsidRPr="00886A66" w:rsidR="00C55F3A" w:rsidP="006B1967" w:rsidRDefault="005F0DBC" w14:paraId="5005A036" w14:textId="26EE86B2">
            <w:pPr>
              <w:jc w:val="center"/>
              <w:rPr>
                <w:color w:val="000000"/>
                <w:sz w:val="24"/>
                <w:szCs w:val="24"/>
              </w:rPr>
            </w:pPr>
            <w:r>
              <w:rPr>
                <w:color w:val="000000"/>
                <w:sz w:val="24"/>
                <w:szCs w:val="24"/>
              </w:rPr>
              <w:t>1,</w:t>
            </w:r>
            <w:r w:rsidR="006B1967">
              <w:rPr>
                <w:color w:val="000000"/>
                <w:sz w:val="24"/>
                <w:szCs w:val="24"/>
              </w:rPr>
              <w:t>431.75</w:t>
            </w:r>
          </w:p>
        </w:tc>
        <w:tc>
          <w:tcPr>
            <w:tcW w:w="806" w:type="pct"/>
            <w:shd w:val="clear" w:color="auto" w:fill="auto"/>
            <w:tcMar>
              <w:top w:w="0" w:type="dxa"/>
              <w:left w:w="108" w:type="dxa"/>
              <w:bottom w:w="0" w:type="dxa"/>
              <w:right w:w="108" w:type="dxa"/>
            </w:tcMar>
            <w:vAlign w:val="center"/>
          </w:tcPr>
          <w:p w:rsidRPr="00886A66" w:rsidR="00C55F3A" w:rsidP="00FE762F" w:rsidRDefault="00C55F3A" w14:paraId="02E00A7E" w14:textId="77777777">
            <w:pPr>
              <w:jc w:val="center"/>
              <w:rPr>
                <w:sz w:val="24"/>
                <w:szCs w:val="24"/>
              </w:rPr>
            </w:pPr>
            <w:proofErr w:type="spellStart"/>
            <w:r w:rsidRPr="00886A66">
              <w:rPr>
                <w:sz w:val="24"/>
                <w:szCs w:val="24"/>
              </w:rPr>
              <w:t>na</w:t>
            </w:r>
            <w:proofErr w:type="spellEnd"/>
          </w:p>
        </w:tc>
        <w:tc>
          <w:tcPr>
            <w:tcW w:w="1156" w:type="pct"/>
            <w:shd w:val="clear" w:color="auto" w:fill="auto"/>
            <w:tcMar>
              <w:top w:w="0" w:type="dxa"/>
              <w:left w:w="108" w:type="dxa"/>
              <w:bottom w:w="0" w:type="dxa"/>
              <w:right w:w="108" w:type="dxa"/>
            </w:tcMar>
            <w:vAlign w:val="center"/>
          </w:tcPr>
          <w:p w:rsidRPr="00941186" w:rsidR="00C55F3A" w:rsidP="00CE08E3" w:rsidRDefault="00A62486" w14:paraId="67FF3333" w14:textId="5113724B">
            <w:pPr>
              <w:jc w:val="center"/>
              <w:rPr>
                <w:color w:val="000000"/>
                <w:sz w:val="24"/>
                <w:szCs w:val="24"/>
              </w:rPr>
            </w:pPr>
            <w:r w:rsidRPr="00941186">
              <w:rPr>
                <w:color w:val="000000"/>
                <w:sz w:val="24"/>
                <w:szCs w:val="24"/>
              </w:rPr>
              <w:t>$</w:t>
            </w:r>
            <w:r w:rsidRPr="00941186" w:rsidR="00CE08E3">
              <w:rPr>
                <w:color w:val="000000"/>
                <w:sz w:val="24"/>
                <w:szCs w:val="24"/>
              </w:rPr>
              <w:t>33,219.70</w:t>
            </w:r>
          </w:p>
        </w:tc>
      </w:tr>
    </w:tbl>
    <w:p w:rsidRPr="00843E8D" w:rsidR="00CD3DD6" w:rsidP="0012035D" w:rsidRDefault="00CD3DD6" w14:paraId="05F79CEE" w14:textId="06249AA5">
      <w:pPr>
        <w:tabs>
          <w:tab w:val="left" w:pos="180"/>
        </w:tabs>
        <w:ind w:left="180" w:hanging="180"/>
        <w:rPr>
          <w:color w:val="000000"/>
          <w:sz w:val="22"/>
          <w:szCs w:val="22"/>
        </w:rPr>
      </w:pPr>
      <w:r w:rsidRPr="00C71C41">
        <w:rPr>
          <w:color w:val="000000"/>
          <w:sz w:val="22"/>
          <w:szCs w:val="22"/>
          <w:vertAlign w:val="superscript"/>
        </w:rPr>
        <w:t>a</w:t>
      </w:r>
      <w:r w:rsidRPr="00C71C41">
        <w:rPr>
          <w:color w:val="000000"/>
          <w:sz w:val="22"/>
          <w:szCs w:val="22"/>
        </w:rPr>
        <w:tab/>
      </w:r>
      <w:r w:rsidRPr="00843E8D">
        <w:rPr>
          <w:color w:val="000000"/>
          <w:sz w:val="22"/>
          <w:szCs w:val="22"/>
        </w:rPr>
        <w:t xml:space="preserve">Based on the weighted average wages for </w:t>
      </w:r>
      <w:r w:rsidR="00004168">
        <w:rPr>
          <w:color w:val="000000"/>
          <w:sz w:val="22"/>
          <w:szCs w:val="22"/>
        </w:rPr>
        <w:t>3</w:t>
      </w:r>
      <w:r w:rsidRPr="00843E8D" w:rsidR="00886A66">
        <w:rPr>
          <w:color w:val="000000"/>
          <w:sz w:val="22"/>
          <w:szCs w:val="22"/>
        </w:rPr>
        <w:t xml:space="preserve"> General Internal Medicine Physicians (29-121</w:t>
      </w:r>
      <w:r w:rsidR="00843E8D">
        <w:rPr>
          <w:color w:val="000000"/>
          <w:sz w:val="22"/>
          <w:szCs w:val="22"/>
        </w:rPr>
        <w:t>6</w:t>
      </w:r>
      <w:r w:rsidRPr="00843E8D" w:rsidR="00886A66">
        <w:rPr>
          <w:color w:val="000000"/>
          <w:sz w:val="22"/>
          <w:szCs w:val="22"/>
        </w:rPr>
        <w:t xml:space="preserve">; </w:t>
      </w:r>
      <w:r w:rsidRPr="00843E8D" w:rsidR="0012035D">
        <w:rPr>
          <w:color w:val="000000"/>
          <w:sz w:val="22"/>
          <w:szCs w:val="22"/>
        </w:rPr>
        <w:t>$</w:t>
      </w:r>
      <w:r w:rsidR="00843E8D">
        <w:rPr>
          <w:color w:val="000000"/>
          <w:sz w:val="22"/>
          <w:szCs w:val="22"/>
        </w:rPr>
        <w:t>79.30</w:t>
      </w:r>
      <w:r w:rsidRPr="00843E8D" w:rsidR="00886A66">
        <w:rPr>
          <w:color w:val="000000"/>
          <w:sz w:val="22"/>
          <w:szCs w:val="22"/>
        </w:rPr>
        <w:t xml:space="preserve">), </w:t>
      </w:r>
      <w:r w:rsidRPr="00843E8D" w:rsidR="0012035D">
        <w:rPr>
          <w:color w:val="000000"/>
          <w:sz w:val="22"/>
          <w:szCs w:val="22"/>
        </w:rPr>
        <w:t>8</w:t>
      </w:r>
      <w:r w:rsidRPr="00843E8D" w:rsidR="00886A66">
        <w:rPr>
          <w:color w:val="000000"/>
          <w:sz w:val="22"/>
          <w:szCs w:val="22"/>
        </w:rPr>
        <w:t xml:space="preserve"> Registered Nurses (29-1141; $3</w:t>
      </w:r>
      <w:r w:rsidR="00843E8D">
        <w:rPr>
          <w:color w:val="000000"/>
          <w:sz w:val="22"/>
          <w:szCs w:val="22"/>
        </w:rPr>
        <w:t>4.36</w:t>
      </w:r>
      <w:r w:rsidRPr="00843E8D" w:rsidR="00886A66">
        <w:rPr>
          <w:color w:val="000000"/>
          <w:sz w:val="22"/>
          <w:szCs w:val="22"/>
        </w:rPr>
        <w:t xml:space="preserve">), </w:t>
      </w:r>
      <w:r w:rsidR="00004168">
        <w:rPr>
          <w:color w:val="000000"/>
          <w:sz w:val="22"/>
          <w:szCs w:val="22"/>
        </w:rPr>
        <w:t>12</w:t>
      </w:r>
      <w:r w:rsidRPr="00843E8D" w:rsidR="0012035D">
        <w:rPr>
          <w:color w:val="000000"/>
          <w:sz w:val="22"/>
          <w:szCs w:val="22"/>
        </w:rPr>
        <w:t xml:space="preserve"> </w:t>
      </w:r>
      <w:r w:rsidRPr="00843E8D" w:rsidR="00886A66">
        <w:rPr>
          <w:color w:val="000000"/>
          <w:sz w:val="22"/>
          <w:szCs w:val="22"/>
        </w:rPr>
        <w:t>Nursing Assistant</w:t>
      </w:r>
      <w:r w:rsidRPr="00843E8D" w:rsidR="0012035D">
        <w:rPr>
          <w:color w:val="000000"/>
          <w:sz w:val="22"/>
          <w:szCs w:val="22"/>
        </w:rPr>
        <w:t>s</w:t>
      </w:r>
      <w:r w:rsidR="00004168">
        <w:rPr>
          <w:color w:val="000000"/>
          <w:sz w:val="22"/>
          <w:szCs w:val="22"/>
        </w:rPr>
        <w:t xml:space="preserve"> (31-1131; $14.84</w:t>
      </w:r>
      <w:r w:rsidRPr="00843E8D" w:rsidR="00A8475F">
        <w:rPr>
          <w:color w:val="000000"/>
          <w:sz w:val="22"/>
          <w:szCs w:val="22"/>
        </w:rPr>
        <w:t>),</w:t>
      </w:r>
      <w:r w:rsidRPr="00843E8D" w:rsidR="00886A66">
        <w:rPr>
          <w:color w:val="000000"/>
          <w:sz w:val="22"/>
          <w:szCs w:val="22"/>
        </w:rPr>
        <w:t xml:space="preserve"> </w:t>
      </w:r>
      <w:r w:rsidRPr="00843E8D" w:rsidR="00A8475F">
        <w:rPr>
          <w:color w:val="000000"/>
          <w:sz w:val="22"/>
          <w:szCs w:val="22"/>
        </w:rPr>
        <w:t xml:space="preserve">1 </w:t>
      </w:r>
      <w:r w:rsidR="005F0DBC">
        <w:rPr>
          <w:color w:val="000000"/>
          <w:sz w:val="22"/>
          <w:szCs w:val="22"/>
        </w:rPr>
        <w:t>Administrative Services and Facilities</w:t>
      </w:r>
      <w:r w:rsidRPr="00843E8D" w:rsidR="00A8475F">
        <w:rPr>
          <w:color w:val="000000"/>
          <w:sz w:val="22"/>
          <w:szCs w:val="22"/>
        </w:rPr>
        <w:t xml:space="preserve"> Manager</w:t>
      </w:r>
      <w:r w:rsidR="005F0DBC">
        <w:rPr>
          <w:color w:val="000000"/>
          <w:sz w:val="22"/>
          <w:szCs w:val="22"/>
        </w:rPr>
        <w:t xml:space="preserve"> (11-3010</w:t>
      </w:r>
      <w:r w:rsidR="003C0D3C">
        <w:rPr>
          <w:color w:val="000000"/>
          <w:sz w:val="22"/>
          <w:szCs w:val="22"/>
        </w:rPr>
        <w:t>; $40.65</w:t>
      </w:r>
      <w:r w:rsidR="00004168">
        <w:rPr>
          <w:color w:val="000000"/>
          <w:sz w:val="22"/>
          <w:szCs w:val="22"/>
        </w:rPr>
        <w:t>)</w:t>
      </w:r>
      <w:r w:rsidRPr="00843E8D" w:rsidR="00C71C41">
        <w:rPr>
          <w:color w:val="000000"/>
          <w:sz w:val="22"/>
          <w:szCs w:val="22"/>
        </w:rPr>
        <w:t>;</w:t>
      </w:r>
    </w:p>
    <w:p w:rsidRPr="00843E8D" w:rsidR="00CD3DD6" w:rsidP="00CD3DD6" w:rsidRDefault="00CD3DD6" w14:paraId="0A73D5E2" w14:textId="41D83C7A">
      <w:pPr>
        <w:tabs>
          <w:tab w:val="left" w:pos="180"/>
        </w:tabs>
        <w:ind w:left="180" w:hanging="180"/>
        <w:rPr>
          <w:color w:val="000000"/>
          <w:sz w:val="22"/>
          <w:szCs w:val="22"/>
        </w:rPr>
      </w:pPr>
      <w:r w:rsidRPr="00843E8D">
        <w:rPr>
          <w:color w:val="000000"/>
          <w:sz w:val="22"/>
          <w:szCs w:val="22"/>
          <w:vertAlign w:val="superscript"/>
        </w:rPr>
        <w:t>b</w:t>
      </w:r>
      <w:r w:rsidRPr="00843E8D">
        <w:rPr>
          <w:color w:val="000000"/>
          <w:sz w:val="22"/>
          <w:szCs w:val="22"/>
        </w:rPr>
        <w:tab/>
      </w:r>
      <w:r w:rsidRPr="00843E8D" w:rsidR="00231CE6">
        <w:rPr>
          <w:color w:val="000000"/>
          <w:sz w:val="22"/>
          <w:szCs w:val="22"/>
        </w:rPr>
        <w:t>Based on the average w</w:t>
      </w:r>
      <w:r w:rsidR="003C0D3C">
        <w:rPr>
          <w:color w:val="000000"/>
          <w:sz w:val="22"/>
          <w:szCs w:val="22"/>
        </w:rPr>
        <w:t xml:space="preserve">ages for Administrative Services and </w:t>
      </w:r>
      <w:r w:rsidR="00C753D6">
        <w:rPr>
          <w:color w:val="000000"/>
          <w:sz w:val="22"/>
          <w:szCs w:val="22"/>
        </w:rPr>
        <w:t>Facilities</w:t>
      </w:r>
      <w:r w:rsidRPr="00843E8D" w:rsidR="00231CE6">
        <w:rPr>
          <w:color w:val="000000"/>
          <w:sz w:val="22"/>
          <w:szCs w:val="22"/>
        </w:rPr>
        <w:t xml:space="preserve"> Managers</w:t>
      </w:r>
      <w:r w:rsidR="003C0D3C">
        <w:rPr>
          <w:color w:val="000000"/>
          <w:sz w:val="22"/>
          <w:szCs w:val="22"/>
        </w:rPr>
        <w:t xml:space="preserve"> (11-3010; $40.65</w:t>
      </w:r>
      <w:r w:rsidRPr="00843E8D" w:rsidR="00D74F27">
        <w:rPr>
          <w:color w:val="000000"/>
          <w:sz w:val="22"/>
          <w:szCs w:val="22"/>
        </w:rPr>
        <w:t>)</w:t>
      </w:r>
      <w:r w:rsidRPr="00843E8D" w:rsidR="00231CE6">
        <w:rPr>
          <w:color w:val="000000"/>
          <w:sz w:val="22"/>
          <w:szCs w:val="22"/>
        </w:rPr>
        <w:t xml:space="preserve"> in the</w:t>
      </w:r>
      <w:r w:rsidRPr="00843E8D" w:rsidR="00C71C41">
        <w:rPr>
          <w:color w:val="000000"/>
          <w:sz w:val="22"/>
          <w:szCs w:val="22"/>
        </w:rPr>
        <w:t xml:space="preserve"> </w:t>
      </w:r>
      <w:r w:rsidR="00004168">
        <w:rPr>
          <w:color w:val="000000"/>
          <w:sz w:val="22"/>
          <w:szCs w:val="22"/>
        </w:rPr>
        <w:t>nursing home</w:t>
      </w:r>
      <w:r w:rsidRPr="00843E8D" w:rsidR="00231CE6">
        <w:rPr>
          <w:color w:val="000000"/>
          <w:sz w:val="22"/>
          <w:szCs w:val="22"/>
        </w:rPr>
        <w:t xml:space="preserve"> setting;</w:t>
      </w:r>
      <w:r w:rsidRPr="00843E8D" w:rsidDel="00963124" w:rsidR="00231CE6">
        <w:rPr>
          <w:color w:val="000000"/>
          <w:sz w:val="22"/>
          <w:szCs w:val="22"/>
        </w:rPr>
        <w:t xml:space="preserve"> </w:t>
      </w:r>
    </w:p>
    <w:p w:rsidRPr="00843E8D" w:rsidR="00C71C41" w:rsidP="006F1CC6" w:rsidRDefault="00CD3DD6" w14:paraId="3B658A81" w14:textId="2622ABED">
      <w:pPr>
        <w:tabs>
          <w:tab w:val="left" w:pos="180"/>
        </w:tabs>
        <w:ind w:left="180" w:hanging="180"/>
        <w:rPr>
          <w:color w:val="000000"/>
          <w:sz w:val="22"/>
          <w:szCs w:val="22"/>
        </w:rPr>
      </w:pPr>
      <w:r w:rsidRPr="00843E8D">
        <w:rPr>
          <w:color w:val="000000"/>
          <w:sz w:val="22"/>
          <w:szCs w:val="22"/>
          <w:vertAlign w:val="superscript"/>
        </w:rPr>
        <w:t>c</w:t>
      </w:r>
      <w:r w:rsidRPr="00843E8D">
        <w:rPr>
          <w:color w:val="000000"/>
          <w:sz w:val="22"/>
          <w:szCs w:val="22"/>
        </w:rPr>
        <w:tab/>
      </w:r>
      <w:r w:rsidRPr="00843E8D" w:rsidDel="00963124">
        <w:rPr>
          <w:color w:val="000000"/>
          <w:sz w:val="22"/>
          <w:szCs w:val="22"/>
        </w:rPr>
        <w:t xml:space="preserve"> </w:t>
      </w:r>
      <w:r w:rsidRPr="003C0D3C" w:rsidR="00231CE6">
        <w:rPr>
          <w:color w:val="000000"/>
          <w:sz w:val="22"/>
          <w:szCs w:val="22"/>
        </w:rPr>
        <w:t xml:space="preserve">Based on the weighted average wages for </w:t>
      </w:r>
      <w:r w:rsidR="003C0D3C">
        <w:rPr>
          <w:color w:val="000000"/>
          <w:sz w:val="22"/>
          <w:szCs w:val="22"/>
        </w:rPr>
        <w:t>130</w:t>
      </w:r>
      <w:r w:rsidRPr="003C0D3C" w:rsidR="00C71C41">
        <w:rPr>
          <w:color w:val="000000"/>
          <w:sz w:val="22"/>
          <w:szCs w:val="22"/>
        </w:rPr>
        <w:t xml:space="preserve"> General Internal Medicine Physicians (29-121</w:t>
      </w:r>
      <w:r w:rsidRPr="003C0D3C" w:rsidR="00065A7B">
        <w:rPr>
          <w:color w:val="000000"/>
          <w:sz w:val="22"/>
          <w:szCs w:val="22"/>
        </w:rPr>
        <w:t>6</w:t>
      </w:r>
      <w:r w:rsidRPr="003C0D3C" w:rsidR="00C71C41">
        <w:rPr>
          <w:color w:val="000000"/>
          <w:sz w:val="22"/>
          <w:szCs w:val="22"/>
        </w:rPr>
        <w:t>; $</w:t>
      </w:r>
      <w:r w:rsidRPr="003C0D3C" w:rsidR="00065A7B">
        <w:rPr>
          <w:color w:val="000000"/>
          <w:sz w:val="22"/>
          <w:szCs w:val="22"/>
        </w:rPr>
        <w:t>79</w:t>
      </w:r>
      <w:r w:rsidRPr="003C0D3C" w:rsidR="00C71C41">
        <w:rPr>
          <w:color w:val="000000"/>
          <w:sz w:val="22"/>
          <w:szCs w:val="22"/>
        </w:rPr>
        <w:t>.30</w:t>
      </w:r>
      <w:r w:rsidR="003C0D3C">
        <w:rPr>
          <w:color w:val="000000"/>
          <w:sz w:val="22"/>
          <w:szCs w:val="22"/>
        </w:rPr>
        <w:t>), 854</w:t>
      </w:r>
      <w:r w:rsidRPr="003C0D3C" w:rsidR="00C71C41">
        <w:rPr>
          <w:color w:val="000000"/>
          <w:sz w:val="22"/>
          <w:szCs w:val="22"/>
        </w:rPr>
        <w:t xml:space="preserve"> Registered Nurses (29-1141; $3</w:t>
      </w:r>
      <w:r w:rsidRPr="003C0D3C" w:rsidR="00065A7B">
        <w:rPr>
          <w:color w:val="000000"/>
          <w:sz w:val="22"/>
          <w:szCs w:val="22"/>
        </w:rPr>
        <w:t>4.36</w:t>
      </w:r>
      <w:r w:rsidRPr="003C0D3C" w:rsidR="00C71C41">
        <w:rPr>
          <w:color w:val="000000"/>
          <w:sz w:val="22"/>
          <w:szCs w:val="22"/>
        </w:rPr>
        <w:t xml:space="preserve">), </w:t>
      </w:r>
      <w:r w:rsidR="00CE08E3">
        <w:rPr>
          <w:color w:val="000000"/>
          <w:sz w:val="22"/>
          <w:szCs w:val="22"/>
        </w:rPr>
        <w:t>2,850</w:t>
      </w:r>
      <w:r w:rsidR="003C0D3C">
        <w:rPr>
          <w:color w:val="000000"/>
          <w:sz w:val="22"/>
          <w:szCs w:val="22"/>
        </w:rPr>
        <w:t xml:space="preserve"> </w:t>
      </w:r>
      <w:r w:rsidRPr="003C0D3C" w:rsidR="00065A7B">
        <w:rPr>
          <w:color w:val="000000"/>
          <w:sz w:val="22"/>
          <w:szCs w:val="22"/>
        </w:rPr>
        <w:t xml:space="preserve">Nursing Assistants (31-1131; $14.84), </w:t>
      </w:r>
      <w:r w:rsidR="003C0D3C">
        <w:rPr>
          <w:color w:val="000000"/>
          <w:sz w:val="22"/>
          <w:szCs w:val="22"/>
        </w:rPr>
        <w:t xml:space="preserve">375 </w:t>
      </w:r>
      <w:r w:rsidRPr="003C0D3C" w:rsidR="00065A7B">
        <w:rPr>
          <w:color w:val="000000"/>
          <w:sz w:val="22"/>
          <w:szCs w:val="22"/>
        </w:rPr>
        <w:t xml:space="preserve">Administrative Services and Facilities Managers (11-3010; $40.65), </w:t>
      </w:r>
      <w:r w:rsidRPr="003C0D3C" w:rsidR="00004168">
        <w:rPr>
          <w:color w:val="000000"/>
          <w:sz w:val="22"/>
          <w:szCs w:val="22"/>
        </w:rPr>
        <w:t>in the nursing home</w:t>
      </w:r>
      <w:r w:rsidRPr="003C0D3C" w:rsidR="00C71C41">
        <w:rPr>
          <w:color w:val="000000"/>
          <w:sz w:val="22"/>
          <w:szCs w:val="22"/>
        </w:rPr>
        <w:t xml:space="preserve"> setting;</w:t>
      </w:r>
    </w:p>
    <w:p w:rsidRPr="003852C9" w:rsidR="00E84105" w:rsidP="003852C9" w:rsidRDefault="00CD3DD6" w14:paraId="0DA72C8F" w14:textId="2FC6FF0F">
      <w:pPr>
        <w:tabs>
          <w:tab w:val="left" w:pos="180"/>
        </w:tabs>
        <w:ind w:left="180" w:hanging="180"/>
        <w:rPr>
          <w:color w:val="000000"/>
          <w:sz w:val="24"/>
          <w:szCs w:val="22"/>
        </w:rPr>
      </w:pPr>
      <w:r w:rsidRPr="00843E8D">
        <w:rPr>
          <w:color w:val="000000"/>
          <w:sz w:val="22"/>
          <w:szCs w:val="22"/>
        </w:rPr>
        <w:lastRenderedPageBreak/>
        <w:t>* National Occupational Employment and Wage Estimat</w:t>
      </w:r>
      <w:r w:rsidR="00004168">
        <w:rPr>
          <w:color w:val="000000"/>
          <w:sz w:val="22"/>
          <w:szCs w:val="22"/>
        </w:rPr>
        <w:t>es in the United States, May 2020</w:t>
      </w:r>
      <w:r w:rsidRPr="00843E8D">
        <w:rPr>
          <w:color w:val="000000"/>
          <w:sz w:val="22"/>
          <w:szCs w:val="22"/>
        </w:rPr>
        <w:t xml:space="preserve">, “U.S. Department of Labor, Bureau of Labor Statistics” (available at </w:t>
      </w:r>
      <w:r w:rsidRPr="00786CC4" w:rsidR="00C71C41">
        <w:rPr>
          <w:sz w:val="22"/>
        </w:rPr>
        <w:t xml:space="preserve"> </w:t>
      </w:r>
      <w:hyperlink w:history="1" r:id="rId11">
        <w:r w:rsidRPr="00786CC4" w:rsidR="00C71C41">
          <w:rPr>
            <w:rStyle w:val="Hyperlink"/>
            <w:sz w:val="22"/>
          </w:rPr>
          <w:t>https://www.bls.gov/oes/current/naics3_623000.htm</w:t>
        </w:r>
      </w:hyperlink>
      <w:r w:rsidRPr="00786CC4" w:rsidR="00C71C41">
        <w:rPr>
          <w:sz w:val="22"/>
        </w:rPr>
        <w:t xml:space="preserve"> [for nursing home setting]</w:t>
      </w:r>
    </w:p>
    <w:p w:rsidRPr="00FA7DB0" w:rsidR="00E720CD" w:rsidP="00F1448D" w:rsidRDefault="00E720CD" w14:paraId="01403817" w14:textId="13C8EBD5">
      <w:pPr>
        <w:pStyle w:val="Heading2"/>
        <w:tabs>
          <w:tab w:val="right" w:pos="9360"/>
        </w:tabs>
        <w:spacing w:before="240" w:after="60"/>
        <w:rPr>
          <w:rFonts w:ascii="Arial" w:hAnsi="Arial" w:cs="Arial"/>
          <w:i/>
          <w:color w:val="auto"/>
          <w:sz w:val="24"/>
        </w:rPr>
      </w:pPr>
      <w:bookmarkStart w:name="_Toc92374300" w:id="18"/>
      <w:r w:rsidRPr="00FA7DB0">
        <w:rPr>
          <w:rFonts w:ascii="Arial" w:hAnsi="Arial" w:cs="Arial"/>
          <w:i/>
          <w:color w:val="auto"/>
          <w:sz w:val="24"/>
        </w:rPr>
        <w:t>13.  Estimates of Annualized Respondent Capital and Maintenance Costs</w:t>
      </w:r>
      <w:bookmarkEnd w:id="18"/>
      <w:r w:rsidR="00F1448D">
        <w:rPr>
          <w:rFonts w:ascii="Arial" w:hAnsi="Arial" w:cs="Arial"/>
          <w:i/>
          <w:color w:val="auto"/>
          <w:sz w:val="24"/>
        </w:rPr>
        <w:tab/>
      </w:r>
    </w:p>
    <w:p w:rsidRPr="00D640E7" w:rsidR="00E720CD" w:rsidP="00E720CD" w:rsidRDefault="00E720CD" w14:paraId="01B98CA7" w14:textId="542F4B3D">
      <w:pPr>
        <w:rPr>
          <w:rFonts w:ascii="Cambria" w:hAnsi="Cambria"/>
          <w:b/>
          <w:bCs/>
          <w:sz w:val="24"/>
          <w:szCs w:val="24"/>
        </w:rPr>
      </w:pPr>
      <w:r w:rsidRPr="00D640E7">
        <w:rPr>
          <w:sz w:val="24"/>
          <w:szCs w:val="24"/>
        </w:rPr>
        <w:t>Capital and maintenance costs include the purchase of equipment, computers or computer software or services, or storage facilities for records, as a result of complying with this data collection. </w:t>
      </w:r>
      <w:r w:rsidRPr="00D640E7" w:rsidR="00231CE6">
        <w:rPr>
          <w:sz w:val="24"/>
          <w:szCs w:val="24"/>
        </w:rPr>
        <w:t>There are no direct costs to respondents other than their time to participate in the study.</w:t>
      </w:r>
    </w:p>
    <w:p w:rsidRPr="00FA7DB0" w:rsidR="00E720CD" w:rsidP="003A074E" w:rsidRDefault="00E720CD" w14:paraId="5B165A92" w14:textId="5D738DE2">
      <w:pPr>
        <w:pStyle w:val="Heading2"/>
        <w:spacing w:before="240" w:after="60"/>
        <w:rPr>
          <w:rFonts w:ascii="Arial" w:hAnsi="Arial" w:cs="Arial"/>
          <w:i/>
          <w:color w:val="auto"/>
          <w:sz w:val="24"/>
        </w:rPr>
      </w:pPr>
      <w:bookmarkStart w:name="_Toc92374301" w:id="19"/>
      <w:r w:rsidRPr="00FA7DB0">
        <w:rPr>
          <w:rFonts w:ascii="Arial" w:hAnsi="Arial" w:cs="Arial"/>
          <w:i/>
          <w:color w:val="auto"/>
          <w:sz w:val="24"/>
        </w:rPr>
        <w:t>14.  Estimates of Annualized Cost to the Government</w:t>
      </w:r>
      <w:bookmarkEnd w:id="19"/>
      <w:r w:rsidRPr="00FA7DB0" w:rsidR="0053705B">
        <w:rPr>
          <w:rFonts w:ascii="Arial" w:hAnsi="Arial" w:cs="Arial"/>
          <w:i/>
          <w:color w:val="auto"/>
          <w:sz w:val="24"/>
        </w:rPr>
        <w:t xml:space="preserve"> </w:t>
      </w:r>
    </w:p>
    <w:p w:rsidR="000B0293" w:rsidP="000B0293" w:rsidRDefault="000B0293" w14:paraId="5A380F2B" w14:textId="77777777">
      <w:pPr>
        <w:rPr>
          <w:sz w:val="24"/>
          <w:szCs w:val="24"/>
        </w:rPr>
      </w:pPr>
    </w:p>
    <w:p w:rsidRPr="00786DFD" w:rsidR="00E720CD" w:rsidP="000B0293" w:rsidRDefault="00E720CD" w14:paraId="48F6AA74" w14:textId="318FDD20">
      <w:pPr>
        <w:rPr>
          <w:sz w:val="24"/>
          <w:szCs w:val="24"/>
        </w:rPr>
      </w:pPr>
      <w:r w:rsidRPr="005C5F75">
        <w:rPr>
          <w:sz w:val="24"/>
          <w:szCs w:val="24"/>
        </w:rPr>
        <w:t xml:space="preserve">Exhibit </w:t>
      </w:r>
      <w:r w:rsidR="0010300D">
        <w:rPr>
          <w:sz w:val="24"/>
          <w:szCs w:val="24"/>
        </w:rPr>
        <w:t>3</w:t>
      </w:r>
      <w:r w:rsidRPr="005C5F75">
        <w:rPr>
          <w:sz w:val="24"/>
          <w:szCs w:val="24"/>
        </w:rPr>
        <w:t xml:space="preserve"> shows the estimated annualized cost </w:t>
      </w:r>
      <w:r w:rsidR="000B0293">
        <w:rPr>
          <w:sz w:val="24"/>
          <w:szCs w:val="24"/>
        </w:rPr>
        <w:t>to the Government</w:t>
      </w:r>
      <w:r w:rsidRPr="005C5F75" w:rsidR="00ED604A">
        <w:rPr>
          <w:sz w:val="24"/>
          <w:szCs w:val="24"/>
        </w:rPr>
        <w:t xml:space="preserve">, which is </w:t>
      </w:r>
      <w:r w:rsidRPr="001B1DD3" w:rsidR="00ED604A">
        <w:rPr>
          <w:sz w:val="24"/>
          <w:szCs w:val="24"/>
        </w:rPr>
        <w:t>estima</w:t>
      </w:r>
      <w:r w:rsidRPr="001B1DD3" w:rsidR="0046336B">
        <w:rPr>
          <w:sz w:val="24"/>
          <w:szCs w:val="24"/>
        </w:rPr>
        <w:t>te</w:t>
      </w:r>
      <w:r w:rsidRPr="001B1DD3" w:rsidR="005C5F75">
        <w:rPr>
          <w:sz w:val="24"/>
          <w:szCs w:val="24"/>
        </w:rPr>
        <w:t xml:space="preserve">d at </w:t>
      </w:r>
      <w:r w:rsidR="00987D7E">
        <w:rPr>
          <w:sz w:val="24"/>
          <w:szCs w:val="24"/>
        </w:rPr>
        <w:t>$</w:t>
      </w:r>
      <w:r w:rsidR="00786DFD">
        <w:rPr>
          <w:sz w:val="24"/>
          <w:szCs w:val="24"/>
        </w:rPr>
        <w:t>21,570.</w:t>
      </w:r>
    </w:p>
    <w:p w:rsidRPr="00786DFD" w:rsidR="00E720CD" w:rsidP="00E720CD" w:rsidRDefault="00E720CD" w14:paraId="39F604CC" w14:textId="77777777">
      <w:pPr>
        <w:rPr>
          <w:b/>
          <w:bCs/>
          <w:sz w:val="24"/>
          <w:szCs w:val="24"/>
          <w:highlight w:val="yellow"/>
        </w:rPr>
      </w:pPr>
    </w:p>
    <w:p w:rsidRPr="00786DFD" w:rsidR="00B83741" w:rsidP="003A074E" w:rsidRDefault="00B83741" w14:paraId="7DE47F33" w14:textId="77777777">
      <w:pPr>
        <w:rPr>
          <w:sz w:val="24"/>
          <w:szCs w:val="24"/>
          <w:highlight w:val="yellow"/>
        </w:rPr>
      </w:pPr>
    </w:p>
    <w:p w:rsidRPr="00786DFD" w:rsidR="00230084" w:rsidP="003A074E" w:rsidRDefault="00231CE6" w14:paraId="07ED0CD2" w14:textId="05CA6F65">
      <w:pPr>
        <w:rPr>
          <w:sz w:val="24"/>
          <w:szCs w:val="24"/>
        </w:rPr>
      </w:pPr>
      <w:r w:rsidRPr="00786DFD">
        <w:rPr>
          <w:b/>
          <w:bCs/>
          <w:sz w:val="24"/>
          <w:szCs w:val="24"/>
        </w:rPr>
        <w:t xml:space="preserve">Exhibit </w:t>
      </w:r>
      <w:r w:rsidRPr="00786DFD" w:rsidR="0010300D">
        <w:rPr>
          <w:b/>
          <w:bCs/>
          <w:sz w:val="24"/>
          <w:szCs w:val="24"/>
        </w:rPr>
        <w:t>3</w:t>
      </w:r>
      <w:r w:rsidRPr="00786DFD">
        <w:rPr>
          <w:b/>
          <w:bCs/>
          <w:sz w:val="24"/>
          <w:szCs w:val="24"/>
        </w:rPr>
        <w:t>. Estimated Annual cost to AHRQ for Project Oversite</w:t>
      </w:r>
      <w:r w:rsidRPr="00786DFD" w:rsidR="006D18D8">
        <w:rPr>
          <w:b/>
          <w:bCs/>
          <w:sz w:val="24"/>
          <w:szCs w:val="24"/>
        </w:rPr>
        <w:t xml:space="preserve"> [AHRQ TO COMPLETE]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8"/>
        <w:gridCol w:w="1597"/>
        <w:gridCol w:w="2070"/>
      </w:tblGrid>
      <w:tr w:rsidRPr="00786DFD" w:rsidR="00231CE6" w:rsidTr="003A074E" w14:paraId="5687D08B" w14:textId="77777777">
        <w:trPr>
          <w:trHeight w:val="332"/>
        </w:trPr>
        <w:tc>
          <w:tcPr>
            <w:tcW w:w="3798" w:type="dxa"/>
            <w:shd w:val="clear" w:color="auto" w:fill="auto"/>
            <w:vAlign w:val="center"/>
          </w:tcPr>
          <w:p w:rsidRPr="00786DFD" w:rsidR="00231CE6" w:rsidP="003A074E" w:rsidRDefault="00231CE6" w14:paraId="29AF01FC" w14:textId="77777777">
            <w:pPr>
              <w:rPr>
                <w:b/>
                <w:bCs/>
                <w:sz w:val="24"/>
                <w:szCs w:val="24"/>
              </w:rPr>
            </w:pPr>
            <w:r w:rsidRPr="00786DFD">
              <w:rPr>
                <w:b/>
                <w:bCs/>
                <w:sz w:val="24"/>
                <w:szCs w:val="24"/>
              </w:rPr>
              <w:t>AHRQ Position</w:t>
            </w:r>
          </w:p>
        </w:tc>
        <w:tc>
          <w:tcPr>
            <w:tcW w:w="1597" w:type="dxa"/>
            <w:shd w:val="clear" w:color="auto" w:fill="auto"/>
            <w:vAlign w:val="center"/>
          </w:tcPr>
          <w:p w:rsidRPr="00786DFD" w:rsidR="00231CE6" w:rsidP="003A074E" w:rsidRDefault="00231CE6" w14:paraId="39EBFC7C" w14:textId="77777777">
            <w:pPr>
              <w:rPr>
                <w:b/>
                <w:bCs/>
                <w:sz w:val="24"/>
                <w:szCs w:val="24"/>
              </w:rPr>
            </w:pPr>
            <w:r w:rsidRPr="00786DFD">
              <w:rPr>
                <w:b/>
                <w:bCs/>
                <w:sz w:val="24"/>
                <w:szCs w:val="24"/>
              </w:rPr>
              <w:t>% Time</w:t>
            </w:r>
          </w:p>
        </w:tc>
        <w:tc>
          <w:tcPr>
            <w:tcW w:w="2070" w:type="dxa"/>
            <w:shd w:val="clear" w:color="auto" w:fill="auto"/>
            <w:vAlign w:val="center"/>
          </w:tcPr>
          <w:p w:rsidRPr="00786DFD" w:rsidR="00231CE6" w:rsidP="003A074E" w:rsidRDefault="00231CE6" w14:paraId="2D41F604" w14:textId="77777777">
            <w:pPr>
              <w:rPr>
                <w:b/>
                <w:bCs/>
                <w:sz w:val="24"/>
                <w:szCs w:val="24"/>
              </w:rPr>
            </w:pPr>
            <w:r w:rsidRPr="00786DFD">
              <w:rPr>
                <w:b/>
                <w:bCs/>
                <w:sz w:val="24"/>
                <w:szCs w:val="24"/>
              </w:rPr>
              <w:t>Annualized Cost</w:t>
            </w:r>
          </w:p>
        </w:tc>
      </w:tr>
      <w:tr w:rsidRPr="00786DFD" w:rsidR="00231CE6" w:rsidTr="003A074E" w14:paraId="7F02F03C" w14:textId="77777777">
        <w:trPr>
          <w:trHeight w:val="647"/>
        </w:trPr>
        <w:tc>
          <w:tcPr>
            <w:tcW w:w="3798" w:type="dxa"/>
            <w:shd w:val="clear" w:color="auto" w:fill="auto"/>
          </w:tcPr>
          <w:p w:rsidRPr="00786DFD" w:rsidR="00231CE6" w:rsidP="004F0F20" w:rsidRDefault="008F7FA5" w14:paraId="33583D36" w14:textId="426712C1">
            <w:pPr>
              <w:rPr>
                <w:rFonts w:eastAsia="Calibri"/>
                <w:sz w:val="23"/>
                <w:szCs w:val="23"/>
              </w:rPr>
            </w:pPr>
            <w:r w:rsidRPr="00786DFD">
              <w:rPr>
                <w:rFonts w:eastAsia="Calibri"/>
                <w:sz w:val="23"/>
                <w:szCs w:val="23"/>
              </w:rPr>
              <w:t>GS 15 Step-5</w:t>
            </w:r>
          </w:p>
        </w:tc>
        <w:tc>
          <w:tcPr>
            <w:tcW w:w="1597" w:type="dxa"/>
            <w:shd w:val="clear" w:color="auto" w:fill="auto"/>
          </w:tcPr>
          <w:p w:rsidRPr="00786DFD" w:rsidR="00231CE6" w:rsidP="004F0F20" w:rsidRDefault="008F7FA5" w14:paraId="5B311CDA" w14:textId="14C283C7">
            <w:pPr>
              <w:rPr>
                <w:rFonts w:eastAsia="Calibri"/>
                <w:sz w:val="23"/>
                <w:szCs w:val="23"/>
              </w:rPr>
            </w:pPr>
            <w:r w:rsidRPr="00786DFD">
              <w:rPr>
                <w:rFonts w:eastAsia="Calibri"/>
                <w:sz w:val="23"/>
                <w:szCs w:val="23"/>
              </w:rPr>
              <w:t>5%</w:t>
            </w:r>
          </w:p>
        </w:tc>
        <w:tc>
          <w:tcPr>
            <w:tcW w:w="2070" w:type="dxa"/>
            <w:shd w:val="clear" w:color="auto" w:fill="auto"/>
          </w:tcPr>
          <w:p w:rsidRPr="00786DFD" w:rsidR="00231CE6" w:rsidP="004F0F20" w:rsidRDefault="008F7FA5" w14:paraId="062CC80B" w14:textId="2BA3D16A">
            <w:pPr>
              <w:rPr>
                <w:rFonts w:eastAsia="Calibri"/>
                <w:sz w:val="23"/>
                <w:szCs w:val="23"/>
              </w:rPr>
            </w:pPr>
            <w:r w:rsidRPr="00786DFD">
              <w:rPr>
                <w:rFonts w:eastAsia="Calibri"/>
                <w:sz w:val="23"/>
                <w:szCs w:val="23"/>
              </w:rPr>
              <w:t>$8,264</w:t>
            </w:r>
          </w:p>
        </w:tc>
      </w:tr>
      <w:tr w:rsidRPr="00786DFD" w:rsidR="00231CE6" w:rsidTr="003A074E" w14:paraId="567EB29D" w14:textId="77777777">
        <w:trPr>
          <w:trHeight w:val="737"/>
        </w:trPr>
        <w:tc>
          <w:tcPr>
            <w:tcW w:w="3798" w:type="dxa"/>
            <w:shd w:val="clear" w:color="auto" w:fill="auto"/>
          </w:tcPr>
          <w:p w:rsidRPr="00786DFD" w:rsidR="00231CE6" w:rsidP="004F0F20" w:rsidRDefault="008F7FA5" w14:paraId="2EC72E60" w14:textId="41ADA038">
            <w:pPr>
              <w:rPr>
                <w:rFonts w:eastAsia="Calibri"/>
                <w:sz w:val="23"/>
                <w:szCs w:val="23"/>
              </w:rPr>
            </w:pPr>
            <w:r w:rsidRPr="00786DFD">
              <w:rPr>
                <w:rFonts w:eastAsia="Calibri"/>
                <w:sz w:val="23"/>
                <w:szCs w:val="23"/>
              </w:rPr>
              <w:t>GS 14 Step 5</w:t>
            </w:r>
          </w:p>
        </w:tc>
        <w:tc>
          <w:tcPr>
            <w:tcW w:w="1597" w:type="dxa"/>
            <w:shd w:val="clear" w:color="auto" w:fill="auto"/>
          </w:tcPr>
          <w:p w:rsidRPr="00786DFD" w:rsidR="00231CE6" w:rsidP="004F0F20" w:rsidRDefault="008F7FA5" w14:paraId="2A4AE707" w14:textId="0469F8BD">
            <w:pPr>
              <w:rPr>
                <w:rFonts w:eastAsia="Calibri"/>
                <w:sz w:val="23"/>
                <w:szCs w:val="23"/>
              </w:rPr>
            </w:pPr>
            <w:r w:rsidRPr="00786DFD">
              <w:rPr>
                <w:rFonts w:eastAsia="Calibri"/>
                <w:sz w:val="23"/>
                <w:szCs w:val="23"/>
              </w:rPr>
              <w:t>5</w:t>
            </w:r>
            <w:r w:rsidRPr="00786DFD" w:rsidR="00BD6897">
              <w:rPr>
                <w:rFonts w:eastAsia="Calibri"/>
                <w:sz w:val="23"/>
                <w:szCs w:val="23"/>
              </w:rPr>
              <w:t>%</w:t>
            </w:r>
          </w:p>
        </w:tc>
        <w:tc>
          <w:tcPr>
            <w:tcW w:w="2070" w:type="dxa"/>
            <w:shd w:val="clear" w:color="auto" w:fill="auto"/>
          </w:tcPr>
          <w:p w:rsidRPr="00786DFD" w:rsidR="00231CE6" w:rsidP="004F0F20" w:rsidRDefault="008F7FA5" w14:paraId="168DBC54" w14:textId="46A587B4">
            <w:pPr>
              <w:rPr>
                <w:rFonts w:eastAsia="Calibri"/>
                <w:sz w:val="23"/>
                <w:szCs w:val="23"/>
              </w:rPr>
            </w:pPr>
            <w:r w:rsidRPr="00786DFD">
              <w:rPr>
                <w:rFonts w:eastAsia="Calibri"/>
                <w:sz w:val="23"/>
                <w:szCs w:val="23"/>
              </w:rPr>
              <w:t>$7,253</w:t>
            </w:r>
          </w:p>
        </w:tc>
      </w:tr>
      <w:tr w:rsidRPr="00786DFD" w:rsidR="00231CE6" w:rsidTr="003A074E" w14:paraId="1EC75406" w14:textId="77777777">
        <w:trPr>
          <w:trHeight w:val="989"/>
        </w:trPr>
        <w:tc>
          <w:tcPr>
            <w:tcW w:w="3798" w:type="dxa"/>
            <w:shd w:val="clear" w:color="auto" w:fill="auto"/>
          </w:tcPr>
          <w:p w:rsidRPr="00786DFD" w:rsidR="00231CE6" w:rsidP="004F0F20" w:rsidRDefault="008F7FA5" w14:paraId="5597118B" w14:textId="28547408">
            <w:pPr>
              <w:rPr>
                <w:rFonts w:eastAsia="Calibri"/>
                <w:sz w:val="23"/>
                <w:szCs w:val="23"/>
              </w:rPr>
            </w:pPr>
            <w:r w:rsidRPr="00786DFD">
              <w:rPr>
                <w:rFonts w:eastAsia="Calibri"/>
                <w:sz w:val="23"/>
                <w:szCs w:val="23"/>
              </w:rPr>
              <w:t>GS 13 Step 5</w:t>
            </w:r>
          </w:p>
        </w:tc>
        <w:tc>
          <w:tcPr>
            <w:tcW w:w="1597" w:type="dxa"/>
            <w:shd w:val="clear" w:color="auto" w:fill="auto"/>
          </w:tcPr>
          <w:p w:rsidRPr="00786DFD" w:rsidR="00231CE6" w:rsidP="004F0F20" w:rsidRDefault="008F7FA5" w14:paraId="1F88D98A" w14:textId="05C6C279">
            <w:pPr>
              <w:rPr>
                <w:rFonts w:eastAsia="Calibri"/>
                <w:sz w:val="23"/>
                <w:szCs w:val="23"/>
              </w:rPr>
            </w:pPr>
            <w:r w:rsidRPr="00786DFD">
              <w:rPr>
                <w:rFonts w:eastAsia="Calibri"/>
                <w:sz w:val="23"/>
                <w:szCs w:val="23"/>
              </w:rPr>
              <w:t>5%</w:t>
            </w:r>
          </w:p>
        </w:tc>
        <w:tc>
          <w:tcPr>
            <w:tcW w:w="2070" w:type="dxa"/>
            <w:shd w:val="clear" w:color="auto" w:fill="auto"/>
          </w:tcPr>
          <w:p w:rsidRPr="00786DFD" w:rsidR="00231CE6" w:rsidP="004F0F20" w:rsidRDefault="008F7FA5" w14:paraId="600E4704" w14:textId="1CD70B14">
            <w:pPr>
              <w:rPr>
                <w:rFonts w:eastAsia="Calibri"/>
                <w:sz w:val="23"/>
                <w:szCs w:val="23"/>
              </w:rPr>
            </w:pPr>
            <w:r w:rsidRPr="00786DFD">
              <w:rPr>
                <w:rFonts w:eastAsia="Calibri"/>
                <w:sz w:val="23"/>
                <w:szCs w:val="23"/>
              </w:rPr>
              <w:t>$6,053</w:t>
            </w:r>
          </w:p>
        </w:tc>
      </w:tr>
      <w:tr w:rsidRPr="00FA7DB0" w:rsidR="008F7FA5" w:rsidTr="003A074E" w14:paraId="0D67A8D5" w14:textId="77777777">
        <w:trPr>
          <w:trHeight w:val="989"/>
        </w:trPr>
        <w:tc>
          <w:tcPr>
            <w:tcW w:w="3798" w:type="dxa"/>
            <w:shd w:val="clear" w:color="auto" w:fill="auto"/>
          </w:tcPr>
          <w:p w:rsidRPr="00786DFD" w:rsidR="008F7FA5" w:rsidP="004F0F20" w:rsidRDefault="008F7FA5" w14:paraId="3A28B7E2" w14:textId="2539BF69">
            <w:pPr>
              <w:rPr>
                <w:rFonts w:eastAsia="Calibri"/>
                <w:sz w:val="23"/>
                <w:szCs w:val="23"/>
              </w:rPr>
            </w:pPr>
            <w:r w:rsidRPr="00786DFD">
              <w:rPr>
                <w:rFonts w:eastAsia="Calibri"/>
                <w:sz w:val="23"/>
                <w:szCs w:val="23"/>
              </w:rPr>
              <w:t>Total</w:t>
            </w:r>
          </w:p>
        </w:tc>
        <w:tc>
          <w:tcPr>
            <w:tcW w:w="1597" w:type="dxa"/>
            <w:shd w:val="clear" w:color="auto" w:fill="auto"/>
          </w:tcPr>
          <w:p w:rsidRPr="00786DFD" w:rsidR="008F7FA5" w:rsidP="004F0F20" w:rsidRDefault="008F7FA5" w14:paraId="47232C46" w14:textId="77777777">
            <w:pPr>
              <w:rPr>
                <w:rFonts w:eastAsia="Calibri"/>
                <w:sz w:val="23"/>
                <w:szCs w:val="23"/>
              </w:rPr>
            </w:pPr>
          </w:p>
        </w:tc>
        <w:tc>
          <w:tcPr>
            <w:tcW w:w="2070" w:type="dxa"/>
            <w:shd w:val="clear" w:color="auto" w:fill="auto"/>
          </w:tcPr>
          <w:p w:rsidRPr="00786DFD" w:rsidR="008F7FA5" w:rsidP="004F0F20" w:rsidRDefault="008F7FA5" w14:paraId="2B6644BC" w14:textId="6F5B9E50">
            <w:pPr>
              <w:rPr>
                <w:rFonts w:eastAsia="Calibri"/>
                <w:sz w:val="23"/>
                <w:szCs w:val="23"/>
              </w:rPr>
            </w:pPr>
            <w:r w:rsidRPr="00786DFD">
              <w:rPr>
                <w:rFonts w:eastAsia="Calibri"/>
                <w:sz w:val="23"/>
                <w:szCs w:val="23"/>
              </w:rPr>
              <w:t>$21,570</w:t>
            </w:r>
          </w:p>
        </w:tc>
      </w:tr>
    </w:tbl>
    <w:p w:rsidRPr="00FA7DB0" w:rsidR="00231CE6" w:rsidP="003A074E" w:rsidRDefault="00231CE6" w14:paraId="557E702B" w14:textId="77777777">
      <w:pPr>
        <w:rPr>
          <w:highlight w:val="yellow"/>
        </w:rPr>
      </w:pPr>
    </w:p>
    <w:p w:rsidRPr="00FA7DB0" w:rsidR="0057087C" w:rsidP="003A074E" w:rsidRDefault="0057087C" w14:paraId="2C1198DA" w14:textId="6EDD63FE">
      <w:pPr>
        <w:pStyle w:val="Heading2"/>
        <w:spacing w:before="240" w:after="60"/>
        <w:rPr>
          <w:rFonts w:ascii="Arial" w:hAnsi="Arial" w:cs="Arial"/>
          <w:i/>
          <w:color w:val="auto"/>
          <w:sz w:val="24"/>
        </w:rPr>
      </w:pPr>
      <w:bookmarkStart w:name="_Toc92374302" w:id="20"/>
      <w:r w:rsidRPr="00FA7DB0">
        <w:rPr>
          <w:rFonts w:ascii="Arial" w:hAnsi="Arial" w:cs="Arial"/>
          <w:i/>
          <w:color w:val="auto"/>
          <w:sz w:val="24"/>
        </w:rPr>
        <w:t>15.  Change</w:t>
      </w:r>
      <w:r w:rsidR="009E481E">
        <w:rPr>
          <w:rFonts w:ascii="Arial" w:hAnsi="Arial" w:cs="Arial"/>
          <w:i/>
          <w:color w:val="auto"/>
          <w:sz w:val="24"/>
        </w:rPr>
        <w:t>s</w:t>
      </w:r>
      <w:r w:rsidRPr="00FA7DB0">
        <w:rPr>
          <w:rFonts w:ascii="Arial" w:hAnsi="Arial" w:cs="Arial"/>
          <w:i/>
          <w:color w:val="auto"/>
          <w:sz w:val="24"/>
        </w:rPr>
        <w:t xml:space="preserve"> in </w:t>
      </w:r>
      <w:r w:rsidR="009E481E">
        <w:rPr>
          <w:rFonts w:ascii="Arial" w:hAnsi="Arial" w:cs="Arial"/>
          <w:i/>
          <w:color w:val="auto"/>
          <w:sz w:val="24"/>
        </w:rPr>
        <w:t xml:space="preserve">Hour </w:t>
      </w:r>
      <w:r w:rsidRPr="00FA7DB0">
        <w:rPr>
          <w:rFonts w:ascii="Arial" w:hAnsi="Arial" w:cs="Arial"/>
          <w:i/>
          <w:color w:val="auto"/>
          <w:sz w:val="24"/>
        </w:rPr>
        <w:t>Burden</w:t>
      </w:r>
      <w:bookmarkEnd w:id="20"/>
    </w:p>
    <w:p w:rsidRPr="00FA7DB0" w:rsidR="0057087C" w:rsidRDefault="0057087C" w14:paraId="6B1970A8" w14:textId="7A9B5E04">
      <w:pPr>
        <w:rPr>
          <w:sz w:val="24"/>
          <w:szCs w:val="24"/>
        </w:rPr>
      </w:pPr>
      <w:r w:rsidRPr="00FA7DB0">
        <w:rPr>
          <w:sz w:val="24"/>
          <w:szCs w:val="24"/>
        </w:rPr>
        <w:t xml:space="preserve">This </w:t>
      </w:r>
      <w:r w:rsidRPr="00FA7DB0" w:rsidR="002E735A">
        <w:rPr>
          <w:sz w:val="24"/>
          <w:szCs w:val="24"/>
        </w:rPr>
        <w:t xml:space="preserve">data collection effort </w:t>
      </w:r>
      <w:r w:rsidRPr="00FA7DB0">
        <w:rPr>
          <w:sz w:val="24"/>
          <w:szCs w:val="24"/>
        </w:rPr>
        <w:t>is a new activity</w:t>
      </w:r>
      <w:r w:rsidRPr="00FA7DB0" w:rsidR="00B044C0">
        <w:rPr>
          <w:sz w:val="24"/>
          <w:szCs w:val="24"/>
        </w:rPr>
        <w:t>.</w:t>
      </w:r>
    </w:p>
    <w:p w:rsidRPr="00FA7DB0" w:rsidR="0057087C" w:rsidP="003A074E" w:rsidRDefault="0057087C" w14:paraId="4A03D1D8" w14:textId="77777777">
      <w:pPr>
        <w:pStyle w:val="Heading2"/>
        <w:spacing w:before="240" w:after="60"/>
        <w:rPr>
          <w:rFonts w:ascii="Arial" w:hAnsi="Arial" w:cs="Arial"/>
          <w:i/>
          <w:color w:val="auto"/>
          <w:sz w:val="24"/>
        </w:rPr>
      </w:pPr>
      <w:bookmarkStart w:name="_Toc92374303" w:id="21"/>
      <w:r w:rsidRPr="00FA7DB0">
        <w:rPr>
          <w:rFonts w:ascii="Arial" w:hAnsi="Arial" w:cs="Arial"/>
          <w:i/>
          <w:color w:val="auto"/>
          <w:sz w:val="24"/>
        </w:rPr>
        <w:t xml:space="preserve">16.  </w:t>
      </w:r>
      <w:r w:rsidRPr="00FA7DB0" w:rsidR="00E209C2">
        <w:rPr>
          <w:rFonts w:ascii="Arial" w:hAnsi="Arial" w:cs="Arial"/>
          <w:i/>
          <w:color w:val="auto"/>
          <w:sz w:val="24"/>
        </w:rPr>
        <w:t>Time Schedule, Publication and Analysis Plan</w:t>
      </w:r>
      <w:bookmarkEnd w:id="21"/>
    </w:p>
    <w:p w:rsidRPr="00D640E7" w:rsidR="002112A0" w:rsidP="002112A0" w:rsidRDefault="00A27C34" w14:paraId="0F2A8D7A" w14:textId="79A2F504">
      <w:pPr>
        <w:rPr>
          <w:sz w:val="24"/>
          <w:szCs w:val="24"/>
        </w:rPr>
      </w:pPr>
      <w:r w:rsidRPr="00D640E7">
        <w:rPr>
          <w:sz w:val="24"/>
          <w:szCs w:val="24"/>
        </w:rPr>
        <w:t>As soon as OMB approval is received,</w:t>
      </w:r>
      <w:r w:rsidRPr="00D640E7" w:rsidR="002112A0">
        <w:rPr>
          <w:rFonts w:ascii="Calibri" w:hAnsi="Calibri"/>
          <w:sz w:val="22"/>
          <w:szCs w:val="22"/>
        </w:rPr>
        <w:t xml:space="preserve"> </w:t>
      </w:r>
      <w:r w:rsidRPr="00D640E7" w:rsidR="00D640E7">
        <w:rPr>
          <w:sz w:val="24"/>
          <w:szCs w:val="24"/>
        </w:rPr>
        <w:t>cognitive testing</w:t>
      </w:r>
      <w:r w:rsidRPr="00D640E7" w:rsidR="00094CAE">
        <w:rPr>
          <w:sz w:val="24"/>
          <w:szCs w:val="24"/>
        </w:rPr>
        <w:t xml:space="preserve"> </w:t>
      </w:r>
      <w:r w:rsidRPr="00D640E7" w:rsidR="002112A0">
        <w:rPr>
          <w:sz w:val="24"/>
          <w:szCs w:val="24"/>
        </w:rPr>
        <w:t>activities will begin. The estimated time</w:t>
      </w:r>
      <w:r w:rsidRPr="00D640E7" w:rsidR="0074731F">
        <w:rPr>
          <w:sz w:val="24"/>
          <w:szCs w:val="24"/>
        </w:rPr>
        <w:t xml:space="preserve"> schedule </w:t>
      </w:r>
      <w:r w:rsidRPr="00D640E7" w:rsidR="002112A0">
        <w:rPr>
          <w:sz w:val="24"/>
          <w:szCs w:val="24"/>
        </w:rPr>
        <w:t>to conduct these activities is shown below:</w:t>
      </w:r>
    </w:p>
    <w:p w:rsidRPr="00FA7DB0" w:rsidR="002112A0" w:rsidP="002112A0" w:rsidRDefault="002112A0" w14:paraId="6E8238D7" w14:textId="77777777">
      <w:pPr>
        <w:rPr>
          <w:sz w:val="24"/>
          <w:szCs w:val="24"/>
          <w:highlight w:val="yellow"/>
        </w:rPr>
      </w:pPr>
    </w:p>
    <w:p w:rsidRPr="008F3E99" w:rsidR="002D48E1" w:rsidP="002D48E1" w:rsidRDefault="0046336B" w14:paraId="5E18F324" w14:textId="5DA88606">
      <w:pPr>
        <w:numPr>
          <w:ilvl w:val="0"/>
          <w:numId w:val="1"/>
        </w:numPr>
        <w:rPr>
          <w:sz w:val="24"/>
          <w:szCs w:val="24"/>
        </w:rPr>
      </w:pPr>
      <w:r w:rsidRPr="008F3E99">
        <w:rPr>
          <w:sz w:val="24"/>
          <w:szCs w:val="24"/>
        </w:rPr>
        <w:t xml:space="preserve">Complete up to </w:t>
      </w:r>
      <w:r w:rsidRPr="008F3E99" w:rsidR="00B5383F">
        <w:rPr>
          <w:sz w:val="24"/>
          <w:szCs w:val="24"/>
        </w:rPr>
        <w:t>2</w:t>
      </w:r>
      <w:r w:rsidR="008F3E99">
        <w:rPr>
          <w:sz w:val="24"/>
          <w:szCs w:val="24"/>
        </w:rPr>
        <w:t>5</w:t>
      </w:r>
      <w:r w:rsidRPr="008F3E99" w:rsidR="002D48E1">
        <w:rPr>
          <w:sz w:val="24"/>
          <w:szCs w:val="24"/>
        </w:rPr>
        <w:t xml:space="preserve"> cognitive interview</w:t>
      </w:r>
      <w:r w:rsidRPr="008F3E99" w:rsidR="00231CE6">
        <w:rPr>
          <w:sz w:val="24"/>
          <w:szCs w:val="24"/>
        </w:rPr>
        <w:t>s</w:t>
      </w:r>
      <w:r w:rsidRPr="008F3E99" w:rsidR="00121332">
        <w:rPr>
          <w:sz w:val="24"/>
          <w:szCs w:val="24"/>
        </w:rPr>
        <w:t xml:space="preserve"> </w:t>
      </w:r>
      <w:r w:rsidRPr="008F3E99">
        <w:rPr>
          <w:sz w:val="24"/>
          <w:szCs w:val="24"/>
        </w:rPr>
        <w:t>(</w:t>
      </w:r>
      <w:r w:rsidR="00324F7E">
        <w:rPr>
          <w:sz w:val="24"/>
          <w:szCs w:val="24"/>
        </w:rPr>
        <w:t>3</w:t>
      </w:r>
      <w:r w:rsidRPr="008F3E99" w:rsidR="00324F7E">
        <w:rPr>
          <w:sz w:val="24"/>
          <w:szCs w:val="24"/>
        </w:rPr>
        <w:t xml:space="preserve"> </w:t>
      </w:r>
      <w:r w:rsidRPr="008F3E99">
        <w:rPr>
          <w:sz w:val="24"/>
          <w:szCs w:val="24"/>
        </w:rPr>
        <w:t>month</w:t>
      </w:r>
      <w:r w:rsidRPr="008F3E99" w:rsidR="00937775">
        <w:rPr>
          <w:sz w:val="24"/>
          <w:szCs w:val="24"/>
        </w:rPr>
        <w:t>s</w:t>
      </w:r>
      <w:r w:rsidRPr="008F3E99" w:rsidR="002D48E1">
        <w:rPr>
          <w:sz w:val="24"/>
          <w:szCs w:val="24"/>
        </w:rPr>
        <w:t>)</w:t>
      </w:r>
    </w:p>
    <w:p w:rsidRPr="008F3E99" w:rsidR="002112A0" w:rsidP="00C04E76" w:rsidRDefault="009E5A2B" w14:paraId="3EE6C2E3" w14:textId="216971C5">
      <w:pPr>
        <w:numPr>
          <w:ilvl w:val="0"/>
          <w:numId w:val="1"/>
        </w:numPr>
        <w:rPr>
          <w:sz w:val="24"/>
          <w:szCs w:val="24"/>
        </w:rPr>
      </w:pPr>
      <w:r w:rsidRPr="008F3E99">
        <w:rPr>
          <w:sz w:val="24"/>
          <w:szCs w:val="24"/>
        </w:rPr>
        <w:t>Pilot test</w:t>
      </w:r>
      <w:r w:rsidRPr="008F3E99" w:rsidR="002112A0">
        <w:rPr>
          <w:sz w:val="24"/>
          <w:szCs w:val="24"/>
        </w:rPr>
        <w:t xml:space="preserve"> data collection (</w:t>
      </w:r>
      <w:r w:rsidR="008F3E99">
        <w:rPr>
          <w:sz w:val="24"/>
          <w:szCs w:val="24"/>
        </w:rPr>
        <w:t>4</w:t>
      </w:r>
      <w:r w:rsidRPr="008F3E99" w:rsidR="001349FE">
        <w:rPr>
          <w:sz w:val="24"/>
          <w:szCs w:val="24"/>
        </w:rPr>
        <w:t xml:space="preserve"> </w:t>
      </w:r>
      <w:r w:rsidRPr="008F3E99" w:rsidR="0094006E">
        <w:rPr>
          <w:sz w:val="24"/>
          <w:szCs w:val="24"/>
        </w:rPr>
        <w:t>months)</w:t>
      </w:r>
    </w:p>
    <w:p w:rsidRPr="008F3E99" w:rsidR="002112A0" w:rsidP="00C04E76" w:rsidRDefault="002112A0" w14:paraId="35CF5861" w14:textId="698073D4">
      <w:pPr>
        <w:numPr>
          <w:ilvl w:val="0"/>
          <w:numId w:val="1"/>
        </w:numPr>
        <w:rPr>
          <w:sz w:val="24"/>
          <w:szCs w:val="24"/>
        </w:rPr>
      </w:pPr>
      <w:r w:rsidRPr="008F3E99">
        <w:rPr>
          <w:sz w:val="24"/>
          <w:szCs w:val="24"/>
        </w:rPr>
        <w:t>Data analysis</w:t>
      </w:r>
      <w:r w:rsidRPr="008F3E99" w:rsidR="0094006E">
        <w:rPr>
          <w:sz w:val="24"/>
          <w:szCs w:val="24"/>
        </w:rPr>
        <w:t>, feedback report production</w:t>
      </w:r>
      <w:r w:rsidRPr="008F3E99" w:rsidR="00D17C7A">
        <w:rPr>
          <w:sz w:val="24"/>
          <w:szCs w:val="24"/>
        </w:rPr>
        <w:t>,</w:t>
      </w:r>
      <w:r w:rsidRPr="008F3E99" w:rsidR="0094006E">
        <w:rPr>
          <w:sz w:val="24"/>
          <w:szCs w:val="24"/>
        </w:rPr>
        <w:t xml:space="preserve"> and development of </w:t>
      </w:r>
      <w:r w:rsidRPr="008F3E99">
        <w:rPr>
          <w:sz w:val="24"/>
          <w:szCs w:val="24"/>
        </w:rPr>
        <w:t>technical report</w:t>
      </w:r>
      <w:r w:rsidRPr="008F3E99" w:rsidR="00C76354">
        <w:rPr>
          <w:sz w:val="24"/>
          <w:szCs w:val="24"/>
        </w:rPr>
        <w:t>s</w:t>
      </w:r>
      <w:r w:rsidRPr="008F3E99">
        <w:rPr>
          <w:sz w:val="24"/>
          <w:szCs w:val="24"/>
        </w:rPr>
        <w:t xml:space="preserve"> (</w:t>
      </w:r>
      <w:r w:rsidR="00324F7E">
        <w:rPr>
          <w:sz w:val="24"/>
          <w:szCs w:val="24"/>
        </w:rPr>
        <w:t>6</w:t>
      </w:r>
      <w:r w:rsidRPr="008F3E99" w:rsidR="00324F7E">
        <w:rPr>
          <w:sz w:val="24"/>
          <w:szCs w:val="24"/>
        </w:rPr>
        <w:t xml:space="preserve"> </w:t>
      </w:r>
      <w:r w:rsidRPr="00695EFB" w:rsidR="0094006E">
        <w:rPr>
          <w:sz w:val="24"/>
          <w:szCs w:val="24"/>
        </w:rPr>
        <w:t>months</w:t>
      </w:r>
      <w:r w:rsidRPr="00695EFB">
        <w:rPr>
          <w:sz w:val="24"/>
          <w:szCs w:val="24"/>
        </w:rPr>
        <w:t>)</w:t>
      </w:r>
    </w:p>
    <w:p w:rsidRPr="008F3E99" w:rsidR="002D48E1" w:rsidP="00C04E76" w:rsidRDefault="002D48E1" w14:paraId="004AE203" w14:textId="315A6BB7">
      <w:pPr>
        <w:numPr>
          <w:ilvl w:val="0"/>
          <w:numId w:val="1"/>
        </w:numPr>
        <w:rPr>
          <w:sz w:val="24"/>
          <w:szCs w:val="24"/>
        </w:rPr>
      </w:pPr>
      <w:r w:rsidRPr="008F3E99">
        <w:rPr>
          <w:sz w:val="24"/>
          <w:szCs w:val="24"/>
        </w:rPr>
        <w:t xml:space="preserve">Final </w:t>
      </w:r>
      <w:r w:rsidR="008F3E99">
        <w:rPr>
          <w:sz w:val="24"/>
          <w:szCs w:val="24"/>
        </w:rPr>
        <w:t xml:space="preserve">Nursing Home </w:t>
      </w:r>
      <w:r w:rsidRPr="008F3E99" w:rsidR="00B74B86">
        <w:rPr>
          <w:sz w:val="24"/>
          <w:szCs w:val="24"/>
        </w:rPr>
        <w:t>Workplace</w:t>
      </w:r>
      <w:r w:rsidRPr="008F3E99" w:rsidR="001E315F">
        <w:rPr>
          <w:sz w:val="24"/>
          <w:szCs w:val="24"/>
        </w:rPr>
        <w:t xml:space="preserve"> Safety</w:t>
      </w:r>
      <w:r w:rsidRPr="008F3E99" w:rsidR="00121332">
        <w:rPr>
          <w:sz w:val="24"/>
          <w:szCs w:val="24"/>
        </w:rPr>
        <w:t xml:space="preserve"> </w:t>
      </w:r>
      <w:r w:rsidRPr="008F3E99">
        <w:rPr>
          <w:sz w:val="24"/>
          <w:szCs w:val="24"/>
        </w:rPr>
        <w:t>supplemental item set and development of toolkit materials (</w:t>
      </w:r>
      <w:r w:rsidRPr="008F3E99" w:rsidR="00327327">
        <w:rPr>
          <w:sz w:val="24"/>
          <w:szCs w:val="24"/>
        </w:rPr>
        <w:t>1</w:t>
      </w:r>
      <w:r w:rsidRPr="008F3E99" w:rsidR="001349FE">
        <w:rPr>
          <w:sz w:val="24"/>
          <w:szCs w:val="24"/>
        </w:rPr>
        <w:t xml:space="preserve"> </w:t>
      </w:r>
      <w:r w:rsidRPr="008F3E99">
        <w:rPr>
          <w:sz w:val="24"/>
          <w:szCs w:val="24"/>
        </w:rPr>
        <w:t>month)</w:t>
      </w:r>
    </w:p>
    <w:p w:rsidRPr="00FA7DB0" w:rsidR="002112A0" w:rsidP="002112A0" w:rsidRDefault="002112A0" w14:paraId="53CD357A" w14:textId="77777777">
      <w:pPr>
        <w:rPr>
          <w:sz w:val="24"/>
          <w:szCs w:val="24"/>
          <w:highlight w:val="yellow"/>
        </w:rPr>
      </w:pPr>
    </w:p>
    <w:p w:rsidRPr="00D640E7" w:rsidR="00A27C34" w:rsidRDefault="003D0095" w14:paraId="02895F7E" w14:textId="69152E90">
      <w:pPr>
        <w:rPr>
          <w:sz w:val="24"/>
          <w:szCs w:val="24"/>
        </w:rPr>
      </w:pPr>
      <w:r w:rsidRPr="00D640E7">
        <w:rPr>
          <w:sz w:val="24"/>
          <w:szCs w:val="24"/>
        </w:rPr>
        <w:lastRenderedPageBreak/>
        <w:t>T</w:t>
      </w:r>
      <w:r w:rsidRPr="00D640E7" w:rsidR="007317D1">
        <w:rPr>
          <w:sz w:val="24"/>
          <w:szCs w:val="24"/>
        </w:rPr>
        <w:t xml:space="preserve">he final version of </w:t>
      </w:r>
      <w:r w:rsidRPr="00D640E7" w:rsidR="001E315F">
        <w:rPr>
          <w:sz w:val="24"/>
          <w:szCs w:val="24"/>
        </w:rPr>
        <w:t xml:space="preserve">the </w:t>
      </w:r>
      <w:r w:rsidR="00CF594A">
        <w:rPr>
          <w:sz w:val="24"/>
          <w:szCs w:val="24"/>
        </w:rPr>
        <w:t xml:space="preserve">Nursing Home </w:t>
      </w:r>
      <w:r w:rsidR="00B74B86">
        <w:rPr>
          <w:sz w:val="24"/>
          <w:szCs w:val="24"/>
        </w:rPr>
        <w:t>Workplace</w:t>
      </w:r>
      <w:r w:rsidRPr="00D640E7" w:rsidR="00D640E7">
        <w:rPr>
          <w:sz w:val="24"/>
          <w:szCs w:val="24"/>
        </w:rPr>
        <w:t xml:space="preserve"> Safety</w:t>
      </w:r>
      <w:r w:rsidRPr="00D640E7" w:rsidR="00231CE6">
        <w:rPr>
          <w:sz w:val="24"/>
          <w:szCs w:val="24"/>
        </w:rPr>
        <w:t xml:space="preserve"> supplemental</w:t>
      </w:r>
      <w:r w:rsidRPr="00D640E7" w:rsidR="002D48E1">
        <w:rPr>
          <w:sz w:val="24"/>
          <w:szCs w:val="24"/>
        </w:rPr>
        <w:t xml:space="preserve"> item set, </w:t>
      </w:r>
      <w:r w:rsidRPr="00D640E7" w:rsidR="007317D1">
        <w:rPr>
          <w:sz w:val="24"/>
          <w:szCs w:val="24"/>
        </w:rPr>
        <w:t>technical report</w:t>
      </w:r>
      <w:r w:rsidRPr="00D640E7" w:rsidR="00C76354">
        <w:rPr>
          <w:sz w:val="24"/>
          <w:szCs w:val="24"/>
        </w:rPr>
        <w:t>s</w:t>
      </w:r>
      <w:r w:rsidRPr="00D640E7" w:rsidR="007317D1">
        <w:rPr>
          <w:sz w:val="24"/>
          <w:szCs w:val="24"/>
        </w:rPr>
        <w:t>,</w:t>
      </w:r>
      <w:r w:rsidRPr="00D640E7" w:rsidR="002112A0">
        <w:rPr>
          <w:sz w:val="24"/>
          <w:szCs w:val="24"/>
        </w:rPr>
        <w:t xml:space="preserve"> </w:t>
      </w:r>
      <w:r w:rsidRPr="00D640E7" w:rsidR="00854C19">
        <w:rPr>
          <w:sz w:val="24"/>
          <w:szCs w:val="24"/>
        </w:rPr>
        <w:t xml:space="preserve">and </w:t>
      </w:r>
      <w:r w:rsidRPr="00D640E7">
        <w:rPr>
          <w:sz w:val="24"/>
          <w:szCs w:val="24"/>
        </w:rPr>
        <w:t xml:space="preserve">accompanying </w:t>
      </w:r>
      <w:r w:rsidRPr="00D640E7" w:rsidR="00854C19">
        <w:rPr>
          <w:sz w:val="24"/>
          <w:szCs w:val="24"/>
        </w:rPr>
        <w:t xml:space="preserve">toolkit materials </w:t>
      </w:r>
      <w:r w:rsidRPr="00D640E7" w:rsidR="002112A0">
        <w:rPr>
          <w:sz w:val="24"/>
          <w:szCs w:val="24"/>
        </w:rPr>
        <w:t xml:space="preserve">will be made </w:t>
      </w:r>
      <w:r w:rsidRPr="00D640E7" w:rsidR="0020113B">
        <w:rPr>
          <w:sz w:val="24"/>
          <w:szCs w:val="24"/>
        </w:rPr>
        <w:t xml:space="preserve">publicly </w:t>
      </w:r>
      <w:r w:rsidRPr="00D640E7" w:rsidR="002112A0">
        <w:rPr>
          <w:sz w:val="24"/>
          <w:szCs w:val="24"/>
        </w:rPr>
        <w:t xml:space="preserve">available on the AHRQ </w:t>
      </w:r>
      <w:r w:rsidRPr="00D640E7" w:rsidR="001E315F">
        <w:rPr>
          <w:sz w:val="24"/>
          <w:szCs w:val="24"/>
        </w:rPr>
        <w:t>w</w:t>
      </w:r>
      <w:r w:rsidRPr="00D640E7" w:rsidR="002112A0">
        <w:rPr>
          <w:sz w:val="24"/>
          <w:szCs w:val="24"/>
        </w:rPr>
        <w:t>ebsite.</w:t>
      </w:r>
    </w:p>
    <w:p w:rsidRPr="00D640E7" w:rsidR="007317D1" w:rsidP="00006691" w:rsidRDefault="007317D1" w14:paraId="6B21224A" w14:textId="77777777">
      <w:pPr>
        <w:rPr>
          <w:sz w:val="24"/>
          <w:szCs w:val="24"/>
        </w:rPr>
      </w:pPr>
    </w:p>
    <w:p w:rsidRPr="00D640E7" w:rsidR="00E55BC2" w:rsidP="00006691" w:rsidRDefault="00E55BC2" w14:paraId="712D4F98" w14:textId="5226442D">
      <w:pPr>
        <w:rPr>
          <w:sz w:val="24"/>
          <w:szCs w:val="24"/>
        </w:rPr>
      </w:pPr>
      <w:r w:rsidRPr="00D640E7">
        <w:rPr>
          <w:sz w:val="24"/>
          <w:szCs w:val="24"/>
        </w:rPr>
        <w:t>This section</w:t>
      </w:r>
      <w:r w:rsidRPr="00D640E7" w:rsidR="007516E8">
        <w:rPr>
          <w:sz w:val="24"/>
          <w:szCs w:val="24"/>
        </w:rPr>
        <w:t xml:space="preserve"> describes </w:t>
      </w:r>
      <w:r w:rsidRPr="00D640E7">
        <w:rPr>
          <w:sz w:val="24"/>
          <w:szCs w:val="24"/>
        </w:rPr>
        <w:t xml:space="preserve">the </w:t>
      </w:r>
      <w:r w:rsidRPr="00D640E7" w:rsidR="007516E8">
        <w:rPr>
          <w:sz w:val="24"/>
          <w:szCs w:val="24"/>
        </w:rPr>
        <w:t xml:space="preserve">specific </w:t>
      </w:r>
      <w:r w:rsidRPr="00D640E7">
        <w:rPr>
          <w:sz w:val="24"/>
          <w:szCs w:val="24"/>
        </w:rPr>
        <w:t xml:space="preserve">analyses </w:t>
      </w:r>
      <w:r w:rsidRPr="00D640E7" w:rsidR="007516E8">
        <w:rPr>
          <w:sz w:val="24"/>
          <w:szCs w:val="24"/>
        </w:rPr>
        <w:t xml:space="preserve">that we will conduct </w:t>
      </w:r>
      <w:r w:rsidRPr="00D640E7">
        <w:rPr>
          <w:sz w:val="24"/>
          <w:szCs w:val="24"/>
        </w:rPr>
        <w:t>on the pilot test data</w:t>
      </w:r>
      <w:r w:rsidRPr="00D640E7" w:rsidR="007516E8">
        <w:rPr>
          <w:sz w:val="24"/>
          <w:szCs w:val="24"/>
        </w:rPr>
        <w:t>.</w:t>
      </w:r>
    </w:p>
    <w:p w:rsidRPr="00FA7DB0" w:rsidR="00A02B0D" w:rsidP="00006691" w:rsidRDefault="00A02B0D" w14:paraId="72535B8C" w14:textId="77777777">
      <w:pPr>
        <w:rPr>
          <w:sz w:val="24"/>
          <w:szCs w:val="24"/>
          <w:highlight w:val="yellow"/>
        </w:rPr>
      </w:pPr>
    </w:p>
    <w:p w:rsidRPr="00B5383F" w:rsidR="00230BC7" w:rsidP="008C1CF3" w:rsidRDefault="00E55BC2" w14:paraId="02EC0844" w14:textId="5AEFCD28">
      <w:pPr>
        <w:rPr>
          <w:b/>
          <w:sz w:val="24"/>
          <w:szCs w:val="24"/>
        </w:rPr>
      </w:pPr>
      <w:r w:rsidRPr="00B5383F">
        <w:rPr>
          <w:b/>
          <w:sz w:val="24"/>
          <w:szCs w:val="24"/>
        </w:rPr>
        <w:t xml:space="preserve">Pilot Test </w:t>
      </w:r>
      <w:r w:rsidRPr="00B5383F" w:rsidR="007317D1">
        <w:rPr>
          <w:b/>
          <w:sz w:val="24"/>
          <w:szCs w:val="24"/>
        </w:rPr>
        <w:t>Psychometric Analysis</w:t>
      </w:r>
      <w:r w:rsidRPr="00B5383F" w:rsidR="001E315F">
        <w:rPr>
          <w:b/>
          <w:sz w:val="24"/>
          <w:szCs w:val="24"/>
        </w:rPr>
        <w:t>.</w:t>
      </w:r>
      <w:r w:rsidRPr="00B5383F" w:rsidR="007317D1">
        <w:rPr>
          <w:b/>
          <w:sz w:val="24"/>
          <w:szCs w:val="24"/>
        </w:rPr>
        <w:t xml:space="preserve"> </w:t>
      </w:r>
      <w:r w:rsidRPr="00B5383F" w:rsidR="007317D1">
        <w:rPr>
          <w:sz w:val="24"/>
          <w:szCs w:val="24"/>
        </w:rPr>
        <w:t xml:space="preserve"> Psychometric analysis will be conducted </w:t>
      </w:r>
      <w:r w:rsidRPr="00B5383F" w:rsidR="002D48E1">
        <w:rPr>
          <w:sz w:val="24"/>
          <w:szCs w:val="24"/>
        </w:rPr>
        <w:t>to</w:t>
      </w:r>
      <w:r w:rsidRPr="00B5383F" w:rsidR="007317D1">
        <w:rPr>
          <w:sz w:val="24"/>
          <w:szCs w:val="24"/>
        </w:rPr>
        <w:t xml:space="preserve"> examine item nonresponse, item response variability, factor structure, reliability, and construct validity of the items. Because the </w:t>
      </w:r>
      <w:r w:rsidRPr="00B5383F" w:rsidR="001E315F">
        <w:rPr>
          <w:sz w:val="24"/>
          <w:szCs w:val="24"/>
        </w:rPr>
        <w:t xml:space="preserve">supplemental </w:t>
      </w:r>
      <w:r w:rsidRPr="00B5383F" w:rsidR="007317D1">
        <w:rPr>
          <w:sz w:val="24"/>
          <w:szCs w:val="24"/>
        </w:rPr>
        <w:t xml:space="preserve">items are being developed to measure specific aspects </w:t>
      </w:r>
      <w:r w:rsidRPr="00B5383F" w:rsidR="002F5DA1">
        <w:rPr>
          <w:sz w:val="24"/>
          <w:szCs w:val="24"/>
        </w:rPr>
        <w:t>or composite</w:t>
      </w:r>
      <w:r w:rsidRPr="00B5383F" w:rsidR="00CE465A">
        <w:rPr>
          <w:sz w:val="24"/>
          <w:szCs w:val="24"/>
        </w:rPr>
        <w:t xml:space="preserve"> measure</w:t>
      </w:r>
      <w:r w:rsidRPr="00B5383F" w:rsidR="002F5DA1">
        <w:rPr>
          <w:sz w:val="24"/>
          <w:szCs w:val="24"/>
        </w:rPr>
        <w:t xml:space="preserve">s </w:t>
      </w:r>
      <w:r w:rsidRPr="00B5383F" w:rsidR="007317D1">
        <w:rPr>
          <w:sz w:val="24"/>
          <w:szCs w:val="24"/>
        </w:rPr>
        <w:t>of culture</w:t>
      </w:r>
      <w:r w:rsidRPr="00B5383F" w:rsidR="00CE465A">
        <w:rPr>
          <w:sz w:val="24"/>
          <w:szCs w:val="24"/>
        </w:rPr>
        <w:t xml:space="preserve"> of </w:t>
      </w:r>
      <w:r w:rsidR="00B74B86">
        <w:rPr>
          <w:sz w:val="24"/>
          <w:szCs w:val="24"/>
        </w:rPr>
        <w:t>workplace</w:t>
      </w:r>
      <w:r w:rsidRPr="00B5383F" w:rsidR="00CE465A">
        <w:rPr>
          <w:sz w:val="24"/>
          <w:szCs w:val="24"/>
        </w:rPr>
        <w:t xml:space="preserve"> safety</w:t>
      </w:r>
      <w:r w:rsidRPr="00B5383F" w:rsidR="007317D1">
        <w:rPr>
          <w:sz w:val="24"/>
          <w:szCs w:val="24"/>
        </w:rPr>
        <w:t xml:space="preserve">, the factor structure of the </w:t>
      </w:r>
      <w:r w:rsidRPr="00B5383F" w:rsidR="001E315F">
        <w:rPr>
          <w:sz w:val="24"/>
          <w:szCs w:val="24"/>
        </w:rPr>
        <w:t xml:space="preserve">supplemental </w:t>
      </w:r>
      <w:r w:rsidRPr="00B5383F" w:rsidR="007317D1">
        <w:rPr>
          <w:sz w:val="24"/>
          <w:szCs w:val="24"/>
        </w:rPr>
        <w:t xml:space="preserve">items will be evaluated through confirmatory factor analysis. On the basis of the data analyses, items or </w:t>
      </w:r>
      <w:r w:rsidRPr="00B5383F" w:rsidR="00581D5C">
        <w:rPr>
          <w:sz w:val="24"/>
          <w:szCs w:val="24"/>
        </w:rPr>
        <w:t>composite</w:t>
      </w:r>
      <w:r w:rsidRPr="00B5383F" w:rsidR="00CE465A">
        <w:rPr>
          <w:sz w:val="24"/>
          <w:szCs w:val="24"/>
        </w:rPr>
        <w:t xml:space="preserve"> measure</w:t>
      </w:r>
      <w:r w:rsidRPr="00B5383F" w:rsidR="00581D5C">
        <w:rPr>
          <w:sz w:val="24"/>
          <w:szCs w:val="24"/>
        </w:rPr>
        <w:t>s may</w:t>
      </w:r>
      <w:r w:rsidRPr="00B5383F" w:rsidR="007317D1">
        <w:rPr>
          <w:sz w:val="24"/>
          <w:szCs w:val="24"/>
        </w:rPr>
        <w:t xml:space="preserve"> be dropped.</w:t>
      </w:r>
    </w:p>
    <w:p w:rsidRPr="00B5383F" w:rsidR="00230BC7" w:rsidP="008C1CF3" w:rsidRDefault="00230BC7" w14:paraId="3405DCAA" w14:textId="77777777">
      <w:pPr>
        <w:rPr>
          <w:b/>
          <w:sz w:val="24"/>
          <w:szCs w:val="24"/>
        </w:rPr>
      </w:pPr>
    </w:p>
    <w:p w:rsidRPr="00B5383F" w:rsidR="008C1CF3" w:rsidP="008C1CF3" w:rsidRDefault="008C1CF3" w14:paraId="5FEF35EF" w14:textId="77777777">
      <w:pPr>
        <w:rPr>
          <w:b/>
          <w:sz w:val="24"/>
          <w:szCs w:val="24"/>
        </w:rPr>
      </w:pPr>
      <w:r w:rsidRPr="00B5383F">
        <w:rPr>
          <w:b/>
          <w:sz w:val="24"/>
          <w:szCs w:val="24"/>
        </w:rPr>
        <w:t>Descriptive Statistics</w:t>
      </w:r>
    </w:p>
    <w:p w:rsidR="008C1CF3" w:rsidP="00006691" w:rsidRDefault="00397D3B" w14:paraId="2CBF8D68" w14:textId="02704F43">
      <w:pPr>
        <w:rPr>
          <w:sz w:val="24"/>
          <w:szCs w:val="24"/>
        </w:rPr>
      </w:pPr>
      <w:r>
        <w:rPr>
          <w:sz w:val="24"/>
          <w:szCs w:val="24"/>
        </w:rPr>
        <w:t xml:space="preserve">We will examine item frequencies </w:t>
      </w:r>
      <w:r w:rsidRPr="00397D3B">
        <w:rPr>
          <w:sz w:val="24"/>
          <w:szCs w:val="24"/>
        </w:rPr>
        <w:t xml:space="preserve">to review response variability and identify items with high percentages of missing data or Does Not Apply/Don’t Know (DNA/DK) responses. Items with little response variability may not be helpful in differentiating higher-scoring from lower-scoring </w:t>
      </w:r>
      <w:r w:rsidR="00AA7B1F">
        <w:rPr>
          <w:sz w:val="24"/>
          <w:szCs w:val="24"/>
        </w:rPr>
        <w:t>nursing homes</w:t>
      </w:r>
      <w:r w:rsidRPr="00397D3B">
        <w:rPr>
          <w:sz w:val="24"/>
          <w:szCs w:val="24"/>
        </w:rPr>
        <w:t xml:space="preserve">. </w:t>
      </w:r>
      <w:r w:rsidR="00237302">
        <w:rPr>
          <w:sz w:val="24"/>
          <w:szCs w:val="24"/>
        </w:rPr>
        <w:t>For example</w:t>
      </w:r>
      <w:r w:rsidRPr="00397D3B">
        <w:rPr>
          <w:sz w:val="24"/>
          <w:szCs w:val="24"/>
        </w:rPr>
        <w:t xml:space="preserve">, any items with more than 90 percent of respondents responding positively (e.g., those answering Strongly agree/Agree or Always/Most) </w:t>
      </w:r>
      <w:r w:rsidR="00237302">
        <w:rPr>
          <w:sz w:val="24"/>
          <w:szCs w:val="24"/>
        </w:rPr>
        <w:t xml:space="preserve">may be </w:t>
      </w:r>
      <w:r w:rsidRPr="00397D3B">
        <w:rPr>
          <w:sz w:val="24"/>
          <w:szCs w:val="24"/>
        </w:rPr>
        <w:t xml:space="preserve">considered to have low variability. </w:t>
      </w:r>
      <w:r w:rsidR="00237302">
        <w:rPr>
          <w:sz w:val="24"/>
          <w:szCs w:val="24"/>
        </w:rPr>
        <w:t>Additionally, i</w:t>
      </w:r>
      <w:r w:rsidRPr="00397D3B">
        <w:rPr>
          <w:sz w:val="24"/>
          <w:szCs w:val="24"/>
        </w:rPr>
        <w:t>f more than 30% of respondents le</w:t>
      </w:r>
      <w:r w:rsidR="00237302">
        <w:rPr>
          <w:sz w:val="24"/>
          <w:szCs w:val="24"/>
        </w:rPr>
        <w:t>ave an item missing or answer</w:t>
      </w:r>
      <w:r w:rsidRPr="00397D3B">
        <w:rPr>
          <w:sz w:val="24"/>
          <w:szCs w:val="24"/>
        </w:rPr>
        <w:t xml:space="preserve"> DNA/DK, the item </w:t>
      </w:r>
      <w:r w:rsidR="00237302">
        <w:rPr>
          <w:sz w:val="24"/>
          <w:szCs w:val="24"/>
        </w:rPr>
        <w:t>may be considered poor</w:t>
      </w:r>
      <w:r w:rsidR="00177BFD">
        <w:rPr>
          <w:sz w:val="24"/>
          <w:szCs w:val="24"/>
        </w:rPr>
        <w:t>ly</w:t>
      </w:r>
      <w:r w:rsidR="00237302">
        <w:rPr>
          <w:sz w:val="24"/>
          <w:szCs w:val="24"/>
        </w:rPr>
        <w:t xml:space="preserve"> functioning,</w:t>
      </w:r>
      <w:r w:rsidRPr="00397D3B">
        <w:rPr>
          <w:sz w:val="24"/>
          <w:szCs w:val="24"/>
        </w:rPr>
        <w:t xml:space="preserve"> </w:t>
      </w:r>
      <w:r w:rsidR="00177BFD">
        <w:rPr>
          <w:sz w:val="24"/>
          <w:szCs w:val="24"/>
        </w:rPr>
        <w:t>as</w:t>
      </w:r>
      <w:r w:rsidRPr="00397D3B">
        <w:rPr>
          <w:sz w:val="24"/>
          <w:szCs w:val="24"/>
        </w:rPr>
        <w:t xml:space="preserve"> it may not be relevant to a large proportion of respondents. </w:t>
      </w:r>
    </w:p>
    <w:p w:rsidRPr="00B5383F" w:rsidR="000B0293" w:rsidP="00006691" w:rsidRDefault="000B0293" w14:paraId="43150BF6" w14:textId="77777777">
      <w:pPr>
        <w:rPr>
          <w:sz w:val="24"/>
          <w:szCs w:val="24"/>
        </w:rPr>
      </w:pPr>
    </w:p>
    <w:p w:rsidRPr="00B5383F" w:rsidR="00006691" w:rsidP="00006691" w:rsidRDefault="008C5B0F" w14:paraId="4BA093F1" w14:textId="2802923F">
      <w:pPr>
        <w:rPr>
          <w:b/>
          <w:sz w:val="24"/>
          <w:szCs w:val="24"/>
        </w:rPr>
      </w:pPr>
      <w:r w:rsidRPr="00B5383F">
        <w:rPr>
          <w:b/>
          <w:sz w:val="24"/>
          <w:szCs w:val="24"/>
        </w:rPr>
        <w:t xml:space="preserve">Confirmatory </w:t>
      </w:r>
      <w:r w:rsidRPr="00B5383F" w:rsidR="00006691">
        <w:rPr>
          <w:b/>
          <w:sz w:val="24"/>
          <w:szCs w:val="24"/>
        </w:rPr>
        <w:t>Factor Analysis</w:t>
      </w:r>
    </w:p>
    <w:p w:rsidRPr="00B5383F" w:rsidR="00DE637E" w:rsidP="00006691" w:rsidRDefault="002F5DA1" w14:paraId="6A585120" w14:textId="6B3A5879">
      <w:pPr>
        <w:rPr>
          <w:sz w:val="24"/>
          <w:szCs w:val="24"/>
        </w:rPr>
      </w:pPr>
      <w:r w:rsidRPr="00B5383F">
        <w:rPr>
          <w:sz w:val="24"/>
          <w:szCs w:val="24"/>
        </w:rPr>
        <w:t>A confirmatory</w:t>
      </w:r>
      <w:r w:rsidRPr="00B5383F" w:rsidR="00006691">
        <w:rPr>
          <w:sz w:val="24"/>
          <w:szCs w:val="24"/>
        </w:rPr>
        <w:t xml:space="preserve"> </w:t>
      </w:r>
      <w:r w:rsidRPr="00B5383F" w:rsidR="008C1CF3">
        <w:rPr>
          <w:sz w:val="24"/>
          <w:szCs w:val="24"/>
        </w:rPr>
        <w:t>factor analysis will be</w:t>
      </w:r>
      <w:r w:rsidRPr="00B5383F" w:rsidR="00006691">
        <w:rPr>
          <w:sz w:val="24"/>
          <w:szCs w:val="24"/>
        </w:rPr>
        <w:t xml:space="preserve"> conducted to initially examine whether groups of items intended to measu</w:t>
      </w:r>
      <w:r w:rsidRPr="00B5383F" w:rsidR="002843A4">
        <w:rPr>
          <w:sz w:val="24"/>
          <w:szCs w:val="24"/>
        </w:rPr>
        <w:t>re a specific composite</w:t>
      </w:r>
      <w:r w:rsidRPr="00B5383F" w:rsidR="00CE465A">
        <w:rPr>
          <w:sz w:val="24"/>
          <w:szCs w:val="24"/>
        </w:rPr>
        <w:t xml:space="preserve"> measure</w:t>
      </w:r>
      <w:r w:rsidRPr="00B5383F" w:rsidR="002843A4">
        <w:rPr>
          <w:sz w:val="24"/>
          <w:szCs w:val="24"/>
        </w:rPr>
        <w:t xml:space="preserve"> a</w:t>
      </w:r>
      <w:r w:rsidRPr="00B5383F" w:rsidR="00006691">
        <w:rPr>
          <w:sz w:val="24"/>
          <w:szCs w:val="24"/>
        </w:rPr>
        <w:t xml:space="preserve">re interrelated, ignoring the nesting of </w:t>
      </w:r>
      <w:r w:rsidRPr="00B5383F" w:rsidR="00DE637E">
        <w:rPr>
          <w:sz w:val="24"/>
          <w:szCs w:val="24"/>
        </w:rPr>
        <w:t xml:space="preserve">respondent </w:t>
      </w:r>
      <w:r w:rsidRPr="00B5383F" w:rsidR="00006691">
        <w:rPr>
          <w:sz w:val="24"/>
          <w:szCs w:val="24"/>
        </w:rPr>
        <w:t xml:space="preserve">data within </w:t>
      </w:r>
      <w:r w:rsidR="00AA7B1F">
        <w:rPr>
          <w:sz w:val="24"/>
          <w:szCs w:val="24"/>
        </w:rPr>
        <w:t>nursing homes</w:t>
      </w:r>
      <w:r w:rsidRPr="00B5383F" w:rsidR="00006691">
        <w:rPr>
          <w:sz w:val="24"/>
          <w:szCs w:val="24"/>
        </w:rPr>
        <w:t xml:space="preserve">. </w:t>
      </w:r>
      <w:r w:rsidRPr="00B5383F" w:rsidR="002843A4">
        <w:rPr>
          <w:sz w:val="24"/>
          <w:szCs w:val="24"/>
        </w:rPr>
        <w:t>F</w:t>
      </w:r>
      <w:r w:rsidRPr="00B5383F" w:rsidR="00006691">
        <w:rPr>
          <w:sz w:val="24"/>
          <w:szCs w:val="24"/>
        </w:rPr>
        <w:t>act</w:t>
      </w:r>
      <w:r w:rsidRPr="00B5383F" w:rsidR="002843A4">
        <w:rPr>
          <w:sz w:val="24"/>
          <w:szCs w:val="24"/>
        </w:rPr>
        <w:t xml:space="preserve">or loadings for each item in </w:t>
      </w:r>
      <w:r w:rsidRPr="007C54AA" w:rsidR="002843A4">
        <w:rPr>
          <w:sz w:val="24"/>
          <w:szCs w:val="24"/>
        </w:rPr>
        <w:t>an</w:t>
      </w:r>
      <w:r w:rsidRPr="007C54AA" w:rsidR="00006691">
        <w:rPr>
          <w:sz w:val="24"/>
          <w:szCs w:val="24"/>
        </w:rPr>
        <w:t xml:space="preserve"> </w:t>
      </w:r>
      <w:r w:rsidRPr="007C54AA" w:rsidR="002843A4">
        <w:rPr>
          <w:sz w:val="24"/>
          <w:szCs w:val="24"/>
        </w:rPr>
        <w:t>a</w:t>
      </w:r>
      <w:r w:rsidRPr="007C54AA">
        <w:rPr>
          <w:sz w:val="24"/>
          <w:szCs w:val="24"/>
        </w:rPr>
        <w:t xml:space="preserve"> </w:t>
      </w:r>
      <w:r w:rsidRPr="007C54AA" w:rsidR="002843A4">
        <w:rPr>
          <w:sz w:val="24"/>
          <w:szCs w:val="24"/>
        </w:rPr>
        <w:t xml:space="preserve">priori </w:t>
      </w:r>
      <w:r w:rsidRPr="007C54AA" w:rsidR="00006691">
        <w:rPr>
          <w:sz w:val="24"/>
          <w:szCs w:val="24"/>
        </w:rPr>
        <w:t>composite</w:t>
      </w:r>
      <w:r w:rsidRPr="00B5383F" w:rsidR="002843A4">
        <w:rPr>
          <w:sz w:val="24"/>
          <w:szCs w:val="24"/>
        </w:rPr>
        <w:t xml:space="preserve"> </w:t>
      </w:r>
      <w:r w:rsidRPr="00B5383F" w:rsidR="00CE465A">
        <w:rPr>
          <w:sz w:val="24"/>
          <w:szCs w:val="24"/>
        </w:rPr>
        <w:t xml:space="preserve">measure </w:t>
      </w:r>
      <w:r w:rsidRPr="00B5383F" w:rsidR="002843A4">
        <w:rPr>
          <w:sz w:val="24"/>
          <w:szCs w:val="24"/>
        </w:rPr>
        <w:t xml:space="preserve">will be </w:t>
      </w:r>
      <w:r w:rsidRPr="00B5383F" w:rsidR="00006691">
        <w:rPr>
          <w:sz w:val="24"/>
          <w:szCs w:val="24"/>
        </w:rPr>
        <w:t xml:space="preserve">considered as having an adequate contribution to a </w:t>
      </w:r>
      <w:r w:rsidRPr="00B5383F" w:rsidR="00DE637E">
        <w:rPr>
          <w:sz w:val="24"/>
          <w:szCs w:val="24"/>
        </w:rPr>
        <w:t xml:space="preserve">particular composite </w:t>
      </w:r>
      <w:r w:rsidRPr="00B5383F" w:rsidR="00CE465A">
        <w:rPr>
          <w:sz w:val="24"/>
          <w:szCs w:val="24"/>
        </w:rPr>
        <w:t xml:space="preserve">measure </w:t>
      </w:r>
      <w:r w:rsidRPr="00B5383F" w:rsidR="00DE637E">
        <w:rPr>
          <w:sz w:val="24"/>
          <w:szCs w:val="24"/>
        </w:rPr>
        <w:t xml:space="preserve">or factor if </w:t>
      </w:r>
      <w:r w:rsidRPr="00B5383F" w:rsidR="00006691">
        <w:rPr>
          <w:sz w:val="24"/>
          <w:szCs w:val="24"/>
        </w:rPr>
        <w:t xml:space="preserve">the strength of the item's relationship to that factor (i.e., its factor loading), </w:t>
      </w:r>
      <w:r w:rsidRPr="00B5383F" w:rsidR="00DE637E">
        <w:rPr>
          <w:sz w:val="24"/>
          <w:szCs w:val="24"/>
        </w:rPr>
        <w:t>is</w:t>
      </w:r>
      <w:r w:rsidRPr="00B5383F" w:rsidR="00006691">
        <w:rPr>
          <w:sz w:val="24"/>
          <w:szCs w:val="24"/>
        </w:rPr>
        <w:t xml:space="preserve"> </w:t>
      </w:r>
      <w:r w:rsidRPr="00B5383F" w:rsidR="00581D5C">
        <w:rPr>
          <w:sz w:val="24"/>
          <w:szCs w:val="24"/>
        </w:rPr>
        <w:t>0</w:t>
      </w:r>
      <w:r w:rsidRPr="00B5383F" w:rsidR="00006691">
        <w:rPr>
          <w:sz w:val="24"/>
          <w:szCs w:val="24"/>
        </w:rPr>
        <w:t>.40 or greater.</w:t>
      </w:r>
      <w:r w:rsidRPr="00B5383F" w:rsidR="007317D1">
        <w:rPr>
          <w:sz w:val="24"/>
          <w:szCs w:val="24"/>
        </w:rPr>
        <w:t xml:space="preserve"> </w:t>
      </w:r>
    </w:p>
    <w:p w:rsidRPr="00B5383F" w:rsidR="00566CFD" w:rsidP="007B5E7A" w:rsidRDefault="00566CFD" w14:paraId="592D2AE4" w14:textId="77777777">
      <w:pPr>
        <w:rPr>
          <w:sz w:val="24"/>
          <w:szCs w:val="24"/>
        </w:rPr>
      </w:pPr>
    </w:p>
    <w:p w:rsidRPr="00B5383F" w:rsidR="007B5E7A" w:rsidP="007B5E7A" w:rsidRDefault="007B5E7A" w14:paraId="34D346BE" w14:textId="1C88771B">
      <w:pPr>
        <w:rPr>
          <w:sz w:val="24"/>
          <w:szCs w:val="24"/>
        </w:rPr>
      </w:pPr>
      <w:r w:rsidRPr="00B5383F">
        <w:rPr>
          <w:sz w:val="24"/>
          <w:szCs w:val="24"/>
        </w:rPr>
        <w:t xml:space="preserve">We will also examine overall model fit indices using standard fit statistics: the chi-square, comparative fit index (CFI), and the standardized root mean square residual (SRMR). For chi-square statistics, lower and non-significant chi-squares indicate good fit. The factor structure is determined to adequately fit the data if the CFI is at least </w:t>
      </w:r>
      <w:r w:rsidRPr="00B5383F" w:rsidR="00581D5C">
        <w:rPr>
          <w:sz w:val="24"/>
          <w:szCs w:val="24"/>
        </w:rPr>
        <w:t>0</w:t>
      </w:r>
      <w:r w:rsidRPr="00B5383F">
        <w:rPr>
          <w:sz w:val="24"/>
          <w:szCs w:val="24"/>
        </w:rPr>
        <w:t xml:space="preserve">.90. A value of zero for the SRMR indicates perfect fit, but a value less than </w:t>
      </w:r>
      <w:r w:rsidRPr="00B5383F" w:rsidR="00581D5C">
        <w:rPr>
          <w:sz w:val="24"/>
          <w:szCs w:val="24"/>
        </w:rPr>
        <w:t>0</w:t>
      </w:r>
      <w:r w:rsidRPr="00B5383F">
        <w:rPr>
          <w:sz w:val="24"/>
          <w:szCs w:val="24"/>
        </w:rPr>
        <w:t>.08 is considered a good fit.</w:t>
      </w:r>
    </w:p>
    <w:p w:rsidRPr="00B5383F" w:rsidR="002F5DA1" w:rsidP="00006691" w:rsidRDefault="002F5DA1" w14:paraId="284DBFAA" w14:textId="77777777">
      <w:pPr>
        <w:rPr>
          <w:sz w:val="24"/>
          <w:szCs w:val="24"/>
        </w:rPr>
      </w:pPr>
    </w:p>
    <w:p w:rsidRPr="00B5383F" w:rsidR="00C5758A" w:rsidP="000C0309" w:rsidRDefault="00C42656" w14:paraId="4B67A5F1" w14:textId="54180305">
      <w:pPr>
        <w:rPr>
          <w:b/>
          <w:sz w:val="24"/>
          <w:szCs w:val="24"/>
        </w:rPr>
      </w:pPr>
      <w:r>
        <w:rPr>
          <w:b/>
          <w:sz w:val="24"/>
          <w:szCs w:val="24"/>
        </w:rPr>
        <w:t>Site</w:t>
      </w:r>
      <w:r w:rsidR="00C5758A">
        <w:rPr>
          <w:b/>
          <w:sz w:val="24"/>
          <w:szCs w:val="24"/>
        </w:rPr>
        <w:t>-level</w:t>
      </w:r>
      <w:r>
        <w:rPr>
          <w:b/>
          <w:sz w:val="24"/>
          <w:szCs w:val="24"/>
        </w:rPr>
        <w:t xml:space="preserve"> Reliability </w:t>
      </w:r>
    </w:p>
    <w:p w:rsidRPr="00B5383F" w:rsidR="000C0309" w:rsidP="000C0309" w:rsidRDefault="00C5758A" w14:paraId="287A3839" w14:textId="0C571128">
      <w:pPr>
        <w:rPr>
          <w:sz w:val="24"/>
          <w:szCs w:val="24"/>
        </w:rPr>
      </w:pPr>
      <w:r w:rsidRPr="00C5758A">
        <w:rPr>
          <w:sz w:val="24"/>
          <w:szCs w:val="24"/>
        </w:rPr>
        <w:t xml:space="preserve">To examine the variability of item scores within </w:t>
      </w:r>
      <w:r>
        <w:rPr>
          <w:sz w:val="24"/>
          <w:szCs w:val="24"/>
        </w:rPr>
        <w:t>nursing homes</w:t>
      </w:r>
      <w:r w:rsidRPr="00C5758A">
        <w:rPr>
          <w:sz w:val="24"/>
          <w:szCs w:val="24"/>
        </w:rPr>
        <w:t xml:space="preserve"> compared to between </w:t>
      </w:r>
      <w:r>
        <w:rPr>
          <w:sz w:val="24"/>
          <w:szCs w:val="24"/>
        </w:rPr>
        <w:t>nursing homes</w:t>
      </w:r>
      <w:r w:rsidRPr="00C5758A">
        <w:rPr>
          <w:sz w:val="24"/>
          <w:szCs w:val="24"/>
        </w:rPr>
        <w:t xml:space="preserve"> we </w:t>
      </w:r>
      <w:r>
        <w:rPr>
          <w:sz w:val="24"/>
          <w:szCs w:val="24"/>
        </w:rPr>
        <w:t>will compute</w:t>
      </w:r>
      <w:r w:rsidRPr="00C5758A">
        <w:rPr>
          <w:sz w:val="24"/>
          <w:szCs w:val="24"/>
        </w:rPr>
        <w:t xml:space="preserve"> site-level reliability. Site-level reliability </w:t>
      </w:r>
      <w:r w:rsidRPr="00C5758A">
        <w:rPr>
          <w:sz w:val="24"/>
          <w:szCs w:val="24"/>
          <w:lang w:val="en"/>
        </w:rPr>
        <w:t xml:space="preserve">indicates the extent to which responses given by staff within the same </w:t>
      </w:r>
      <w:r>
        <w:rPr>
          <w:sz w:val="24"/>
          <w:szCs w:val="24"/>
          <w:lang w:val="en"/>
        </w:rPr>
        <w:t>nursing home</w:t>
      </w:r>
      <w:r w:rsidRPr="00C5758A">
        <w:rPr>
          <w:sz w:val="24"/>
          <w:szCs w:val="24"/>
          <w:lang w:val="en"/>
        </w:rPr>
        <w:t xml:space="preserve"> are more similar to each other than they are to responses given by </w:t>
      </w:r>
      <w:r>
        <w:rPr>
          <w:sz w:val="24"/>
          <w:szCs w:val="24"/>
          <w:lang w:val="en"/>
        </w:rPr>
        <w:t xml:space="preserve">staff from </w:t>
      </w:r>
      <w:r w:rsidRPr="00C5758A">
        <w:rPr>
          <w:sz w:val="24"/>
          <w:szCs w:val="24"/>
          <w:lang w:val="en"/>
        </w:rPr>
        <w:t xml:space="preserve">other </w:t>
      </w:r>
      <w:r>
        <w:rPr>
          <w:sz w:val="24"/>
          <w:szCs w:val="24"/>
          <w:lang w:val="en"/>
        </w:rPr>
        <w:t>nursing homes</w:t>
      </w:r>
      <w:r w:rsidRPr="00C5758A">
        <w:rPr>
          <w:sz w:val="24"/>
          <w:szCs w:val="24"/>
          <w:lang w:val="en"/>
        </w:rPr>
        <w:t>. In other words, site-level reliab</w:t>
      </w:r>
      <w:r>
        <w:rPr>
          <w:sz w:val="24"/>
          <w:szCs w:val="24"/>
          <w:lang w:val="en"/>
        </w:rPr>
        <w:t>ility helps to assess how well survey</w:t>
      </w:r>
      <w:r w:rsidRPr="00C5758A">
        <w:rPr>
          <w:sz w:val="24"/>
          <w:szCs w:val="24"/>
          <w:lang w:val="en"/>
        </w:rPr>
        <w:t xml:space="preserve"> measure</w:t>
      </w:r>
      <w:r>
        <w:rPr>
          <w:sz w:val="24"/>
          <w:szCs w:val="24"/>
          <w:lang w:val="en"/>
        </w:rPr>
        <w:t>s differentiate</w:t>
      </w:r>
      <w:r w:rsidRPr="00C5758A">
        <w:rPr>
          <w:sz w:val="24"/>
          <w:szCs w:val="24"/>
          <w:lang w:val="en"/>
        </w:rPr>
        <w:t xml:space="preserve"> </w:t>
      </w:r>
      <w:r>
        <w:rPr>
          <w:sz w:val="24"/>
          <w:szCs w:val="24"/>
          <w:lang w:val="en"/>
        </w:rPr>
        <w:t>nursing homes</w:t>
      </w:r>
      <w:r w:rsidRPr="00C5758A">
        <w:rPr>
          <w:sz w:val="24"/>
          <w:szCs w:val="24"/>
          <w:lang w:val="en"/>
        </w:rPr>
        <w:t xml:space="preserve">. It does so by comparing </w:t>
      </w:r>
      <w:r w:rsidRPr="00C5758A">
        <w:rPr>
          <w:sz w:val="24"/>
          <w:szCs w:val="24"/>
        </w:rPr>
        <w:t xml:space="preserve">between-site variability to within-site variability of </w:t>
      </w:r>
      <w:r>
        <w:rPr>
          <w:sz w:val="24"/>
          <w:szCs w:val="24"/>
        </w:rPr>
        <w:t xml:space="preserve">survey </w:t>
      </w:r>
      <w:r w:rsidRPr="00C5758A">
        <w:rPr>
          <w:sz w:val="24"/>
          <w:szCs w:val="24"/>
        </w:rPr>
        <w:t>items.</w:t>
      </w:r>
      <w:r>
        <w:rPr>
          <w:sz w:val="24"/>
          <w:szCs w:val="24"/>
        </w:rPr>
        <w:t xml:space="preserve"> V</w:t>
      </w:r>
      <w:r w:rsidRPr="007E2F13">
        <w:rPr>
          <w:sz w:val="24"/>
          <w:szCs w:val="24"/>
        </w:rPr>
        <w:t>alues of 0.70 or higher are considered acceptable for site-level reliability</w:t>
      </w:r>
      <w:r>
        <w:rPr>
          <w:sz w:val="24"/>
          <w:szCs w:val="24"/>
        </w:rPr>
        <w:t>.</w:t>
      </w:r>
    </w:p>
    <w:p w:rsidRPr="00FA7DB0" w:rsidR="007075CF" w:rsidP="000C0309" w:rsidRDefault="007075CF" w14:paraId="302A83C8" w14:textId="77777777">
      <w:pPr>
        <w:rPr>
          <w:sz w:val="24"/>
          <w:szCs w:val="24"/>
          <w:highlight w:val="yellow"/>
        </w:rPr>
      </w:pPr>
    </w:p>
    <w:p w:rsidRPr="00B5383F" w:rsidR="00006691" w:rsidP="00006691" w:rsidRDefault="0066640A" w14:paraId="50D81808" w14:textId="2231D89D">
      <w:pPr>
        <w:rPr>
          <w:b/>
          <w:sz w:val="24"/>
          <w:szCs w:val="24"/>
        </w:rPr>
      </w:pPr>
      <w:r>
        <w:rPr>
          <w:b/>
          <w:sz w:val="24"/>
          <w:szCs w:val="24"/>
        </w:rPr>
        <w:lastRenderedPageBreak/>
        <w:t xml:space="preserve">Internal Consistency </w:t>
      </w:r>
      <w:r w:rsidRPr="00B5383F" w:rsidR="00006691">
        <w:rPr>
          <w:b/>
          <w:sz w:val="24"/>
          <w:szCs w:val="24"/>
        </w:rPr>
        <w:t xml:space="preserve">Reliability </w:t>
      </w:r>
    </w:p>
    <w:p w:rsidRPr="00B5383F" w:rsidR="00006691" w:rsidP="00006691" w:rsidRDefault="000C0309" w14:paraId="0D1EC486" w14:textId="35AC370F">
      <w:pPr>
        <w:rPr>
          <w:sz w:val="24"/>
          <w:szCs w:val="24"/>
        </w:rPr>
      </w:pPr>
      <w:r w:rsidRPr="00B5383F">
        <w:rPr>
          <w:sz w:val="24"/>
          <w:szCs w:val="24"/>
        </w:rPr>
        <w:t>Reliability analyses will</w:t>
      </w:r>
      <w:r w:rsidRPr="00B5383F" w:rsidR="00006691">
        <w:rPr>
          <w:sz w:val="24"/>
          <w:szCs w:val="24"/>
        </w:rPr>
        <w:t xml:space="preserve"> then</w:t>
      </w:r>
      <w:r w:rsidRPr="00B5383F">
        <w:rPr>
          <w:sz w:val="24"/>
          <w:szCs w:val="24"/>
        </w:rPr>
        <w:t xml:space="preserve"> be</w:t>
      </w:r>
      <w:r w:rsidRPr="00B5383F" w:rsidR="00006691">
        <w:rPr>
          <w:sz w:val="24"/>
          <w:szCs w:val="24"/>
        </w:rPr>
        <w:t xml:space="preserve"> performed on the composite</w:t>
      </w:r>
      <w:r w:rsidRPr="00B5383F" w:rsidR="00CE465A">
        <w:rPr>
          <w:sz w:val="24"/>
          <w:szCs w:val="24"/>
        </w:rPr>
        <w:t xml:space="preserve"> measure</w:t>
      </w:r>
      <w:r w:rsidRPr="00B5383F" w:rsidR="00006691">
        <w:rPr>
          <w:sz w:val="24"/>
          <w:szCs w:val="24"/>
        </w:rPr>
        <w:t xml:space="preserve">s to </w:t>
      </w:r>
      <w:r w:rsidRPr="00B5383F">
        <w:rPr>
          <w:sz w:val="24"/>
          <w:szCs w:val="24"/>
        </w:rPr>
        <w:t>examine whether</w:t>
      </w:r>
      <w:r w:rsidRPr="00B5383F" w:rsidR="00006691">
        <w:rPr>
          <w:sz w:val="24"/>
          <w:szCs w:val="24"/>
        </w:rPr>
        <w:t xml:space="preserve"> individuals </w:t>
      </w:r>
      <w:r w:rsidRPr="00B5383F">
        <w:rPr>
          <w:sz w:val="24"/>
          <w:szCs w:val="24"/>
        </w:rPr>
        <w:t>responded</w:t>
      </w:r>
      <w:r w:rsidRPr="00B5383F" w:rsidR="00006691">
        <w:rPr>
          <w:sz w:val="24"/>
          <w:szCs w:val="24"/>
        </w:rPr>
        <w:t xml:space="preserve"> consistently to the items within each composite</w:t>
      </w:r>
      <w:r w:rsidRPr="00B5383F" w:rsidR="00CE465A">
        <w:rPr>
          <w:sz w:val="24"/>
          <w:szCs w:val="24"/>
        </w:rPr>
        <w:t xml:space="preserve"> measure</w:t>
      </w:r>
      <w:r w:rsidRPr="00B5383F" w:rsidR="00006691">
        <w:rPr>
          <w:sz w:val="24"/>
          <w:szCs w:val="24"/>
        </w:rPr>
        <w:t xml:space="preserve">. Internal consistency reliability </w:t>
      </w:r>
      <w:r w:rsidRPr="00B5383F">
        <w:rPr>
          <w:sz w:val="24"/>
          <w:szCs w:val="24"/>
        </w:rPr>
        <w:t xml:space="preserve">will be </w:t>
      </w:r>
      <w:r w:rsidRPr="00B5383F" w:rsidR="00006691">
        <w:rPr>
          <w:sz w:val="24"/>
          <w:szCs w:val="24"/>
        </w:rPr>
        <w:t>calculat</w:t>
      </w:r>
      <w:r w:rsidRPr="00B5383F">
        <w:rPr>
          <w:sz w:val="24"/>
          <w:szCs w:val="24"/>
        </w:rPr>
        <w:t>ed using</w:t>
      </w:r>
      <w:r w:rsidRPr="00B5383F" w:rsidR="00006691">
        <w:rPr>
          <w:sz w:val="24"/>
          <w:szCs w:val="24"/>
        </w:rPr>
        <w:t xml:space="preserve"> Cronbach's alpha. The minimum criterion for acceptable reliability is an alpha of at least </w:t>
      </w:r>
      <w:r w:rsidRPr="00B5383F" w:rsidR="007B5E7A">
        <w:rPr>
          <w:sz w:val="24"/>
          <w:szCs w:val="24"/>
        </w:rPr>
        <w:t>0</w:t>
      </w:r>
      <w:r w:rsidRPr="00B5383F" w:rsidR="00006691">
        <w:rPr>
          <w:sz w:val="24"/>
          <w:szCs w:val="24"/>
        </w:rPr>
        <w:t>.70.</w:t>
      </w:r>
    </w:p>
    <w:p w:rsidRPr="00B5383F" w:rsidR="00AF3AE3" w:rsidP="00006691" w:rsidRDefault="00AF3AE3" w14:paraId="70660572" w14:textId="77777777">
      <w:pPr>
        <w:rPr>
          <w:sz w:val="24"/>
          <w:szCs w:val="24"/>
        </w:rPr>
      </w:pPr>
    </w:p>
    <w:p w:rsidRPr="00B5383F" w:rsidR="00006691" w:rsidP="00006691" w:rsidRDefault="00006691" w14:paraId="14EBCC2B" w14:textId="77777777">
      <w:pPr>
        <w:rPr>
          <w:b/>
          <w:sz w:val="24"/>
          <w:szCs w:val="24"/>
        </w:rPr>
      </w:pPr>
      <w:r w:rsidRPr="00B5383F">
        <w:rPr>
          <w:b/>
          <w:sz w:val="24"/>
          <w:szCs w:val="24"/>
        </w:rPr>
        <w:t>Intercorrelations</w:t>
      </w:r>
    </w:p>
    <w:p w:rsidRPr="00B5383F" w:rsidR="00006691" w:rsidP="00006691" w:rsidRDefault="00006691" w14:paraId="35045AE0" w14:textId="77281C43">
      <w:pPr>
        <w:rPr>
          <w:sz w:val="24"/>
          <w:szCs w:val="24"/>
        </w:rPr>
      </w:pPr>
      <w:r w:rsidRPr="00B5383F">
        <w:rPr>
          <w:sz w:val="24"/>
          <w:szCs w:val="24"/>
        </w:rPr>
        <w:t xml:space="preserve">Intercorrelations among the </w:t>
      </w:r>
      <w:r w:rsidRPr="00B5383F" w:rsidR="001E315F">
        <w:rPr>
          <w:sz w:val="24"/>
          <w:szCs w:val="24"/>
        </w:rPr>
        <w:t xml:space="preserve">supplemental item set’s </w:t>
      </w:r>
      <w:r w:rsidRPr="00B5383F">
        <w:rPr>
          <w:sz w:val="24"/>
          <w:szCs w:val="24"/>
        </w:rPr>
        <w:t>composite</w:t>
      </w:r>
      <w:r w:rsidRPr="00B5383F" w:rsidR="00CE465A">
        <w:rPr>
          <w:sz w:val="24"/>
          <w:szCs w:val="24"/>
        </w:rPr>
        <w:t xml:space="preserve"> measure</w:t>
      </w:r>
      <w:r w:rsidRPr="00B5383F">
        <w:rPr>
          <w:sz w:val="24"/>
          <w:szCs w:val="24"/>
        </w:rPr>
        <w:t>s</w:t>
      </w:r>
      <w:r w:rsidRPr="00B5383F" w:rsidR="001E315F">
        <w:rPr>
          <w:sz w:val="24"/>
          <w:szCs w:val="24"/>
        </w:rPr>
        <w:t xml:space="preserve"> </w:t>
      </w:r>
      <w:r w:rsidRPr="00B5383F">
        <w:rPr>
          <w:sz w:val="24"/>
          <w:szCs w:val="24"/>
        </w:rPr>
        <w:t>w</w:t>
      </w:r>
      <w:r w:rsidRPr="00B5383F" w:rsidR="00F77DAD">
        <w:rPr>
          <w:sz w:val="24"/>
          <w:szCs w:val="24"/>
        </w:rPr>
        <w:t>ill</w:t>
      </w:r>
      <w:r w:rsidRPr="00B5383F">
        <w:rPr>
          <w:sz w:val="24"/>
          <w:szCs w:val="24"/>
        </w:rPr>
        <w:t xml:space="preserve"> also </w:t>
      </w:r>
      <w:r w:rsidRPr="00B5383F" w:rsidR="00A73B58">
        <w:rPr>
          <w:sz w:val="24"/>
          <w:szCs w:val="24"/>
        </w:rPr>
        <w:t xml:space="preserve">be </w:t>
      </w:r>
      <w:r w:rsidRPr="00B5383F">
        <w:rPr>
          <w:sz w:val="24"/>
          <w:szCs w:val="24"/>
        </w:rPr>
        <w:t>examined. Intercorrelations w</w:t>
      </w:r>
      <w:r w:rsidRPr="00B5383F" w:rsidR="00F77DAD">
        <w:rPr>
          <w:sz w:val="24"/>
          <w:szCs w:val="24"/>
        </w:rPr>
        <w:t xml:space="preserve">ill be </w:t>
      </w:r>
      <w:r w:rsidRPr="00B5383F">
        <w:rPr>
          <w:sz w:val="24"/>
          <w:szCs w:val="24"/>
        </w:rPr>
        <w:t xml:space="preserve">explored at </w:t>
      </w:r>
      <w:r w:rsidRPr="00B5383F" w:rsidR="00F77DAD">
        <w:rPr>
          <w:sz w:val="24"/>
          <w:szCs w:val="24"/>
        </w:rPr>
        <w:t>the</w:t>
      </w:r>
      <w:r w:rsidRPr="00B5383F">
        <w:rPr>
          <w:sz w:val="24"/>
          <w:szCs w:val="24"/>
        </w:rPr>
        <w:t xml:space="preserve"> </w:t>
      </w:r>
      <w:r w:rsidR="000A2391">
        <w:rPr>
          <w:sz w:val="24"/>
          <w:szCs w:val="24"/>
        </w:rPr>
        <w:t>nursing home</w:t>
      </w:r>
      <w:r w:rsidRPr="00B5383F" w:rsidR="0020113B">
        <w:rPr>
          <w:sz w:val="24"/>
          <w:szCs w:val="24"/>
        </w:rPr>
        <w:t xml:space="preserve"> </w:t>
      </w:r>
      <w:r w:rsidRPr="00B5383F" w:rsidR="00F77DAD">
        <w:rPr>
          <w:sz w:val="24"/>
          <w:szCs w:val="24"/>
        </w:rPr>
        <w:t>level of analysis</w:t>
      </w:r>
      <w:r w:rsidRPr="00B5383F">
        <w:rPr>
          <w:sz w:val="24"/>
          <w:szCs w:val="24"/>
        </w:rPr>
        <w:t xml:space="preserve">. </w:t>
      </w:r>
      <w:r w:rsidRPr="00237302" w:rsidR="00237302">
        <w:rPr>
          <w:sz w:val="24"/>
          <w:szCs w:val="24"/>
        </w:rPr>
        <w:t xml:space="preserve">The </w:t>
      </w:r>
      <w:r w:rsidR="00237302">
        <w:rPr>
          <w:sz w:val="24"/>
          <w:szCs w:val="24"/>
        </w:rPr>
        <w:t>survey</w:t>
      </w:r>
      <w:r w:rsidRPr="00237302" w:rsidR="00237302">
        <w:rPr>
          <w:sz w:val="24"/>
          <w:szCs w:val="24"/>
        </w:rPr>
        <w:t xml:space="preserve"> measures should be intercorrelated, as they are designed to assess aspects of culture focusing on workplace safety. Moderate to moderately high correlations typically indicate a correspondence or convergence among similar concepts.</w:t>
      </w:r>
    </w:p>
    <w:p w:rsidRPr="00B5383F" w:rsidR="00F77DAD" w:rsidP="00006691" w:rsidRDefault="00F77DAD" w14:paraId="031F0145" w14:textId="77777777">
      <w:pPr>
        <w:rPr>
          <w:sz w:val="24"/>
          <w:szCs w:val="24"/>
        </w:rPr>
      </w:pPr>
    </w:p>
    <w:p w:rsidRPr="00B5383F" w:rsidR="00230BC7" w:rsidP="00230BC7" w:rsidRDefault="00230BC7" w14:paraId="578068E4" w14:textId="586FA0A7">
      <w:pPr>
        <w:rPr>
          <w:sz w:val="24"/>
          <w:szCs w:val="24"/>
        </w:rPr>
      </w:pPr>
      <w:r w:rsidRPr="00B5383F">
        <w:rPr>
          <w:sz w:val="24"/>
          <w:szCs w:val="24"/>
        </w:rPr>
        <w:t>The above analyses will be used to determine which</w:t>
      </w:r>
      <w:r w:rsidRPr="00B5383F" w:rsidR="00E04CE7">
        <w:rPr>
          <w:sz w:val="24"/>
          <w:szCs w:val="24"/>
        </w:rPr>
        <w:t>, if any,</w:t>
      </w:r>
      <w:r w:rsidRPr="00B5383F">
        <w:rPr>
          <w:sz w:val="24"/>
          <w:szCs w:val="24"/>
        </w:rPr>
        <w:t xml:space="preserve"> items and composite</w:t>
      </w:r>
      <w:r w:rsidRPr="00B5383F" w:rsidR="00CE465A">
        <w:rPr>
          <w:sz w:val="24"/>
          <w:szCs w:val="24"/>
        </w:rPr>
        <w:t xml:space="preserve"> measure</w:t>
      </w:r>
      <w:r w:rsidRPr="00B5383F">
        <w:rPr>
          <w:sz w:val="24"/>
          <w:szCs w:val="24"/>
        </w:rPr>
        <w:t xml:space="preserve">s are functioning </w:t>
      </w:r>
      <w:r w:rsidRPr="00B5383F" w:rsidR="00A73B58">
        <w:rPr>
          <w:sz w:val="24"/>
          <w:szCs w:val="24"/>
        </w:rPr>
        <w:t xml:space="preserve">poorly </w:t>
      </w:r>
      <w:r w:rsidRPr="00B5383F">
        <w:rPr>
          <w:sz w:val="24"/>
          <w:szCs w:val="24"/>
        </w:rPr>
        <w:t>and remove them from the survey to derive a final set of items and composite</w:t>
      </w:r>
      <w:r w:rsidRPr="00B5383F" w:rsidR="00CE465A">
        <w:rPr>
          <w:sz w:val="24"/>
          <w:szCs w:val="24"/>
        </w:rPr>
        <w:t xml:space="preserve"> measure</w:t>
      </w:r>
      <w:r w:rsidRPr="00B5383F">
        <w:rPr>
          <w:sz w:val="24"/>
          <w:szCs w:val="24"/>
        </w:rPr>
        <w:t xml:space="preserve">s with good psychometric properties and reduce the overall length of the final </w:t>
      </w:r>
      <w:r w:rsidRPr="00B5383F" w:rsidR="001E315F">
        <w:rPr>
          <w:sz w:val="24"/>
          <w:szCs w:val="24"/>
        </w:rPr>
        <w:t>supplemental item set</w:t>
      </w:r>
      <w:r w:rsidRPr="00B5383F">
        <w:rPr>
          <w:sz w:val="24"/>
          <w:szCs w:val="24"/>
        </w:rPr>
        <w:t xml:space="preserve">. The Technical Expert Panel </w:t>
      </w:r>
      <w:r w:rsidR="008E554C">
        <w:rPr>
          <w:sz w:val="24"/>
          <w:szCs w:val="24"/>
        </w:rPr>
        <w:t xml:space="preserve">and subject matter experts </w:t>
      </w:r>
      <w:r w:rsidRPr="00B5383F">
        <w:rPr>
          <w:sz w:val="24"/>
          <w:szCs w:val="24"/>
        </w:rPr>
        <w:t>will be informed of the data analysis results and</w:t>
      </w:r>
      <w:r w:rsidRPr="00B5383F" w:rsidR="00581D5C">
        <w:rPr>
          <w:sz w:val="24"/>
          <w:szCs w:val="24"/>
        </w:rPr>
        <w:t xml:space="preserve"> asked</w:t>
      </w:r>
      <w:r w:rsidRPr="00B5383F">
        <w:rPr>
          <w:sz w:val="24"/>
          <w:szCs w:val="24"/>
        </w:rPr>
        <w:t xml:space="preserve"> </w:t>
      </w:r>
      <w:r w:rsidRPr="00B5383F" w:rsidR="00581D5C">
        <w:rPr>
          <w:sz w:val="24"/>
          <w:szCs w:val="24"/>
        </w:rPr>
        <w:t xml:space="preserve">to advise </w:t>
      </w:r>
      <w:r w:rsidRPr="00B5383F" w:rsidR="00FD5860">
        <w:rPr>
          <w:sz w:val="24"/>
          <w:szCs w:val="24"/>
        </w:rPr>
        <w:t xml:space="preserve">Westat </w:t>
      </w:r>
      <w:r w:rsidRPr="00B5383F" w:rsidR="00581D5C">
        <w:rPr>
          <w:sz w:val="24"/>
          <w:szCs w:val="24"/>
        </w:rPr>
        <w:t xml:space="preserve">on </w:t>
      </w:r>
      <w:r w:rsidRPr="00B5383F">
        <w:rPr>
          <w:sz w:val="24"/>
          <w:szCs w:val="24"/>
        </w:rPr>
        <w:t xml:space="preserve">which items to retain or drop </w:t>
      </w:r>
      <w:r w:rsidRPr="00B5383F" w:rsidR="00581D5C">
        <w:rPr>
          <w:sz w:val="24"/>
          <w:szCs w:val="24"/>
        </w:rPr>
        <w:t>(</w:t>
      </w:r>
      <w:r w:rsidRPr="00B5383F">
        <w:rPr>
          <w:sz w:val="24"/>
          <w:szCs w:val="24"/>
        </w:rPr>
        <w:t>when the psychometric results do not provide enough guidance and decisions can be made on the content value of the items</w:t>
      </w:r>
      <w:r w:rsidRPr="00B5383F" w:rsidR="006B2C66">
        <w:rPr>
          <w:sz w:val="24"/>
          <w:szCs w:val="24"/>
        </w:rPr>
        <w:t>).</w:t>
      </w:r>
    </w:p>
    <w:p w:rsidRPr="00B5383F" w:rsidR="00230BC7" w:rsidP="00230BC7" w:rsidRDefault="00230BC7" w14:paraId="7444CED7" w14:textId="77777777">
      <w:pPr>
        <w:rPr>
          <w:sz w:val="24"/>
          <w:szCs w:val="24"/>
        </w:rPr>
      </w:pPr>
    </w:p>
    <w:p w:rsidRPr="0010300D" w:rsidR="00230BC7" w:rsidP="00230BC7" w:rsidRDefault="00230BC7" w14:paraId="0EC0010C" w14:textId="2A323230">
      <w:pPr>
        <w:rPr>
          <w:sz w:val="24"/>
          <w:szCs w:val="24"/>
        </w:rPr>
      </w:pPr>
      <w:r w:rsidRPr="00B5383F">
        <w:rPr>
          <w:sz w:val="24"/>
          <w:szCs w:val="24"/>
        </w:rPr>
        <w:t xml:space="preserve">The final </w:t>
      </w:r>
      <w:r w:rsidRPr="00B5383F" w:rsidR="00F71568">
        <w:rPr>
          <w:sz w:val="24"/>
          <w:szCs w:val="24"/>
        </w:rPr>
        <w:t xml:space="preserve">supplemental item set </w:t>
      </w:r>
      <w:r w:rsidRPr="00B5383F">
        <w:rPr>
          <w:sz w:val="24"/>
          <w:szCs w:val="24"/>
        </w:rPr>
        <w:t xml:space="preserve">will be </w:t>
      </w:r>
      <w:r w:rsidRPr="0010300D">
        <w:rPr>
          <w:sz w:val="24"/>
          <w:szCs w:val="24"/>
        </w:rPr>
        <w:t>made</w:t>
      </w:r>
      <w:r w:rsidRPr="0010300D" w:rsidR="00236D6D">
        <w:rPr>
          <w:sz w:val="24"/>
          <w:szCs w:val="24"/>
        </w:rPr>
        <w:t xml:space="preserve"> publicly</w:t>
      </w:r>
      <w:r w:rsidRPr="0010300D">
        <w:rPr>
          <w:sz w:val="24"/>
          <w:szCs w:val="24"/>
        </w:rPr>
        <w:t xml:space="preserve"> available </w:t>
      </w:r>
      <w:r w:rsidRPr="0010300D" w:rsidR="00233E06">
        <w:rPr>
          <w:sz w:val="24"/>
          <w:szCs w:val="24"/>
        </w:rPr>
        <w:t xml:space="preserve">on the </w:t>
      </w:r>
      <w:r w:rsidRPr="0010300D" w:rsidR="001349FE">
        <w:rPr>
          <w:sz w:val="24"/>
          <w:szCs w:val="24"/>
        </w:rPr>
        <w:t xml:space="preserve">SOPS pages of the </w:t>
      </w:r>
      <w:r w:rsidRPr="0010300D" w:rsidR="00233E06">
        <w:rPr>
          <w:sz w:val="24"/>
          <w:szCs w:val="24"/>
        </w:rPr>
        <w:t xml:space="preserve">AHRQ </w:t>
      </w:r>
      <w:r w:rsidRPr="0010300D" w:rsidR="001E315F">
        <w:rPr>
          <w:sz w:val="24"/>
          <w:szCs w:val="24"/>
        </w:rPr>
        <w:t>w</w:t>
      </w:r>
      <w:r w:rsidRPr="0010300D" w:rsidR="00233E06">
        <w:rPr>
          <w:sz w:val="24"/>
          <w:szCs w:val="24"/>
        </w:rPr>
        <w:t xml:space="preserve">ebsite </w:t>
      </w:r>
      <w:r w:rsidRPr="0010300D">
        <w:rPr>
          <w:sz w:val="24"/>
          <w:szCs w:val="24"/>
        </w:rPr>
        <w:t xml:space="preserve">for use by </w:t>
      </w:r>
      <w:r w:rsidRPr="0010300D" w:rsidR="00D450AF">
        <w:rPr>
          <w:sz w:val="24"/>
          <w:szCs w:val="24"/>
        </w:rPr>
        <w:t>healthcare organizations</w:t>
      </w:r>
      <w:r w:rsidRPr="0010300D">
        <w:rPr>
          <w:sz w:val="24"/>
          <w:szCs w:val="24"/>
        </w:rPr>
        <w:t xml:space="preserve"> and researchers.</w:t>
      </w:r>
    </w:p>
    <w:p w:rsidRPr="0010300D" w:rsidR="0057087C" w:rsidP="003A074E" w:rsidRDefault="0057087C" w14:paraId="094BE8D8" w14:textId="77777777">
      <w:pPr>
        <w:pStyle w:val="Heading2"/>
        <w:spacing w:before="240" w:after="60"/>
        <w:rPr>
          <w:rFonts w:ascii="Arial" w:hAnsi="Arial" w:cs="Arial"/>
          <w:i/>
          <w:color w:val="auto"/>
          <w:sz w:val="24"/>
        </w:rPr>
      </w:pPr>
      <w:bookmarkStart w:name="_Toc92374304" w:id="22"/>
      <w:r w:rsidRPr="0010300D">
        <w:rPr>
          <w:rFonts w:ascii="Arial" w:hAnsi="Arial" w:cs="Arial"/>
          <w:i/>
          <w:color w:val="auto"/>
          <w:sz w:val="24"/>
        </w:rPr>
        <w:t>17.  Exemption for Display of Expiration Date</w:t>
      </w:r>
      <w:bookmarkEnd w:id="22"/>
    </w:p>
    <w:p w:rsidRPr="0010300D" w:rsidR="00BF4D4C" w:rsidRDefault="0057087C" w14:paraId="723C8EF2" w14:textId="0ED1CA84">
      <w:pPr>
        <w:rPr>
          <w:rFonts w:eastAsiaTheme="majorEastAsia"/>
          <w:b/>
          <w:bCs/>
          <w:sz w:val="24"/>
          <w:szCs w:val="24"/>
        </w:rPr>
      </w:pPr>
      <w:r w:rsidRPr="0010300D">
        <w:rPr>
          <w:sz w:val="24"/>
          <w:szCs w:val="24"/>
        </w:rPr>
        <w:t>No exemption is requested.</w:t>
      </w:r>
    </w:p>
    <w:p w:rsidRPr="0010300D" w:rsidR="00ED3641" w:rsidP="003A074E" w:rsidRDefault="00ED3641" w14:paraId="1844D639" w14:textId="104B1B20">
      <w:pPr>
        <w:pStyle w:val="Heading2"/>
        <w:rPr>
          <w:rFonts w:ascii="Arial" w:hAnsi="Arial" w:cs="Arial"/>
          <w:color w:val="auto"/>
          <w:sz w:val="24"/>
        </w:rPr>
      </w:pPr>
      <w:bookmarkStart w:name="_Toc92374305" w:id="23"/>
      <w:r w:rsidRPr="0010300D">
        <w:rPr>
          <w:rFonts w:ascii="Arial" w:hAnsi="Arial" w:cs="Arial"/>
          <w:color w:val="auto"/>
          <w:sz w:val="24"/>
        </w:rPr>
        <w:t>L</w:t>
      </w:r>
      <w:r w:rsidRPr="0010300D" w:rsidR="000A3475">
        <w:rPr>
          <w:rFonts w:ascii="Arial" w:hAnsi="Arial" w:cs="Arial"/>
          <w:color w:val="auto"/>
          <w:sz w:val="24"/>
        </w:rPr>
        <w:t>ist</w:t>
      </w:r>
      <w:r w:rsidRPr="0010300D">
        <w:rPr>
          <w:rFonts w:ascii="Arial" w:hAnsi="Arial" w:cs="Arial"/>
          <w:color w:val="auto"/>
          <w:sz w:val="24"/>
        </w:rPr>
        <w:t xml:space="preserve"> </w:t>
      </w:r>
      <w:r w:rsidRPr="0010300D" w:rsidR="000A3475">
        <w:rPr>
          <w:rFonts w:ascii="Arial" w:hAnsi="Arial" w:cs="Arial"/>
          <w:color w:val="auto"/>
          <w:sz w:val="24"/>
        </w:rPr>
        <w:t>of</w:t>
      </w:r>
      <w:r w:rsidRPr="0010300D">
        <w:rPr>
          <w:rFonts w:ascii="Arial" w:hAnsi="Arial" w:cs="Arial"/>
          <w:color w:val="auto"/>
          <w:sz w:val="24"/>
        </w:rPr>
        <w:t xml:space="preserve"> A</w:t>
      </w:r>
      <w:r w:rsidRPr="0010300D" w:rsidR="000A3475">
        <w:rPr>
          <w:rFonts w:ascii="Arial" w:hAnsi="Arial" w:cs="Arial"/>
          <w:color w:val="auto"/>
          <w:sz w:val="24"/>
        </w:rPr>
        <w:t>ttachments</w:t>
      </w:r>
      <w:bookmarkEnd w:id="23"/>
    </w:p>
    <w:p w:rsidRPr="0010300D" w:rsidR="00A723D7" w:rsidP="003A074E" w:rsidRDefault="00876E02" w14:paraId="250351FD" w14:textId="334472DF">
      <w:pPr>
        <w:rPr>
          <w:sz w:val="24"/>
          <w:szCs w:val="24"/>
        </w:rPr>
      </w:pPr>
      <w:bookmarkStart w:name="_Toc277862455" w:id="24"/>
      <w:r w:rsidRPr="0010300D">
        <w:rPr>
          <w:sz w:val="24"/>
          <w:szCs w:val="24"/>
        </w:rPr>
        <w:t>Attachment A</w:t>
      </w:r>
      <w:r w:rsidRPr="0010300D" w:rsidR="007075CF">
        <w:rPr>
          <w:sz w:val="24"/>
          <w:szCs w:val="24"/>
        </w:rPr>
        <w:t>:</w:t>
      </w:r>
      <w:r w:rsidRPr="0010300D" w:rsidR="007075CF">
        <w:rPr>
          <w:sz w:val="24"/>
          <w:szCs w:val="24"/>
        </w:rPr>
        <w:tab/>
      </w:r>
      <w:r w:rsidRPr="0010300D" w:rsidR="007075CF">
        <w:rPr>
          <w:sz w:val="24"/>
          <w:szCs w:val="24"/>
        </w:rPr>
        <w:tab/>
      </w:r>
      <w:r w:rsidRPr="0010300D" w:rsidR="001E315F">
        <w:rPr>
          <w:sz w:val="24"/>
          <w:szCs w:val="24"/>
        </w:rPr>
        <w:t xml:space="preserve">Draft </w:t>
      </w:r>
      <w:r w:rsidRPr="0010300D" w:rsidR="00B74B86">
        <w:rPr>
          <w:sz w:val="24"/>
          <w:szCs w:val="24"/>
        </w:rPr>
        <w:t>Workplace</w:t>
      </w:r>
      <w:r w:rsidRPr="0010300D" w:rsidR="00FA7DB0">
        <w:rPr>
          <w:sz w:val="24"/>
          <w:szCs w:val="24"/>
        </w:rPr>
        <w:t xml:space="preserve"> Safety</w:t>
      </w:r>
      <w:r w:rsidRPr="0010300D" w:rsidR="001E315F">
        <w:rPr>
          <w:sz w:val="24"/>
          <w:szCs w:val="24"/>
        </w:rPr>
        <w:t xml:space="preserve"> Supplemental Item Set</w:t>
      </w:r>
      <w:r w:rsidRPr="0010300D" w:rsidR="00A723D7">
        <w:rPr>
          <w:sz w:val="24"/>
          <w:szCs w:val="24"/>
        </w:rPr>
        <w:t xml:space="preserve"> </w:t>
      </w:r>
    </w:p>
    <w:p w:rsidRPr="0010300D" w:rsidR="004C5F80" w:rsidP="00876E02" w:rsidRDefault="004C5F80" w14:paraId="71AD0434" w14:textId="43CE1AAF">
      <w:pPr>
        <w:rPr>
          <w:sz w:val="24"/>
          <w:szCs w:val="24"/>
        </w:rPr>
      </w:pPr>
      <w:r w:rsidRPr="0010300D">
        <w:rPr>
          <w:sz w:val="24"/>
          <w:szCs w:val="24"/>
        </w:rPr>
        <w:t xml:space="preserve">Attachment </w:t>
      </w:r>
      <w:r w:rsidRPr="0010300D" w:rsidR="000D4947">
        <w:rPr>
          <w:sz w:val="24"/>
          <w:szCs w:val="24"/>
        </w:rPr>
        <w:t>B</w:t>
      </w:r>
      <w:r w:rsidRPr="0010300D" w:rsidR="007075CF">
        <w:rPr>
          <w:sz w:val="24"/>
          <w:szCs w:val="24"/>
        </w:rPr>
        <w:t>:</w:t>
      </w:r>
      <w:r w:rsidRPr="0010300D" w:rsidR="007075CF">
        <w:rPr>
          <w:sz w:val="24"/>
          <w:szCs w:val="24"/>
        </w:rPr>
        <w:tab/>
      </w:r>
      <w:r w:rsidRPr="0010300D" w:rsidR="007075CF">
        <w:rPr>
          <w:sz w:val="24"/>
          <w:szCs w:val="24"/>
        </w:rPr>
        <w:tab/>
      </w:r>
      <w:r w:rsidRPr="0010300D" w:rsidR="001E315F">
        <w:rPr>
          <w:sz w:val="24"/>
          <w:szCs w:val="24"/>
        </w:rPr>
        <w:t xml:space="preserve">Draft </w:t>
      </w:r>
      <w:r w:rsidRPr="0010300D" w:rsidR="00B74B86">
        <w:rPr>
          <w:sz w:val="24"/>
          <w:szCs w:val="24"/>
        </w:rPr>
        <w:t>Workplace</w:t>
      </w:r>
      <w:r w:rsidRPr="0010300D" w:rsidR="00FA7DB0">
        <w:rPr>
          <w:sz w:val="24"/>
          <w:szCs w:val="24"/>
        </w:rPr>
        <w:t xml:space="preserve"> Safety</w:t>
      </w:r>
      <w:r w:rsidRPr="0010300D" w:rsidR="001E315F">
        <w:rPr>
          <w:sz w:val="24"/>
          <w:szCs w:val="24"/>
        </w:rPr>
        <w:t xml:space="preserve"> Cognitive Interview Guide</w:t>
      </w:r>
    </w:p>
    <w:p w:rsidRPr="0010300D" w:rsidR="009A6E9A" w:rsidP="00876E02" w:rsidRDefault="00876E02" w14:paraId="7D89F01F" w14:textId="4BB22BEA">
      <w:pPr>
        <w:rPr>
          <w:sz w:val="24"/>
          <w:szCs w:val="24"/>
        </w:rPr>
      </w:pPr>
      <w:r w:rsidRPr="0010300D">
        <w:rPr>
          <w:sz w:val="24"/>
          <w:szCs w:val="24"/>
        </w:rPr>
        <w:t xml:space="preserve">Attachment </w:t>
      </w:r>
      <w:r w:rsidRPr="0010300D" w:rsidR="000D4947">
        <w:rPr>
          <w:sz w:val="24"/>
          <w:szCs w:val="24"/>
        </w:rPr>
        <w:t>C</w:t>
      </w:r>
      <w:r w:rsidRPr="0010300D" w:rsidR="007075CF">
        <w:rPr>
          <w:sz w:val="24"/>
          <w:szCs w:val="24"/>
        </w:rPr>
        <w:t>:</w:t>
      </w:r>
      <w:r w:rsidRPr="0010300D" w:rsidR="007075CF">
        <w:rPr>
          <w:sz w:val="24"/>
          <w:szCs w:val="24"/>
        </w:rPr>
        <w:tab/>
      </w:r>
      <w:r w:rsidRPr="0010300D" w:rsidR="007075CF">
        <w:rPr>
          <w:sz w:val="24"/>
          <w:szCs w:val="24"/>
        </w:rPr>
        <w:tab/>
      </w:r>
      <w:r w:rsidRPr="0010300D" w:rsidR="000A2391">
        <w:rPr>
          <w:sz w:val="24"/>
          <w:szCs w:val="24"/>
        </w:rPr>
        <w:t>Nursing Home</w:t>
      </w:r>
      <w:r w:rsidRPr="0010300D" w:rsidR="00797E82">
        <w:rPr>
          <w:sz w:val="24"/>
          <w:szCs w:val="24"/>
        </w:rPr>
        <w:t xml:space="preserve"> </w:t>
      </w:r>
      <w:r w:rsidRPr="0010300D" w:rsidR="001E315F">
        <w:rPr>
          <w:sz w:val="24"/>
          <w:szCs w:val="24"/>
        </w:rPr>
        <w:t>Point of Contact (POC) Instructions</w:t>
      </w:r>
    </w:p>
    <w:p w:rsidRPr="0010300D" w:rsidR="004C5F80" w:rsidP="003A074E" w:rsidRDefault="004C5F80" w14:paraId="0646AAC6" w14:textId="6E456372">
      <w:pPr>
        <w:rPr>
          <w:sz w:val="24"/>
          <w:szCs w:val="24"/>
        </w:rPr>
      </w:pPr>
      <w:r w:rsidRPr="0010300D">
        <w:rPr>
          <w:sz w:val="24"/>
          <w:szCs w:val="24"/>
        </w:rPr>
        <w:t xml:space="preserve">Attachment </w:t>
      </w:r>
      <w:r w:rsidRPr="0010300D" w:rsidR="000D4947">
        <w:rPr>
          <w:sz w:val="24"/>
          <w:szCs w:val="24"/>
        </w:rPr>
        <w:t>D</w:t>
      </w:r>
      <w:r w:rsidRPr="0010300D" w:rsidR="007075CF">
        <w:rPr>
          <w:sz w:val="24"/>
          <w:szCs w:val="24"/>
        </w:rPr>
        <w:t>:</w:t>
      </w:r>
      <w:r w:rsidRPr="0010300D" w:rsidR="007075CF">
        <w:rPr>
          <w:sz w:val="24"/>
          <w:szCs w:val="24"/>
        </w:rPr>
        <w:tab/>
      </w:r>
      <w:r w:rsidRPr="0010300D" w:rsidR="007075CF">
        <w:rPr>
          <w:sz w:val="24"/>
          <w:szCs w:val="24"/>
        </w:rPr>
        <w:tab/>
      </w:r>
      <w:r w:rsidRPr="0010300D" w:rsidR="001E315F">
        <w:rPr>
          <w:sz w:val="24"/>
          <w:szCs w:val="24"/>
        </w:rPr>
        <w:t>Survey Invitation and Reminder Notices</w:t>
      </w:r>
    </w:p>
    <w:p w:rsidR="00634DCA" w:rsidP="003A074E" w:rsidRDefault="00E90D86" w14:paraId="382159A9" w14:textId="4C22C926">
      <w:pPr>
        <w:rPr>
          <w:sz w:val="24"/>
          <w:szCs w:val="24"/>
        </w:rPr>
      </w:pPr>
      <w:r w:rsidRPr="0010300D">
        <w:rPr>
          <w:sz w:val="24"/>
          <w:szCs w:val="24"/>
        </w:rPr>
        <w:t xml:space="preserve">Attachment </w:t>
      </w:r>
      <w:r w:rsidRPr="0010300D" w:rsidR="00EF0EF8">
        <w:rPr>
          <w:sz w:val="24"/>
          <w:szCs w:val="24"/>
        </w:rPr>
        <w:t>E</w:t>
      </w:r>
      <w:r w:rsidRPr="0010300D" w:rsidR="007075CF">
        <w:rPr>
          <w:sz w:val="24"/>
          <w:szCs w:val="24"/>
        </w:rPr>
        <w:t>:</w:t>
      </w:r>
      <w:r w:rsidRPr="0010300D" w:rsidR="007075CF">
        <w:rPr>
          <w:sz w:val="24"/>
          <w:szCs w:val="24"/>
        </w:rPr>
        <w:tab/>
      </w:r>
      <w:r w:rsidRPr="0010300D" w:rsidR="007075CF">
        <w:rPr>
          <w:sz w:val="24"/>
          <w:szCs w:val="24"/>
        </w:rPr>
        <w:tab/>
      </w:r>
      <w:r w:rsidRPr="0010300D" w:rsidR="00D47272">
        <w:rPr>
          <w:sz w:val="24"/>
          <w:szCs w:val="24"/>
        </w:rPr>
        <w:t>Subject Matter Experts and</w:t>
      </w:r>
      <w:r w:rsidRPr="0010300D" w:rsidR="00FA7DB0">
        <w:rPr>
          <w:sz w:val="24"/>
          <w:szCs w:val="24"/>
        </w:rPr>
        <w:t xml:space="preserve"> </w:t>
      </w:r>
      <w:r w:rsidRPr="0010300D" w:rsidR="001E315F">
        <w:rPr>
          <w:sz w:val="24"/>
          <w:szCs w:val="24"/>
        </w:rPr>
        <w:t>Technical Expert Panel Members</w:t>
      </w:r>
      <w:bookmarkEnd w:id="24"/>
    </w:p>
    <w:p w:rsidR="003758A8" w:rsidP="003A074E" w:rsidRDefault="003758A8" w14:paraId="6D8BA672" w14:textId="3C8994D0">
      <w:pPr>
        <w:rPr>
          <w:sz w:val="24"/>
          <w:szCs w:val="24"/>
        </w:rPr>
      </w:pPr>
      <w:r>
        <w:rPr>
          <w:sz w:val="24"/>
          <w:szCs w:val="24"/>
        </w:rPr>
        <w:t>Attachment F:</w:t>
      </w:r>
      <w:r>
        <w:rPr>
          <w:sz w:val="24"/>
          <w:szCs w:val="24"/>
        </w:rPr>
        <w:tab/>
      </w:r>
      <w:r>
        <w:rPr>
          <w:sz w:val="24"/>
          <w:szCs w:val="24"/>
        </w:rPr>
        <w:tab/>
        <w:t>Nursing Home Background Information Form</w:t>
      </w:r>
    </w:p>
    <w:p w:rsidR="00683912" w:rsidP="003A074E" w:rsidRDefault="00683912" w14:paraId="39B7878C" w14:textId="6EF2E832">
      <w:pPr>
        <w:rPr>
          <w:b/>
          <w:sz w:val="24"/>
          <w:szCs w:val="24"/>
          <w:u w:val="single"/>
        </w:rPr>
      </w:pPr>
    </w:p>
    <w:sectPr w:rsidR="00683912" w:rsidSect="00DB2C81">
      <w:footerReference w:type="default" r:id="rId12"/>
      <w:endnotePr>
        <w:numFmt w:val="decimal"/>
      </w:end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91BE" w14:textId="77777777" w:rsidR="00D1013A" w:rsidRDefault="00D1013A">
      <w:r>
        <w:separator/>
      </w:r>
    </w:p>
  </w:endnote>
  <w:endnote w:type="continuationSeparator" w:id="0">
    <w:p w14:paraId="25E183A5" w14:textId="77777777" w:rsidR="00D1013A" w:rsidRDefault="00D1013A">
      <w:r>
        <w:continuationSeparator/>
      </w:r>
    </w:p>
  </w:endnote>
  <w:endnote w:id="1">
    <w:p w14:paraId="45CE6CC6" w14:textId="7DA50C64" w:rsidR="00D1013A" w:rsidRPr="008527B1" w:rsidRDefault="00D1013A" w:rsidP="00DF53F3">
      <w:pPr>
        <w:pStyle w:val="EndnoteText"/>
      </w:pPr>
      <w:r w:rsidRPr="008527B1">
        <w:rPr>
          <w:rStyle w:val="EndnoteReference"/>
        </w:rPr>
        <w:endnoteRef/>
      </w:r>
      <w:r w:rsidRPr="008527B1">
        <w:t xml:space="preserve"> Healthcare Research and Quality Act of 1999. Available at </w:t>
      </w:r>
      <w:hyperlink r:id="rId1" w:history="1">
        <w:r w:rsidRPr="008527B1">
          <w:rPr>
            <w:rStyle w:val="Hyperlink"/>
          </w:rPr>
          <w:t>https://www.ahrq.gov/policymakers/hrqa99a.html</w:t>
        </w:r>
      </w:hyperlink>
      <w:r w:rsidRPr="008527B1">
        <w:t>. Last accessed 10/21/2021.</w:t>
      </w:r>
    </w:p>
  </w:endnote>
  <w:endnote w:id="2">
    <w:p w14:paraId="1B2FBF13" w14:textId="7E0F25FE" w:rsidR="00D1013A" w:rsidRPr="008527B1" w:rsidRDefault="00D1013A" w:rsidP="00DF53F3">
      <w:pPr>
        <w:pStyle w:val="EndnoteText"/>
      </w:pPr>
      <w:r w:rsidRPr="008527B1">
        <w:rPr>
          <w:rStyle w:val="EndnoteReference"/>
        </w:rPr>
        <w:endnoteRef/>
      </w:r>
      <w:r w:rsidRPr="008527B1">
        <w:t xml:space="preserve"> See Section 902, (a) (8) of the Healthcare Research and Quality Act of 1999. Available at </w:t>
      </w:r>
      <w:hyperlink r:id="rId2" w:history="1">
        <w:r w:rsidRPr="008527B1">
          <w:rPr>
            <w:rStyle w:val="Hyperlink"/>
          </w:rPr>
          <w:t>https://www.ahrq.gov/policymakers/hrqa99a.html</w:t>
        </w:r>
      </w:hyperlink>
      <w:r w:rsidRPr="008527B1">
        <w:t>. Last accessed 10/21/2021.</w:t>
      </w:r>
    </w:p>
  </w:endnote>
  <w:endnote w:id="3">
    <w:p w14:paraId="11C1F8E6" w14:textId="1782094A" w:rsidR="00D1013A" w:rsidRPr="008527B1" w:rsidRDefault="00D1013A" w:rsidP="00DF53F3">
      <w:pPr>
        <w:pStyle w:val="EndnoteText"/>
      </w:pPr>
      <w:r w:rsidRPr="008527B1">
        <w:rPr>
          <w:rStyle w:val="EndnoteReference"/>
        </w:rPr>
        <w:endnoteRef/>
      </w:r>
      <w:r w:rsidRPr="008527B1">
        <w:t xml:space="preserve"> See Section 912, (b) (2) (A) (ii) (I) and (iii) (II) and (c) (1) (2) and (3) of the Healthcare Research and Quality Act of 1999. Available at </w:t>
      </w:r>
      <w:hyperlink r:id="rId3" w:history="1">
        <w:r w:rsidRPr="008527B1">
          <w:rPr>
            <w:rStyle w:val="Hyperlink"/>
          </w:rPr>
          <w:t>http://www.ahrq.gov/policymakers/hrqa99b.html</w:t>
        </w:r>
      </w:hyperlink>
      <w:r w:rsidRPr="008527B1">
        <w:t>. Last accessed 10/21/2021.</w:t>
      </w:r>
    </w:p>
  </w:endnote>
  <w:endnote w:id="4">
    <w:p w14:paraId="0D2DE7B1" w14:textId="77777777" w:rsidR="00D1013A" w:rsidRPr="008527B1" w:rsidRDefault="00D1013A" w:rsidP="006C5F76">
      <w:pPr>
        <w:pStyle w:val="EndnoteText"/>
      </w:pPr>
      <w:r w:rsidRPr="008527B1">
        <w:rPr>
          <w:rStyle w:val="EndnoteReference"/>
        </w:rPr>
        <w:endnoteRef/>
      </w:r>
      <w:r w:rsidRPr="008527B1">
        <w:t xml:space="preserve"> </w:t>
      </w:r>
      <w:r w:rsidRPr="008527B1">
        <w:rPr>
          <w:color w:val="000000"/>
          <w:shd w:val="clear" w:color="auto" w:fill="FFFFFF"/>
        </w:rPr>
        <w:t xml:space="preserve">Centers for Disease Control/National Institute for Occupational Safety and Health (NIOSH). Available at </w:t>
      </w:r>
      <w:hyperlink r:id="rId4" w:history="1">
        <w:r w:rsidRPr="008527B1">
          <w:rPr>
            <w:rStyle w:val="Hyperlink"/>
          </w:rPr>
          <w:t>https://www.cdc.gov/niosh/topics/healthcare/default.html</w:t>
        </w:r>
      </w:hyperlink>
      <w:r w:rsidRPr="008527B1">
        <w:t>. Last accessed 10/21/2021.</w:t>
      </w:r>
    </w:p>
  </w:endnote>
  <w:endnote w:id="5">
    <w:p w14:paraId="3543B673" w14:textId="60412728" w:rsidR="00D1013A" w:rsidRPr="008527B1" w:rsidRDefault="00D1013A" w:rsidP="006C5F76">
      <w:pPr>
        <w:pStyle w:val="EndnoteText"/>
      </w:pPr>
      <w:r w:rsidRPr="008527B1">
        <w:rPr>
          <w:rStyle w:val="EndnoteReference"/>
        </w:rPr>
        <w:endnoteRef/>
      </w:r>
      <w:r w:rsidRPr="008527B1">
        <w:t xml:space="preserve"> </w:t>
      </w:r>
      <w:r w:rsidRPr="008527B1">
        <w:t>Lapane, K., Du</w:t>
      </w:r>
      <w:r>
        <w:t xml:space="preserve">be, C., &amp; Jesdale, B.  (2016). </w:t>
      </w:r>
      <w:r w:rsidRPr="008527B1">
        <w:t xml:space="preserve">Worker Injuries in Nursing Homes: Is Safe Patient Handling Legislation </w:t>
      </w:r>
      <w:r w:rsidRPr="008527B1">
        <w:t xml:space="preserve">The Solution?  </w:t>
      </w:r>
      <w:r w:rsidRPr="008527B1">
        <w:rPr>
          <w:i/>
        </w:rPr>
        <w:t xml:space="preserve">J Nurs Home Res Sci.  </w:t>
      </w:r>
      <w:r w:rsidRPr="008527B1">
        <w:t>Author manuscript, October 28; 2:  110-117.</w:t>
      </w:r>
    </w:p>
  </w:endnote>
  <w:endnote w:id="6">
    <w:p w14:paraId="596DF390" w14:textId="7981F321" w:rsidR="00D1013A" w:rsidRPr="008527B1" w:rsidRDefault="00D1013A">
      <w:pPr>
        <w:pStyle w:val="EndnoteText"/>
      </w:pPr>
      <w:r w:rsidRPr="008527B1">
        <w:rPr>
          <w:rStyle w:val="EndnoteReference"/>
        </w:rPr>
        <w:endnoteRef/>
      </w:r>
      <w:r w:rsidRPr="008527B1">
        <w:t xml:space="preserve"> Bureau of Labor Statistics News Release.  November 3, 2021.  Available at </w:t>
      </w:r>
      <w:hyperlink r:id="rId5" w:history="1">
        <w:r w:rsidRPr="008527B1">
          <w:rPr>
            <w:rStyle w:val="Hyperlink"/>
          </w:rPr>
          <w:t>Employer-Reported Workplace Injuries and Illnesses – 2020 (bls.gov)</w:t>
        </w:r>
      </w:hyperlink>
      <w:r w:rsidRPr="008527B1">
        <w:t xml:space="preserve">.  Last accessed 11/18/2021. </w:t>
      </w:r>
    </w:p>
  </w:endnote>
  <w:endnote w:id="7">
    <w:p w14:paraId="0277908E" w14:textId="1972C857" w:rsidR="00D1013A" w:rsidRPr="008527B1" w:rsidRDefault="00D1013A">
      <w:pPr>
        <w:pStyle w:val="EndnoteText"/>
      </w:pPr>
      <w:r w:rsidRPr="008527B1">
        <w:rPr>
          <w:rStyle w:val="EndnoteReference"/>
        </w:rPr>
        <w:endnoteRef/>
      </w:r>
      <w:r w:rsidRPr="008527B1">
        <w:t xml:space="preserve"> White, E., Aiken, L., and McHugh, M. (2019).  Registered Nurse Burnout, Job Dissatisfaction, and Missed Care in Nursing Homes.  Journal American Geriatric Society.  Author manuscript, October: 67(10):  2065-2071.</w:t>
      </w:r>
    </w:p>
  </w:endnote>
  <w:endnote w:id="8">
    <w:p w14:paraId="64955B6D" w14:textId="280DB12F" w:rsidR="00D1013A" w:rsidRPr="008527B1" w:rsidRDefault="00D1013A">
      <w:pPr>
        <w:pStyle w:val="EndnoteText"/>
      </w:pPr>
      <w:r w:rsidRPr="008527B1">
        <w:rPr>
          <w:rStyle w:val="EndnoteReference"/>
        </w:rPr>
        <w:endnoteRef/>
      </w:r>
      <w:r w:rsidRPr="008527B1">
        <w:t xml:space="preserve"> A National Strategy for Reducing Harm. Institute for Healthcare Improvement, Boston, MA. Available at </w:t>
      </w:r>
      <w:hyperlink r:id="rId6" w:history="1">
        <w:r w:rsidRPr="008527B1">
          <w:rPr>
            <w:rStyle w:val="Hyperlink"/>
          </w:rPr>
          <w:t>http://www.ihi.org/Engage/Initiatives/National-Steering-Committee-Patient-Safety/Pages/default.aspx</w:t>
        </w:r>
      </w:hyperlink>
      <w:r w:rsidRPr="008527B1">
        <w:t>. Last accessed 10/21/2021.</w:t>
      </w:r>
    </w:p>
  </w:endnote>
  <w:endnote w:id="9">
    <w:p w14:paraId="13411DDD" w14:textId="387B0908" w:rsidR="00D1013A" w:rsidRPr="008527B1" w:rsidRDefault="00D1013A">
      <w:pPr>
        <w:pStyle w:val="EndnoteText"/>
      </w:pPr>
      <w:r w:rsidRPr="008527B1">
        <w:rPr>
          <w:rStyle w:val="EndnoteReference"/>
        </w:rPr>
        <w:endnoteRef/>
      </w:r>
      <w:r w:rsidRPr="008527B1">
        <w:t xml:space="preserve"> </w:t>
      </w:r>
      <w:r w:rsidRPr="008527B1">
        <w:rPr>
          <w:color w:val="000000"/>
          <w:shd w:val="clear" w:color="auto" w:fill="FFFFFF"/>
        </w:rPr>
        <w:t xml:space="preserve">Ehrlich, H., </w:t>
      </w:r>
      <w:r w:rsidRPr="008527B1">
        <w:rPr>
          <w:color w:val="000000"/>
          <w:shd w:val="clear" w:color="auto" w:fill="FFFFFF"/>
        </w:rPr>
        <w:t>McKenney, M., &amp; Elkbuli, A. (2020). Protecting our healthcare workers during the COVID-19 pandemic. </w:t>
      </w:r>
      <w:r w:rsidRPr="008527B1">
        <w:rPr>
          <w:i/>
          <w:iCs/>
          <w:color w:val="000000"/>
          <w:shd w:val="clear" w:color="auto" w:fill="FFFFFF"/>
        </w:rPr>
        <w:t>The American Journal of Emergency Medicine</w:t>
      </w:r>
      <w:r w:rsidRPr="008527B1">
        <w:rPr>
          <w:color w:val="000000"/>
          <w:shd w:val="clear" w:color="auto" w:fill="FFFFFF"/>
        </w:rPr>
        <w:t>, </w:t>
      </w:r>
      <w:r w:rsidRPr="008527B1">
        <w:rPr>
          <w:i/>
          <w:iCs/>
          <w:color w:val="000000"/>
          <w:shd w:val="clear" w:color="auto" w:fill="FFFFFF"/>
        </w:rPr>
        <w:t>38</w:t>
      </w:r>
      <w:r w:rsidRPr="008527B1">
        <w:rPr>
          <w:color w:val="000000"/>
          <w:shd w:val="clear" w:color="auto" w:fill="FFFFFF"/>
        </w:rPr>
        <w:t>(7), 1527–1528 https://doi.org/10.1016/j.ajem.2020.04.024)</w:t>
      </w:r>
    </w:p>
  </w:endnote>
  <w:endnote w:id="10">
    <w:p w14:paraId="29566CC4" w14:textId="3C8A2426" w:rsidR="00D1013A" w:rsidRPr="008527B1" w:rsidRDefault="00D1013A">
      <w:pPr>
        <w:pStyle w:val="EndnoteText"/>
      </w:pPr>
      <w:r w:rsidRPr="008527B1">
        <w:rPr>
          <w:rStyle w:val="EndnoteReference"/>
        </w:rPr>
        <w:endnoteRef/>
      </w:r>
      <w:r w:rsidRPr="008527B1">
        <w:t xml:space="preserve"> AHRQ SOPS Nursing Home Survey on Patient Safety Culture 2019 User Database Report.  Available at </w:t>
      </w:r>
      <w:hyperlink r:id="rId7" w:history="1">
        <w:r w:rsidRPr="008527B1">
          <w:rPr>
            <w:rStyle w:val="Hyperlink"/>
          </w:rPr>
          <w:t>Nursing Home Survey on Patient Safety Culture: 2019 User Database Report Part I (ahrq.gov)</w:t>
        </w:r>
      </w:hyperlink>
      <w:r w:rsidRPr="008527B1">
        <w:t>.  Last accessed 10/21/2021.</w:t>
      </w:r>
    </w:p>
  </w:endnote>
  <w:endnote w:id="11">
    <w:p w14:paraId="7471F8AF" w14:textId="73BB20DC" w:rsidR="00D1013A" w:rsidRDefault="00D1013A">
      <w:pPr>
        <w:pStyle w:val="EndnoteText"/>
      </w:pPr>
      <w:r>
        <w:rPr>
          <w:rStyle w:val="EndnoteReference"/>
        </w:rPr>
        <w:endnoteRef/>
      </w:r>
      <w:r>
        <w:t xml:space="preserve"> </w:t>
      </w:r>
      <w:r w:rsidRPr="008527B1">
        <w:t xml:space="preserve">The National Institute for Occupational Safety and Health (NIOSH) (2014). Health and Safety Practices Survey of Healthcare Workers [Survey]. Available at </w:t>
      </w:r>
      <w:hyperlink r:id="rId8" w:history="1">
        <w:r w:rsidRPr="008527B1">
          <w:rPr>
            <w:rStyle w:val="Hyperlink"/>
          </w:rPr>
          <w:t>https://www.cdc.gov/niosh/topics/healthcarehsps/aboutstudy.html</w:t>
        </w:r>
      </w:hyperlink>
      <w:r w:rsidRPr="008527B1">
        <w:t>. Last accessed 10/21/2021.</w:t>
      </w:r>
    </w:p>
  </w:endnote>
  <w:endnote w:id="12">
    <w:p w14:paraId="44A37C8B" w14:textId="77777777" w:rsidR="00D1013A" w:rsidRPr="008527B1" w:rsidRDefault="00D1013A" w:rsidP="00551845">
      <w:r w:rsidRPr="008527B1">
        <w:rPr>
          <w:rStyle w:val="EndnoteReference"/>
        </w:rPr>
        <w:endnoteRef/>
      </w:r>
      <w:r w:rsidRPr="008527B1">
        <w:t xml:space="preserve"> Peterson, K., Rogers, B.M.E., </w:t>
      </w:r>
      <w:r w:rsidRPr="008527B1">
        <w:t xml:space="preserve">Brosseau, L.M., Payne, J., Conney, J., Joe, L., &amp; Novak, D. (2016). Differences in hospital managers’, unit managers’, and health care workers’ perceptions of the safety climate for respiratory protection. </w:t>
      </w:r>
      <w:r w:rsidRPr="008527B1">
        <w:rPr>
          <w:i/>
          <w:iCs/>
        </w:rPr>
        <w:t>Workplace Health Saf., 64</w:t>
      </w:r>
      <w:r w:rsidRPr="008527B1">
        <w:t>(7), 326-336</w:t>
      </w:r>
    </w:p>
  </w:endnote>
  <w:endnote w:id="13">
    <w:p w14:paraId="4EEDBE9B" w14:textId="77777777" w:rsidR="00D1013A" w:rsidRPr="008527B1" w:rsidRDefault="00D1013A" w:rsidP="00551845">
      <w:pPr>
        <w:pStyle w:val="EndnoteText"/>
      </w:pPr>
      <w:r w:rsidRPr="008527B1">
        <w:rPr>
          <w:rStyle w:val="EndnoteReference"/>
        </w:rPr>
        <w:endnoteRef/>
      </w:r>
      <w:r w:rsidRPr="008527B1">
        <w:t xml:space="preserve"> U.S. Bureau of Reclamation. (2016). </w:t>
      </w:r>
      <w:r w:rsidRPr="008527B1">
        <w:rPr>
          <w:i/>
        </w:rPr>
        <w:t xml:space="preserve">Baseline assessment of employee perceptions of safety culture. </w:t>
      </w:r>
      <w:hyperlink r:id="rId9" w:history="1">
        <w:r w:rsidRPr="008527B1">
          <w:rPr>
            <w:rStyle w:val="Hyperlink"/>
          </w:rPr>
          <w:t>https://www.usbr.gov/safety/sap/documents/teamreports/Team14.pdf</w:t>
        </w:r>
      </w:hyperlink>
      <w:r w:rsidRPr="008527B1">
        <w:t>. Last accessed 10/21/2021.</w:t>
      </w:r>
    </w:p>
  </w:endnote>
  <w:endnote w:id="14">
    <w:p w14:paraId="1774224C" w14:textId="77777777" w:rsidR="00D1013A" w:rsidRPr="008527B1" w:rsidRDefault="00D1013A" w:rsidP="008D0A0A">
      <w:pPr>
        <w:pStyle w:val="EndnoteText"/>
      </w:pPr>
      <w:r w:rsidRPr="008527B1">
        <w:rPr>
          <w:rStyle w:val="EndnoteReference"/>
        </w:rPr>
        <w:endnoteRef/>
      </w:r>
      <w:r w:rsidRPr="008527B1">
        <w:t xml:space="preserve"> The American College of Emergency Physicians. (2018).</w:t>
      </w:r>
      <w:r w:rsidRPr="008527B1">
        <w:rPr>
          <w:i/>
        </w:rPr>
        <w:t xml:space="preserve"> ACEP Emergency Department Violence Poll research results.</w:t>
      </w:r>
      <w:r w:rsidRPr="008527B1">
        <w:t xml:space="preserve"> </w:t>
      </w:r>
      <w:hyperlink r:id="rId10" w:history="1">
        <w:r w:rsidRPr="008527B1">
          <w:rPr>
            <w:rStyle w:val="Hyperlink"/>
          </w:rPr>
          <w:t>https://www.emergencyphysicians.org/globalassets/files/pdfs/2018acep-emergency-department-violence-pollresults-2.pdf</w:t>
        </w:r>
      </w:hyperlink>
      <w:r w:rsidRPr="008527B1">
        <w:t>. Last accessed 10/21/2021.</w:t>
      </w:r>
    </w:p>
  </w:endnote>
  <w:endnote w:id="15">
    <w:p w14:paraId="5D548DDB" w14:textId="77777777" w:rsidR="00D1013A" w:rsidRPr="008527B1" w:rsidRDefault="00D1013A" w:rsidP="008D0A0A">
      <w:r w:rsidRPr="008527B1">
        <w:rPr>
          <w:rStyle w:val="EndnoteReference"/>
        </w:rPr>
        <w:endnoteRef/>
      </w:r>
      <w:r w:rsidRPr="008527B1">
        <w:t xml:space="preserve"> Texas Center for Nursing Workforce Studies. (2016). </w:t>
      </w:r>
      <w:r w:rsidRPr="008527B1">
        <w:rPr>
          <w:i/>
        </w:rPr>
        <w:t xml:space="preserve">Workplace Violence </w:t>
      </w:r>
      <w:r w:rsidRPr="008527B1">
        <w:rPr>
          <w:i/>
        </w:rPr>
        <w:t xml:space="preserve">Against Nurses Survey </w:t>
      </w:r>
      <w:r w:rsidRPr="008527B1">
        <w:t>(Publication No. 25-14922)</w:t>
      </w:r>
      <w:r w:rsidRPr="008527B1">
        <w:rPr>
          <w:i/>
        </w:rPr>
        <w:t>.</w:t>
      </w:r>
      <w:r w:rsidRPr="008527B1">
        <w:t xml:space="preserve"> Texas Department of State Health Services. </w:t>
      </w:r>
      <w:hyperlink r:id="rId11" w:history="1">
        <w:r w:rsidRPr="008527B1">
          <w:rPr>
            <w:rStyle w:val="Hyperlink"/>
          </w:rPr>
          <w:t>https://www.dshs.state.tx.us/chs/cnws/WorkforceReports/2016_WPVAN.pdf</w:t>
        </w:r>
      </w:hyperlink>
      <w:r w:rsidRPr="008527B1">
        <w:t xml:space="preserve"> </w:t>
      </w:r>
      <w:hyperlink w:history="1"/>
    </w:p>
  </w:endnote>
  <w:endnote w:id="16">
    <w:p w14:paraId="0FD2F902" w14:textId="77777777" w:rsidR="00D1013A" w:rsidRPr="008527B1" w:rsidRDefault="00D1013A" w:rsidP="008D0A0A">
      <w:pPr>
        <w:pStyle w:val="EndnoteText"/>
      </w:pPr>
      <w:r w:rsidRPr="008527B1">
        <w:rPr>
          <w:rStyle w:val="EndnoteReference"/>
        </w:rPr>
        <w:endnoteRef/>
      </w:r>
      <w:r w:rsidRPr="008527B1">
        <w:t xml:space="preserve"> </w:t>
      </w:r>
      <w:r w:rsidRPr="008527B1">
        <w:rPr>
          <w:shd w:val="clear" w:color="auto" w:fill="FFFFFF"/>
        </w:rPr>
        <w:t>Appendix 1. SOVES-A questionnaire. (2013). </w:t>
      </w:r>
      <w:r w:rsidRPr="008527B1">
        <w:rPr>
          <w:i/>
          <w:iCs/>
          <w:shd w:val="clear" w:color="auto" w:fill="FFFFFF"/>
        </w:rPr>
        <w:t>Clinical Medicine</w:t>
      </w:r>
      <w:r w:rsidRPr="008527B1">
        <w:rPr>
          <w:shd w:val="clear" w:color="auto" w:fill="FFFFFF"/>
        </w:rPr>
        <w:t>, </w:t>
      </w:r>
      <w:r w:rsidRPr="008527B1">
        <w:rPr>
          <w:i/>
          <w:iCs/>
          <w:shd w:val="clear" w:color="auto" w:fill="FFFFFF"/>
        </w:rPr>
        <w:t>13</w:t>
      </w:r>
      <w:r w:rsidRPr="008527B1">
        <w:rPr>
          <w:shd w:val="clear" w:color="auto" w:fill="FFFFFF"/>
        </w:rPr>
        <w:t>(6), 1. https://doi.org/10.7861/clinmedicine.13-6-1</w:t>
      </w:r>
    </w:p>
  </w:endnote>
  <w:endnote w:id="17">
    <w:p w14:paraId="2BA76B2A" w14:textId="77777777" w:rsidR="00D1013A" w:rsidRPr="008527B1" w:rsidRDefault="00D1013A" w:rsidP="008D0A0A">
      <w:r w:rsidRPr="008527B1">
        <w:rPr>
          <w:rStyle w:val="EndnoteReference"/>
        </w:rPr>
        <w:endnoteRef/>
      </w:r>
      <w:r w:rsidRPr="008527B1">
        <w:t xml:space="preserve"> International </w:t>
      </w:r>
      <w:r w:rsidRPr="008527B1">
        <w:t>Labour Office, International Council of Nurses, World Health Organization, Public Services International. (2003).</w:t>
      </w:r>
      <w:r w:rsidRPr="008527B1">
        <w:rPr>
          <w:color w:val="1F497D"/>
        </w:rPr>
        <w:t xml:space="preserve"> </w:t>
      </w:r>
      <w:r w:rsidRPr="008527B1">
        <w:t>Workplace Violence in the Health Sector Country Case Study – Questionnaire. Available at</w:t>
      </w:r>
    </w:p>
    <w:p w14:paraId="50C6EEE4" w14:textId="77777777" w:rsidR="00D1013A" w:rsidRPr="008527B1" w:rsidRDefault="00D30C4E" w:rsidP="008D0A0A">
      <w:hyperlink r:id="rId12" w:history="1">
        <w:r w:rsidR="00D1013A" w:rsidRPr="008527B1">
          <w:rPr>
            <w:rStyle w:val="Hyperlink"/>
          </w:rPr>
          <w:t>https://www.who.int/violence_injury_prevention/violence/interpersonal/en/WVquestionnaire.pdf?ua=1</w:t>
        </w:r>
      </w:hyperlink>
      <w:r w:rsidR="00D1013A" w:rsidRPr="008527B1">
        <w:rPr>
          <w:rStyle w:val="Hyperlink"/>
          <w:color w:val="auto"/>
          <w:u w:val="none"/>
        </w:rPr>
        <w:t>. Last accessed 10/21/2021.</w:t>
      </w:r>
    </w:p>
  </w:endnote>
  <w:endnote w:id="18">
    <w:p w14:paraId="7AC7895A" w14:textId="77777777" w:rsidR="00D1013A" w:rsidRPr="008527B1" w:rsidRDefault="00D1013A" w:rsidP="008D0A0A">
      <w:r w:rsidRPr="008527B1">
        <w:rPr>
          <w:rStyle w:val="EndnoteReference"/>
        </w:rPr>
        <w:endnoteRef/>
      </w:r>
      <w:r w:rsidRPr="008527B1">
        <w:t xml:space="preserve"> Emergency Nurses Association (2011). </w:t>
      </w:r>
      <w:r w:rsidRPr="008527B1">
        <w:rPr>
          <w:i/>
        </w:rPr>
        <w:t xml:space="preserve">Emergency Department Violence Surveillance Study. </w:t>
      </w:r>
      <w:r w:rsidRPr="008527B1">
        <w:t xml:space="preserve">Institute for Emergency Nursing Research. </w:t>
      </w:r>
      <w:hyperlink r:id="rId13" w:history="1">
        <w:r w:rsidRPr="008527B1">
          <w:rPr>
            <w:rStyle w:val="Hyperlink"/>
          </w:rPr>
          <w:t>https://www.ena.org/docs/default-source/resource-library/practice-resources/workplace-violence/2011-emergency-department-violence-surveillance-report.pdf?sfvrsn=5ad81911_4</w:t>
        </w:r>
      </w:hyperlink>
      <w:r w:rsidRPr="008527B1">
        <w:t>. Last accessed 10/21/2021.</w:t>
      </w:r>
    </w:p>
  </w:endnote>
  <w:endnote w:id="19">
    <w:p w14:paraId="53ED2A72" w14:textId="77777777" w:rsidR="00D1013A" w:rsidRPr="008527B1" w:rsidRDefault="00D1013A" w:rsidP="008D0A0A">
      <w:r w:rsidRPr="008527B1">
        <w:rPr>
          <w:rStyle w:val="EndnoteReference"/>
        </w:rPr>
        <w:endnoteRef/>
      </w:r>
      <w:r w:rsidRPr="008527B1">
        <w:t xml:space="preserve"> New York Department of Labor. (2009). </w:t>
      </w:r>
      <w:r w:rsidRPr="008527B1">
        <w:rPr>
          <w:i/>
        </w:rPr>
        <w:t>NY State Workplace Violence Prevention Program Guidelines.</w:t>
      </w:r>
    </w:p>
    <w:p w14:paraId="4C822EDB" w14:textId="77777777" w:rsidR="00D1013A" w:rsidRPr="008527B1" w:rsidRDefault="00D1013A" w:rsidP="008D0A0A">
      <w:pPr>
        <w:rPr>
          <w:color w:val="1F497D"/>
        </w:rPr>
      </w:pPr>
      <w:r w:rsidRPr="008527B1">
        <w:t>https://dol.ny.gov/workplace-violence-prevention-information</w:t>
      </w:r>
    </w:p>
  </w:endnote>
  <w:endnote w:id="20">
    <w:p w14:paraId="04F4BFF6" w14:textId="77777777" w:rsidR="00D1013A" w:rsidRPr="008527B1" w:rsidRDefault="00D1013A" w:rsidP="008D0A0A">
      <w:pPr>
        <w:pStyle w:val="EndnoteText"/>
      </w:pPr>
      <w:r w:rsidRPr="008527B1">
        <w:rPr>
          <w:rStyle w:val="EndnoteReference"/>
        </w:rPr>
        <w:endnoteRef/>
      </w:r>
      <w:r w:rsidRPr="008527B1">
        <w:t xml:space="preserve"> Mini-Z Burnout Survey. Available at </w:t>
      </w:r>
      <w:hyperlink r:id="rId14" w:history="1">
        <w:r w:rsidRPr="008527B1">
          <w:rPr>
            <w:rStyle w:val="Hyperlink"/>
          </w:rPr>
          <w:t>https://www.christushealth.org/-/media/files/for-providers/ama-mini-z-burnout-survey.ashx?la=en</w:t>
        </w:r>
      </w:hyperlink>
      <w:r w:rsidRPr="008527B1">
        <w:t>. Last accessed 10/21/2021.</w:t>
      </w:r>
    </w:p>
  </w:endnote>
  <w:endnote w:id="21">
    <w:p w14:paraId="3C74ED2D" w14:textId="77777777" w:rsidR="00D1013A" w:rsidRPr="008527B1" w:rsidRDefault="00D1013A" w:rsidP="008D0A0A">
      <w:pPr>
        <w:rPr>
          <w:color w:val="1F497D"/>
        </w:rPr>
      </w:pPr>
      <w:r w:rsidRPr="008527B1">
        <w:rPr>
          <w:rStyle w:val="EndnoteReference"/>
        </w:rPr>
        <w:endnoteRef/>
      </w:r>
      <w:r w:rsidRPr="008527B1">
        <w:t xml:space="preserve"> </w:t>
      </w:r>
      <w:r w:rsidRPr="008527B1">
        <w:t>Maslach Burnout Inventory™. Available at</w:t>
      </w:r>
      <w:r w:rsidRPr="008527B1">
        <w:rPr>
          <w:color w:val="1F497D"/>
        </w:rPr>
        <w:t xml:space="preserve"> </w:t>
      </w:r>
      <w:hyperlink r:id="rId15" w:history="1">
        <w:r w:rsidRPr="008527B1">
          <w:rPr>
            <w:rStyle w:val="Hyperlink"/>
          </w:rPr>
          <w:t>https://www.mindgarden.com/117-maslach-burnout-inventory</w:t>
        </w:r>
      </w:hyperlink>
      <w:r w:rsidRPr="008527B1">
        <w:t>. Last accessed 10/21/2021.</w:t>
      </w:r>
    </w:p>
  </w:endnote>
  <w:endnote w:id="22">
    <w:p w14:paraId="6CBBA2A6" w14:textId="77777777" w:rsidR="00D1013A" w:rsidRPr="008527B1" w:rsidRDefault="00D1013A" w:rsidP="008D0A0A">
      <w:pPr>
        <w:pStyle w:val="ListParagraph"/>
        <w:ind w:left="0"/>
        <w:contextualSpacing w:val="0"/>
      </w:pPr>
      <w:r w:rsidRPr="008527B1">
        <w:rPr>
          <w:rStyle w:val="EndnoteReference"/>
        </w:rPr>
        <w:endnoteRef/>
      </w:r>
      <w:r w:rsidRPr="008527B1">
        <w:t xml:space="preserve"> Chen, Y., </w:t>
      </w:r>
      <w:r w:rsidRPr="008527B1">
        <w:t xml:space="preserve">Guo, Y.L. Lin, L., Lee, Y., Hu, P., Ho, J. &amp; Shaio, J.S. (2020).  Development of the Nurses Occupational Stressor Scale. </w:t>
      </w:r>
      <w:r w:rsidRPr="008527B1">
        <w:rPr>
          <w:i/>
          <w:iCs/>
        </w:rPr>
        <w:t xml:space="preserve">International Journal of Environmental Research and Public </w:t>
      </w:r>
      <w:r w:rsidRPr="008527B1">
        <w:rPr>
          <w:i/>
          <w:iCs/>
        </w:rPr>
        <w:t xml:space="preserve">Health., </w:t>
      </w:r>
      <w:r w:rsidRPr="008527B1">
        <w:t xml:space="preserve">17, 649. </w:t>
      </w:r>
    </w:p>
  </w:endnote>
  <w:endnote w:id="23">
    <w:p w14:paraId="755BA932" w14:textId="77777777" w:rsidR="00D1013A" w:rsidRPr="008527B1" w:rsidRDefault="00D1013A" w:rsidP="008D0A0A">
      <w:pPr>
        <w:rPr>
          <w:color w:val="1F497D"/>
        </w:rPr>
      </w:pPr>
      <w:r w:rsidRPr="008527B1">
        <w:rPr>
          <w:rStyle w:val="EndnoteReference"/>
        </w:rPr>
        <w:endnoteRef/>
      </w:r>
      <w:r w:rsidRPr="008527B1">
        <w:t xml:space="preserve"> Job Stress Scale. Available at </w:t>
      </w:r>
      <w:hyperlink r:id="rId16" w:history="1">
        <w:r w:rsidRPr="008527B1">
          <w:rPr>
            <w:rStyle w:val="Hyperlink"/>
          </w:rPr>
          <w:t>https://www.tandfonline.com/doi/full/10.1080/23311975.2015.1134034</w:t>
        </w:r>
      </w:hyperlink>
      <w:r w:rsidRPr="008527B1">
        <w:rPr>
          <w:rStyle w:val="Hyperlink"/>
          <w:color w:val="auto"/>
          <w:u w:val="none"/>
        </w:rPr>
        <w:t>. Last accessed 10/21/2021.</w:t>
      </w:r>
    </w:p>
  </w:endnote>
  <w:endnote w:id="24">
    <w:p w14:paraId="5876DCC6" w14:textId="77777777" w:rsidR="00D1013A" w:rsidRPr="008527B1" w:rsidRDefault="00D1013A" w:rsidP="008D0A0A">
      <w:pPr>
        <w:rPr>
          <w:color w:val="1F497D"/>
        </w:rPr>
      </w:pPr>
      <w:r w:rsidRPr="008527B1">
        <w:rPr>
          <w:rStyle w:val="EndnoteReference"/>
        </w:rPr>
        <w:endnoteRef/>
      </w:r>
      <w:r w:rsidRPr="008527B1">
        <w:t xml:space="preserve"> APA Workplace Survey. Available at https://www.apa.org/pubs/reports/work-well-being</w:t>
      </w:r>
      <w:r w:rsidRPr="008527B1">
        <w:t>  Last accessed 11/2/2021.</w:t>
      </w:r>
    </w:p>
  </w:endnote>
  <w:endnote w:id="25">
    <w:p w14:paraId="3ED6E8BE" w14:textId="77777777" w:rsidR="00D1013A" w:rsidRPr="008527B1" w:rsidRDefault="00D1013A" w:rsidP="008D0A0A">
      <w:pPr>
        <w:pStyle w:val="EndnoteText"/>
      </w:pPr>
      <w:r w:rsidRPr="008527B1">
        <w:rPr>
          <w:rStyle w:val="EndnoteReference"/>
        </w:rPr>
        <w:endnoteRef/>
      </w:r>
      <w:r w:rsidRPr="008527B1">
        <w:t xml:space="preserve"> Press </w:t>
      </w:r>
      <w:r w:rsidRPr="008527B1">
        <w:t>Ganey (2018). NDNQI RN Survey with Practice Environment Scale</w:t>
      </w:r>
      <w:r w:rsidRPr="008527B1">
        <w:rPr>
          <w:vertAlign w:val="superscript"/>
        </w:rPr>
        <w:t xml:space="preserve">© </w:t>
      </w:r>
      <w:r w:rsidRPr="008527B1">
        <w:t xml:space="preserve">[Survey]. Available at </w:t>
      </w:r>
      <w:hyperlink r:id="rId17" w:history="1">
        <w:r w:rsidRPr="008527B1">
          <w:rPr>
            <w:rStyle w:val="Hyperlink"/>
          </w:rPr>
          <w:t>https://www.upstate.edu/nursing/documents/ndnqi_rn_survey_with_pratice_environment_scale.pdf</w:t>
        </w:r>
      </w:hyperlink>
      <w:r w:rsidRPr="008527B1">
        <w:t>. Last accessed 10/21/2021.</w:t>
      </w:r>
    </w:p>
  </w:endnote>
  <w:endnote w:id="26">
    <w:p w14:paraId="55AB9C96" w14:textId="77777777" w:rsidR="00D1013A" w:rsidRPr="008527B1" w:rsidRDefault="00D1013A" w:rsidP="008D0A0A">
      <w:pPr>
        <w:pStyle w:val="EndnoteText"/>
      </w:pPr>
      <w:r w:rsidRPr="008527B1">
        <w:rPr>
          <w:rStyle w:val="EndnoteReference"/>
        </w:rPr>
        <w:endnoteRef/>
      </w:r>
      <w:r w:rsidRPr="008527B1">
        <w:t xml:space="preserve"> Lax, M., </w:t>
      </w:r>
      <w:r w:rsidRPr="008527B1">
        <w:t xml:space="preserve">Zoeckler, J., Goessling, K., Greetham, S. (2019). </w:t>
      </w:r>
      <w:r w:rsidRPr="008527B1">
        <w:rPr>
          <w:i/>
        </w:rPr>
        <w:t>New York State’s Safe Patient Handling Law.</w:t>
      </w:r>
      <w:r w:rsidRPr="008527B1">
        <w:t xml:space="preserve"> Occupational Safety and Health Working Group. </w:t>
      </w:r>
      <w:hyperlink r:id="rId18" w:history="1">
        <w:r w:rsidRPr="008527B1">
          <w:rPr>
            <w:rStyle w:val="Hyperlink"/>
          </w:rPr>
          <w:t>http://ohccupstate.org/index_htm_files/Safe%20Patient%20Handling%20Survey%20Report%20April%202019%20FINAL.pdf</w:t>
        </w:r>
      </w:hyperlink>
      <w:r w:rsidRPr="008527B1">
        <w:t>. Last accessed 10/21/2021.</w:t>
      </w:r>
    </w:p>
  </w:endnote>
  <w:endnote w:id="27">
    <w:p w14:paraId="33A2FEFC" w14:textId="77777777" w:rsidR="00D1013A" w:rsidRPr="008527B1" w:rsidRDefault="00D1013A" w:rsidP="008D0A0A">
      <w:r w:rsidRPr="008527B1">
        <w:rPr>
          <w:rStyle w:val="EndnoteReference"/>
        </w:rPr>
        <w:endnoteRef/>
      </w:r>
      <w:r w:rsidRPr="008527B1">
        <w:t xml:space="preserve"> The Civil Money Penalty Reinvestment Program and the Centers for Medicare and Medicaid Services Nursing Home Employee Satisfaction Survey.  Available at </w:t>
      </w:r>
      <w:hyperlink r:id="rId19" w:history="1">
        <w:r w:rsidRPr="008527B1">
          <w:t>https:</w:t>
        </w:r>
      </w:hyperlink>
      <w:r w:rsidRPr="008527B1">
        <w:t xml:space="preserve"> </w:t>
      </w:r>
      <w:hyperlink r:id="rId20" w:history="1">
        <w:r w:rsidRPr="008527B1">
          <w:rPr>
            <w:rStyle w:val="Hyperlink"/>
          </w:rPr>
          <w:t>https://www.cms.gov/Medicare/Provider-Enrollment-and-Certification/SurveyCertificationGenInfo/Downloads/CMPRP-Toolkit2-Employee-Satisfaction-Survey.pdf</w:t>
        </w:r>
      </w:hyperlink>
      <w:r w:rsidRPr="008527B1">
        <w:t xml:space="preserve"> .  Last accessed 10/21/2021.</w:t>
      </w:r>
    </w:p>
  </w:endnote>
  <w:endnote w:id="28">
    <w:p w14:paraId="626840D0" w14:textId="63BB088C" w:rsidR="00D1013A" w:rsidRPr="008527B1" w:rsidRDefault="00D1013A">
      <w:pPr>
        <w:pStyle w:val="EndnoteText"/>
      </w:pPr>
      <w:r w:rsidRPr="008527B1">
        <w:rPr>
          <w:rStyle w:val="EndnoteReference"/>
        </w:rPr>
        <w:endnoteRef/>
      </w:r>
      <w:r w:rsidRPr="008527B1">
        <w:t xml:space="preserve"> American Nurses Association Healthy Nurse, Healthy Nation™. Available at </w:t>
      </w:r>
      <w:hyperlink r:id="rId21" w:history="1">
        <w:r w:rsidRPr="008527B1">
          <w:rPr>
            <w:rStyle w:val="Hyperlink"/>
          </w:rPr>
          <w:t>https://www.healthynursehealthynation.org/about/survey/</w:t>
        </w:r>
      </w:hyperlink>
      <w:r w:rsidRPr="008527B1">
        <w:t>. Last accessed 11/2/2021.</w:t>
      </w:r>
    </w:p>
  </w:endnote>
  <w:endnote w:id="29">
    <w:p w14:paraId="6DA39FDB" w14:textId="77777777" w:rsidR="00D1013A" w:rsidRPr="008527B1" w:rsidRDefault="00D1013A" w:rsidP="001E7E30">
      <w:r w:rsidRPr="008527B1">
        <w:endnoteRef/>
      </w:r>
      <w:r w:rsidRPr="008527B1">
        <w:t xml:space="preserve"> Centers for Disease Control and Prevention’s National Center for Health Statistics (2014). National Nursing Assistant Survey.  Funded by the Office of the Assistant Secretary for Planning and Evaluation.  </w:t>
      </w:r>
      <w:hyperlink r:id="rId22" w:history="1">
        <w:r w:rsidRPr="008527B1">
          <w:t>https://www.cdc.gov/nchs/nnhs/nnas.htm</w:t>
        </w:r>
      </w:hyperlink>
      <w:r w:rsidRPr="008527B1">
        <w:t>.  Last accessed 10/21/2021.</w:t>
      </w:r>
    </w:p>
  </w:endnote>
  <w:endnote w:id="30">
    <w:p w14:paraId="2041F3EF" w14:textId="74CB63DC" w:rsidR="00D1013A" w:rsidRPr="008527B1" w:rsidRDefault="00D1013A" w:rsidP="003412B2">
      <w:r w:rsidRPr="008527B1">
        <w:rPr>
          <w:rStyle w:val="EndnoteReference"/>
        </w:rPr>
        <w:endnoteRef/>
      </w:r>
      <w:r w:rsidRPr="008527B1">
        <w:t xml:space="preserve"> Institute for Work &amp; Health (2015). OHS Vulnerability Measure [Survey]. Available at </w:t>
      </w:r>
      <w:hyperlink r:id="rId23" w:history="1">
        <w:r w:rsidRPr="008527B1">
          <w:rPr>
            <w:rStyle w:val="Hyperlink"/>
          </w:rPr>
          <w:t>https://www.iwh.on.ca/sites/iwh/files/iwh/tools/ohs_vulnerability_measure_guide_2017.pdf</w:t>
        </w:r>
      </w:hyperlink>
      <w:r w:rsidRPr="008527B1">
        <w:t>. Last accessed 10/21/2021.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2AEAB" w14:textId="77777777" w:rsidR="00D1013A" w:rsidRDefault="00D1013A">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D3D846" w14:textId="77777777" w:rsidR="00D1013A" w:rsidRDefault="00D10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960" w14:textId="44EFC281" w:rsidR="00D1013A" w:rsidRPr="003A074E" w:rsidRDefault="00D1013A">
    <w:pPr>
      <w:pStyle w:val="Footer"/>
      <w:framePr w:w="576" w:wrap="around" w:vAnchor="page" w:hAnchor="page" w:x="5545" w:y="15121"/>
      <w:jc w:val="right"/>
      <w:rPr>
        <w:rStyle w:val="PageNumber"/>
        <w:rFonts w:ascii="Times New Roman" w:hAnsi="Times New Roman"/>
        <w:sz w:val="24"/>
      </w:rPr>
    </w:pPr>
    <w:r w:rsidRPr="003A074E">
      <w:rPr>
        <w:rStyle w:val="PageNumber"/>
        <w:rFonts w:ascii="Times New Roman" w:hAnsi="Times New Roman"/>
        <w:sz w:val="24"/>
      </w:rPr>
      <w:fldChar w:fldCharType="begin"/>
    </w:r>
    <w:r w:rsidRPr="003A074E">
      <w:rPr>
        <w:rStyle w:val="PageNumber"/>
        <w:rFonts w:ascii="Times New Roman" w:hAnsi="Times New Roman"/>
        <w:sz w:val="24"/>
      </w:rPr>
      <w:instrText xml:space="preserve">PAGE  </w:instrText>
    </w:r>
    <w:r w:rsidRPr="003A074E">
      <w:rPr>
        <w:rStyle w:val="PageNumber"/>
        <w:rFonts w:ascii="Times New Roman" w:hAnsi="Times New Roman"/>
        <w:sz w:val="24"/>
      </w:rPr>
      <w:fldChar w:fldCharType="separate"/>
    </w:r>
    <w:r w:rsidR="002D4261">
      <w:rPr>
        <w:rStyle w:val="PageNumber"/>
        <w:rFonts w:ascii="Times New Roman" w:hAnsi="Times New Roman"/>
        <w:noProof/>
        <w:sz w:val="24"/>
      </w:rPr>
      <w:t>15</w:t>
    </w:r>
    <w:r w:rsidRPr="003A074E">
      <w:rPr>
        <w:rStyle w:val="PageNumber"/>
        <w:rFonts w:ascii="Times New Roman" w:hAnsi="Times New Roman"/>
        <w:sz w:val="24"/>
      </w:rPr>
      <w:fldChar w:fldCharType="end"/>
    </w:r>
  </w:p>
  <w:p w14:paraId="17FAC277" w14:textId="77777777" w:rsidR="00D1013A" w:rsidRDefault="00D1013A" w:rsidP="0038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9A1A5" w14:textId="77777777" w:rsidR="00D1013A" w:rsidRDefault="00D1013A">
      <w:r>
        <w:separator/>
      </w:r>
    </w:p>
  </w:footnote>
  <w:footnote w:type="continuationSeparator" w:id="0">
    <w:p w14:paraId="10494DA8" w14:textId="77777777" w:rsidR="00D1013A" w:rsidRDefault="00D1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1994"/>
    <w:multiLevelType w:val="multilevel"/>
    <w:tmpl w:val="D836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C2D94"/>
    <w:multiLevelType w:val="hybridMultilevel"/>
    <w:tmpl w:val="F7AE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730C8"/>
    <w:multiLevelType w:val="hybridMultilevel"/>
    <w:tmpl w:val="6CB6D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A1150C"/>
    <w:multiLevelType w:val="hybridMultilevel"/>
    <w:tmpl w:val="393AE766"/>
    <w:lvl w:ilvl="0" w:tplc="4DF66236">
      <w:numFmt w:val="bullet"/>
      <w:lvlText w:val="•"/>
      <w:lvlJc w:val="left"/>
      <w:pPr>
        <w:ind w:left="1512" w:hanging="1152"/>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22407"/>
    <w:multiLevelType w:val="hybridMultilevel"/>
    <w:tmpl w:val="919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D2968"/>
    <w:multiLevelType w:val="hybridMultilevel"/>
    <w:tmpl w:val="536CB59C"/>
    <w:lvl w:ilvl="0" w:tplc="A04280F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062419"/>
    <w:multiLevelType w:val="hybridMultilevel"/>
    <w:tmpl w:val="C16A8860"/>
    <w:lvl w:ilvl="0" w:tplc="04090011">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C61AB"/>
    <w:multiLevelType w:val="hybridMultilevel"/>
    <w:tmpl w:val="51BC0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CC3392"/>
    <w:multiLevelType w:val="hybridMultilevel"/>
    <w:tmpl w:val="D84A4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49270DA"/>
    <w:multiLevelType w:val="hybridMultilevel"/>
    <w:tmpl w:val="55647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34C6B10"/>
    <w:multiLevelType w:val="hybridMultilevel"/>
    <w:tmpl w:val="5B6215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E1968"/>
    <w:multiLevelType w:val="hybridMultilevel"/>
    <w:tmpl w:val="CC8EE45C"/>
    <w:lvl w:ilvl="0" w:tplc="42A05D2C">
      <w:start w:val="1"/>
      <w:numFmt w:val="upperRoman"/>
      <w:lvlText w:val="%1."/>
      <w:lvlJc w:val="right"/>
      <w:pPr>
        <w:ind w:left="720" w:hanging="360"/>
      </w:pPr>
      <w:rPr>
        <w:rFonts w:hint="default"/>
        <w:i w:val="0"/>
      </w:rPr>
    </w:lvl>
    <w:lvl w:ilvl="1" w:tplc="589CCC94">
      <w:start w:val="1"/>
      <w:numFmt w:val="decimal"/>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32C58"/>
    <w:multiLevelType w:val="hybridMultilevel"/>
    <w:tmpl w:val="C68C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0"/>
  </w:num>
  <w:num w:numId="5">
    <w:abstractNumId w:val="7"/>
  </w:num>
  <w:num w:numId="6">
    <w:abstractNumId w:val="5"/>
  </w:num>
  <w:num w:numId="7">
    <w:abstractNumId w:val="12"/>
  </w:num>
  <w:num w:numId="8">
    <w:abstractNumId w:val="3"/>
  </w:num>
  <w:num w:numId="9">
    <w:abstractNumId w:val="0"/>
  </w:num>
  <w:num w:numId="10">
    <w:abstractNumId w:val="4"/>
  </w:num>
  <w:num w:numId="11">
    <w:abstractNumId w:val="8"/>
  </w:num>
  <w:num w:numId="12">
    <w:abstractNumId w:val="2"/>
  </w:num>
  <w:num w:numId="13">
    <w:abstractNumId w:val="8"/>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61"/>
    <w:rsid w:val="00000E24"/>
    <w:rsid w:val="00003DF1"/>
    <w:rsid w:val="00004168"/>
    <w:rsid w:val="00006059"/>
    <w:rsid w:val="00006112"/>
    <w:rsid w:val="00006691"/>
    <w:rsid w:val="000117B5"/>
    <w:rsid w:val="00012527"/>
    <w:rsid w:val="00012C91"/>
    <w:rsid w:val="00012DB6"/>
    <w:rsid w:val="000137E3"/>
    <w:rsid w:val="0001387B"/>
    <w:rsid w:val="00013F97"/>
    <w:rsid w:val="00015CA7"/>
    <w:rsid w:val="00016338"/>
    <w:rsid w:val="00017360"/>
    <w:rsid w:val="00017B9E"/>
    <w:rsid w:val="000200F6"/>
    <w:rsid w:val="0002178E"/>
    <w:rsid w:val="00023476"/>
    <w:rsid w:val="000237C9"/>
    <w:rsid w:val="00025A23"/>
    <w:rsid w:val="0002612F"/>
    <w:rsid w:val="00026470"/>
    <w:rsid w:val="00030ADF"/>
    <w:rsid w:val="0003322A"/>
    <w:rsid w:val="00033751"/>
    <w:rsid w:val="00034BAC"/>
    <w:rsid w:val="00034DBF"/>
    <w:rsid w:val="000357AC"/>
    <w:rsid w:val="000366AC"/>
    <w:rsid w:val="000436C9"/>
    <w:rsid w:val="00043753"/>
    <w:rsid w:val="00044EB2"/>
    <w:rsid w:val="00046D85"/>
    <w:rsid w:val="00047650"/>
    <w:rsid w:val="00047716"/>
    <w:rsid w:val="00050A98"/>
    <w:rsid w:val="00050FE6"/>
    <w:rsid w:val="0005180E"/>
    <w:rsid w:val="00051D8E"/>
    <w:rsid w:val="00052A3F"/>
    <w:rsid w:val="00052C23"/>
    <w:rsid w:val="00054B76"/>
    <w:rsid w:val="00055CFD"/>
    <w:rsid w:val="000642AB"/>
    <w:rsid w:val="00065349"/>
    <w:rsid w:val="00065A7B"/>
    <w:rsid w:val="00065B5E"/>
    <w:rsid w:val="00067206"/>
    <w:rsid w:val="00067354"/>
    <w:rsid w:val="00067AF0"/>
    <w:rsid w:val="000708E9"/>
    <w:rsid w:val="000735D4"/>
    <w:rsid w:val="000748C8"/>
    <w:rsid w:val="000761E1"/>
    <w:rsid w:val="000804BF"/>
    <w:rsid w:val="00082D72"/>
    <w:rsid w:val="00085CF8"/>
    <w:rsid w:val="00086453"/>
    <w:rsid w:val="000876D4"/>
    <w:rsid w:val="00087BFB"/>
    <w:rsid w:val="00090A31"/>
    <w:rsid w:val="00090F13"/>
    <w:rsid w:val="0009249F"/>
    <w:rsid w:val="00092D42"/>
    <w:rsid w:val="00094CAE"/>
    <w:rsid w:val="00095106"/>
    <w:rsid w:val="00095C35"/>
    <w:rsid w:val="00095C91"/>
    <w:rsid w:val="00095DFD"/>
    <w:rsid w:val="000962D1"/>
    <w:rsid w:val="00097889"/>
    <w:rsid w:val="000A141E"/>
    <w:rsid w:val="000A2391"/>
    <w:rsid w:val="000A3475"/>
    <w:rsid w:val="000A34EB"/>
    <w:rsid w:val="000A37B3"/>
    <w:rsid w:val="000A3A91"/>
    <w:rsid w:val="000A4B34"/>
    <w:rsid w:val="000A50A4"/>
    <w:rsid w:val="000A5379"/>
    <w:rsid w:val="000A642D"/>
    <w:rsid w:val="000A687C"/>
    <w:rsid w:val="000B0293"/>
    <w:rsid w:val="000B0490"/>
    <w:rsid w:val="000B25B1"/>
    <w:rsid w:val="000B2C52"/>
    <w:rsid w:val="000B48BF"/>
    <w:rsid w:val="000C0309"/>
    <w:rsid w:val="000C16CC"/>
    <w:rsid w:val="000C17F8"/>
    <w:rsid w:val="000C2EC1"/>
    <w:rsid w:val="000C2EC4"/>
    <w:rsid w:val="000C5819"/>
    <w:rsid w:val="000C6BD8"/>
    <w:rsid w:val="000C74A1"/>
    <w:rsid w:val="000C7F54"/>
    <w:rsid w:val="000D026B"/>
    <w:rsid w:val="000D4947"/>
    <w:rsid w:val="000D4E9D"/>
    <w:rsid w:val="000D5D7D"/>
    <w:rsid w:val="000D6FB2"/>
    <w:rsid w:val="000E0DB3"/>
    <w:rsid w:val="000E1199"/>
    <w:rsid w:val="000E1422"/>
    <w:rsid w:val="000E21BA"/>
    <w:rsid w:val="000E2EEF"/>
    <w:rsid w:val="000E32D8"/>
    <w:rsid w:val="000E5BAE"/>
    <w:rsid w:val="000E7227"/>
    <w:rsid w:val="000E725A"/>
    <w:rsid w:val="000E7EA0"/>
    <w:rsid w:val="000F0D3E"/>
    <w:rsid w:val="000F2530"/>
    <w:rsid w:val="000F3595"/>
    <w:rsid w:val="000F47D4"/>
    <w:rsid w:val="000F4EDF"/>
    <w:rsid w:val="000F4F46"/>
    <w:rsid w:val="000F5CC6"/>
    <w:rsid w:val="000F5D19"/>
    <w:rsid w:val="000F7251"/>
    <w:rsid w:val="000F7BED"/>
    <w:rsid w:val="00100DDD"/>
    <w:rsid w:val="00101D28"/>
    <w:rsid w:val="0010300D"/>
    <w:rsid w:val="00103D0F"/>
    <w:rsid w:val="00107DEC"/>
    <w:rsid w:val="001116BA"/>
    <w:rsid w:val="0011206C"/>
    <w:rsid w:val="00113168"/>
    <w:rsid w:val="00113993"/>
    <w:rsid w:val="001152BB"/>
    <w:rsid w:val="001163C7"/>
    <w:rsid w:val="0012035D"/>
    <w:rsid w:val="00120AA8"/>
    <w:rsid w:val="00121332"/>
    <w:rsid w:val="001213B4"/>
    <w:rsid w:val="00121F5D"/>
    <w:rsid w:val="0012285B"/>
    <w:rsid w:val="00124C46"/>
    <w:rsid w:val="00127E95"/>
    <w:rsid w:val="001302F5"/>
    <w:rsid w:val="0013058C"/>
    <w:rsid w:val="00131093"/>
    <w:rsid w:val="00131939"/>
    <w:rsid w:val="00131C26"/>
    <w:rsid w:val="00132CA3"/>
    <w:rsid w:val="00133E0F"/>
    <w:rsid w:val="001349FE"/>
    <w:rsid w:val="00136179"/>
    <w:rsid w:val="00136E68"/>
    <w:rsid w:val="001414D3"/>
    <w:rsid w:val="00144DA2"/>
    <w:rsid w:val="00144ECD"/>
    <w:rsid w:val="00147051"/>
    <w:rsid w:val="00150BD2"/>
    <w:rsid w:val="00151BCD"/>
    <w:rsid w:val="0015401B"/>
    <w:rsid w:val="0015570B"/>
    <w:rsid w:val="00157544"/>
    <w:rsid w:val="001609E2"/>
    <w:rsid w:val="00161BBC"/>
    <w:rsid w:val="00162112"/>
    <w:rsid w:val="00162420"/>
    <w:rsid w:val="0016298E"/>
    <w:rsid w:val="00163989"/>
    <w:rsid w:val="00165920"/>
    <w:rsid w:val="00166C2A"/>
    <w:rsid w:val="001671E7"/>
    <w:rsid w:val="001676D5"/>
    <w:rsid w:val="00167858"/>
    <w:rsid w:val="001704FF"/>
    <w:rsid w:val="001711B9"/>
    <w:rsid w:val="00171DDF"/>
    <w:rsid w:val="001739BC"/>
    <w:rsid w:val="0017401B"/>
    <w:rsid w:val="00175076"/>
    <w:rsid w:val="001753F2"/>
    <w:rsid w:val="001754B0"/>
    <w:rsid w:val="00175902"/>
    <w:rsid w:val="0017771F"/>
    <w:rsid w:val="001777BC"/>
    <w:rsid w:val="00177B44"/>
    <w:rsid w:val="00177BFD"/>
    <w:rsid w:val="00180B53"/>
    <w:rsid w:val="00180BDC"/>
    <w:rsid w:val="00181DCE"/>
    <w:rsid w:val="00182A81"/>
    <w:rsid w:val="00184AB5"/>
    <w:rsid w:val="00185B21"/>
    <w:rsid w:val="0018657A"/>
    <w:rsid w:val="00187059"/>
    <w:rsid w:val="00190033"/>
    <w:rsid w:val="0019245F"/>
    <w:rsid w:val="00192600"/>
    <w:rsid w:val="001928C4"/>
    <w:rsid w:val="00192FB7"/>
    <w:rsid w:val="001933F6"/>
    <w:rsid w:val="001936AB"/>
    <w:rsid w:val="00193B15"/>
    <w:rsid w:val="00194C76"/>
    <w:rsid w:val="00195EB7"/>
    <w:rsid w:val="0019613E"/>
    <w:rsid w:val="00196D72"/>
    <w:rsid w:val="00197756"/>
    <w:rsid w:val="001A02F8"/>
    <w:rsid w:val="001A0F4E"/>
    <w:rsid w:val="001A16CF"/>
    <w:rsid w:val="001A3607"/>
    <w:rsid w:val="001A68AF"/>
    <w:rsid w:val="001B13E5"/>
    <w:rsid w:val="001B1DD3"/>
    <w:rsid w:val="001B4100"/>
    <w:rsid w:val="001B4AA9"/>
    <w:rsid w:val="001B4C0A"/>
    <w:rsid w:val="001B5FDD"/>
    <w:rsid w:val="001B7CD8"/>
    <w:rsid w:val="001C0EE7"/>
    <w:rsid w:val="001C2BF0"/>
    <w:rsid w:val="001C3DAB"/>
    <w:rsid w:val="001C48F8"/>
    <w:rsid w:val="001C4D3B"/>
    <w:rsid w:val="001C513A"/>
    <w:rsid w:val="001C5583"/>
    <w:rsid w:val="001C7421"/>
    <w:rsid w:val="001C7C88"/>
    <w:rsid w:val="001D0916"/>
    <w:rsid w:val="001D16FA"/>
    <w:rsid w:val="001D26F8"/>
    <w:rsid w:val="001D294B"/>
    <w:rsid w:val="001D367A"/>
    <w:rsid w:val="001D6B6C"/>
    <w:rsid w:val="001E18B9"/>
    <w:rsid w:val="001E315F"/>
    <w:rsid w:val="001E452E"/>
    <w:rsid w:val="001E638C"/>
    <w:rsid w:val="001E6403"/>
    <w:rsid w:val="001E6D0C"/>
    <w:rsid w:val="001E76CA"/>
    <w:rsid w:val="001E7E30"/>
    <w:rsid w:val="001F008C"/>
    <w:rsid w:val="001F0D5F"/>
    <w:rsid w:val="001F0DCD"/>
    <w:rsid w:val="001F1A24"/>
    <w:rsid w:val="001F46FF"/>
    <w:rsid w:val="001F4A8A"/>
    <w:rsid w:val="001F5538"/>
    <w:rsid w:val="00200238"/>
    <w:rsid w:val="002003A0"/>
    <w:rsid w:val="00200606"/>
    <w:rsid w:val="0020074F"/>
    <w:rsid w:val="0020113B"/>
    <w:rsid w:val="0020224A"/>
    <w:rsid w:val="00202468"/>
    <w:rsid w:val="002030A9"/>
    <w:rsid w:val="002033C5"/>
    <w:rsid w:val="002033DF"/>
    <w:rsid w:val="00206578"/>
    <w:rsid w:val="00207713"/>
    <w:rsid w:val="0020781F"/>
    <w:rsid w:val="00210BD0"/>
    <w:rsid w:val="00211257"/>
    <w:rsid w:val="002112A0"/>
    <w:rsid w:val="00211E0D"/>
    <w:rsid w:val="00212560"/>
    <w:rsid w:val="00213361"/>
    <w:rsid w:val="0021366F"/>
    <w:rsid w:val="002148C5"/>
    <w:rsid w:val="00215184"/>
    <w:rsid w:val="00216DCE"/>
    <w:rsid w:val="00216DFA"/>
    <w:rsid w:val="002211DA"/>
    <w:rsid w:val="00222050"/>
    <w:rsid w:val="0022206A"/>
    <w:rsid w:val="0022411F"/>
    <w:rsid w:val="002250C6"/>
    <w:rsid w:val="00230084"/>
    <w:rsid w:val="002308C7"/>
    <w:rsid w:val="00230BC7"/>
    <w:rsid w:val="002318C7"/>
    <w:rsid w:val="00231CE6"/>
    <w:rsid w:val="00233E06"/>
    <w:rsid w:val="002349E1"/>
    <w:rsid w:val="00234EF3"/>
    <w:rsid w:val="00236445"/>
    <w:rsid w:val="00236C09"/>
    <w:rsid w:val="00236D6D"/>
    <w:rsid w:val="00237302"/>
    <w:rsid w:val="0024077A"/>
    <w:rsid w:val="0024161F"/>
    <w:rsid w:val="0024613D"/>
    <w:rsid w:val="00247A84"/>
    <w:rsid w:val="00247D92"/>
    <w:rsid w:val="00250D7B"/>
    <w:rsid w:val="0025398D"/>
    <w:rsid w:val="00257751"/>
    <w:rsid w:val="00260260"/>
    <w:rsid w:val="00262784"/>
    <w:rsid w:val="00262ED9"/>
    <w:rsid w:val="002630DD"/>
    <w:rsid w:val="00266286"/>
    <w:rsid w:val="00266D8B"/>
    <w:rsid w:val="00267C3C"/>
    <w:rsid w:val="002700B3"/>
    <w:rsid w:val="00271B41"/>
    <w:rsid w:val="00271DB0"/>
    <w:rsid w:val="00272355"/>
    <w:rsid w:val="00274A1C"/>
    <w:rsid w:val="002813B9"/>
    <w:rsid w:val="00281AA8"/>
    <w:rsid w:val="00281C87"/>
    <w:rsid w:val="00283468"/>
    <w:rsid w:val="00283C07"/>
    <w:rsid w:val="002843A4"/>
    <w:rsid w:val="00284A5F"/>
    <w:rsid w:val="00284E77"/>
    <w:rsid w:val="00287B42"/>
    <w:rsid w:val="00287F9F"/>
    <w:rsid w:val="002900F4"/>
    <w:rsid w:val="00290F38"/>
    <w:rsid w:val="00291087"/>
    <w:rsid w:val="00291686"/>
    <w:rsid w:val="00295441"/>
    <w:rsid w:val="00297A54"/>
    <w:rsid w:val="002A14D6"/>
    <w:rsid w:val="002A1E79"/>
    <w:rsid w:val="002A2A8B"/>
    <w:rsid w:val="002A2EC2"/>
    <w:rsid w:val="002A38BF"/>
    <w:rsid w:val="002A3BA3"/>
    <w:rsid w:val="002A481E"/>
    <w:rsid w:val="002A4963"/>
    <w:rsid w:val="002A5182"/>
    <w:rsid w:val="002A5AD6"/>
    <w:rsid w:val="002A71E1"/>
    <w:rsid w:val="002A7919"/>
    <w:rsid w:val="002A7F6B"/>
    <w:rsid w:val="002B0072"/>
    <w:rsid w:val="002B10C0"/>
    <w:rsid w:val="002B1858"/>
    <w:rsid w:val="002B1BD8"/>
    <w:rsid w:val="002B312B"/>
    <w:rsid w:val="002B358B"/>
    <w:rsid w:val="002B3F36"/>
    <w:rsid w:val="002B4F2E"/>
    <w:rsid w:val="002C0B1B"/>
    <w:rsid w:val="002C3422"/>
    <w:rsid w:val="002C5116"/>
    <w:rsid w:val="002C5384"/>
    <w:rsid w:val="002C626E"/>
    <w:rsid w:val="002C6699"/>
    <w:rsid w:val="002C7BFE"/>
    <w:rsid w:val="002D3B00"/>
    <w:rsid w:val="002D4122"/>
    <w:rsid w:val="002D4261"/>
    <w:rsid w:val="002D48E1"/>
    <w:rsid w:val="002D52C2"/>
    <w:rsid w:val="002D6229"/>
    <w:rsid w:val="002D6431"/>
    <w:rsid w:val="002E0179"/>
    <w:rsid w:val="002E0912"/>
    <w:rsid w:val="002E094D"/>
    <w:rsid w:val="002E0FA4"/>
    <w:rsid w:val="002E1720"/>
    <w:rsid w:val="002E5E3A"/>
    <w:rsid w:val="002E5FED"/>
    <w:rsid w:val="002E67CA"/>
    <w:rsid w:val="002E735A"/>
    <w:rsid w:val="002F019C"/>
    <w:rsid w:val="002F0C82"/>
    <w:rsid w:val="002F1BA8"/>
    <w:rsid w:val="002F2C45"/>
    <w:rsid w:val="002F5DA1"/>
    <w:rsid w:val="002F6F37"/>
    <w:rsid w:val="002F7581"/>
    <w:rsid w:val="002F763F"/>
    <w:rsid w:val="002F7E66"/>
    <w:rsid w:val="003004BB"/>
    <w:rsid w:val="003025E5"/>
    <w:rsid w:val="00303B74"/>
    <w:rsid w:val="00304BDC"/>
    <w:rsid w:val="00304C9F"/>
    <w:rsid w:val="00304FCC"/>
    <w:rsid w:val="003066AE"/>
    <w:rsid w:val="00312519"/>
    <w:rsid w:val="00313F4B"/>
    <w:rsid w:val="003143BD"/>
    <w:rsid w:val="003147BC"/>
    <w:rsid w:val="003161F3"/>
    <w:rsid w:val="0032054F"/>
    <w:rsid w:val="00320634"/>
    <w:rsid w:val="00323FCD"/>
    <w:rsid w:val="00324F7E"/>
    <w:rsid w:val="003251E0"/>
    <w:rsid w:val="00327327"/>
    <w:rsid w:val="0033037C"/>
    <w:rsid w:val="0033093A"/>
    <w:rsid w:val="00330AC8"/>
    <w:rsid w:val="00330D42"/>
    <w:rsid w:val="003321EC"/>
    <w:rsid w:val="00333883"/>
    <w:rsid w:val="00334CC3"/>
    <w:rsid w:val="0033654A"/>
    <w:rsid w:val="003374F4"/>
    <w:rsid w:val="003412B2"/>
    <w:rsid w:val="003412F5"/>
    <w:rsid w:val="003416E6"/>
    <w:rsid w:val="003426D4"/>
    <w:rsid w:val="00342BB7"/>
    <w:rsid w:val="00342E5C"/>
    <w:rsid w:val="0034380E"/>
    <w:rsid w:val="0034425E"/>
    <w:rsid w:val="003442B1"/>
    <w:rsid w:val="00344CF4"/>
    <w:rsid w:val="0034684E"/>
    <w:rsid w:val="00350E68"/>
    <w:rsid w:val="00351FED"/>
    <w:rsid w:val="0035373D"/>
    <w:rsid w:val="00354DC9"/>
    <w:rsid w:val="003561B0"/>
    <w:rsid w:val="00356BBB"/>
    <w:rsid w:val="00360F34"/>
    <w:rsid w:val="00363799"/>
    <w:rsid w:val="003642E9"/>
    <w:rsid w:val="00366536"/>
    <w:rsid w:val="003665C7"/>
    <w:rsid w:val="00367079"/>
    <w:rsid w:val="00367345"/>
    <w:rsid w:val="00374120"/>
    <w:rsid w:val="003746CE"/>
    <w:rsid w:val="003758A8"/>
    <w:rsid w:val="00376292"/>
    <w:rsid w:val="003765FA"/>
    <w:rsid w:val="00380A64"/>
    <w:rsid w:val="00380D0C"/>
    <w:rsid w:val="003826B3"/>
    <w:rsid w:val="00384C05"/>
    <w:rsid w:val="00384DB7"/>
    <w:rsid w:val="003852C9"/>
    <w:rsid w:val="0038556C"/>
    <w:rsid w:val="003859F2"/>
    <w:rsid w:val="003874C7"/>
    <w:rsid w:val="00387965"/>
    <w:rsid w:val="003902D0"/>
    <w:rsid w:val="00390494"/>
    <w:rsid w:val="003908A6"/>
    <w:rsid w:val="00393377"/>
    <w:rsid w:val="00393EE3"/>
    <w:rsid w:val="00395DB1"/>
    <w:rsid w:val="00396A19"/>
    <w:rsid w:val="00396BC7"/>
    <w:rsid w:val="00397D3B"/>
    <w:rsid w:val="003A074E"/>
    <w:rsid w:val="003A35B6"/>
    <w:rsid w:val="003A42A5"/>
    <w:rsid w:val="003A472C"/>
    <w:rsid w:val="003A4E33"/>
    <w:rsid w:val="003A4FBE"/>
    <w:rsid w:val="003A5074"/>
    <w:rsid w:val="003A5EFA"/>
    <w:rsid w:val="003A7504"/>
    <w:rsid w:val="003A7C0E"/>
    <w:rsid w:val="003B020A"/>
    <w:rsid w:val="003B191F"/>
    <w:rsid w:val="003B1A4B"/>
    <w:rsid w:val="003B1C64"/>
    <w:rsid w:val="003B1F1B"/>
    <w:rsid w:val="003B31B8"/>
    <w:rsid w:val="003B3E67"/>
    <w:rsid w:val="003B5495"/>
    <w:rsid w:val="003B6B5D"/>
    <w:rsid w:val="003B729B"/>
    <w:rsid w:val="003C0D3C"/>
    <w:rsid w:val="003C24EF"/>
    <w:rsid w:val="003C354C"/>
    <w:rsid w:val="003C366B"/>
    <w:rsid w:val="003D0095"/>
    <w:rsid w:val="003D1394"/>
    <w:rsid w:val="003D2018"/>
    <w:rsid w:val="003D2559"/>
    <w:rsid w:val="003D36AB"/>
    <w:rsid w:val="003D3D00"/>
    <w:rsid w:val="003D4669"/>
    <w:rsid w:val="003D5983"/>
    <w:rsid w:val="003E376D"/>
    <w:rsid w:val="003E3AE0"/>
    <w:rsid w:val="003E406D"/>
    <w:rsid w:val="003E529E"/>
    <w:rsid w:val="003E6A62"/>
    <w:rsid w:val="003F1422"/>
    <w:rsid w:val="003F4206"/>
    <w:rsid w:val="003F4788"/>
    <w:rsid w:val="003F47FA"/>
    <w:rsid w:val="003F66D9"/>
    <w:rsid w:val="003F6BC4"/>
    <w:rsid w:val="003F738E"/>
    <w:rsid w:val="003F7868"/>
    <w:rsid w:val="00400D38"/>
    <w:rsid w:val="00403A68"/>
    <w:rsid w:val="004049B1"/>
    <w:rsid w:val="00404BC6"/>
    <w:rsid w:val="00405031"/>
    <w:rsid w:val="0040503E"/>
    <w:rsid w:val="00406FCE"/>
    <w:rsid w:val="0040746B"/>
    <w:rsid w:val="0041280C"/>
    <w:rsid w:val="00413B85"/>
    <w:rsid w:val="00413BFC"/>
    <w:rsid w:val="00414B3C"/>
    <w:rsid w:val="004151F8"/>
    <w:rsid w:val="00417C3B"/>
    <w:rsid w:val="0042006B"/>
    <w:rsid w:val="004204E8"/>
    <w:rsid w:val="0042302B"/>
    <w:rsid w:val="004235AA"/>
    <w:rsid w:val="004239E6"/>
    <w:rsid w:val="00424EEA"/>
    <w:rsid w:val="00426150"/>
    <w:rsid w:val="00426266"/>
    <w:rsid w:val="00427844"/>
    <w:rsid w:val="00431532"/>
    <w:rsid w:val="00431BE2"/>
    <w:rsid w:val="00432106"/>
    <w:rsid w:val="00432AF3"/>
    <w:rsid w:val="00433B47"/>
    <w:rsid w:val="00435ADA"/>
    <w:rsid w:val="0043662E"/>
    <w:rsid w:val="00437F79"/>
    <w:rsid w:val="004411E8"/>
    <w:rsid w:val="0044209B"/>
    <w:rsid w:val="004420BA"/>
    <w:rsid w:val="004445CB"/>
    <w:rsid w:val="004448FF"/>
    <w:rsid w:val="00444E9E"/>
    <w:rsid w:val="00445062"/>
    <w:rsid w:val="00446237"/>
    <w:rsid w:val="00446CC2"/>
    <w:rsid w:val="00447A17"/>
    <w:rsid w:val="004506B2"/>
    <w:rsid w:val="00450899"/>
    <w:rsid w:val="00450E4C"/>
    <w:rsid w:val="00451AEA"/>
    <w:rsid w:val="00452F9A"/>
    <w:rsid w:val="00453F1C"/>
    <w:rsid w:val="004563FE"/>
    <w:rsid w:val="00456BBB"/>
    <w:rsid w:val="0045750A"/>
    <w:rsid w:val="004578F7"/>
    <w:rsid w:val="004620B2"/>
    <w:rsid w:val="004621B2"/>
    <w:rsid w:val="0046313F"/>
    <w:rsid w:val="0046336B"/>
    <w:rsid w:val="004642BA"/>
    <w:rsid w:val="00465056"/>
    <w:rsid w:val="00465848"/>
    <w:rsid w:val="00467704"/>
    <w:rsid w:val="00473FA4"/>
    <w:rsid w:val="0047429C"/>
    <w:rsid w:val="00474935"/>
    <w:rsid w:val="0047497A"/>
    <w:rsid w:val="00474B31"/>
    <w:rsid w:val="00474C4B"/>
    <w:rsid w:val="00474C61"/>
    <w:rsid w:val="00476766"/>
    <w:rsid w:val="00476C50"/>
    <w:rsid w:val="00476D0D"/>
    <w:rsid w:val="00480D19"/>
    <w:rsid w:val="004818C7"/>
    <w:rsid w:val="00483332"/>
    <w:rsid w:val="00483835"/>
    <w:rsid w:val="00483A9A"/>
    <w:rsid w:val="00483BEA"/>
    <w:rsid w:val="00485763"/>
    <w:rsid w:val="00490A5E"/>
    <w:rsid w:val="00490C78"/>
    <w:rsid w:val="00492371"/>
    <w:rsid w:val="004932C3"/>
    <w:rsid w:val="0049411A"/>
    <w:rsid w:val="00496A66"/>
    <w:rsid w:val="00496EC4"/>
    <w:rsid w:val="00496F64"/>
    <w:rsid w:val="004A003D"/>
    <w:rsid w:val="004A0CE1"/>
    <w:rsid w:val="004A1477"/>
    <w:rsid w:val="004A1CFD"/>
    <w:rsid w:val="004A4492"/>
    <w:rsid w:val="004A47FA"/>
    <w:rsid w:val="004A611A"/>
    <w:rsid w:val="004A6A0A"/>
    <w:rsid w:val="004A6BEF"/>
    <w:rsid w:val="004A7CB0"/>
    <w:rsid w:val="004A7E56"/>
    <w:rsid w:val="004B058C"/>
    <w:rsid w:val="004B611E"/>
    <w:rsid w:val="004B7393"/>
    <w:rsid w:val="004C1E37"/>
    <w:rsid w:val="004C2187"/>
    <w:rsid w:val="004C34C6"/>
    <w:rsid w:val="004C4569"/>
    <w:rsid w:val="004C4EF9"/>
    <w:rsid w:val="004C5A6A"/>
    <w:rsid w:val="004C5F80"/>
    <w:rsid w:val="004C76B3"/>
    <w:rsid w:val="004D09CC"/>
    <w:rsid w:val="004D0EB7"/>
    <w:rsid w:val="004D12E6"/>
    <w:rsid w:val="004D1530"/>
    <w:rsid w:val="004D241D"/>
    <w:rsid w:val="004D28C3"/>
    <w:rsid w:val="004D3C79"/>
    <w:rsid w:val="004D4BAC"/>
    <w:rsid w:val="004D4ECD"/>
    <w:rsid w:val="004D5032"/>
    <w:rsid w:val="004D574C"/>
    <w:rsid w:val="004D5823"/>
    <w:rsid w:val="004D62BF"/>
    <w:rsid w:val="004D762C"/>
    <w:rsid w:val="004E3258"/>
    <w:rsid w:val="004E32E7"/>
    <w:rsid w:val="004E5E96"/>
    <w:rsid w:val="004F0F20"/>
    <w:rsid w:val="004F40DB"/>
    <w:rsid w:val="004F436F"/>
    <w:rsid w:val="004F6793"/>
    <w:rsid w:val="0050004E"/>
    <w:rsid w:val="005006CD"/>
    <w:rsid w:val="00500A2B"/>
    <w:rsid w:val="00502A66"/>
    <w:rsid w:val="005039B6"/>
    <w:rsid w:val="00503B44"/>
    <w:rsid w:val="005055E4"/>
    <w:rsid w:val="00505819"/>
    <w:rsid w:val="00505A66"/>
    <w:rsid w:val="00506B88"/>
    <w:rsid w:val="00512039"/>
    <w:rsid w:val="00512104"/>
    <w:rsid w:val="005125A7"/>
    <w:rsid w:val="00513768"/>
    <w:rsid w:val="005159F8"/>
    <w:rsid w:val="005171AF"/>
    <w:rsid w:val="00520106"/>
    <w:rsid w:val="005214F1"/>
    <w:rsid w:val="00521983"/>
    <w:rsid w:val="00523860"/>
    <w:rsid w:val="00523B5C"/>
    <w:rsid w:val="005258E9"/>
    <w:rsid w:val="0052643D"/>
    <w:rsid w:val="005303A5"/>
    <w:rsid w:val="00531077"/>
    <w:rsid w:val="005310B2"/>
    <w:rsid w:val="005319BF"/>
    <w:rsid w:val="00531CAB"/>
    <w:rsid w:val="005360DD"/>
    <w:rsid w:val="0053642C"/>
    <w:rsid w:val="00536DB1"/>
    <w:rsid w:val="0053705B"/>
    <w:rsid w:val="005409BD"/>
    <w:rsid w:val="005416A6"/>
    <w:rsid w:val="005423F7"/>
    <w:rsid w:val="005432BA"/>
    <w:rsid w:val="00545ADE"/>
    <w:rsid w:val="0054654E"/>
    <w:rsid w:val="0055071D"/>
    <w:rsid w:val="0055135E"/>
    <w:rsid w:val="00551845"/>
    <w:rsid w:val="005522DC"/>
    <w:rsid w:val="0055393B"/>
    <w:rsid w:val="00553F0A"/>
    <w:rsid w:val="005540E9"/>
    <w:rsid w:val="00554B62"/>
    <w:rsid w:val="00554CAF"/>
    <w:rsid w:val="0055505C"/>
    <w:rsid w:val="00555F00"/>
    <w:rsid w:val="00556C72"/>
    <w:rsid w:val="00556DF3"/>
    <w:rsid w:val="0055755B"/>
    <w:rsid w:val="005601C3"/>
    <w:rsid w:val="00560869"/>
    <w:rsid w:val="005615AD"/>
    <w:rsid w:val="00561604"/>
    <w:rsid w:val="0056316F"/>
    <w:rsid w:val="00565326"/>
    <w:rsid w:val="00565937"/>
    <w:rsid w:val="00565A75"/>
    <w:rsid w:val="00565B4D"/>
    <w:rsid w:val="00566930"/>
    <w:rsid w:val="00566CFD"/>
    <w:rsid w:val="0056703D"/>
    <w:rsid w:val="005676B6"/>
    <w:rsid w:val="0057087C"/>
    <w:rsid w:val="00571098"/>
    <w:rsid w:val="00571429"/>
    <w:rsid w:val="00571984"/>
    <w:rsid w:val="00571FC1"/>
    <w:rsid w:val="005724D6"/>
    <w:rsid w:val="005739F8"/>
    <w:rsid w:val="0057474F"/>
    <w:rsid w:val="00574B06"/>
    <w:rsid w:val="00575BB6"/>
    <w:rsid w:val="00577626"/>
    <w:rsid w:val="00580E7E"/>
    <w:rsid w:val="00581770"/>
    <w:rsid w:val="005818A5"/>
    <w:rsid w:val="00581C43"/>
    <w:rsid w:val="00581D5C"/>
    <w:rsid w:val="00581E66"/>
    <w:rsid w:val="00582739"/>
    <w:rsid w:val="00582BED"/>
    <w:rsid w:val="00582CB9"/>
    <w:rsid w:val="00583F4F"/>
    <w:rsid w:val="00583FDD"/>
    <w:rsid w:val="0058485A"/>
    <w:rsid w:val="00586661"/>
    <w:rsid w:val="005874BF"/>
    <w:rsid w:val="0058784C"/>
    <w:rsid w:val="0059557C"/>
    <w:rsid w:val="0059610A"/>
    <w:rsid w:val="005A01F6"/>
    <w:rsid w:val="005A026A"/>
    <w:rsid w:val="005A1E03"/>
    <w:rsid w:val="005A2564"/>
    <w:rsid w:val="005A2787"/>
    <w:rsid w:val="005A349C"/>
    <w:rsid w:val="005A3D80"/>
    <w:rsid w:val="005A43EA"/>
    <w:rsid w:val="005A4F9B"/>
    <w:rsid w:val="005A4FFD"/>
    <w:rsid w:val="005A66FB"/>
    <w:rsid w:val="005B21A6"/>
    <w:rsid w:val="005B25AD"/>
    <w:rsid w:val="005B3296"/>
    <w:rsid w:val="005B3C46"/>
    <w:rsid w:val="005B4227"/>
    <w:rsid w:val="005B6720"/>
    <w:rsid w:val="005B6732"/>
    <w:rsid w:val="005B68A4"/>
    <w:rsid w:val="005C036B"/>
    <w:rsid w:val="005C133F"/>
    <w:rsid w:val="005C40AF"/>
    <w:rsid w:val="005C589F"/>
    <w:rsid w:val="005C5F75"/>
    <w:rsid w:val="005C6199"/>
    <w:rsid w:val="005C7F44"/>
    <w:rsid w:val="005D0FAB"/>
    <w:rsid w:val="005D4044"/>
    <w:rsid w:val="005E4BDC"/>
    <w:rsid w:val="005E5209"/>
    <w:rsid w:val="005E634F"/>
    <w:rsid w:val="005E72B9"/>
    <w:rsid w:val="005E7BE2"/>
    <w:rsid w:val="005F0DBC"/>
    <w:rsid w:val="005F10D1"/>
    <w:rsid w:val="005F1F2E"/>
    <w:rsid w:val="005F2D9B"/>
    <w:rsid w:val="005F4E96"/>
    <w:rsid w:val="005F5C3C"/>
    <w:rsid w:val="005F79B9"/>
    <w:rsid w:val="00600F3A"/>
    <w:rsid w:val="006027DF"/>
    <w:rsid w:val="0060355F"/>
    <w:rsid w:val="006056F1"/>
    <w:rsid w:val="00610221"/>
    <w:rsid w:val="00611158"/>
    <w:rsid w:val="0061127A"/>
    <w:rsid w:val="00611BAB"/>
    <w:rsid w:val="00611EAA"/>
    <w:rsid w:val="006138AA"/>
    <w:rsid w:val="006155DF"/>
    <w:rsid w:val="00616008"/>
    <w:rsid w:val="00620618"/>
    <w:rsid w:val="00621651"/>
    <w:rsid w:val="00621A97"/>
    <w:rsid w:val="00623AC7"/>
    <w:rsid w:val="0062711E"/>
    <w:rsid w:val="00627BFD"/>
    <w:rsid w:val="00627DEE"/>
    <w:rsid w:val="006332B8"/>
    <w:rsid w:val="00634D9E"/>
    <w:rsid w:val="00634DCA"/>
    <w:rsid w:val="00634EF0"/>
    <w:rsid w:val="00635002"/>
    <w:rsid w:val="0063567F"/>
    <w:rsid w:val="00636DA4"/>
    <w:rsid w:val="0063784E"/>
    <w:rsid w:val="00640B63"/>
    <w:rsid w:val="00640D71"/>
    <w:rsid w:val="00641780"/>
    <w:rsid w:val="00641F71"/>
    <w:rsid w:val="006441FA"/>
    <w:rsid w:val="006444D5"/>
    <w:rsid w:val="00644CA3"/>
    <w:rsid w:val="006450DA"/>
    <w:rsid w:val="0064510B"/>
    <w:rsid w:val="00645A56"/>
    <w:rsid w:val="00645F14"/>
    <w:rsid w:val="006461B3"/>
    <w:rsid w:val="00650601"/>
    <w:rsid w:val="0065326D"/>
    <w:rsid w:val="0065624B"/>
    <w:rsid w:val="00656B74"/>
    <w:rsid w:val="006575C0"/>
    <w:rsid w:val="00661146"/>
    <w:rsid w:val="00661756"/>
    <w:rsid w:val="0066259A"/>
    <w:rsid w:val="006631B6"/>
    <w:rsid w:val="0066333F"/>
    <w:rsid w:val="00663504"/>
    <w:rsid w:val="006635C4"/>
    <w:rsid w:val="006636FD"/>
    <w:rsid w:val="00664585"/>
    <w:rsid w:val="0066640A"/>
    <w:rsid w:val="0066725E"/>
    <w:rsid w:val="00670774"/>
    <w:rsid w:val="00671199"/>
    <w:rsid w:val="00671306"/>
    <w:rsid w:val="006715F4"/>
    <w:rsid w:val="00671A01"/>
    <w:rsid w:val="00672E39"/>
    <w:rsid w:val="00675B28"/>
    <w:rsid w:val="0067768B"/>
    <w:rsid w:val="00680002"/>
    <w:rsid w:val="00680008"/>
    <w:rsid w:val="0068096A"/>
    <w:rsid w:val="00683912"/>
    <w:rsid w:val="006840F5"/>
    <w:rsid w:val="00684341"/>
    <w:rsid w:val="0068447E"/>
    <w:rsid w:val="00685981"/>
    <w:rsid w:val="006860A1"/>
    <w:rsid w:val="00686284"/>
    <w:rsid w:val="00686F40"/>
    <w:rsid w:val="0068797C"/>
    <w:rsid w:val="00687C77"/>
    <w:rsid w:val="00687D73"/>
    <w:rsid w:val="00691D27"/>
    <w:rsid w:val="00691EDB"/>
    <w:rsid w:val="00692247"/>
    <w:rsid w:val="00694335"/>
    <w:rsid w:val="0069563F"/>
    <w:rsid w:val="00695793"/>
    <w:rsid w:val="00695B92"/>
    <w:rsid w:val="00695EFB"/>
    <w:rsid w:val="00697397"/>
    <w:rsid w:val="006A00E2"/>
    <w:rsid w:val="006A164A"/>
    <w:rsid w:val="006A2893"/>
    <w:rsid w:val="006A2E72"/>
    <w:rsid w:val="006A3670"/>
    <w:rsid w:val="006A36C0"/>
    <w:rsid w:val="006A56C5"/>
    <w:rsid w:val="006A6058"/>
    <w:rsid w:val="006A6269"/>
    <w:rsid w:val="006A7FFD"/>
    <w:rsid w:val="006B00CE"/>
    <w:rsid w:val="006B0624"/>
    <w:rsid w:val="006B1967"/>
    <w:rsid w:val="006B2C66"/>
    <w:rsid w:val="006B2C8B"/>
    <w:rsid w:val="006B4F0A"/>
    <w:rsid w:val="006B56AA"/>
    <w:rsid w:val="006B6655"/>
    <w:rsid w:val="006B6C86"/>
    <w:rsid w:val="006C10DC"/>
    <w:rsid w:val="006C131A"/>
    <w:rsid w:val="006C1F1C"/>
    <w:rsid w:val="006C2838"/>
    <w:rsid w:val="006C3C40"/>
    <w:rsid w:val="006C40CE"/>
    <w:rsid w:val="006C5F76"/>
    <w:rsid w:val="006C6EE4"/>
    <w:rsid w:val="006C73F1"/>
    <w:rsid w:val="006C769D"/>
    <w:rsid w:val="006C7913"/>
    <w:rsid w:val="006D18D8"/>
    <w:rsid w:val="006D1D07"/>
    <w:rsid w:val="006D2082"/>
    <w:rsid w:val="006D3FFE"/>
    <w:rsid w:val="006D4505"/>
    <w:rsid w:val="006D49E4"/>
    <w:rsid w:val="006D56DA"/>
    <w:rsid w:val="006D6CBD"/>
    <w:rsid w:val="006E11A5"/>
    <w:rsid w:val="006E3134"/>
    <w:rsid w:val="006E40A9"/>
    <w:rsid w:val="006E50AC"/>
    <w:rsid w:val="006E56BE"/>
    <w:rsid w:val="006E6190"/>
    <w:rsid w:val="006E7313"/>
    <w:rsid w:val="006E7551"/>
    <w:rsid w:val="006F03C2"/>
    <w:rsid w:val="006F0661"/>
    <w:rsid w:val="006F1CC6"/>
    <w:rsid w:val="006F2662"/>
    <w:rsid w:val="006F3887"/>
    <w:rsid w:val="006F3C73"/>
    <w:rsid w:val="006F4188"/>
    <w:rsid w:val="006F6526"/>
    <w:rsid w:val="006F6F96"/>
    <w:rsid w:val="0070013C"/>
    <w:rsid w:val="0070147E"/>
    <w:rsid w:val="007016A7"/>
    <w:rsid w:val="00701853"/>
    <w:rsid w:val="0070225F"/>
    <w:rsid w:val="0070244E"/>
    <w:rsid w:val="00703B14"/>
    <w:rsid w:val="0070407B"/>
    <w:rsid w:val="0070550E"/>
    <w:rsid w:val="007056FA"/>
    <w:rsid w:val="00705D68"/>
    <w:rsid w:val="0070607F"/>
    <w:rsid w:val="00706735"/>
    <w:rsid w:val="0070750C"/>
    <w:rsid w:val="007075CF"/>
    <w:rsid w:val="0070770A"/>
    <w:rsid w:val="00710945"/>
    <w:rsid w:val="007122AA"/>
    <w:rsid w:val="007125BD"/>
    <w:rsid w:val="007138AF"/>
    <w:rsid w:val="0071504C"/>
    <w:rsid w:val="00715F40"/>
    <w:rsid w:val="00716493"/>
    <w:rsid w:val="00716AE9"/>
    <w:rsid w:val="007171A0"/>
    <w:rsid w:val="0071781D"/>
    <w:rsid w:val="007201ED"/>
    <w:rsid w:val="0072164D"/>
    <w:rsid w:val="007217AA"/>
    <w:rsid w:val="00722B9A"/>
    <w:rsid w:val="00723CF9"/>
    <w:rsid w:val="007256CB"/>
    <w:rsid w:val="00725B6B"/>
    <w:rsid w:val="00726493"/>
    <w:rsid w:val="00730346"/>
    <w:rsid w:val="007317D1"/>
    <w:rsid w:val="0073198C"/>
    <w:rsid w:val="007324AF"/>
    <w:rsid w:val="007325D7"/>
    <w:rsid w:val="00733845"/>
    <w:rsid w:val="00733EA7"/>
    <w:rsid w:val="00734543"/>
    <w:rsid w:val="00735500"/>
    <w:rsid w:val="00740DCD"/>
    <w:rsid w:val="00741423"/>
    <w:rsid w:val="00741BFF"/>
    <w:rsid w:val="00742241"/>
    <w:rsid w:val="007439B6"/>
    <w:rsid w:val="00743E46"/>
    <w:rsid w:val="00745DE7"/>
    <w:rsid w:val="00747121"/>
    <w:rsid w:val="00747259"/>
    <w:rsid w:val="0074731F"/>
    <w:rsid w:val="007516E8"/>
    <w:rsid w:val="00752416"/>
    <w:rsid w:val="00753B3D"/>
    <w:rsid w:val="00754866"/>
    <w:rsid w:val="00754A71"/>
    <w:rsid w:val="00754F13"/>
    <w:rsid w:val="007564D9"/>
    <w:rsid w:val="00756CE2"/>
    <w:rsid w:val="00760494"/>
    <w:rsid w:val="00761E6E"/>
    <w:rsid w:val="007620C3"/>
    <w:rsid w:val="0076612D"/>
    <w:rsid w:val="007674A8"/>
    <w:rsid w:val="007677D2"/>
    <w:rsid w:val="00767C9B"/>
    <w:rsid w:val="00770A38"/>
    <w:rsid w:val="00770D38"/>
    <w:rsid w:val="00770FA1"/>
    <w:rsid w:val="0077144E"/>
    <w:rsid w:val="0077196C"/>
    <w:rsid w:val="007737F8"/>
    <w:rsid w:val="007743BC"/>
    <w:rsid w:val="00774431"/>
    <w:rsid w:val="00776BEA"/>
    <w:rsid w:val="007779A1"/>
    <w:rsid w:val="00780247"/>
    <w:rsid w:val="007807F8"/>
    <w:rsid w:val="007817CC"/>
    <w:rsid w:val="00783B2C"/>
    <w:rsid w:val="007847E9"/>
    <w:rsid w:val="00784D25"/>
    <w:rsid w:val="00786CC4"/>
    <w:rsid w:val="00786DFD"/>
    <w:rsid w:val="00787411"/>
    <w:rsid w:val="0079222A"/>
    <w:rsid w:val="00792455"/>
    <w:rsid w:val="00792ABA"/>
    <w:rsid w:val="007932AB"/>
    <w:rsid w:val="00796C5D"/>
    <w:rsid w:val="0079770B"/>
    <w:rsid w:val="00797E82"/>
    <w:rsid w:val="007A2B3D"/>
    <w:rsid w:val="007A35CD"/>
    <w:rsid w:val="007A7FD8"/>
    <w:rsid w:val="007B085B"/>
    <w:rsid w:val="007B0E76"/>
    <w:rsid w:val="007B1F11"/>
    <w:rsid w:val="007B4AE5"/>
    <w:rsid w:val="007B5E7A"/>
    <w:rsid w:val="007B6019"/>
    <w:rsid w:val="007B6379"/>
    <w:rsid w:val="007B6BBB"/>
    <w:rsid w:val="007C08AB"/>
    <w:rsid w:val="007C0CA6"/>
    <w:rsid w:val="007C2153"/>
    <w:rsid w:val="007C2307"/>
    <w:rsid w:val="007C303D"/>
    <w:rsid w:val="007C3C9C"/>
    <w:rsid w:val="007C50D0"/>
    <w:rsid w:val="007C54AA"/>
    <w:rsid w:val="007C5B40"/>
    <w:rsid w:val="007D39DF"/>
    <w:rsid w:val="007D4AAE"/>
    <w:rsid w:val="007D53F8"/>
    <w:rsid w:val="007D6E53"/>
    <w:rsid w:val="007D7D61"/>
    <w:rsid w:val="007E0297"/>
    <w:rsid w:val="007E2449"/>
    <w:rsid w:val="007E7063"/>
    <w:rsid w:val="007F0536"/>
    <w:rsid w:val="007F0E22"/>
    <w:rsid w:val="007F16D9"/>
    <w:rsid w:val="007F59C2"/>
    <w:rsid w:val="00801D71"/>
    <w:rsid w:val="00802AA0"/>
    <w:rsid w:val="00803406"/>
    <w:rsid w:val="00810325"/>
    <w:rsid w:val="00810436"/>
    <w:rsid w:val="0081084E"/>
    <w:rsid w:val="00811272"/>
    <w:rsid w:val="00811992"/>
    <w:rsid w:val="00812FFC"/>
    <w:rsid w:val="0081432A"/>
    <w:rsid w:val="008200FB"/>
    <w:rsid w:val="008207C5"/>
    <w:rsid w:val="008222EE"/>
    <w:rsid w:val="008226FF"/>
    <w:rsid w:val="00824618"/>
    <w:rsid w:val="00826FDA"/>
    <w:rsid w:val="0082752F"/>
    <w:rsid w:val="00827FA6"/>
    <w:rsid w:val="00830E86"/>
    <w:rsid w:val="00833BAC"/>
    <w:rsid w:val="00834C5B"/>
    <w:rsid w:val="00834E1F"/>
    <w:rsid w:val="008376AF"/>
    <w:rsid w:val="008377FD"/>
    <w:rsid w:val="00841548"/>
    <w:rsid w:val="00841FA9"/>
    <w:rsid w:val="00842863"/>
    <w:rsid w:val="00843138"/>
    <w:rsid w:val="00843E8D"/>
    <w:rsid w:val="00844A74"/>
    <w:rsid w:val="00844AC5"/>
    <w:rsid w:val="0084643A"/>
    <w:rsid w:val="00847135"/>
    <w:rsid w:val="00847BB5"/>
    <w:rsid w:val="00850363"/>
    <w:rsid w:val="00850E24"/>
    <w:rsid w:val="00850E7A"/>
    <w:rsid w:val="008516D6"/>
    <w:rsid w:val="00851729"/>
    <w:rsid w:val="008527B1"/>
    <w:rsid w:val="00854C19"/>
    <w:rsid w:val="00857B73"/>
    <w:rsid w:val="00857DB8"/>
    <w:rsid w:val="00860CD5"/>
    <w:rsid w:val="00861C9E"/>
    <w:rsid w:val="00861D59"/>
    <w:rsid w:val="00863732"/>
    <w:rsid w:val="00865BD9"/>
    <w:rsid w:val="00865E38"/>
    <w:rsid w:val="0086634F"/>
    <w:rsid w:val="00866365"/>
    <w:rsid w:val="00866376"/>
    <w:rsid w:val="008666AD"/>
    <w:rsid w:val="008700A6"/>
    <w:rsid w:val="0087118B"/>
    <w:rsid w:val="00871B7A"/>
    <w:rsid w:val="00872C51"/>
    <w:rsid w:val="008732A1"/>
    <w:rsid w:val="008732C2"/>
    <w:rsid w:val="0087355A"/>
    <w:rsid w:val="0087428B"/>
    <w:rsid w:val="008757D9"/>
    <w:rsid w:val="00876E02"/>
    <w:rsid w:val="008770A4"/>
    <w:rsid w:val="00877B4F"/>
    <w:rsid w:val="008854B9"/>
    <w:rsid w:val="00886A66"/>
    <w:rsid w:val="0088746D"/>
    <w:rsid w:val="008908AB"/>
    <w:rsid w:val="00890B8A"/>
    <w:rsid w:val="008915B2"/>
    <w:rsid w:val="008941B8"/>
    <w:rsid w:val="0089444E"/>
    <w:rsid w:val="00896C0D"/>
    <w:rsid w:val="008971D1"/>
    <w:rsid w:val="008A08A7"/>
    <w:rsid w:val="008A19BC"/>
    <w:rsid w:val="008A20BC"/>
    <w:rsid w:val="008A22DD"/>
    <w:rsid w:val="008A2DF5"/>
    <w:rsid w:val="008A555B"/>
    <w:rsid w:val="008A5CB6"/>
    <w:rsid w:val="008B0A77"/>
    <w:rsid w:val="008B1271"/>
    <w:rsid w:val="008B332E"/>
    <w:rsid w:val="008B43D4"/>
    <w:rsid w:val="008B4886"/>
    <w:rsid w:val="008B5136"/>
    <w:rsid w:val="008B5819"/>
    <w:rsid w:val="008B5EBB"/>
    <w:rsid w:val="008B5EDB"/>
    <w:rsid w:val="008B64FF"/>
    <w:rsid w:val="008C054A"/>
    <w:rsid w:val="008C1538"/>
    <w:rsid w:val="008C1CF3"/>
    <w:rsid w:val="008C514B"/>
    <w:rsid w:val="008C5826"/>
    <w:rsid w:val="008C5AE1"/>
    <w:rsid w:val="008C5B0F"/>
    <w:rsid w:val="008D0A0A"/>
    <w:rsid w:val="008D0DF9"/>
    <w:rsid w:val="008D11CE"/>
    <w:rsid w:val="008D2620"/>
    <w:rsid w:val="008D2B3F"/>
    <w:rsid w:val="008D4C71"/>
    <w:rsid w:val="008D5175"/>
    <w:rsid w:val="008D5AA7"/>
    <w:rsid w:val="008D6518"/>
    <w:rsid w:val="008D681F"/>
    <w:rsid w:val="008D6E30"/>
    <w:rsid w:val="008D7061"/>
    <w:rsid w:val="008D7739"/>
    <w:rsid w:val="008E228A"/>
    <w:rsid w:val="008E2AB0"/>
    <w:rsid w:val="008E554C"/>
    <w:rsid w:val="008E793E"/>
    <w:rsid w:val="008F038B"/>
    <w:rsid w:val="008F07CB"/>
    <w:rsid w:val="008F0C77"/>
    <w:rsid w:val="008F17A0"/>
    <w:rsid w:val="008F1A24"/>
    <w:rsid w:val="008F3918"/>
    <w:rsid w:val="008F3E99"/>
    <w:rsid w:val="008F48F4"/>
    <w:rsid w:val="008F55BC"/>
    <w:rsid w:val="008F68A3"/>
    <w:rsid w:val="008F7FA5"/>
    <w:rsid w:val="00900FFD"/>
    <w:rsid w:val="00902047"/>
    <w:rsid w:val="00902086"/>
    <w:rsid w:val="00902AEB"/>
    <w:rsid w:val="00903C20"/>
    <w:rsid w:val="00904612"/>
    <w:rsid w:val="00904D8B"/>
    <w:rsid w:val="00904FFF"/>
    <w:rsid w:val="0090733D"/>
    <w:rsid w:val="00907576"/>
    <w:rsid w:val="00907F46"/>
    <w:rsid w:val="009105AD"/>
    <w:rsid w:val="009107C1"/>
    <w:rsid w:val="00910860"/>
    <w:rsid w:val="00910BC2"/>
    <w:rsid w:val="0091289B"/>
    <w:rsid w:val="0091546F"/>
    <w:rsid w:val="009213AF"/>
    <w:rsid w:val="009222D0"/>
    <w:rsid w:val="00922442"/>
    <w:rsid w:val="00923466"/>
    <w:rsid w:val="009259D3"/>
    <w:rsid w:val="00925A4F"/>
    <w:rsid w:val="00927CDC"/>
    <w:rsid w:val="00930F8D"/>
    <w:rsid w:val="00931410"/>
    <w:rsid w:val="00932ED2"/>
    <w:rsid w:val="009337C7"/>
    <w:rsid w:val="00933C5D"/>
    <w:rsid w:val="00933EF7"/>
    <w:rsid w:val="00934440"/>
    <w:rsid w:val="00937775"/>
    <w:rsid w:val="00937FEA"/>
    <w:rsid w:val="0094006E"/>
    <w:rsid w:val="00940475"/>
    <w:rsid w:val="00941186"/>
    <w:rsid w:val="00942D36"/>
    <w:rsid w:val="00943BFF"/>
    <w:rsid w:val="009445D8"/>
    <w:rsid w:val="009451B7"/>
    <w:rsid w:val="00945344"/>
    <w:rsid w:val="009464CA"/>
    <w:rsid w:val="00946B94"/>
    <w:rsid w:val="0094712A"/>
    <w:rsid w:val="0094723D"/>
    <w:rsid w:val="00950800"/>
    <w:rsid w:val="00951DF0"/>
    <w:rsid w:val="00953D3B"/>
    <w:rsid w:val="009569A9"/>
    <w:rsid w:val="00957684"/>
    <w:rsid w:val="0095781F"/>
    <w:rsid w:val="00957D0D"/>
    <w:rsid w:val="00960092"/>
    <w:rsid w:val="009601DA"/>
    <w:rsid w:val="00960C47"/>
    <w:rsid w:val="00963A78"/>
    <w:rsid w:val="00965706"/>
    <w:rsid w:val="00965D06"/>
    <w:rsid w:val="00966BA9"/>
    <w:rsid w:val="009716DE"/>
    <w:rsid w:val="009729C6"/>
    <w:rsid w:val="00974BF9"/>
    <w:rsid w:val="00974CC7"/>
    <w:rsid w:val="0097685A"/>
    <w:rsid w:val="0097787B"/>
    <w:rsid w:val="009814A6"/>
    <w:rsid w:val="00981E75"/>
    <w:rsid w:val="0098293C"/>
    <w:rsid w:val="00984237"/>
    <w:rsid w:val="00984AB8"/>
    <w:rsid w:val="00985DF5"/>
    <w:rsid w:val="00986312"/>
    <w:rsid w:val="009865CE"/>
    <w:rsid w:val="00987D7E"/>
    <w:rsid w:val="009916E1"/>
    <w:rsid w:val="009921DC"/>
    <w:rsid w:val="009927E2"/>
    <w:rsid w:val="00995175"/>
    <w:rsid w:val="00995C3C"/>
    <w:rsid w:val="009A13CF"/>
    <w:rsid w:val="009A2E6E"/>
    <w:rsid w:val="009A41C7"/>
    <w:rsid w:val="009A6E9A"/>
    <w:rsid w:val="009A7432"/>
    <w:rsid w:val="009A76BF"/>
    <w:rsid w:val="009A7F25"/>
    <w:rsid w:val="009B16A5"/>
    <w:rsid w:val="009B18AC"/>
    <w:rsid w:val="009B3269"/>
    <w:rsid w:val="009B33AD"/>
    <w:rsid w:val="009B3F39"/>
    <w:rsid w:val="009B51C1"/>
    <w:rsid w:val="009B7087"/>
    <w:rsid w:val="009B7338"/>
    <w:rsid w:val="009C04DC"/>
    <w:rsid w:val="009C0552"/>
    <w:rsid w:val="009C0B1A"/>
    <w:rsid w:val="009C5DBC"/>
    <w:rsid w:val="009C7B2A"/>
    <w:rsid w:val="009D2473"/>
    <w:rsid w:val="009D3DA8"/>
    <w:rsid w:val="009D46AF"/>
    <w:rsid w:val="009D503D"/>
    <w:rsid w:val="009D5BA9"/>
    <w:rsid w:val="009D5CE2"/>
    <w:rsid w:val="009D7068"/>
    <w:rsid w:val="009D7665"/>
    <w:rsid w:val="009D786A"/>
    <w:rsid w:val="009D7CF0"/>
    <w:rsid w:val="009D7D6B"/>
    <w:rsid w:val="009E008B"/>
    <w:rsid w:val="009E0D66"/>
    <w:rsid w:val="009E1F46"/>
    <w:rsid w:val="009E26D9"/>
    <w:rsid w:val="009E481E"/>
    <w:rsid w:val="009E4CDB"/>
    <w:rsid w:val="009E4F2E"/>
    <w:rsid w:val="009E506C"/>
    <w:rsid w:val="009E5A2B"/>
    <w:rsid w:val="009E6C44"/>
    <w:rsid w:val="009E6F2C"/>
    <w:rsid w:val="009F1024"/>
    <w:rsid w:val="009F1115"/>
    <w:rsid w:val="009F205E"/>
    <w:rsid w:val="009F3A5C"/>
    <w:rsid w:val="009F3BFB"/>
    <w:rsid w:val="009F5420"/>
    <w:rsid w:val="009F5F4D"/>
    <w:rsid w:val="009F6642"/>
    <w:rsid w:val="00A007D4"/>
    <w:rsid w:val="00A01DCD"/>
    <w:rsid w:val="00A020C7"/>
    <w:rsid w:val="00A02306"/>
    <w:rsid w:val="00A02B0D"/>
    <w:rsid w:val="00A03C13"/>
    <w:rsid w:val="00A03CC5"/>
    <w:rsid w:val="00A04608"/>
    <w:rsid w:val="00A056F1"/>
    <w:rsid w:val="00A10500"/>
    <w:rsid w:val="00A1073E"/>
    <w:rsid w:val="00A12924"/>
    <w:rsid w:val="00A13BEE"/>
    <w:rsid w:val="00A2134F"/>
    <w:rsid w:val="00A23C15"/>
    <w:rsid w:val="00A26D36"/>
    <w:rsid w:val="00A26FBD"/>
    <w:rsid w:val="00A27784"/>
    <w:rsid w:val="00A27C34"/>
    <w:rsid w:val="00A30E96"/>
    <w:rsid w:val="00A33BF1"/>
    <w:rsid w:val="00A3432D"/>
    <w:rsid w:val="00A3537D"/>
    <w:rsid w:val="00A360C3"/>
    <w:rsid w:val="00A40794"/>
    <w:rsid w:val="00A40AB5"/>
    <w:rsid w:val="00A418CF"/>
    <w:rsid w:val="00A429E7"/>
    <w:rsid w:val="00A445F7"/>
    <w:rsid w:val="00A44794"/>
    <w:rsid w:val="00A44867"/>
    <w:rsid w:val="00A46A6D"/>
    <w:rsid w:val="00A4791B"/>
    <w:rsid w:val="00A507AE"/>
    <w:rsid w:val="00A52A8B"/>
    <w:rsid w:val="00A53787"/>
    <w:rsid w:val="00A5429E"/>
    <w:rsid w:val="00A62486"/>
    <w:rsid w:val="00A641C0"/>
    <w:rsid w:val="00A641D4"/>
    <w:rsid w:val="00A648D7"/>
    <w:rsid w:val="00A71BE7"/>
    <w:rsid w:val="00A723D7"/>
    <w:rsid w:val="00A72474"/>
    <w:rsid w:val="00A7346B"/>
    <w:rsid w:val="00A73AC8"/>
    <w:rsid w:val="00A73B58"/>
    <w:rsid w:val="00A75536"/>
    <w:rsid w:val="00A76432"/>
    <w:rsid w:val="00A76B7B"/>
    <w:rsid w:val="00A76FB3"/>
    <w:rsid w:val="00A778F1"/>
    <w:rsid w:val="00A77BB0"/>
    <w:rsid w:val="00A809EA"/>
    <w:rsid w:val="00A813DF"/>
    <w:rsid w:val="00A81510"/>
    <w:rsid w:val="00A84536"/>
    <w:rsid w:val="00A8475F"/>
    <w:rsid w:val="00A853EA"/>
    <w:rsid w:val="00A86128"/>
    <w:rsid w:val="00A86304"/>
    <w:rsid w:val="00A86EC0"/>
    <w:rsid w:val="00A87A6C"/>
    <w:rsid w:val="00A91B46"/>
    <w:rsid w:val="00A91BC4"/>
    <w:rsid w:val="00A91E70"/>
    <w:rsid w:val="00A921C1"/>
    <w:rsid w:val="00A9229F"/>
    <w:rsid w:val="00A92522"/>
    <w:rsid w:val="00A93535"/>
    <w:rsid w:val="00A93ECD"/>
    <w:rsid w:val="00A94523"/>
    <w:rsid w:val="00A97A52"/>
    <w:rsid w:val="00AA0CC3"/>
    <w:rsid w:val="00AA1E9A"/>
    <w:rsid w:val="00AA2277"/>
    <w:rsid w:val="00AA2A01"/>
    <w:rsid w:val="00AA40A8"/>
    <w:rsid w:val="00AA5523"/>
    <w:rsid w:val="00AA5E94"/>
    <w:rsid w:val="00AA7004"/>
    <w:rsid w:val="00AA7B1F"/>
    <w:rsid w:val="00AB07E4"/>
    <w:rsid w:val="00AB1F24"/>
    <w:rsid w:val="00AB28C8"/>
    <w:rsid w:val="00AB4A19"/>
    <w:rsid w:val="00AB73D9"/>
    <w:rsid w:val="00AC0C98"/>
    <w:rsid w:val="00AC12D9"/>
    <w:rsid w:val="00AC26C4"/>
    <w:rsid w:val="00AC27AD"/>
    <w:rsid w:val="00AC2E8E"/>
    <w:rsid w:val="00AC38AD"/>
    <w:rsid w:val="00AC44BE"/>
    <w:rsid w:val="00AC7914"/>
    <w:rsid w:val="00AC7BBC"/>
    <w:rsid w:val="00AC7EFB"/>
    <w:rsid w:val="00AD07EC"/>
    <w:rsid w:val="00AD26D3"/>
    <w:rsid w:val="00AD3E2C"/>
    <w:rsid w:val="00AD4588"/>
    <w:rsid w:val="00AD4E91"/>
    <w:rsid w:val="00AE0291"/>
    <w:rsid w:val="00AE3A02"/>
    <w:rsid w:val="00AE4255"/>
    <w:rsid w:val="00AE48BA"/>
    <w:rsid w:val="00AE5DFD"/>
    <w:rsid w:val="00AE5F5B"/>
    <w:rsid w:val="00AE7388"/>
    <w:rsid w:val="00AF0FE3"/>
    <w:rsid w:val="00AF15FE"/>
    <w:rsid w:val="00AF2BEB"/>
    <w:rsid w:val="00AF308C"/>
    <w:rsid w:val="00AF3AE3"/>
    <w:rsid w:val="00AF6CD6"/>
    <w:rsid w:val="00AF6E85"/>
    <w:rsid w:val="00AF7576"/>
    <w:rsid w:val="00AF7855"/>
    <w:rsid w:val="00B0121B"/>
    <w:rsid w:val="00B03FF1"/>
    <w:rsid w:val="00B040CA"/>
    <w:rsid w:val="00B044C0"/>
    <w:rsid w:val="00B05670"/>
    <w:rsid w:val="00B07CF8"/>
    <w:rsid w:val="00B07E46"/>
    <w:rsid w:val="00B1494E"/>
    <w:rsid w:val="00B14CE8"/>
    <w:rsid w:val="00B2275A"/>
    <w:rsid w:val="00B256DE"/>
    <w:rsid w:val="00B2576C"/>
    <w:rsid w:val="00B30F8C"/>
    <w:rsid w:val="00B313FB"/>
    <w:rsid w:val="00B32FCF"/>
    <w:rsid w:val="00B33BC7"/>
    <w:rsid w:val="00B36385"/>
    <w:rsid w:val="00B3671C"/>
    <w:rsid w:val="00B37674"/>
    <w:rsid w:val="00B40297"/>
    <w:rsid w:val="00B417E0"/>
    <w:rsid w:val="00B44829"/>
    <w:rsid w:val="00B46CA1"/>
    <w:rsid w:val="00B4707D"/>
    <w:rsid w:val="00B50B66"/>
    <w:rsid w:val="00B50B9A"/>
    <w:rsid w:val="00B51F8D"/>
    <w:rsid w:val="00B5383F"/>
    <w:rsid w:val="00B55BD5"/>
    <w:rsid w:val="00B57628"/>
    <w:rsid w:val="00B57D13"/>
    <w:rsid w:val="00B60C68"/>
    <w:rsid w:val="00B636EF"/>
    <w:rsid w:val="00B64B56"/>
    <w:rsid w:val="00B65495"/>
    <w:rsid w:val="00B65A85"/>
    <w:rsid w:val="00B662C1"/>
    <w:rsid w:val="00B6693D"/>
    <w:rsid w:val="00B67071"/>
    <w:rsid w:val="00B70C6A"/>
    <w:rsid w:val="00B72A5B"/>
    <w:rsid w:val="00B72DFB"/>
    <w:rsid w:val="00B7330A"/>
    <w:rsid w:val="00B73D3B"/>
    <w:rsid w:val="00B74B86"/>
    <w:rsid w:val="00B76F2A"/>
    <w:rsid w:val="00B77027"/>
    <w:rsid w:val="00B771D0"/>
    <w:rsid w:val="00B77750"/>
    <w:rsid w:val="00B77823"/>
    <w:rsid w:val="00B80683"/>
    <w:rsid w:val="00B80BA9"/>
    <w:rsid w:val="00B8138C"/>
    <w:rsid w:val="00B81537"/>
    <w:rsid w:val="00B816F3"/>
    <w:rsid w:val="00B81F86"/>
    <w:rsid w:val="00B826B5"/>
    <w:rsid w:val="00B836D8"/>
    <w:rsid w:val="00B83741"/>
    <w:rsid w:val="00B83F5E"/>
    <w:rsid w:val="00B84272"/>
    <w:rsid w:val="00B84EB0"/>
    <w:rsid w:val="00B85D30"/>
    <w:rsid w:val="00B85F8B"/>
    <w:rsid w:val="00B86872"/>
    <w:rsid w:val="00B86DAD"/>
    <w:rsid w:val="00B87E38"/>
    <w:rsid w:val="00B90161"/>
    <w:rsid w:val="00B903A5"/>
    <w:rsid w:val="00B916CE"/>
    <w:rsid w:val="00B92220"/>
    <w:rsid w:val="00B927F7"/>
    <w:rsid w:val="00B93EB3"/>
    <w:rsid w:val="00B9426F"/>
    <w:rsid w:val="00B959B6"/>
    <w:rsid w:val="00B95C44"/>
    <w:rsid w:val="00B96DD3"/>
    <w:rsid w:val="00B97185"/>
    <w:rsid w:val="00B9728F"/>
    <w:rsid w:val="00B974BE"/>
    <w:rsid w:val="00B9763E"/>
    <w:rsid w:val="00B97D43"/>
    <w:rsid w:val="00B97DBC"/>
    <w:rsid w:val="00BA06C9"/>
    <w:rsid w:val="00BA2D4E"/>
    <w:rsid w:val="00BA2F72"/>
    <w:rsid w:val="00BA3895"/>
    <w:rsid w:val="00BA4973"/>
    <w:rsid w:val="00BA6742"/>
    <w:rsid w:val="00BA6A7F"/>
    <w:rsid w:val="00BB1520"/>
    <w:rsid w:val="00BB1FA2"/>
    <w:rsid w:val="00BB3EEA"/>
    <w:rsid w:val="00BB465C"/>
    <w:rsid w:val="00BB7F39"/>
    <w:rsid w:val="00BC09C7"/>
    <w:rsid w:val="00BC1857"/>
    <w:rsid w:val="00BC2637"/>
    <w:rsid w:val="00BC2805"/>
    <w:rsid w:val="00BC3A1E"/>
    <w:rsid w:val="00BC4B8F"/>
    <w:rsid w:val="00BC5554"/>
    <w:rsid w:val="00BC5AC3"/>
    <w:rsid w:val="00BC713E"/>
    <w:rsid w:val="00BD0967"/>
    <w:rsid w:val="00BD1BE6"/>
    <w:rsid w:val="00BD1C4F"/>
    <w:rsid w:val="00BD383E"/>
    <w:rsid w:val="00BD3A68"/>
    <w:rsid w:val="00BD435A"/>
    <w:rsid w:val="00BD5003"/>
    <w:rsid w:val="00BD56D2"/>
    <w:rsid w:val="00BD6897"/>
    <w:rsid w:val="00BD71D7"/>
    <w:rsid w:val="00BE000F"/>
    <w:rsid w:val="00BE1A77"/>
    <w:rsid w:val="00BE1D86"/>
    <w:rsid w:val="00BE3251"/>
    <w:rsid w:val="00BE3E5F"/>
    <w:rsid w:val="00BE3FEE"/>
    <w:rsid w:val="00BE5708"/>
    <w:rsid w:val="00BF0C54"/>
    <w:rsid w:val="00BF1651"/>
    <w:rsid w:val="00BF328D"/>
    <w:rsid w:val="00BF3E2E"/>
    <w:rsid w:val="00BF4AB7"/>
    <w:rsid w:val="00BF4D4C"/>
    <w:rsid w:val="00BF634A"/>
    <w:rsid w:val="00BF7944"/>
    <w:rsid w:val="00C0148C"/>
    <w:rsid w:val="00C0267A"/>
    <w:rsid w:val="00C03E00"/>
    <w:rsid w:val="00C04360"/>
    <w:rsid w:val="00C049FB"/>
    <w:rsid w:val="00C04E76"/>
    <w:rsid w:val="00C052D2"/>
    <w:rsid w:val="00C05851"/>
    <w:rsid w:val="00C059FF"/>
    <w:rsid w:val="00C05A3A"/>
    <w:rsid w:val="00C05CBF"/>
    <w:rsid w:val="00C12FC2"/>
    <w:rsid w:val="00C13638"/>
    <w:rsid w:val="00C1430F"/>
    <w:rsid w:val="00C14503"/>
    <w:rsid w:val="00C16A6A"/>
    <w:rsid w:val="00C179E4"/>
    <w:rsid w:val="00C2384C"/>
    <w:rsid w:val="00C2445A"/>
    <w:rsid w:val="00C260A9"/>
    <w:rsid w:val="00C26A8F"/>
    <w:rsid w:val="00C30D44"/>
    <w:rsid w:val="00C30F81"/>
    <w:rsid w:val="00C31121"/>
    <w:rsid w:val="00C35D50"/>
    <w:rsid w:val="00C37DD1"/>
    <w:rsid w:val="00C406DC"/>
    <w:rsid w:val="00C40773"/>
    <w:rsid w:val="00C42656"/>
    <w:rsid w:val="00C430C5"/>
    <w:rsid w:val="00C442C0"/>
    <w:rsid w:val="00C44626"/>
    <w:rsid w:val="00C447A6"/>
    <w:rsid w:val="00C44919"/>
    <w:rsid w:val="00C456ED"/>
    <w:rsid w:val="00C457D5"/>
    <w:rsid w:val="00C4670E"/>
    <w:rsid w:val="00C46B88"/>
    <w:rsid w:val="00C478AD"/>
    <w:rsid w:val="00C50303"/>
    <w:rsid w:val="00C5253A"/>
    <w:rsid w:val="00C53BD6"/>
    <w:rsid w:val="00C55BC7"/>
    <w:rsid w:val="00C55F3A"/>
    <w:rsid w:val="00C5758A"/>
    <w:rsid w:val="00C605C5"/>
    <w:rsid w:val="00C623B8"/>
    <w:rsid w:val="00C62900"/>
    <w:rsid w:val="00C63D32"/>
    <w:rsid w:val="00C65831"/>
    <w:rsid w:val="00C707B4"/>
    <w:rsid w:val="00C715E3"/>
    <w:rsid w:val="00C71C41"/>
    <w:rsid w:val="00C732EB"/>
    <w:rsid w:val="00C74AD0"/>
    <w:rsid w:val="00C753D6"/>
    <w:rsid w:val="00C758D4"/>
    <w:rsid w:val="00C76354"/>
    <w:rsid w:val="00C808CF"/>
    <w:rsid w:val="00C80B35"/>
    <w:rsid w:val="00C81844"/>
    <w:rsid w:val="00C81E5C"/>
    <w:rsid w:val="00C821F1"/>
    <w:rsid w:val="00C8271D"/>
    <w:rsid w:val="00C82E85"/>
    <w:rsid w:val="00C838FB"/>
    <w:rsid w:val="00C83AB2"/>
    <w:rsid w:val="00C83F16"/>
    <w:rsid w:val="00C86735"/>
    <w:rsid w:val="00C8686E"/>
    <w:rsid w:val="00C91269"/>
    <w:rsid w:val="00C91314"/>
    <w:rsid w:val="00C91A44"/>
    <w:rsid w:val="00C92AE6"/>
    <w:rsid w:val="00C92C5D"/>
    <w:rsid w:val="00C97BAD"/>
    <w:rsid w:val="00CA01C2"/>
    <w:rsid w:val="00CA05BD"/>
    <w:rsid w:val="00CA17C4"/>
    <w:rsid w:val="00CA210C"/>
    <w:rsid w:val="00CA2A15"/>
    <w:rsid w:val="00CA494C"/>
    <w:rsid w:val="00CA4E0A"/>
    <w:rsid w:val="00CB0B27"/>
    <w:rsid w:val="00CB14E4"/>
    <w:rsid w:val="00CB177A"/>
    <w:rsid w:val="00CB18D5"/>
    <w:rsid w:val="00CB2F53"/>
    <w:rsid w:val="00CB42F7"/>
    <w:rsid w:val="00CB442E"/>
    <w:rsid w:val="00CB509D"/>
    <w:rsid w:val="00CB51A4"/>
    <w:rsid w:val="00CB51D9"/>
    <w:rsid w:val="00CB69CA"/>
    <w:rsid w:val="00CB7234"/>
    <w:rsid w:val="00CC177A"/>
    <w:rsid w:val="00CC3503"/>
    <w:rsid w:val="00CC3A54"/>
    <w:rsid w:val="00CC3F0F"/>
    <w:rsid w:val="00CC5379"/>
    <w:rsid w:val="00CC77EC"/>
    <w:rsid w:val="00CC7C84"/>
    <w:rsid w:val="00CD0D45"/>
    <w:rsid w:val="00CD1DB5"/>
    <w:rsid w:val="00CD3472"/>
    <w:rsid w:val="00CD3DD6"/>
    <w:rsid w:val="00CD41D5"/>
    <w:rsid w:val="00CD49BE"/>
    <w:rsid w:val="00CD4DFD"/>
    <w:rsid w:val="00CD55EC"/>
    <w:rsid w:val="00CD689B"/>
    <w:rsid w:val="00CD716B"/>
    <w:rsid w:val="00CD737E"/>
    <w:rsid w:val="00CD75A2"/>
    <w:rsid w:val="00CD7C89"/>
    <w:rsid w:val="00CE08E3"/>
    <w:rsid w:val="00CE25F2"/>
    <w:rsid w:val="00CE3C46"/>
    <w:rsid w:val="00CE44E6"/>
    <w:rsid w:val="00CE465A"/>
    <w:rsid w:val="00CE53F1"/>
    <w:rsid w:val="00CE624F"/>
    <w:rsid w:val="00CE6840"/>
    <w:rsid w:val="00CE7F0B"/>
    <w:rsid w:val="00CF0995"/>
    <w:rsid w:val="00CF15FB"/>
    <w:rsid w:val="00CF17C7"/>
    <w:rsid w:val="00CF2230"/>
    <w:rsid w:val="00CF2524"/>
    <w:rsid w:val="00CF3065"/>
    <w:rsid w:val="00CF3796"/>
    <w:rsid w:val="00CF3BCC"/>
    <w:rsid w:val="00CF4E26"/>
    <w:rsid w:val="00CF594A"/>
    <w:rsid w:val="00D00FD7"/>
    <w:rsid w:val="00D01066"/>
    <w:rsid w:val="00D0267F"/>
    <w:rsid w:val="00D02BEE"/>
    <w:rsid w:val="00D0311F"/>
    <w:rsid w:val="00D036F2"/>
    <w:rsid w:val="00D03F12"/>
    <w:rsid w:val="00D04744"/>
    <w:rsid w:val="00D07533"/>
    <w:rsid w:val="00D1013A"/>
    <w:rsid w:val="00D11EBC"/>
    <w:rsid w:val="00D12300"/>
    <w:rsid w:val="00D136AE"/>
    <w:rsid w:val="00D14872"/>
    <w:rsid w:val="00D14E72"/>
    <w:rsid w:val="00D15229"/>
    <w:rsid w:val="00D16036"/>
    <w:rsid w:val="00D16324"/>
    <w:rsid w:val="00D16F84"/>
    <w:rsid w:val="00D17C7A"/>
    <w:rsid w:val="00D20104"/>
    <w:rsid w:val="00D216F6"/>
    <w:rsid w:val="00D22F2E"/>
    <w:rsid w:val="00D251D3"/>
    <w:rsid w:val="00D25494"/>
    <w:rsid w:val="00D26723"/>
    <w:rsid w:val="00D267DA"/>
    <w:rsid w:val="00D30C4E"/>
    <w:rsid w:val="00D36B03"/>
    <w:rsid w:val="00D370CB"/>
    <w:rsid w:val="00D41155"/>
    <w:rsid w:val="00D41659"/>
    <w:rsid w:val="00D4238C"/>
    <w:rsid w:val="00D4306F"/>
    <w:rsid w:val="00D434DE"/>
    <w:rsid w:val="00D438AD"/>
    <w:rsid w:val="00D450AF"/>
    <w:rsid w:val="00D468F7"/>
    <w:rsid w:val="00D47272"/>
    <w:rsid w:val="00D478F9"/>
    <w:rsid w:val="00D515EE"/>
    <w:rsid w:val="00D51AAF"/>
    <w:rsid w:val="00D530DB"/>
    <w:rsid w:val="00D55542"/>
    <w:rsid w:val="00D55E55"/>
    <w:rsid w:val="00D56D01"/>
    <w:rsid w:val="00D573FB"/>
    <w:rsid w:val="00D62B9C"/>
    <w:rsid w:val="00D640E7"/>
    <w:rsid w:val="00D6494D"/>
    <w:rsid w:val="00D663D8"/>
    <w:rsid w:val="00D66980"/>
    <w:rsid w:val="00D700C7"/>
    <w:rsid w:val="00D741A0"/>
    <w:rsid w:val="00D74F27"/>
    <w:rsid w:val="00D75B80"/>
    <w:rsid w:val="00D76170"/>
    <w:rsid w:val="00D765A9"/>
    <w:rsid w:val="00D801AF"/>
    <w:rsid w:val="00D80746"/>
    <w:rsid w:val="00D8296F"/>
    <w:rsid w:val="00D839EC"/>
    <w:rsid w:val="00D84393"/>
    <w:rsid w:val="00D86D7F"/>
    <w:rsid w:val="00D87493"/>
    <w:rsid w:val="00D87AEC"/>
    <w:rsid w:val="00D90BF1"/>
    <w:rsid w:val="00D910C0"/>
    <w:rsid w:val="00D937E7"/>
    <w:rsid w:val="00D94149"/>
    <w:rsid w:val="00D959D0"/>
    <w:rsid w:val="00D97FAF"/>
    <w:rsid w:val="00DA050A"/>
    <w:rsid w:val="00DA0C38"/>
    <w:rsid w:val="00DA22DA"/>
    <w:rsid w:val="00DA2D2D"/>
    <w:rsid w:val="00DA5221"/>
    <w:rsid w:val="00DA55D4"/>
    <w:rsid w:val="00DA7093"/>
    <w:rsid w:val="00DB0D75"/>
    <w:rsid w:val="00DB2C81"/>
    <w:rsid w:val="00DB3464"/>
    <w:rsid w:val="00DB3D6E"/>
    <w:rsid w:val="00DB40AF"/>
    <w:rsid w:val="00DB67C0"/>
    <w:rsid w:val="00DC0455"/>
    <w:rsid w:val="00DC328D"/>
    <w:rsid w:val="00DC3ED3"/>
    <w:rsid w:val="00DC45C2"/>
    <w:rsid w:val="00DC53CD"/>
    <w:rsid w:val="00DC70EA"/>
    <w:rsid w:val="00DD0506"/>
    <w:rsid w:val="00DD22DF"/>
    <w:rsid w:val="00DD3D69"/>
    <w:rsid w:val="00DE0DC4"/>
    <w:rsid w:val="00DE1161"/>
    <w:rsid w:val="00DE1E45"/>
    <w:rsid w:val="00DE3F8B"/>
    <w:rsid w:val="00DE48A1"/>
    <w:rsid w:val="00DE580F"/>
    <w:rsid w:val="00DE618A"/>
    <w:rsid w:val="00DE6364"/>
    <w:rsid w:val="00DE637E"/>
    <w:rsid w:val="00DE7C27"/>
    <w:rsid w:val="00DF53F3"/>
    <w:rsid w:val="00DF6999"/>
    <w:rsid w:val="00E000F7"/>
    <w:rsid w:val="00E004CF"/>
    <w:rsid w:val="00E00800"/>
    <w:rsid w:val="00E013C9"/>
    <w:rsid w:val="00E04CE7"/>
    <w:rsid w:val="00E0531C"/>
    <w:rsid w:val="00E0665C"/>
    <w:rsid w:val="00E06E9A"/>
    <w:rsid w:val="00E07521"/>
    <w:rsid w:val="00E11AC7"/>
    <w:rsid w:val="00E11E60"/>
    <w:rsid w:val="00E12FCD"/>
    <w:rsid w:val="00E15108"/>
    <w:rsid w:val="00E15EB8"/>
    <w:rsid w:val="00E16002"/>
    <w:rsid w:val="00E163BB"/>
    <w:rsid w:val="00E209C2"/>
    <w:rsid w:val="00E20D82"/>
    <w:rsid w:val="00E20EF1"/>
    <w:rsid w:val="00E21F83"/>
    <w:rsid w:val="00E22D3A"/>
    <w:rsid w:val="00E2318C"/>
    <w:rsid w:val="00E24343"/>
    <w:rsid w:val="00E268C9"/>
    <w:rsid w:val="00E32CCE"/>
    <w:rsid w:val="00E332AA"/>
    <w:rsid w:val="00E34199"/>
    <w:rsid w:val="00E35260"/>
    <w:rsid w:val="00E36A66"/>
    <w:rsid w:val="00E3789A"/>
    <w:rsid w:val="00E3791D"/>
    <w:rsid w:val="00E413A5"/>
    <w:rsid w:val="00E416F0"/>
    <w:rsid w:val="00E42BB9"/>
    <w:rsid w:val="00E43093"/>
    <w:rsid w:val="00E449B9"/>
    <w:rsid w:val="00E457CD"/>
    <w:rsid w:val="00E461AA"/>
    <w:rsid w:val="00E4631C"/>
    <w:rsid w:val="00E468F3"/>
    <w:rsid w:val="00E46B3D"/>
    <w:rsid w:val="00E47DAA"/>
    <w:rsid w:val="00E47E77"/>
    <w:rsid w:val="00E515AB"/>
    <w:rsid w:val="00E52FC4"/>
    <w:rsid w:val="00E53CA4"/>
    <w:rsid w:val="00E53E4C"/>
    <w:rsid w:val="00E53FCE"/>
    <w:rsid w:val="00E55BC2"/>
    <w:rsid w:val="00E56132"/>
    <w:rsid w:val="00E62971"/>
    <w:rsid w:val="00E65E1F"/>
    <w:rsid w:val="00E71D83"/>
    <w:rsid w:val="00E720CD"/>
    <w:rsid w:val="00E728B9"/>
    <w:rsid w:val="00E73281"/>
    <w:rsid w:val="00E73E80"/>
    <w:rsid w:val="00E74CD6"/>
    <w:rsid w:val="00E755BB"/>
    <w:rsid w:val="00E8032C"/>
    <w:rsid w:val="00E80587"/>
    <w:rsid w:val="00E84105"/>
    <w:rsid w:val="00E86E2F"/>
    <w:rsid w:val="00E90A2D"/>
    <w:rsid w:val="00E90C88"/>
    <w:rsid w:val="00E90D86"/>
    <w:rsid w:val="00E90DEA"/>
    <w:rsid w:val="00E923BB"/>
    <w:rsid w:val="00E9414B"/>
    <w:rsid w:val="00E954AD"/>
    <w:rsid w:val="00E955CD"/>
    <w:rsid w:val="00E957DE"/>
    <w:rsid w:val="00E95AAF"/>
    <w:rsid w:val="00E9736A"/>
    <w:rsid w:val="00EA00E4"/>
    <w:rsid w:val="00EA1077"/>
    <w:rsid w:val="00EA36E7"/>
    <w:rsid w:val="00EA371E"/>
    <w:rsid w:val="00EA657B"/>
    <w:rsid w:val="00EA6A30"/>
    <w:rsid w:val="00EA6FA6"/>
    <w:rsid w:val="00EA7F44"/>
    <w:rsid w:val="00EB0E7D"/>
    <w:rsid w:val="00EB13DF"/>
    <w:rsid w:val="00EB1ED9"/>
    <w:rsid w:val="00EB3E8D"/>
    <w:rsid w:val="00EB724C"/>
    <w:rsid w:val="00EC0F52"/>
    <w:rsid w:val="00EC3137"/>
    <w:rsid w:val="00EC35D2"/>
    <w:rsid w:val="00EC3FF4"/>
    <w:rsid w:val="00EC4206"/>
    <w:rsid w:val="00EC51ED"/>
    <w:rsid w:val="00EC6281"/>
    <w:rsid w:val="00EC7607"/>
    <w:rsid w:val="00EC7774"/>
    <w:rsid w:val="00ED0ACD"/>
    <w:rsid w:val="00ED10BF"/>
    <w:rsid w:val="00ED271D"/>
    <w:rsid w:val="00ED3641"/>
    <w:rsid w:val="00ED3D1D"/>
    <w:rsid w:val="00ED604A"/>
    <w:rsid w:val="00ED6A78"/>
    <w:rsid w:val="00EE0FC5"/>
    <w:rsid w:val="00EE250E"/>
    <w:rsid w:val="00EE37EE"/>
    <w:rsid w:val="00EE469C"/>
    <w:rsid w:val="00EE4B21"/>
    <w:rsid w:val="00EE6B6D"/>
    <w:rsid w:val="00EF0400"/>
    <w:rsid w:val="00EF04A2"/>
    <w:rsid w:val="00EF0ADB"/>
    <w:rsid w:val="00EF0EF8"/>
    <w:rsid w:val="00EF15DF"/>
    <w:rsid w:val="00EF1DDF"/>
    <w:rsid w:val="00EF1DFB"/>
    <w:rsid w:val="00EF4BA4"/>
    <w:rsid w:val="00EF4C8E"/>
    <w:rsid w:val="00EF6804"/>
    <w:rsid w:val="00EF688E"/>
    <w:rsid w:val="00EF791C"/>
    <w:rsid w:val="00F00F92"/>
    <w:rsid w:val="00F01696"/>
    <w:rsid w:val="00F01FF1"/>
    <w:rsid w:val="00F020F3"/>
    <w:rsid w:val="00F039C2"/>
    <w:rsid w:val="00F04485"/>
    <w:rsid w:val="00F063D1"/>
    <w:rsid w:val="00F0644F"/>
    <w:rsid w:val="00F06B83"/>
    <w:rsid w:val="00F07AA5"/>
    <w:rsid w:val="00F10959"/>
    <w:rsid w:val="00F1290E"/>
    <w:rsid w:val="00F1448D"/>
    <w:rsid w:val="00F154FB"/>
    <w:rsid w:val="00F15C89"/>
    <w:rsid w:val="00F168EB"/>
    <w:rsid w:val="00F204F5"/>
    <w:rsid w:val="00F21553"/>
    <w:rsid w:val="00F22740"/>
    <w:rsid w:val="00F262C4"/>
    <w:rsid w:val="00F26A4B"/>
    <w:rsid w:val="00F3149A"/>
    <w:rsid w:val="00F32125"/>
    <w:rsid w:val="00F32B38"/>
    <w:rsid w:val="00F32B85"/>
    <w:rsid w:val="00F33497"/>
    <w:rsid w:val="00F3524C"/>
    <w:rsid w:val="00F35624"/>
    <w:rsid w:val="00F3649A"/>
    <w:rsid w:val="00F3744F"/>
    <w:rsid w:val="00F37D63"/>
    <w:rsid w:val="00F41D05"/>
    <w:rsid w:val="00F42B97"/>
    <w:rsid w:val="00F4625C"/>
    <w:rsid w:val="00F4652D"/>
    <w:rsid w:val="00F46977"/>
    <w:rsid w:val="00F4745F"/>
    <w:rsid w:val="00F47EF7"/>
    <w:rsid w:val="00F5357F"/>
    <w:rsid w:val="00F53E98"/>
    <w:rsid w:val="00F56E07"/>
    <w:rsid w:val="00F57F13"/>
    <w:rsid w:val="00F60538"/>
    <w:rsid w:val="00F6067B"/>
    <w:rsid w:val="00F60EDF"/>
    <w:rsid w:val="00F62005"/>
    <w:rsid w:val="00F627AD"/>
    <w:rsid w:val="00F64119"/>
    <w:rsid w:val="00F6588E"/>
    <w:rsid w:val="00F65B6D"/>
    <w:rsid w:val="00F670FD"/>
    <w:rsid w:val="00F71568"/>
    <w:rsid w:val="00F7182A"/>
    <w:rsid w:val="00F72129"/>
    <w:rsid w:val="00F7424E"/>
    <w:rsid w:val="00F75101"/>
    <w:rsid w:val="00F752AD"/>
    <w:rsid w:val="00F7541E"/>
    <w:rsid w:val="00F77591"/>
    <w:rsid w:val="00F77DAD"/>
    <w:rsid w:val="00F805FC"/>
    <w:rsid w:val="00F811C6"/>
    <w:rsid w:val="00F827E9"/>
    <w:rsid w:val="00F83C78"/>
    <w:rsid w:val="00F8436E"/>
    <w:rsid w:val="00F850CA"/>
    <w:rsid w:val="00F85FE1"/>
    <w:rsid w:val="00F86551"/>
    <w:rsid w:val="00F86697"/>
    <w:rsid w:val="00F9100C"/>
    <w:rsid w:val="00F92565"/>
    <w:rsid w:val="00F9427F"/>
    <w:rsid w:val="00F950D9"/>
    <w:rsid w:val="00F95B79"/>
    <w:rsid w:val="00F96638"/>
    <w:rsid w:val="00F96F98"/>
    <w:rsid w:val="00F97106"/>
    <w:rsid w:val="00F97A08"/>
    <w:rsid w:val="00F97CDA"/>
    <w:rsid w:val="00FA0563"/>
    <w:rsid w:val="00FA12AB"/>
    <w:rsid w:val="00FA1D52"/>
    <w:rsid w:val="00FA3320"/>
    <w:rsid w:val="00FA3B94"/>
    <w:rsid w:val="00FA4EF7"/>
    <w:rsid w:val="00FA5191"/>
    <w:rsid w:val="00FA5B12"/>
    <w:rsid w:val="00FA71A1"/>
    <w:rsid w:val="00FA7B18"/>
    <w:rsid w:val="00FA7DB0"/>
    <w:rsid w:val="00FB173A"/>
    <w:rsid w:val="00FB21C5"/>
    <w:rsid w:val="00FB2226"/>
    <w:rsid w:val="00FB2F92"/>
    <w:rsid w:val="00FB3821"/>
    <w:rsid w:val="00FB4A11"/>
    <w:rsid w:val="00FC02B0"/>
    <w:rsid w:val="00FC12FF"/>
    <w:rsid w:val="00FC1327"/>
    <w:rsid w:val="00FC1924"/>
    <w:rsid w:val="00FC19F7"/>
    <w:rsid w:val="00FC306C"/>
    <w:rsid w:val="00FC3385"/>
    <w:rsid w:val="00FC4966"/>
    <w:rsid w:val="00FC5C14"/>
    <w:rsid w:val="00FC683C"/>
    <w:rsid w:val="00FC7443"/>
    <w:rsid w:val="00FC7D48"/>
    <w:rsid w:val="00FD0475"/>
    <w:rsid w:val="00FD0579"/>
    <w:rsid w:val="00FD31E4"/>
    <w:rsid w:val="00FD3F67"/>
    <w:rsid w:val="00FD4DD1"/>
    <w:rsid w:val="00FD5860"/>
    <w:rsid w:val="00FD6422"/>
    <w:rsid w:val="00FD6872"/>
    <w:rsid w:val="00FE09B1"/>
    <w:rsid w:val="00FE0B03"/>
    <w:rsid w:val="00FE1284"/>
    <w:rsid w:val="00FE2CA6"/>
    <w:rsid w:val="00FE32DB"/>
    <w:rsid w:val="00FE414C"/>
    <w:rsid w:val="00FE57D7"/>
    <w:rsid w:val="00FE60B6"/>
    <w:rsid w:val="00FE65D3"/>
    <w:rsid w:val="00FE66E8"/>
    <w:rsid w:val="00FE6DAC"/>
    <w:rsid w:val="00FE762F"/>
    <w:rsid w:val="00FF000C"/>
    <w:rsid w:val="00FF0B31"/>
    <w:rsid w:val="00FF118C"/>
    <w:rsid w:val="00FF24A2"/>
    <w:rsid w:val="00FF3514"/>
    <w:rsid w:val="00FF62C4"/>
    <w:rsid w:val="00FF7F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A0E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49"/>
  </w:style>
  <w:style w:type="paragraph" w:styleId="Heading1">
    <w:name w:val="heading 1"/>
    <w:basedOn w:val="Normal"/>
    <w:next w:val="Normal"/>
    <w:link w:val="Heading1Char"/>
    <w:uiPriority w:val="9"/>
    <w:qFormat/>
    <w:rsid w:val="008C5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7E2449"/>
    <w:pPr>
      <w:tabs>
        <w:tab w:val="left" w:pos="720"/>
      </w:tabs>
      <w:ind w:left="720" w:hanging="720"/>
    </w:pPr>
    <w:rPr>
      <w:rFonts w:ascii="Courier 10cpi" w:hAnsi="Courier 10cpi"/>
      <w:snapToGrid w:val="0"/>
      <w:sz w:val="24"/>
    </w:rPr>
  </w:style>
  <w:style w:type="character" w:styleId="PageNumber">
    <w:name w:val="page number"/>
    <w:basedOn w:val="DefaultParagraphFont"/>
    <w:rsid w:val="007E2449"/>
  </w:style>
  <w:style w:type="paragraph" w:styleId="Footer">
    <w:name w:val="footer"/>
    <w:basedOn w:val="Normal"/>
    <w:rsid w:val="007E2449"/>
    <w:pPr>
      <w:tabs>
        <w:tab w:val="center" w:pos="4320"/>
        <w:tab w:val="right" w:pos="8640"/>
      </w:tabs>
    </w:pPr>
    <w:rPr>
      <w:rFonts w:ascii="Courier 10cpi" w:hAnsi="Courier 10cpi"/>
      <w:snapToGrid w:val="0"/>
    </w:rPr>
  </w:style>
  <w:style w:type="paragraph" w:customStyle="1" w:styleId="H3">
    <w:name w:val="H3"/>
    <w:basedOn w:val="Normal"/>
    <w:next w:val="Normal"/>
    <w:rsid w:val="007E2449"/>
    <w:pPr>
      <w:keepNext/>
      <w:spacing w:before="100" w:after="100"/>
      <w:outlineLvl w:val="3"/>
    </w:pPr>
    <w:rPr>
      <w:b/>
      <w:snapToGrid w:val="0"/>
      <w:sz w:val="28"/>
    </w:rPr>
  </w:style>
  <w:style w:type="character" w:styleId="Emphasis">
    <w:name w:val="Emphasis"/>
    <w:basedOn w:val="DefaultParagraphFont"/>
    <w:uiPriority w:val="20"/>
    <w:qFormat/>
    <w:rsid w:val="007E2449"/>
    <w:rPr>
      <w:i/>
    </w:rPr>
  </w:style>
  <w:style w:type="character" w:styleId="Strong">
    <w:name w:val="Strong"/>
    <w:basedOn w:val="DefaultParagraphFont"/>
    <w:uiPriority w:val="22"/>
    <w:qFormat/>
    <w:rsid w:val="007E2449"/>
    <w:rPr>
      <w:b/>
    </w:rPr>
  </w:style>
  <w:style w:type="paragraph" w:styleId="BalloonText">
    <w:name w:val="Balloon Text"/>
    <w:basedOn w:val="Normal"/>
    <w:semiHidden/>
    <w:rsid w:val="007E2449"/>
    <w:rPr>
      <w:rFonts w:ascii="Tahoma" w:hAnsi="Tahoma" w:cs="Tahoma"/>
      <w:sz w:val="16"/>
      <w:szCs w:val="16"/>
    </w:rPr>
  </w:style>
  <w:style w:type="character" w:styleId="CommentReference">
    <w:name w:val="annotation reference"/>
    <w:basedOn w:val="DefaultParagraphFont"/>
    <w:uiPriority w:val="99"/>
    <w:semiHidden/>
    <w:rsid w:val="007E2449"/>
    <w:rPr>
      <w:sz w:val="16"/>
      <w:szCs w:val="16"/>
    </w:rPr>
  </w:style>
  <w:style w:type="paragraph" w:styleId="CommentText">
    <w:name w:val="annotation text"/>
    <w:basedOn w:val="Normal"/>
    <w:link w:val="CommentTextChar"/>
    <w:uiPriority w:val="99"/>
    <w:rsid w:val="007E2449"/>
  </w:style>
  <w:style w:type="paragraph" w:styleId="CommentSubject">
    <w:name w:val="annotation subject"/>
    <w:basedOn w:val="CommentText"/>
    <w:next w:val="CommentText"/>
    <w:semiHidden/>
    <w:rsid w:val="007E2449"/>
    <w:rPr>
      <w:b/>
      <w:bCs/>
    </w:rPr>
  </w:style>
  <w:style w:type="paragraph" w:styleId="Header">
    <w:name w:val="header"/>
    <w:basedOn w:val="Normal"/>
    <w:rsid w:val="007E2449"/>
    <w:pPr>
      <w:tabs>
        <w:tab w:val="center" w:pos="4320"/>
        <w:tab w:val="right" w:pos="8640"/>
      </w:tabs>
    </w:pPr>
  </w:style>
  <w:style w:type="character" w:styleId="Hyperlink">
    <w:name w:val="Hyperlink"/>
    <w:basedOn w:val="DefaultParagraphFont"/>
    <w:uiPriority w:val="99"/>
    <w:rsid w:val="00801D71"/>
    <w:rPr>
      <w:color w:val="0000FF"/>
      <w:u w:val="single"/>
    </w:rPr>
  </w:style>
  <w:style w:type="paragraph" w:styleId="NormalWeb">
    <w:name w:val="Normal (Web)"/>
    <w:basedOn w:val="Normal"/>
    <w:uiPriority w:val="99"/>
    <w:rsid w:val="007E2449"/>
    <w:pPr>
      <w:spacing w:before="100" w:beforeAutospacing="1" w:after="100" w:afterAutospacing="1"/>
    </w:pPr>
    <w:rPr>
      <w:sz w:val="24"/>
      <w:szCs w:val="24"/>
    </w:rPr>
  </w:style>
  <w:style w:type="character" w:styleId="FollowedHyperlink">
    <w:name w:val="FollowedHyperlink"/>
    <w:basedOn w:val="DefaultParagraphFont"/>
    <w:rsid w:val="00801D71"/>
    <w:rPr>
      <w:color w:val="800080"/>
      <w:u w:val="single"/>
    </w:rPr>
  </w:style>
  <w:style w:type="table" w:styleId="TableGrid">
    <w:name w:val="Table Grid"/>
    <w:basedOn w:val="TableNormal"/>
    <w:rsid w:val="0012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basedOn w:val="Normal"/>
    <w:link w:val="FootnoteTextChar"/>
    <w:rsid w:val="00C92AE6"/>
  </w:style>
  <w:style w:type="character" w:styleId="FootnoteReference">
    <w:name w:val="footnote reference"/>
    <w:basedOn w:val="DefaultParagraphFont"/>
    <w:semiHidden/>
    <w:rsid w:val="00C92AE6"/>
    <w:rPr>
      <w:vertAlign w:val="superscript"/>
    </w:rPr>
  </w:style>
  <w:style w:type="table" w:customStyle="1" w:styleId="MediumShading1-Accent11">
    <w:name w:val="Medium Shading 1 - Accent 11"/>
    <w:basedOn w:val="TableNormal"/>
    <w:uiPriority w:val="63"/>
    <w:rsid w:val="006859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31093"/>
    <w:pPr>
      <w:ind w:left="720"/>
      <w:contextualSpacing/>
    </w:pPr>
  </w:style>
  <w:style w:type="character" w:customStyle="1" w:styleId="Heading1Char">
    <w:name w:val="Heading 1 Char"/>
    <w:basedOn w:val="DefaultParagraphFont"/>
    <w:link w:val="Heading1"/>
    <w:uiPriority w:val="9"/>
    <w:rsid w:val="008C58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826"/>
    <w:pPr>
      <w:spacing w:line="276" w:lineRule="auto"/>
      <w:outlineLvl w:val="9"/>
    </w:pPr>
  </w:style>
  <w:style w:type="character" w:customStyle="1" w:styleId="Heading2Char">
    <w:name w:val="Heading 2 Char"/>
    <w:basedOn w:val="DefaultParagraphFont"/>
    <w:link w:val="Heading2"/>
    <w:uiPriority w:val="9"/>
    <w:rsid w:val="008C5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83741"/>
    <w:pPr>
      <w:tabs>
        <w:tab w:val="right" w:leader="dot" w:pos="9350"/>
      </w:tabs>
      <w:spacing w:after="100"/>
    </w:pPr>
  </w:style>
  <w:style w:type="paragraph" w:styleId="TOC2">
    <w:name w:val="toc 2"/>
    <w:basedOn w:val="Normal"/>
    <w:next w:val="Normal"/>
    <w:autoRedefine/>
    <w:uiPriority w:val="39"/>
    <w:unhideWhenUsed/>
    <w:rsid w:val="001E315F"/>
    <w:pPr>
      <w:tabs>
        <w:tab w:val="right" w:leader="dot" w:pos="9350"/>
      </w:tabs>
      <w:spacing w:after="100"/>
      <w:ind w:left="200"/>
    </w:pPr>
  </w:style>
  <w:style w:type="paragraph" w:customStyle="1" w:styleId="TT-TableTitle">
    <w:name w:val="TT-Table Title"/>
    <w:rsid w:val="001A3607"/>
    <w:pPr>
      <w:tabs>
        <w:tab w:val="left" w:pos="1152"/>
      </w:tabs>
      <w:spacing w:line="240" w:lineRule="atLeast"/>
      <w:ind w:left="1152" w:hanging="1152"/>
    </w:pPr>
    <w:rPr>
      <w:sz w:val="22"/>
    </w:rPr>
  </w:style>
  <w:style w:type="character" w:customStyle="1" w:styleId="FootnoteTextChar">
    <w:name w:val="Footnote Text Char"/>
    <w:aliases w:val="F1 Char"/>
    <w:basedOn w:val="DefaultParagraphFont"/>
    <w:link w:val="FootnoteText"/>
    <w:rsid w:val="00E332AA"/>
  </w:style>
  <w:style w:type="paragraph" w:styleId="Revision">
    <w:name w:val="Revision"/>
    <w:hidden/>
    <w:uiPriority w:val="99"/>
    <w:semiHidden/>
    <w:rsid w:val="00C049FB"/>
  </w:style>
  <w:style w:type="paragraph" w:customStyle="1" w:styleId="N0-FlLftBullet">
    <w:name w:val="N0-Fl Lft Bullet"/>
    <w:basedOn w:val="Normal"/>
    <w:rsid w:val="00100DDD"/>
    <w:pPr>
      <w:spacing w:after="240" w:line="240" w:lineRule="atLeast"/>
      <w:ind w:left="576" w:hanging="576"/>
    </w:pPr>
    <w:rPr>
      <w:rFonts w:ascii="Garamond" w:eastAsiaTheme="minorHAnsi" w:hAnsi="Garamond"/>
      <w:sz w:val="24"/>
      <w:szCs w:val="24"/>
    </w:rPr>
  </w:style>
  <w:style w:type="paragraph" w:styleId="EndnoteText">
    <w:name w:val="endnote text"/>
    <w:basedOn w:val="Normal"/>
    <w:link w:val="EndnoteTextChar"/>
    <w:uiPriority w:val="99"/>
    <w:semiHidden/>
    <w:rsid w:val="00DF53F3"/>
  </w:style>
  <w:style w:type="character" w:customStyle="1" w:styleId="EndnoteTextChar">
    <w:name w:val="Endnote Text Char"/>
    <w:basedOn w:val="DefaultParagraphFont"/>
    <w:link w:val="EndnoteText"/>
    <w:uiPriority w:val="99"/>
    <w:semiHidden/>
    <w:rsid w:val="00DF53F3"/>
  </w:style>
  <w:style w:type="character" w:styleId="EndnoteReference">
    <w:name w:val="endnote reference"/>
    <w:uiPriority w:val="99"/>
    <w:semiHidden/>
    <w:rsid w:val="00DF53F3"/>
    <w:rPr>
      <w:vertAlign w:val="superscript"/>
    </w:rPr>
  </w:style>
  <w:style w:type="paragraph" w:customStyle="1" w:styleId="L1-FlLSp12">
    <w:name w:val="L1-FlL Sp&amp;1/2"/>
    <w:basedOn w:val="Normal"/>
    <w:link w:val="L1-FlLSp12Char"/>
    <w:rsid w:val="00D11EBC"/>
    <w:pPr>
      <w:widowControl w:val="0"/>
      <w:tabs>
        <w:tab w:val="left" w:pos="1152"/>
      </w:tabs>
      <w:spacing w:after="120" w:line="260" w:lineRule="exact"/>
    </w:pPr>
    <w:rPr>
      <w:rFonts w:asciiTheme="minorHAnsi" w:hAnsiTheme="minorHAnsi"/>
      <w:snapToGrid w:val="0"/>
      <w:sz w:val="24"/>
      <w:szCs w:val="22"/>
    </w:rPr>
  </w:style>
  <w:style w:type="character" w:customStyle="1" w:styleId="L1-FlLSp12Char">
    <w:name w:val="L1-FlL Sp&amp;1/2 Char"/>
    <w:basedOn w:val="DefaultParagraphFont"/>
    <w:link w:val="L1-FlLSp12"/>
    <w:rsid w:val="00D11EBC"/>
    <w:rPr>
      <w:rFonts w:asciiTheme="minorHAnsi" w:hAnsiTheme="minorHAnsi"/>
      <w:snapToGrid w:val="0"/>
      <w:sz w:val="24"/>
      <w:szCs w:val="22"/>
    </w:rPr>
  </w:style>
  <w:style w:type="character" w:customStyle="1" w:styleId="CommentTextChar">
    <w:name w:val="Comment Text Char"/>
    <w:basedOn w:val="DefaultParagraphFont"/>
    <w:link w:val="CommentText"/>
    <w:uiPriority w:val="99"/>
    <w:rsid w:val="00474C61"/>
  </w:style>
  <w:style w:type="character" w:customStyle="1" w:styleId="st1">
    <w:name w:val="st1"/>
    <w:basedOn w:val="DefaultParagraphFont"/>
    <w:rsid w:val="0017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3386">
      <w:bodyDiv w:val="1"/>
      <w:marLeft w:val="0"/>
      <w:marRight w:val="0"/>
      <w:marTop w:val="0"/>
      <w:marBottom w:val="0"/>
      <w:divBdr>
        <w:top w:val="none" w:sz="0" w:space="0" w:color="auto"/>
        <w:left w:val="none" w:sz="0" w:space="0" w:color="auto"/>
        <w:bottom w:val="none" w:sz="0" w:space="0" w:color="auto"/>
        <w:right w:val="none" w:sz="0" w:space="0" w:color="auto"/>
      </w:divBdr>
    </w:div>
    <w:div w:id="24140862">
      <w:bodyDiv w:val="1"/>
      <w:marLeft w:val="0"/>
      <w:marRight w:val="0"/>
      <w:marTop w:val="0"/>
      <w:marBottom w:val="0"/>
      <w:divBdr>
        <w:top w:val="none" w:sz="0" w:space="0" w:color="auto"/>
        <w:left w:val="none" w:sz="0" w:space="0" w:color="auto"/>
        <w:bottom w:val="none" w:sz="0" w:space="0" w:color="auto"/>
        <w:right w:val="none" w:sz="0" w:space="0" w:color="auto"/>
      </w:divBdr>
      <w:divsChild>
        <w:div w:id="141571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37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62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768589">
      <w:bodyDiv w:val="1"/>
      <w:marLeft w:val="0"/>
      <w:marRight w:val="0"/>
      <w:marTop w:val="0"/>
      <w:marBottom w:val="0"/>
      <w:divBdr>
        <w:top w:val="none" w:sz="0" w:space="0" w:color="auto"/>
        <w:left w:val="none" w:sz="0" w:space="0" w:color="auto"/>
        <w:bottom w:val="none" w:sz="0" w:space="0" w:color="auto"/>
        <w:right w:val="none" w:sz="0" w:space="0" w:color="auto"/>
      </w:divBdr>
    </w:div>
    <w:div w:id="52898188">
      <w:bodyDiv w:val="1"/>
      <w:marLeft w:val="0"/>
      <w:marRight w:val="0"/>
      <w:marTop w:val="0"/>
      <w:marBottom w:val="0"/>
      <w:divBdr>
        <w:top w:val="none" w:sz="0" w:space="0" w:color="auto"/>
        <w:left w:val="none" w:sz="0" w:space="0" w:color="auto"/>
        <w:bottom w:val="none" w:sz="0" w:space="0" w:color="auto"/>
        <w:right w:val="none" w:sz="0" w:space="0" w:color="auto"/>
      </w:divBdr>
    </w:div>
    <w:div w:id="154298734">
      <w:bodyDiv w:val="1"/>
      <w:marLeft w:val="0"/>
      <w:marRight w:val="0"/>
      <w:marTop w:val="0"/>
      <w:marBottom w:val="0"/>
      <w:divBdr>
        <w:top w:val="none" w:sz="0" w:space="0" w:color="auto"/>
        <w:left w:val="none" w:sz="0" w:space="0" w:color="auto"/>
        <w:bottom w:val="none" w:sz="0" w:space="0" w:color="auto"/>
        <w:right w:val="none" w:sz="0" w:space="0" w:color="auto"/>
      </w:divBdr>
    </w:div>
    <w:div w:id="180780654">
      <w:bodyDiv w:val="1"/>
      <w:marLeft w:val="0"/>
      <w:marRight w:val="0"/>
      <w:marTop w:val="0"/>
      <w:marBottom w:val="0"/>
      <w:divBdr>
        <w:top w:val="none" w:sz="0" w:space="0" w:color="auto"/>
        <w:left w:val="none" w:sz="0" w:space="0" w:color="auto"/>
        <w:bottom w:val="none" w:sz="0" w:space="0" w:color="auto"/>
        <w:right w:val="none" w:sz="0" w:space="0" w:color="auto"/>
      </w:divBdr>
    </w:div>
    <w:div w:id="201944704">
      <w:bodyDiv w:val="1"/>
      <w:marLeft w:val="0"/>
      <w:marRight w:val="0"/>
      <w:marTop w:val="0"/>
      <w:marBottom w:val="0"/>
      <w:divBdr>
        <w:top w:val="none" w:sz="0" w:space="0" w:color="auto"/>
        <w:left w:val="none" w:sz="0" w:space="0" w:color="auto"/>
        <w:bottom w:val="none" w:sz="0" w:space="0" w:color="auto"/>
        <w:right w:val="none" w:sz="0" w:space="0" w:color="auto"/>
      </w:divBdr>
    </w:div>
    <w:div w:id="281428323">
      <w:bodyDiv w:val="1"/>
      <w:marLeft w:val="0"/>
      <w:marRight w:val="0"/>
      <w:marTop w:val="0"/>
      <w:marBottom w:val="0"/>
      <w:divBdr>
        <w:top w:val="none" w:sz="0" w:space="0" w:color="auto"/>
        <w:left w:val="none" w:sz="0" w:space="0" w:color="auto"/>
        <w:bottom w:val="none" w:sz="0" w:space="0" w:color="auto"/>
        <w:right w:val="none" w:sz="0" w:space="0" w:color="auto"/>
      </w:divBdr>
      <w:divsChild>
        <w:div w:id="1601062864">
          <w:marLeft w:val="0"/>
          <w:marRight w:val="0"/>
          <w:marTop w:val="0"/>
          <w:marBottom w:val="0"/>
          <w:divBdr>
            <w:top w:val="none" w:sz="0" w:space="0" w:color="auto"/>
            <w:left w:val="none" w:sz="0" w:space="0" w:color="auto"/>
            <w:bottom w:val="none" w:sz="0" w:space="0" w:color="auto"/>
            <w:right w:val="none" w:sz="0" w:space="0" w:color="auto"/>
          </w:divBdr>
          <w:divsChild>
            <w:div w:id="534081610">
              <w:marLeft w:val="0"/>
              <w:marRight w:val="0"/>
              <w:marTop w:val="0"/>
              <w:marBottom w:val="0"/>
              <w:divBdr>
                <w:top w:val="none" w:sz="0" w:space="0" w:color="auto"/>
                <w:left w:val="single" w:sz="6" w:space="0" w:color="E2E2E2"/>
                <w:bottom w:val="none" w:sz="0" w:space="0" w:color="auto"/>
                <w:right w:val="single" w:sz="6" w:space="0" w:color="E2E2E2"/>
              </w:divBdr>
              <w:divsChild>
                <w:div w:id="2129199268">
                  <w:marLeft w:val="0"/>
                  <w:marRight w:val="0"/>
                  <w:marTop w:val="0"/>
                  <w:marBottom w:val="0"/>
                  <w:divBdr>
                    <w:top w:val="none" w:sz="0" w:space="0" w:color="auto"/>
                    <w:left w:val="none" w:sz="0" w:space="0" w:color="auto"/>
                    <w:bottom w:val="none" w:sz="0" w:space="0" w:color="auto"/>
                    <w:right w:val="none" w:sz="0" w:space="0" w:color="auto"/>
                  </w:divBdr>
                  <w:divsChild>
                    <w:div w:id="5908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4254">
      <w:bodyDiv w:val="1"/>
      <w:marLeft w:val="0"/>
      <w:marRight w:val="0"/>
      <w:marTop w:val="0"/>
      <w:marBottom w:val="0"/>
      <w:divBdr>
        <w:top w:val="none" w:sz="0" w:space="0" w:color="auto"/>
        <w:left w:val="none" w:sz="0" w:space="0" w:color="auto"/>
        <w:bottom w:val="none" w:sz="0" w:space="0" w:color="auto"/>
        <w:right w:val="none" w:sz="0" w:space="0" w:color="auto"/>
      </w:divBdr>
    </w:div>
    <w:div w:id="313604220">
      <w:bodyDiv w:val="1"/>
      <w:marLeft w:val="0"/>
      <w:marRight w:val="0"/>
      <w:marTop w:val="0"/>
      <w:marBottom w:val="0"/>
      <w:divBdr>
        <w:top w:val="none" w:sz="0" w:space="0" w:color="auto"/>
        <w:left w:val="none" w:sz="0" w:space="0" w:color="auto"/>
        <w:bottom w:val="none" w:sz="0" w:space="0" w:color="auto"/>
        <w:right w:val="none" w:sz="0" w:space="0" w:color="auto"/>
      </w:divBdr>
    </w:div>
    <w:div w:id="417793177">
      <w:bodyDiv w:val="1"/>
      <w:marLeft w:val="0"/>
      <w:marRight w:val="0"/>
      <w:marTop w:val="0"/>
      <w:marBottom w:val="0"/>
      <w:divBdr>
        <w:top w:val="none" w:sz="0" w:space="0" w:color="auto"/>
        <w:left w:val="none" w:sz="0" w:space="0" w:color="auto"/>
        <w:bottom w:val="none" w:sz="0" w:space="0" w:color="auto"/>
        <w:right w:val="none" w:sz="0" w:space="0" w:color="auto"/>
      </w:divBdr>
      <w:divsChild>
        <w:div w:id="102644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30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28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354944">
      <w:bodyDiv w:val="1"/>
      <w:marLeft w:val="0"/>
      <w:marRight w:val="0"/>
      <w:marTop w:val="0"/>
      <w:marBottom w:val="0"/>
      <w:divBdr>
        <w:top w:val="none" w:sz="0" w:space="0" w:color="auto"/>
        <w:left w:val="none" w:sz="0" w:space="0" w:color="auto"/>
        <w:bottom w:val="none" w:sz="0" w:space="0" w:color="auto"/>
        <w:right w:val="none" w:sz="0" w:space="0" w:color="auto"/>
      </w:divBdr>
    </w:div>
    <w:div w:id="607127319">
      <w:bodyDiv w:val="1"/>
      <w:marLeft w:val="0"/>
      <w:marRight w:val="0"/>
      <w:marTop w:val="0"/>
      <w:marBottom w:val="0"/>
      <w:divBdr>
        <w:top w:val="none" w:sz="0" w:space="0" w:color="auto"/>
        <w:left w:val="none" w:sz="0" w:space="0" w:color="auto"/>
        <w:bottom w:val="none" w:sz="0" w:space="0" w:color="auto"/>
        <w:right w:val="none" w:sz="0" w:space="0" w:color="auto"/>
      </w:divBdr>
    </w:div>
    <w:div w:id="616107996">
      <w:bodyDiv w:val="1"/>
      <w:marLeft w:val="0"/>
      <w:marRight w:val="0"/>
      <w:marTop w:val="0"/>
      <w:marBottom w:val="0"/>
      <w:divBdr>
        <w:top w:val="none" w:sz="0" w:space="0" w:color="auto"/>
        <w:left w:val="none" w:sz="0" w:space="0" w:color="auto"/>
        <w:bottom w:val="none" w:sz="0" w:space="0" w:color="auto"/>
        <w:right w:val="none" w:sz="0" w:space="0" w:color="auto"/>
      </w:divBdr>
    </w:div>
    <w:div w:id="679967513">
      <w:bodyDiv w:val="1"/>
      <w:marLeft w:val="0"/>
      <w:marRight w:val="0"/>
      <w:marTop w:val="0"/>
      <w:marBottom w:val="0"/>
      <w:divBdr>
        <w:top w:val="none" w:sz="0" w:space="0" w:color="auto"/>
        <w:left w:val="none" w:sz="0" w:space="0" w:color="auto"/>
        <w:bottom w:val="none" w:sz="0" w:space="0" w:color="auto"/>
        <w:right w:val="none" w:sz="0" w:space="0" w:color="auto"/>
      </w:divBdr>
    </w:div>
    <w:div w:id="719594078">
      <w:bodyDiv w:val="1"/>
      <w:marLeft w:val="0"/>
      <w:marRight w:val="0"/>
      <w:marTop w:val="0"/>
      <w:marBottom w:val="0"/>
      <w:divBdr>
        <w:top w:val="none" w:sz="0" w:space="0" w:color="auto"/>
        <w:left w:val="none" w:sz="0" w:space="0" w:color="auto"/>
        <w:bottom w:val="none" w:sz="0" w:space="0" w:color="auto"/>
        <w:right w:val="none" w:sz="0" w:space="0" w:color="auto"/>
      </w:divBdr>
    </w:div>
    <w:div w:id="737630259">
      <w:bodyDiv w:val="1"/>
      <w:marLeft w:val="0"/>
      <w:marRight w:val="0"/>
      <w:marTop w:val="0"/>
      <w:marBottom w:val="0"/>
      <w:divBdr>
        <w:top w:val="none" w:sz="0" w:space="0" w:color="auto"/>
        <w:left w:val="none" w:sz="0" w:space="0" w:color="auto"/>
        <w:bottom w:val="none" w:sz="0" w:space="0" w:color="auto"/>
        <w:right w:val="none" w:sz="0" w:space="0" w:color="auto"/>
      </w:divBdr>
    </w:div>
    <w:div w:id="789125913">
      <w:bodyDiv w:val="1"/>
      <w:marLeft w:val="0"/>
      <w:marRight w:val="0"/>
      <w:marTop w:val="0"/>
      <w:marBottom w:val="0"/>
      <w:divBdr>
        <w:top w:val="none" w:sz="0" w:space="0" w:color="auto"/>
        <w:left w:val="none" w:sz="0" w:space="0" w:color="auto"/>
        <w:bottom w:val="none" w:sz="0" w:space="0" w:color="auto"/>
        <w:right w:val="none" w:sz="0" w:space="0" w:color="auto"/>
      </w:divBdr>
    </w:div>
    <w:div w:id="795220292">
      <w:bodyDiv w:val="1"/>
      <w:marLeft w:val="0"/>
      <w:marRight w:val="0"/>
      <w:marTop w:val="0"/>
      <w:marBottom w:val="0"/>
      <w:divBdr>
        <w:top w:val="none" w:sz="0" w:space="0" w:color="auto"/>
        <w:left w:val="none" w:sz="0" w:space="0" w:color="auto"/>
        <w:bottom w:val="none" w:sz="0" w:space="0" w:color="auto"/>
        <w:right w:val="none" w:sz="0" w:space="0" w:color="auto"/>
      </w:divBdr>
    </w:div>
    <w:div w:id="808015232">
      <w:bodyDiv w:val="1"/>
      <w:marLeft w:val="0"/>
      <w:marRight w:val="0"/>
      <w:marTop w:val="0"/>
      <w:marBottom w:val="0"/>
      <w:divBdr>
        <w:top w:val="none" w:sz="0" w:space="0" w:color="auto"/>
        <w:left w:val="none" w:sz="0" w:space="0" w:color="auto"/>
        <w:bottom w:val="none" w:sz="0" w:space="0" w:color="auto"/>
        <w:right w:val="none" w:sz="0" w:space="0" w:color="auto"/>
      </w:divBdr>
      <w:divsChild>
        <w:div w:id="963079700">
          <w:marLeft w:val="0"/>
          <w:marRight w:val="0"/>
          <w:marTop w:val="0"/>
          <w:marBottom w:val="0"/>
          <w:divBdr>
            <w:top w:val="none" w:sz="0" w:space="0" w:color="auto"/>
            <w:left w:val="none" w:sz="0" w:space="0" w:color="auto"/>
            <w:bottom w:val="none" w:sz="0" w:space="0" w:color="auto"/>
            <w:right w:val="none" w:sz="0" w:space="0" w:color="auto"/>
          </w:divBdr>
          <w:divsChild>
            <w:div w:id="885725074">
              <w:marLeft w:val="0"/>
              <w:marRight w:val="0"/>
              <w:marTop w:val="0"/>
              <w:marBottom w:val="0"/>
              <w:divBdr>
                <w:top w:val="none" w:sz="0" w:space="0" w:color="auto"/>
                <w:left w:val="single" w:sz="6" w:space="0" w:color="E2E2E2"/>
                <w:bottom w:val="none" w:sz="0" w:space="0" w:color="auto"/>
                <w:right w:val="single" w:sz="6" w:space="0" w:color="E2E2E2"/>
              </w:divBdr>
              <w:divsChild>
                <w:div w:id="1746296767">
                  <w:marLeft w:val="0"/>
                  <w:marRight w:val="0"/>
                  <w:marTop w:val="0"/>
                  <w:marBottom w:val="0"/>
                  <w:divBdr>
                    <w:top w:val="none" w:sz="0" w:space="0" w:color="auto"/>
                    <w:left w:val="none" w:sz="0" w:space="0" w:color="auto"/>
                    <w:bottom w:val="none" w:sz="0" w:space="0" w:color="auto"/>
                    <w:right w:val="none" w:sz="0" w:space="0" w:color="auto"/>
                  </w:divBdr>
                  <w:divsChild>
                    <w:div w:id="19168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52104">
      <w:bodyDiv w:val="1"/>
      <w:marLeft w:val="0"/>
      <w:marRight w:val="0"/>
      <w:marTop w:val="0"/>
      <w:marBottom w:val="0"/>
      <w:divBdr>
        <w:top w:val="none" w:sz="0" w:space="0" w:color="auto"/>
        <w:left w:val="none" w:sz="0" w:space="0" w:color="auto"/>
        <w:bottom w:val="none" w:sz="0" w:space="0" w:color="auto"/>
        <w:right w:val="none" w:sz="0" w:space="0" w:color="auto"/>
      </w:divBdr>
    </w:div>
    <w:div w:id="854268861">
      <w:bodyDiv w:val="1"/>
      <w:marLeft w:val="0"/>
      <w:marRight w:val="0"/>
      <w:marTop w:val="0"/>
      <w:marBottom w:val="0"/>
      <w:divBdr>
        <w:top w:val="none" w:sz="0" w:space="0" w:color="auto"/>
        <w:left w:val="none" w:sz="0" w:space="0" w:color="auto"/>
        <w:bottom w:val="none" w:sz="0" w:space="0" w:color="auto"/>
        <w:right w:val="none" w:sz="0" w:space="0" w:color="auto"/>
      </w:divBdr>
    </w:div>
    <w:div w:id="919871161">
      <w:bodyDiv w:val="1"/>
      <w:marLeft w:val="0"/>
      <w:marRight w:val="0"/>
      <w:marTop w:val="0"/>
      <w:marBottom w:val="0"/>
      <w:divBdr>
        <w:top w:val="none" w:sz="0" w:space="0" w:color="auto"/>
        <w:left w:val="none" w:sz="0" w:space="0" w:color="auto"/>
        <w:bottom w:val="none" w:sz="0" w:space="0" w:color="auto"/>
        <w:right w:val="none" w:sz="0" w:space="0" w:color="auto"/>
      </w:divBdr>
    </w:div>
    <w:div w:id="1038050056">
      <w:bodyDiv w:val="1"/>
      <w:marLeft w:val="0"/>
      <w:marRight w:val="0"/>
      <w:marTop w:val="0"/>
      <w:marBottom w:val="0"/>
      <w:divBdr>
        <w:top w:val="none" w:sz="0" w:space="0" w:color="auto"/>
        <w:left w:val="none" w:sz="0" w:space="0" w:color="auto"/>
        <w:bottom w:val="none" w:sz="0" w:space="0" w:color="auto"/>
        <w:right w:val="none" w:sz="0" w:space="0" w:color="auto"/>
      </w:divBdr>
    </w:div>
    <w:div w:id="1043750104">
      <w:bodyDiv w:val="1"/>
      <w:marLeft w:val="0"/>
      <w:marRight w:val="0"/>
      <w:marTop w:val="0"/>
      <w:marBottom w:val="0"/>
      <w:divBdr>
        <w:top w:val="none" w:sz="0" w:space="0" w:color="auto"/>
        <w:left w:val="none" w:sz="0" w:space="0" w:color="auto"/>
        <w:bottom w:val="none" w:sz="0" w:space="0" w:color="auto"/>
        <w:right w:val="none" w:sz="0" w:space="0" w:color="auto"/>
      </w:divBdr>
    </w:div>
    <w:div w:id="1108239430">
      <w:bodyDiv w:val="1"/>
      <w:marLeft w:val="0"/>
      <w:marRight w:val="0"/>
      <w:marTop w:val="0"/>
      <w:marBottom w:val="0"/>
      <w:divBdr>
        <w:top w:val="none" w:sz="0" w:space="0" w:color="auto"/>
        <w:left w:val="none" w:sz="0" w:space="0" w:color="auto"/>
        <w:bottom w:val="none" w:sz="0" w:space="0" w:color="auto"/>
        <w:right w:val="none" w:sz="0" w:space="0" w:color="auto"/>
      </w:divBdr>
      <w:divsChild>
        <w:div w:id="32316997">
          <w:marLeft w:val="0"/>
          <w:marRight w:val="0"/>
          <w:marTop w:val="0"/>
          <w:marBottom w:val="0"/>
          <w:divBdr>
            <w:top w:val="none" w:sz="0" w:space="0" w:color="auto"/>
            <w:left w:val="none" w:sz="0" w:space="0" w:color="auto"/>
            <w:bottom w:val="none" w:sz="0" w:space="0" w:color="auto"/>
            <w:right w:val="none" w:sz="0" w:space="0" w:color="auto"/>
          </w:divBdr>
          <w:divsChild>
            <w:div w:id="1837572315">
              <w:marLeft w:val="0"/>
              <w:marRight w:val="0"/>
              <w:marTop w:val="0"/>
              <w:marBottom w:val="0"/>
              <w:divBdr>
                <w:top w:val="none" w:sz="0" w:space="0" w:color="auto"/>
                <w:left w:val="none" w:sz="0" w:space="0" w:color="auto"/>
                <w:bottom w:val="none" w:sz="0" w:space="0" w:color="auto"/>
                <w:right w:val="none" w:sz="0" w:space="0" w:color="auto"/>
              </w:divBdr>
              <w:divsChild>
                <w:div w:id="1457018715">
                  <w:marLeft w:val="0"/>
                  <w:marRight w:val="0"/>
                  <w:marTop w:val="450"/>
                  <w:marBottom w:val="0"/>
                  <w:divBdr>
                    <w:top w:val="none" w:sz="0" w:space="0" w:color="auto"/>
                    <w:left w:val="none" w:sz="0" w:space="0" w:color="auto"/>
                    <w:bottom w:val="none" w:sz="0" w:space="0" w:color="auto"/>
                    <w:right w:val="none" w:sz="0" w:space="0" w:color="auto"/>
                  </w:divBdr>
                  <w:divsChild>
                    <w:div w:id="19055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8409">
      <w:bodyDiv w:val="1"/>
      <w:marLeft w:val="0"/>
      <w:marRight w:val="0"/>
      <w:marTop w:val="0"/>
      <w:marBottom w:val="0"/>
      <w:divBdr>
        <w:top w:val="none" w:sz="0" w:space="0" w:color="auto"/>
        <w:left w:val="none" w:sz="0" w:space="0" w:color="auto"/>
        <w:bottom w:val="none" w:sz="0" w:space="0" w:color="auto"/>
        <w:right w:val="none" w:sz="0" w:space="0" w:color="auto"/>
      </w:divBdr>
    </w:div>
    <w:div w:id="1183282235">
      <w:bodyDiv w:val="1"/>
      <w:marLeft w:val="0"/>
      <w:marRight w:val="0"/>
      <w:marTop w:val="0"/>
      <w:marBottom w:val="0"/>
      <w:divBdr>
        <w:top w:val="none" w:sz="0" w:space="0" w:color="auto"/>
        <w:left w:val="none" w:sz="0" w:space="0" w:color="auto"/>
        <w:bottom w:val="none" w:sz="0" w:space="0" w:color="auto"/>
        <w:right w:val="none" w:sz="0" w:space="0" w:color="auto"/>
      </w:divBdr>
    </w:div>
    <w:div w:id="1188910245">
      <w:bodyDiv w:val="1"/>
      <w:marLeft w:val="0"/>
      <w:marRight w:val="0"/>
      <w:marTop w:val="0"/>
      <w:marBottom w:val="0"/>
      <w:divBdr>
        <w:top w:val="none" w:sz="0" w:space="0" w:color="auto"/>
        <w:left w:val="none" w:sz="0" w:space="0" w:color="auto"/>
        <w:bottom w:val="none" w:sz="0" w:space="0" w:color="auto"/>
        <w:right w:val="none" w:sz="0" w:space="0" w:color="auto"/>
      </w:divBdr>
    </w:div>
    <w:div w:id="1233345611">
      <w:bodyDiv w:val="1"/>
      <w:marLeft w:val="0"/>
      <w:marRight w:val="0"/>
      <w:marTop w:val="0"/>
      <w:marBottom w:val="0"/>
      <w:divBdr>
        <w:top w:val="none" w:sz="0" w:space="0" w:color="auto"/>
        <w:left w:val="none" w:sz="0" w:space="0" w:color="auto"/>
        <w:bottom w:val="none" w:sz="0" w:space="0" w:color="auto"/>
        <w:right w:val="none" w:sz="0" w:space="0" w:color="auto"/>
      </w:divBdr>
    </w:div>
    <w:div w:id="1241328072">
      <w:bodyDiv w:val="1"/>
      <w:marLeft w:val="0"/>
      <w:marRight w:val="0"/>
      <w:marTop w:val="0"/>
      <w:marBottom w:val="0"/>
      <w:divBdr>
        <w:top w:val="none" w:sz="0" w:space="0" w:color="auto"/>
        <w:left w:val="none" w:sz="0" w:space="0" w:color="auto"/>
        <w:bottom w:val="none" w:sz="0" w:space="0" w:color="auto"/>
        <w:right w:val="none" w:sz="0" w:space="0" w:color="auto"/>
      </w:divBdr>
    </w:div>
    <w:div w:id="1320695493">
      <w:bodyDiv w:val="1"/>
      <w:marLeft w:val="0"/>
      <w:marRight w:val="0"/>
      <w:marTop w:val="0"/>
      <w:marBottom w:val="0"/>
      <w:divBdr>
        <w:top w:val="none" w:sz="0" w:space="0" w:color="auto"/>
        <w:left w:val="none" w:sz="0" w:space="0" w:color="auto"/>
        <w:bottom w:val="none" w:sz="0" w:space="0" w:color="auto"/>
        <w:right w:val="none" w:sz="0" w:space="0" w:color="auto"/>
      </w:divBdr>
    </w:div>
    <w:div w:id="1369261069">
      <w:bodyDiv w:val="1"/>
      <w:marLeft w:val="0"/>
      <w:marRight w:val="0"/>
      <w:marTop w:val="0"/>
      <w:marBottom w:val="0"/>
      <w:divBdr>
        <w:top w:val="none" w:sz="0" w:space="0" w:color="auto"/>
        <w:left w:val="none" w:sz="0" w:space="0" w:color="auto"/>
        <w:bottom w:val="none" w:sz="0" w:space="0" w:color="auto"/>
        <w:right w:val="none" w:sz="0" w:space="0" w:color="auto"/>
      </w:divBdr>
      <w:divsChild>
        <w:div w:id="320234632">
          <w:marLeft w:val="0"/>
          <w:marRight w:val="0"/>
          <w:marTop w:val="0"/>
          <w:marBottom w:val="0"/>
          <w:divBdr>
            <w:top w:val="none" w:sz="0" w:space="0" w:color="auto"/>
            <w:left w:val="none" w:sz="0" w:space="0" w:color="auto"/>
            <w:bottom w:val="none" w:sz="0" w:space="0" w:color="auto"/>
            <w:right w:val="none" w:sz="0" w:space="0" w:color="auto"/>
          </w:divBdr>
          <w:divsChild>
            <w:div w:id="1833108427">
              <w:marLeft w:val="0"/>
              <w:marRight w:val="0"/>
              <w:marTop w:val="0"/>
              <w:marBottom w:val="0"/>
              <w:divBdr>
                <w:top w:val="none" w:sz="0" w:space="0" w:color="auto"/>
                <w:left w:val="single" w:sz="6" w:space="0" w:color="E2E2E2"/>
                <w:bottom w:val="none" w:sz="0" w:space="0" w:color="auto"/>
                <w:right w:val="single" w:sz="6" w:space="0" w:color="E2E2E2"/>
              </w:divBdr>
              <w:divsChild>
                <w:div w:id="977220488">
                  <w:marLeft w:val="0"/>
                  <w:marRight w:val="0"/>
                  <w:marTop w:val="0"/>
                  <w:marBottom w:val="0"/>
                  <w:divBdr>
                    <w:top w:val="none" w:sz="0" w:space="0" w:color="auto"/>
                    <w:left w:val="none" w:sz="0" w:space="0" w:color="auto"/>
                    <w:bottom w:val="none" w:sz="0" w:space="0" w:color="auto"/>
                    <w:right w:val="none" w:sz="0" w:space="0" w:color="auto"/>
                  </w:divBdr>
                  <w:divsChild>
                    <w:div w:id="988748792">
                      <w:marLeft w:val="0"/>
                      <w:marRight w:val="0"/>
                      <w:marTop w:val="0"/>
                      <w:marBottom w:val="0"/>
                      <w:divBdr>
                        <w:top w:val="none" w:sz="0" w:space="0" w:color="auto"/>
                        <w:left w:val="none" w:sz="0" w:space="0" w:color="auto"/>
                        <w:bottom w:val="none" w:sz="0" w:space="0" w:color="auto"/>
                        <w:right w:val="none" w:sz="0" w:space="0" w:color="auto"/>
                      </w:divBdr>
                      <w:divsChild>
                        <w:div w:id="18191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5409">
      <w:bodyDiv w:val="1"/>
      <w:marLeft w:val="0"/>
      <w:marRight w:val="0"/>
      <w:marTop w:val="0"/>
      <w:marBottom w:val="0"/>
      <w:divBdr>
        <w:top w:val="none" w:sz="0" w:space="0" w:color="auto"/>
        <w:left w:val="none" w:sz="0" w:space="0" w:color="auto"/>
        <w:bottom w:val="none" w:sz="0" w:space="0" w:color="auto"/>
        <w:right w:val="none" w:sz="0" w:space="0" w:color="auto"/>
      </w:divBdr>
    </w:div>
    <w:div w:id="1715042252">
      <w:bodyDiv w:val="1"/>
      <w:marLeft w:val="0"/>
      <w:marRight w:val="0"/>
      <w:marTop w:val="0"/>
      <w:marBottom w:val="0"/>
      <w:divBdr>
        <w:top w:val="none" w:sz="0" w:space="0" w:color="auto"/>
        <w:left w:val="none" w:sz="0" w:space="0" w:color="auto"/>
        <w:bottom w:val="none" w:sz="0" w:space="0" w:color="auto"/>
        <w:right w:val="none" w:sz="0" w:space="0" w:color="auto"/>
      </w:divBdr>
    </w:div>
    <w:div w:id="1736315762">
      <w:bodyDiv w:val="1"/>
      <w:marLeft w:val="0"/>
      <w:marRight w:val="0"/>
      <w:marTop w:val="0"/>
      <w:marBottom w:val="0"/>
      <w:divBdr>
        <w:top w:val="none" w:sz="0" w:space="0" w:color="auto"/>
        <w:left w:val="none" w:sz="0" w:space="0" w:color="auto"/>
        <w:bottom w:val="none" w:sz="0" w:space="0" w:color="auto"/>
        <w:right w:val="none" w:sz="0" w:space="0" w:color="auto"/>
      </w:divBdr>
    </w:div>
    <w:div w:id="1757287979">
      <w:bodyDiv w:val="1"/>
      <w:marLeft w:val="0"/>
      <w:marRight w:val="0"/>
      <w:marTop w:val="0"/>
      <w:marBottom w:val="0"/>
      <w:divBdr>
        <w:top w:val="none" w:sz="0" w:space="0" w:color="auto"/>
        <w:left w:val="none" w:sz="0" w:space="0" w:color="auto"/>
        <w:bottom w:val="none" w:sz="0" w:space="0" w:color="auto"/>
        <w:right w:val="none" w:sz="0" w:space="0" w:color="auto"/>
      </w:divBdr>
    </w:div>
    <w:div w:id="1792018397">
      <w:bodyDiv w:val="1"/>
      <w:marLeft w:val="0"/>
      <w:marRight w:val="0"/>
      <w:marTop w:val="0"/>
      <w:marBottom w:val="0"/>
      <w:divBdr>
        <w:top w:val="none" w:sz="0" w:space="0" w:color="auto"/>
        <w:left w:val="none" w:sz="0" w:space="0" w:color="auto"/>
        <w:bottom w:val="none" w:sz="0" w:space="0" w:color="auto"/>
        <w:right w:val="none" w:sz="0" w:space="0" w:color="auto"/>
      </w:divBdr>
    </w:div>
    <w:div w:id="1824615765">
      <w:bodyDiv w:val="1"/>
      <w:marLeft w:val="0"/>
      <w:marRight w:val="0"/>
      <w:marTop w:val="0"/>
      <w:marBottom w:val="0"/>
      <w:divBdr>
        <w:top w:val="none" w:sz="0" w:space="0" w:color="auto"/>
        <w:left w:val="none" w:sz="0" w:space="0" w:color="auto"/>
        <w:bottom w:val="none" w:sz="0" w:space="0" w:color="auto"/>
        <w:right w:val="none" w:sz="0" w:space="0" w:color="auto"/>
      </w:divBdr>
    </w:div>
    <w:div w:id="2096125453">
      <w:bodyDiv w:val="1"/>
      <w:marLeft w:val="0"/>
      <w:marRight w:val="0"/>
      <w:marTop w:val="0"/>
      <w:marBottom w:val="0"/>
      <w:divBdr>
        <w:top w:val="none" w:sz="0" w:space="0" w:color="auto"/>
        <w:left w:val="none" w:sz="0" w:space="0" w:color="auto"/>
        <w:bottom w:val="none" w:sz="0" w:space="0" w:color="auto"/>
        <w:right w:val="none" w:sz="0" w:space="0" w:color="auto"/>
      </w:divBdr>
    </w:div>
    <w:div w:id="21260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naics3_623000.htm" TargetMode="External"/><Relationship Id="rId5" Type="http://schemas.openxmlformats.org/officeDocument/2006/relationships/webSettings" Target="webSettings.xml"/><Relationship Id="rId10" Type="http://schemas.openxmlformats.org/officeDocument/2006/relationships/hyperlink" Target="https://www.ahrq.gov/sites/default/files/wysiwyg/sops/surveys/nursing-home/nh-survey-06-16-21.pdf" TargetMode="External"/><Relationship Id="rId4" Type="http://schemas.openxmlformats.org/officeDocument/2006/relationships/settings" Target="settings.xml"/><Relationship Id="rId9" Type="http://schemas.openxmlformats.org/officeDocument/2006/relationships/hyperlink" Target="http://www.ihi.org/about/news/Documents/IHI_National_Steering_Committee_052218_FINAL.pdf"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cdc.gov/niosh/topics/healthcarehsps/aboutstudy.html" TargetMode="External"/><Relationship Id="rId13" Type="http://schemas.openxmlformats.org/officeDocument/2006/relationships/hyperlink" Target="https://www.ena.org/docs/default-source/resource-library/practice-resources/workplace-violence/2011-emergency-department-violence-surveillance-report.pdf?sfvrsn=5ad81911_4" TargetMode="External"/><Relationship Id="rId18" Type="http://schemas.openxmlformats.org/officeDocument/2006/relationships/hyperlink" Target="http://ohccupstate.org/index_htm_files/Safe%20Patient%20Handling%20Survey%20Report%20April%202019%20FINAL.pdf" TargetMode="External"/><Relationship Id="rId3" Type="http://schemas.openxmlformats.org/officeDocument/2006/relationships/hyperlink" Target="http://www.ahrq.gov/policymakers/hrqa99b.html" TargetMode="External"/><Relationship Id="rId21" Type="http://schemas.openxmlformats.org/officeDocument/2006/relationships/hyperlink" Target="https://www.healthynursehealthynation.org/about/survey/" TargetMode="External"/><Relationship Id="rId7" Type="http://schemas.openxmlformats.org/officeDocument/2006/relationships/hyperlink" Target="https://www.ahrq.gov/sites/default/files/wysiwyg/sops/surveys/2019-nhsops-dbreport-parti.pdf" TargetMode="External"/><Relationship Id="rId12" Type="http://schemas.openxmlformats.org/officeDocument/2006/relationships/hyperlink" Target="https://www.who.int/violence_injury_prevention/violence/interpersonal/en/WVquestionnaire.pdf?ua=1" TargetMode="External"/><Relationship Id="rId17" Type="http://schemas.openxmlformats.org/officeDocument/2006/relationships/hyperlink" Target="https://www.upstate.edu/nursing/documents/ndnqi_rn_survey_with_pratice_environment_scale.pdf" TargetMode="External"/><Relationship Id="rId2" Type="http://schemas.openxmlformats.org/officeDocument/2006/relationships/hyperlink" Target="https://www.ahrq.gov/policymakers/hrqa99a.html" TargetMode="External"/><Relationship Id="rId16" Type="http://schemas.openxmlformats.org/officeDocument/2006/relationships/hyperlink" Target="https://www.tandfonline.com/doi/full/10.1080/23311975.2015.1134034" TargetMode="External"/><Relationship Id="rId20" Type="http://schemas.openxmlformats.org/officeDocument/2006/relationships/hyperlink" Target="https://www.cms.gov/Medicare/Provider-Enrollment-and-Certification/SurveyCertificationGenInfo/Downloads/CMPRP-Toolkit2-Employee-Satisfaction-Survey.pdf" TargetMode="External"/><Relationship Id="rId1" Type="http://schemas.openxmlformats.org/officeDocument/2006/relationships/hyperlink" Target="https://www.ahrq.gov/policymakers/hrqa99a.html" TargetMode="External"/><Relationship Id="rId6" Type="http://schemas.openxmlformats.org/officeDocument/2006/relationships/hyperlink" Target="http://www.ihi.org/Engage/Initiatives/National-Steering-Committee-Patient-Safety/Pages/default.aspx" TargetMode="External"/><Relationship Id="rId11" Type="http://schemas.openxmlformats.org/officeDocument/2006/relationships/hyperlink" Target="https://www.dshs.state.tx.us/chs/cnws/WorkforceReports/2016_WPVAN.pdf" TargetMode="External"/><Relationship Id="rId5" Type="http://schemas.openxmlformats.org/officeDocument/2006/relationships/hyperlink" Target="https://www.bls.gov/news.release/pdf/osh.pdf" TargetMode="External"/><Relationship Id="rId15" Type="http://schemas.openxmlformats.org/officeDocument/2006/relationships/hyperlink" Target="https://www.mindgarden.com/117-maslach-burnout-inventory" TargetMode="External"/><Relationship Id="rId23" Type="http://schemas.openxmlformats.org/officeDocument/2006/relationships/hyperlink" Target="https://www.iwh.on.ca/sites/iwh/files/iwh/tools/ohs_vulnerability_measure_guide_2017.pdf" TargetMode="External"/><Relationship Id="rId10" Type="http://schemas.openxmlformats.org/officeDocument/2006/relationships/hyperlink" Target="https://www.emergencyphysicians.org/globalassets/files/pdfs/2018acep-emergency-department-violence-pollresults-2.pdf" TargetMode="External"/><Relationship Id="rId19" Type="http://schemas.openxmlformats.org/officeDocument/2006/relationships/hyperlink" Target="https://www.cms.gov/Medicare/Provider-Enrollment-and-Certification/SurveyCertificationGenInfo/LTC-CMP-Reinvestment" TargetMode="External"/><Relationship Id="rId4" Type="http://schemas.openxmlformats.org/officeDocument/2006/relationships/hyperlink" Target="https://www.cdc.gov/niosh/topics/healthcare/default.html" TargetMode="External"/><Relationship Id="rId9" Type="http://schemas.openxmlformats.org/officeDocument/2006/relationships/hyperlink" Target="https://www.usbr.gov/safety/sap/documents/teamreports/Team14.pdf" TargetMode="External"/><Relationship Id="rId14" Type="http://schemas.openxmlformats.org/officeDocument/2006/relationships/hyperlink" Target="https://www.christushealth.org/-/media/files/for-providers/ama-mini-z-burnout-survey.ashx?la=en" TargetMode="External"/><Relationship Id="rId22" Type="http://schemas.openxmlformats.org/officeDocument/2006/relationships/hyperlink" Target="https://www.cdc.gov/nchs/nnhs/nn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162A-C1B6-4C17-963D-E105AF72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5532</Words>
  <Characters>32954</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Links>
    <vt:vector size="6" baseType="variant">
      <vt:variant>
        <vt:i4>4915211</vt:i4>
      </vt:variant>
      <vt:variant>
        <vt:i4>0</vt:i4>
      </vt:variant>
      <vt:variant>
        <vt:i4>0</vt:i4>
      </vt:variant>
      <vt:variant>
        <vt:i4>5</vt:i4>
      </vt:variant>
      <vt:variant>
        <vt:lpwstr>http://www.ahrq.gov/qual/hospculture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2022-03-10T19:53:00Z</dcterms:created>
  <dcterms:modified xsi:type="dcterms:W3CDTF">2022-03-10T19:56:00Z</dcterms:modified>
</cp:coreProperties>
</file>