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D41BB" w:rsidR="00253B99" w:rsidP="008111D2" w:rsidRDefault="002F6357" w14:paraId="3AFF71FB" w14:textId="2CD45825">
      <w:pPr>
        <w:spacing w:after="0" w:line="240" w:lineRule="auto"/>
        <w:jc w:val="center"/>
        <w:rPr>
          <w:rFonts w:ascii="Arial" w:hAnsi="Arial" w:cs="Arial"/>
          <w:sz w:val="32"/>
          <w:szCs w:val="32"/>
        </w:rPr>
      </w:pPr>
      <w:r w:rsidRPr="00ED41BB">
        <w:rPr>
          <w:rFonts w:ascii="Arial" w:hAnsi="Arial" w:cs="Arial"/>
          <w:sz w:val="32"/>
          <w:szCs w:val="32"/>
        </w:rPr>
        <w:t xml:space="preserve">Generic </w:t>
      </w:r>
      <w:r w:rsidRPr="00ED41BB" w:rsidR="00253B99">
        <w:rPr>
          <w:rFonts w:ascii="Arial" w:hAnsi="Arial" w:cs="Arial"/>
          <w:sz w:val="32"/>
          <w:szCs w:val="32"/>
        </w:rPr>
        <w:t>Supporting</w:t>
      </w:r>
      <w:r w:rsidRPr="00ED41BB" w:rsidR="00BB6559">
        <w:rPr>
          <w:rFonts w:ascii="Arial" w:hAnsi="Arial" w:cs="Arial"/>
          <w:sz w:val="32"/>
          <w:szCs w:val="32"/>
        </w:rPr>
        <w:t xml:space="preserve"> </w:t>
      </w:r>
      <w:r w:rsidRPr="00ED41BB" w:rsidR="00253B99">
        <w:rPr>
          <w:rFonts w:ascii="Arial" w:hAnsi="Arial" w:cs="Arial"/>
          <w:sz w:val="32"/>
          <w:szCs w:val="32"/>
        </w:rPr>
        <w:t>Statement</w:t>
      </w:r>
    </w:p>
    <w:p w:rsidRPr="00ED41BB" w:rsidR="00253B99" w:rsidP="008111D2" w:rsidRDefault="00253B99" w14:paraId="74C4819F" w14:textId="77777777">
      <w:pPr>
        <w:spacing w:after="0" w:line="240" w:lineRule="auto"/>
        <w:jc w:val="center"/>
        <w:rPr>
          <w:szCs w:val="24"/>
        </w:rPr>
      </w:pPr>
    </w:p>
    <w:p w:rsidRPr="00ED41BB" w:rsidR="007D6E75" w:rsidP="008111D2" w:rsidRDefault="00B54634" w14:paraId="31ADAFFE" w14:textId="77777777">
      <w:pPr>
        <w:spacing w:after="0" w:line="240" w:lineRule="auto"/>
        <w:jc w:val="center"/>
        <w:rPr>
          <w:szCs w:val="24"/>
        </w:rPr>
      </w:pPr>
      <w:r w:rsidRPr="00ED41BB">
        <w:rPr>
          <w:szCs w:val="24"/>
        </w:rPr>
        <w:t>Generic Clearance for Medicaid and CHIP State Plan, Waiver, and Program Submissions</w:t>
      </w:r>
    </w:p>
    <w:p w:rsidRPr="00ED41BB" w:rsidR="00DF098E" w:rsidP="008111D2" w:rsidRDefault="007D6E75" w14:paraId="6F45673B" w14:textId="77777777">
      <w:pPr>
        <w:spacing w:after="0" w:line="240" w:lineRule="auto"/>
        <w:jc w:val="center"/>
        <w:rPr>
          <w:szCs w:val="24"/>
        </w:rPr>
      </w:pPr>
      <w:r w:rsidRPr="00ED41BB">
        <w:rPr>
          <w:szCs w:val="24"/>
        </w:rPr>
        <w:t>(CMS-10398, OMB 0938-1148)</w:t>
      </w:r>
    </w:p>
    <w:p w:rsidRPr="00ED41BB" w:rsidR="007D6E75" w:rsidP="008111D2" w:rsidRDefault="007D6E75" w14:paraId="549638F8" w14:textId="77777777">
      <w:pPr>
        <w:spacing w:after="0" w:line="240" w:lineRule="auto"/>
        <w:jc w:val="center"/>
        <w:rPr>
          <w:szCs w:val="24"/>
        </w:rPr>
      </w:pPr>
    </w:p>
    <w:p w:rsidRPr="00ED41BB" w:rsidR="007F3C76" w:rsidP="007F3C76" w:rsidRDefault="002A68E9" w14:paraId="221469B9" w14:textId="43B6F262">
      <w:pPr>
        <w:spacing w:after="0" w:line="240" w:lineRule="auto"/>
        <w:jc w:val="center"/>
        <w:rPr>
          <w:rFonts w:cs="Times New Roman"/>
          <w:szCs w:val="24"/>
        </w:rPr>
      </w:pPr>
      <w:r w:rsidRPr="00ED41BB">
        <w:rPr>
          <w:rFonts w:cs="Times New Roman"/>
          <w:szCs w:val="24"/>
        </w:rPr>
        <w:t xml:space="preserve">Generic </w:t>
      </w:r>
      <w:r w:rsidRPr="00ED41BB" w:rsidR="00CB646D">
        <w:rPr>
          <w:rFonts w:cs="Times New Roman"/>
          <w:szCs w:val="24"/>
        </w:rPr>
        <w:t xml:space="preserve">Information Collection </w:t>
      </w:r>
      <w:r w:rsidR="002F4D32">
        <w:rPr>
          <w:rFonts w:cs="Times New Roman"/>
          <w:szCs w:val="24"/>
        </w:rPr>
        <w:t>#69</w:t>
      </w:r>
    </w:p>
    <w:p w:rsidRPr="00ED41BB" w:rsidR="00B45B81" w:rsidP="000A3FC7" w:rsidRDefault="002F4D32" w14:paraId="0B51AA81" w14:textId="0C1EC756">
      <w:pPr>
        <w:spacing w:after="0" w:line="240" w:lineRule="auto"/>
        <w:jc w:val="center"/>
        <w:rPr>
          <w:rFonts w:cs="Times New Roman"/>
          <w:sz w:val="28"/>
          <w:szCs w:val="28"/>
        </w:rPr>
      </w:pPr>
      <w:r>
        <w:rPr>
          <w:rFonts w:ascii="Arial" w:hAnsi="Arial" w:cs="Arial"/>
        </w:rPr>
        <w:t xml:space="preserve">Reporting Requirements for Additional Funding for Medicaid HCBS </w:t>
      </w:r>
      <w:proofErr w:type="gramStart"/>
      <w:r>
        <w:rPr>
          <w:rFonts w:ascii="Arial" w:hAnsi="Arial" w:cs="Arial"/>
        </w:rPr>
        <w:t>During</w:t>
      </w:r>
      <w:proofErr w:type="gramEnd"/>
      <w:r>
        <w:rPr>
          <w:rFonts w:ascii="Arial" w:hAnsi="Arial" w:cs="Arial"/>
        </w:rPr>
        <w:t xml:space="preserve"> the COVID–19 Emergency</w:t>
      </w:r>
      <w:r w:rsidR="00B45B81">
        <w:rPr>
          <w:rFonts w:ascii="Calibri" w:hAnsi="Calibri" w:eastAsia="Calibri" w:cs="Times New Roman"/>
          <w:bCs/>
          <w:sz w:val="28"/>
          <w:szCs w:val="28"/>
        </w:rPr>
        <w:t xml:space="preserve"> </w:t>
      </w:r>
    </w:p>
    <w:p w:rsidR="001D09B1" w:rsidP="007F3C76" w:rsidRDefault="001D09B1" w14:paraId="249D4A69" w14:textId="2E52A147">
      <w:pPr>
        <w:spacing w:after="0" w:line="240" w:lineRule="auto"/>
        <w:jc w:val="center"/>
        <w:rPr>
          <w:rFonts w:cs="Times New Roman"/>
          <w:b/>
          <w:szCs w:val="24"/>
        </w:rPr>
      </w:pPr>
    </w:p>
    <w:p w:rsidRPr="008111D2" w:rsidR="009E3FAC" w:rsidP="008111D2" w:rsidRDefault="009E3FAC" w14:paraId="413C6494" w14:textId="77777777">
      <w:pPr>
        <w:spacing w:after="0" w:line="240" w:lineRule="auto"/>
        <w:jc w:val="center"/>
        <w:rPr>
          <w:rFonts w:cs="Times New Roman"/>
          <w:szCs w:val="24"/>
        </w:rPr>
      </w:pPr>
    </w:p>
    <w:p w:rsidRPr="008111D2" w:rsidR="007D6E75" w:rsidP="008111D2" w:rsidRDefault="007D6E75" w14:paraId="44EB51B7" w14:textId="77777777">
      <w:pPr>
        <w:spacing w:after="0" w:line="240" w:lineRule="auto"/>
        <w:jc w:val="center"/>
        <w:rPr>
          <w:b/>
          <w:szCs w:val="24"/>
        </w:rPr>
      </w:pPr>
    </w:p>
    <w:p w:rsidRPr="008111D2" w:rsidR="007D6E75" w:rsidP="008111D2" w:rsidRDefault="007D6E75" w14:paraId="12AAAC0E" w14:textId="77777777">
      <w:pPr>
        <w:spacing w:after="0" w:line="240" w:lineRule="auto"/>
        <w:jc w:val="center"/>
        <w:rPr>
          <w:b/>
          <w:szCs w:val="24"/>
        </w:rPr>
      </w:pPr>
    </w:p>
    <w:p w:rsidRPr="008111D2" w:rsidR="007D6E75" w:rsidP="008111D2" w:rsidRDefault="007D6E75" w14:paraId="38974F02" w14:textId="77777777">
      <w:pPr>
        <w:spacing w:after="0" w:line="240" w:lineRule="auto"/>
        <w:jc w:val="center"/>
        <w:rPr>
          <w:szCs w:val="24"/>
        </w:rPr>
      </w:pPr>
    </w:p>
    <w:p w:rsidRPr="008111D2" w:rsidR="007D6E75" w:rsidP="008111D2" w:rsidRDefault="007D6E75" w14:paraId="1FBEC2DD" w14:textId="77777777">
      <w:pPr>
        <w:spacing w:after="0" w:line="240" w:lineRule="auto"/>
        <w:jc w:val="center"/>
        <w:rPr>
          <w:szCs w:val="24"/>
        </w:rPr>
      </w:pPr>
    </w:p>
    <w:p w:rsidRPr="008111D2" w:rsidR="007D6E75" w:rsidP="008111D2" w:rsidRDefault="007D6E75" w14:paraId="74466888" w14:textId="77777777">
      <w:pPr>
        <w:spacing w:after="0" w:line="240" w:lineRule="auto"/>
        <w:jc w:val="center"/>
        <w:rPr>
          <w:szCs w:val="24"/>
        </w:rPr>
      </w:pPr>
    </w:p>
    <w:p w:rsidRPr="008111D2" w:rsidR="007D6E75" w:rsidP="008111D2" w:rsidRDefault="007D6E75" w14:paraId="4C2517DA" w14:textId="77777777">
      <w:pPr>
        <w:spacing w:after="0" w:line="240" w:lineRule="auto"/>
        <w:jc w:val="center"/>
        <w:rPr>
          <w:szCs w:val="24"/>
        </w:rPr>
      </w:pPr>
      <w:r w:rsidRPr="008111D2">
        <w:rPr>
          <w:szCs w:val="24"/>
        </w:rPr>
        <w:t>Center for Medicaid and CHIP Services (CMCS)</w:t>
      </w:r>
    </w:p>
    <w:p w:rsidRPr="008111D2" w:rsidR="007D6E75" w:rsidP="005E6549" w:rsidRDefault="007D6E75" w14:paraId="4610D625" w14:textId="77777777">
      <w:pPr>
        <w:spacing w:after="0" w:line="240" w:lineRule="auto"/>
        <w:jc w:val="center"/>
        <w:rPr>
          <w:szCs w:val="24"/>
        </w:rPr>
        <w:sectPr w:rsidRPr="008111D2" w:rsidR="007D6E75" w:rsidSect="005155F1">
          <w:footerReference w:type="default" r:id="rId8"/>
          <w:pgSz w:w="12240" w:h="15840" w:code="1"/>
          <w:pgMar w:top="1440" w:right="1080" w:bottom="1440" w:left="1080" w:header="720" w:footer="720" w:gutter="0"/>
          <w:cols w:space="720"/>
          <w:vAlign w:val="center"/>
          <w:titlePg/>
          <w:docGrid w:linePitch="360"/>
        </w:sectPr>
      </w:pPr>
      <w:r w:rsidRPr="008111D2">
        <w:rPr>
          <w:szCs w:val="24"/>
        </w:rPr>
        <w:t>Centers for Me</w:t>
      </w:r>
      <w:r w:rsidR="005E6549">
        <w:rPr>
          <w:szCs w:val="24"/>
        </w:rPr>
        <w:t>dicare &amp; Medicaid Services (CMS</w:t>
      </w:r>
      <w:r w:rsidR="00344DDB">
        <w:rPr>
          <w:szCs w:val="24"/>
        </w:rPr>
        <w:t>)</w:t>
      </w:r>
    </w:p>
    <w:p w:rsidRPr="00443F76" w:rsidR="00A34954" w:rsidP="00A6747A" w:rsidRDefault="00802400" w14:paraId="0EF41C04" w14:textId="77777777">
      <w:pPr>
        <w:pStyle w:val="Heading1"/>
        <w:numPr>
          <w:ilvl w:val="0"/>
          <w:numId w:val="2"/>
        </w:numPr>
      </w:pPr>
      <w:r>
        <w:lastRenderedPageBreak/>
        <w:t>Background</w:t>
      </w:r>
      <w:r w:rsidR="00344DDB">
        <w:t xml:space="preserve"> </w:t>
      </w:r>
    </w:p>
    <w:p w:rsidR="00150C54" w:rsidP="00150C54" w:rsidRDefault="00150C54" w14:paraId="45E37F5F" w14:textId="77777777">
      <w:pPr>
        <w:spacing w:after="0" w:line="240" w:lineRule="auto"/>
        <w:rPr>
          <w:i/>
          <w:szCs w:val="24"/>
        </w:rPr>
      </w:pPr>
    </w:p>
    <w:p w:rsidRPr="00F17481" w:rsidR="00B45B81" w:rsidP="00F17481" w:rsidRDefault="00892724" w14:paraId="5C773E89" w14:textId="07462EA4">
      <w:pPr>
        <w:spacing w:line="240" w:lineRule="auto"/>
        <w:rPr>
          <w:rFonts w:cs="Times New Roman"/>
          <w:szCs w:val="24"/>
        </w:rPr>
      </w:pPr>
      <w:r w:rsidRPr="00CD2AA4">
        <w:rPr>
          <w:rFonts w:cs="Times New Roman"/>
          <w:szCs w:val="24"/>
        </w:rPr>
        <w:t>The Centers for Medicare &amp; Medicaid Services (CMS) work</w:t>
      </w:r>
      <w:r w:rsidRPr="00CD2AA4" w:rsidR="00E64716">
        <w:rPr>
          <w:rFonts w:cs="Times New Roman"/>
          <w:szCs w:val="24"/>
        </w:rPr>
        <w:t>s</w:t>
      </w:r>
      <w:r w:rsidRPr="00CD2AA4">
        <w:rPr>
          <w:rFonts w:cs="Times New Roman"/>
          <w:szCs w:val="24"/>
        </w:rPr>
        <w:t xml:space="preserve"> in partnership with States to implement </w:t>
      </w:r>
      <w:r w:rsidRPr="00CD2AA4" w:rsidR="00E64716">
        <w:rPr>
          <w:rFonts w:cs="Times New Roman"/>
          <w:szCs w:val="24"/>
        </w:rPr>
        <w:t xml:space="preserve">the </w:t>
      </w:r>
      <w:r w:rsidRPr="00CD2AA4">
        <w:rPr>
          <w:rFonts w:cs="Times New Roman"/>
          <w:szCs w:val="24"/>
        </w:rPr>
        <w:t xml:space="preserve">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w:t>
      </w:r>
      <w:r w:rsidRPr="00CD2AA4" w:rsidR="00BD1124">
        <w:rPr>
          <w:rFonts w:cs="Times New Roman"/>
          <w:szCs w:val="24"/>
        </w:rPr>
        <w:t>because</w:t>
      </w:r>
      <w:r w:rsidRPr="00CD2AA4">
        <w:rPr>
          <w:rFonts w:cs="Times New Roman"/>
          <w:szCs w:val="24"/>
        </w:rPr>
        <w:t xml:space="preserve"> of the Affordable Care Act or to comply with new statutory provisions. CMS also continues to work with States through other methods to further the goals of health reform, including program waivers and demonstrations, and other technical assistance initiatives.</w:t>
      </w:r>
    </w:p>
    <w:p w:rsidR="00B45B81" w:rsidP="00CD2AA4" w:rsidRDefault="00B45B81" w14:paraId="4E6038BC" w14:textId="55AAC75A">
      <w:pPr>
        <w:pStyle w:val="PlainText"/>
        <w:rPr>
          <w:iCs/>
        </w:rPr>
      </w:pPr>
      <w:r w:rsidRPr="00DA506B">
        <w:rPr>
          <w:rFonts w:ascii="Times New Roman" w:hAnsi="Times New Roman" w:eastAsia="Times" w:cs="Times New Roman"/>
          <w:sz w:val="24"/>
          <w:szCs w:val="24"/>
        </w:rPr>
        <w:t xml:space="preserve">On March 11, 2021, </w:t>
      </w:r>
      <w:r w:rsidRPr="000126C8" w:rsidR="00B43E71">
        <w:rPr>
          <w:rFonts w:ascii="Times New Roman" w:hAnsi="Times New Roman" w:eastAsia="Times" w:cs="Times New Roman"/>
          <w:sz w:val="24"/>
          <w:szCs w:val="24"/>
        </w:rPr>
        <w:t>President Biden signed the American Rescue Plan Act of 2021 (ARP) (Pub. L. 117-2).  This action represents the largest expansion of health coverage for the American people since the Affordable Care Act in 2010, and has a significant and immediate impact on state Medicaid programs and beneficiaries.</w:t>
      </w:r>
      <w:r w:rsidR="00B43E71">
        <w:rPr>
          <w:rFonts w:ascii="Times New Roman" w:hAnsi="Times New Roman" w:eastAsia="Times" w:cs="Times New Roman"/>
          <w:sz w:val="24"/>
          <w:szCs w:val="24"/>
        </w:rPr>
        <w:t xml:space="preserve"> </w:t>
      </w:r>
      <w:r w:rsidRPr="004D7636">
        <w:rPr>
          <w:rFonts w:ascii="Times New Roman" w:hAnsi="Times New Roman" w:eastAsia="Times" w:cs="Times New Roman"/>
          <w:sz w:val="24"/>
          <w:szCs w:val="24"/>
        </w:rPr>
        <w:t xml:space="preserve"> Section 9817 </w:t>
      </w:r>
      <w:r w:rsidRPr="00057B21">
        <w:rPr>
          <w:rFonts w:ascii="Times New Roman" w:hAnsi="Times New Roman" w:eastAsia="Times" w:cs="Times New Roman"/>
          <w:sz w:val="24"/>
          <w:szCs w:val="24"/>
        </w:rPr>
        <w:t xml:space="preserve">of the </w:t>
      </w:r>
      <w:r w:rsidR="00325D26">
        <w:rPr>
          <w:rFonts w:ascii="Times New Roman" w:hAnsi="Times New Roman" w:eastAsia="Times" w:cs="Times New Roman"/>
          <w:sz w:val="24"/>
          <w:szCs w:val="24"/>
        </w:rPr>
        <w:t>ARP</w:t>
      </w:r>
      <w:r w:rsidRPr="00057B21">
        <w:rPr>
          <w:rFonts w:ascii="Times New Roman" w:hAnsi="Times New Roman" w:eastAsia="Times" w:cs="Times New Roman"/>
          <w:sz w:val="24"/>
          <w:szCs w:val="24"/>
        </w:rPr>
        <w:t xml:space="preserve"> provides </w:t>
      </w:r>
      <w:r>
        <w:rPr>
          <w:rFonts w:ascii="Times New Roman" w:hAnsi="Times New Roman" w:eastAsia="Times" w:cs="Times New Roman"/>
          <w:sz w:val="24"/>
          <w:szCs w:val="24"/>
        </w:rPr>
        <w:t xml:space="preserve">qualifying </w:t>
      </w:r>
      <w:r w:rsidRPr="00057B21">
        <w:rPr>
          <w:rFonts w:ascii="Times New Roman" w:hAnsi="Times New Roman" w:eastAsia="Times" w:cs="Times New Roman"/>
          <w:sz w:val="24"/>
          <w:szCs w:val="24"/>
        </w:rPr>
        <w:t xml:space="preserve">states with a </w:t>
      </w:r>
      <w:r>
        <w:rPr>
          <w:rFonts w:ascii="Times New Roman" w:hAnsi="Times New Roman" w:eastAsia="Times" w:cs="Times New Roman"/>
          <w:sz w:val="24"/>
          <w:szCs w:val="24"/>
        </w:rPr>
        <w:t xml:space="preserve">temporary </w:t>
      </w:r>
      <w:r w:rsidRPr="00057B21">
        <w:rPr>
          <w:rFonts w:ascii="Times New Roman" w:hAnsi="Times New Roman" w:eastAsia="Times" w:cs="Times New Roman"/>
          <w:sz w:val="24"/>
          <w:szCs w:val="24"/>
        </w:rPr>
        <w:t xml:space="preserve">10 percentage point increase to the federal medical assistance percentage (FMAP) for </w:t>
      </w:r>
      <w:r>
        <w:rPr>
          <w:rFonts w:ascii="Times New Roman" w:hAnsi="Times New Roman" w:eastAsia="Times" w:cs="Times New Roman"/>
          <w:sz w:val="24"/>
          <w:szCs w:val="24"/>
        </w:rPr>
        <w:t xml:space="preserve">certain </w:t>
      </w:r>
      <w:r w:rsidRPr="00057B21">
        <w:rPr>
          <w:rFonts w:ascii="Times New Roman" w:hAnsi="Times New Roman" w:eastAsia="Times" w:cs="Times New Roman"/>
          <w:sz w:val="24"/>
          <w:szCs w:val="24"/>
        </w:rPr>
        <w:t xml:space="preserve">Medicaid expenditures for home and community-based services (HCBS).  </w:t>
      </w:r>
      <w:r w:rsidRPr="00597D31">
        <w:rPr>
          <w:rFonts w:ascii="Times New Roman" w:hAnsi="Times New Roman" w:cs="Times New Roman"/>
          <w:sz w:val="24"/>
          <w:szCs w:val="24"/>
        </w:rPr>
        <w:t>States must use the federal funds attributable to the increased FMAP to supplement, not supplant, existing state funds expended for Medicaid HCBS</w:t>
      </w:r>
      <w:r>
        <w:rPr>
          <w:rFonts w:ascii="Times New Roman" w:hAnsi="Times New Roman" w:cs="Times New Roman"/>
          <w:sz w:val="24"/>
          <w:szCs w:val="24"/>
        </w:rPr>
        <w:t>,</w:t>
      </w:r>
      <w:r w:rsidRPr="00597D31">
        <w:rPr>
          <w:rFonts w:ascii="Times New Roman" w:hAnsi="Times New Roman" w:cs="Times New Roman"/>
          <w:sz w:val="24"/>
          <w:szCs w:val="24"/>
        </w:rPr>
        <w:t xml:space="preserve"> and </w:t>
      </w:r>
      <w:r w:rsidRPr="00836873">
        <w:rPr>
          <w:rFonts w:ascii="Times New Roman" w:hAnsi="Times New Roman" w:cs="Times New Roman"/>
          <w:sz w:val="24"/>
          <w:szCs w:val="24"/>
        </w:rPr>
        <w:t xml:space="preserve">states must use state funds </w:t>
      </w:r>
      <w:r w:rsidRPr="00007A95">
        <w:rPr>
          <w:rFonts w:ascii="Times New Roman" w:hAnsi="Times New Roman" w:cs="Times New Roman"/>
          <w:sz w:val="24"/>
          <w:szCs w:val="24"/>
        </w:rPr>
        <w:t>equivalent to the amount of federal funds at</w:t>
      </w:r>
      <w:r w:rsidRPr="00597D31">
        <w:rPr>
          <w:rFonts w:ascii="Times New Roman" w:hAnsi="Times New Roman" w:cs="Times New Roman"/>
          <w:sz w:val="24"/>
          <w:szCs w:val="24"/>
        </w:rPr>
        <w:t xml:space="preserve">tributable to the increased FMAP </w:t>
      </w:r>
      <w:r w:rsidRPr="00836873">
        <w:rPr>
          <w:rFonts w:ascii="Times New Roman" w:hAnsi="Times New Roman" w:cs="Times New Roman"/>
          <w:sz w:val="24"/>
          <w:szCs w:val="24"/>
        </w:rPr>
        <w:t>to implement or supplement the implementation of one or more activities to enhance, expand, or strengthen HCBS under the Medicaid program.</w:t>
      </w:r>
      <w:r w:rsidR="00F17481">
        <w:rPr>
          <w:rFonts w:ascii="Times New Roman" w:hAnsi="Times New Roman" w:cs="Times New Roman"/>
          <w:sz w:val="24"/>
          <w:szCs w:val="24"/>
        </w:rPr>
        <w:t xml:space="preserve">  </w:t>
      </w:r>
      <w:r w:rsidR="00C50E0E">
        <w:rPr>
          <w:rFonts w:ascii="Times New Roman" w:hAnsi="Times New Roman" w:cs="Times New Roman"/>
          <w:sz w:val="24"/>
          <w:szCs w:val="24"/>
        </w:rPr>
        <w:t>This provision is effective April 1, 2021.</w:t>
      </w:r>
    </w:p>
    <w:p w:rsidR="00CD2AA4" w:rsidP="00631F0F" w:rsidRDefault="00CD2AA4" w14:paraId="3A229786" w14:textId="77777777">
      <w:pPr>
        <w:autoSpaceDE w:val="0"/>
        <w:autoSpaceDN w:val="0"/>
        <w:adjustRightInd w:val="0"/>
        <w:spacing w:after="0" w:line="240" w:lineRule="auto"/>
        <w:rPr>
          <w:rFonts w:cs="Times New Roman"/>
          <w:color w:val="000000"/>
          <w:sz w:val="23"/>
          <w:szCs w:val="23"/>
          <w:highlight w:val="yellow"/>
        </w:rPr>
      </w:pPr>
    </w:p>
    <w:p w:rsidR="005556AE" w:rsidP="00A6747A" w:rsidRDefault="005556AE" w14:paraId="5DD8A6AF" w14:textId="77777777">
      <w:pPr>
        <w:pStyle w:val="Heading1"/>
        <w:numPr>
          <w:ilvl w:val="0"/>
          <w:numId w:val="2"/>
        </w:numPr>
      </w:pPr>
      <w:r w:rsidRPr="008111D2">
        <w:t>Description of Information Collection</w:t>
      </w:r>
    </w:p>
    <w:p w:rsidR="00CD2AA4" w:rsidP="0082047B" w:rsidRDefault="00CD2AA4" w14:paraId="19F331FF" w14:textId="77777777">
      <w:pPr>
        <w:pStyle w:val="ListParagraph"/>
        <w:widowControl w:val="0"/>
        <w:tabs>
          <w:tab w:val="left" w:pos="739"/>
        </w:tabs>
        <w:autoSpaceDE w:val="0"/>
        <w:autoSpaceDN w:val="0"/>
        <w:spacing w:after="0" w:line="240" w:lineRule="auto"/>
        <w:ind w:left="0" w:right="90"/>
        <w:contextualSpacing w:val="0"/>
        <w:rPr>
          <w:rFonts w:ascii="Times New Roman" w:hAnsi="Times New Roman"/>
          <w:sz w:val="24"/>
          <w:szCs w:val="24"/>
        </w:rPr>
      </w:pPr>
    </w:p>
    <w:p w:rsidR="00712740" w:rsidP="00310E8E" w:rsidRDefault="00712740" w14:paraId="16988590" w14:textId="26F44A39">
      <w:pPr>
        <w:spacing w:after="0" w:line="240" w:lineRule="auto"/>
        <w:contextualSpacing/>
      </w:pPr>
      <w:r>
        <w:t xml:space="preserve">CMS is responsible for ensuring that states </w:t>
      </w:r>
      <w:r w:rsidR="009C2EFB">
        <w:t xml:space="preserve">receiving the </w:t>
      </w:r>
      <w:r>
        <w:t xml:space="preserve">temporary 10 percentage point increase comply with the statutory requirements </w:t>
      </w:r>
      <w:r w:rsidR="009C2EFB">
        <w:t xml:space="preserve">specified </w:t>
      </w:r>
      <w:r>
        <w:t>in Section 9817</w:t>
      </w:r>
      <w:r w:rsidR="009C2EFB">
        <w:t xml:space="preserve"> of the </w:t>
      </w:r>
      <w:r w:rsidR="00325D26">
        <w:t>ARP</w:t>
      </w:r>
      <w:r>
        <w:t xml:space="preserve">.  In order to do so, </w:t>
      </w:r>
      <w:r w:rsidR="00F17481">
        <w:t>CMS is publishing a State Medicaid Director Letter (SMDL)</w:t>
      </w:r>
      <w:r w:rsidR="004B18D3">
        <w:rPr>
          <w:rStyle w:val="FootnoteReference"/>
        </w:rPr>
        <w:footnoteReference w:id="2"/>
      </w:r>
      <w:r w:rsidR="00F17481">
        <w:t xml:space="preserve"> that specifies the information that states must report to CMS in order to receive the temporary 10 percentage point increase.</w:t>
      </w:r>
      <w:r>
        <w:t xml:space="preserve">   </w:t>
      </w:r>
      <w:r w:rsidRPr="00597D31">
        <w:rPr>
          <w:rFonts w:eastAsia="Times" w:cs="Times New Roman"/>
          <w:szCs w:val="24"/>
        </w:rPr>
        <w:t xml:space="preserve">Participating states </w:t>
      </w:r>
      <w:r w:rsidR="009C2EFB">
        <w:rPr>
          <w:rFonts w:eastAsia="Times" w:cs="Times New Roman"/>
          <w:szCs w:val="24"/>
        </w:rPr>
        <w:t>are required to submit initial and</w:t>
      </w:r>
      <w:r w:rsidRPr="00597D31">
        <w:rPr>
          <w:rFonts w:eastAsia="Times" w:cs="Times New Roman"/>
          <w:szCs w:val="24"/>
        </w:rPr>
        <w:t xml:space="preserve"> quarterly </w:t>
      </w:r>
      <w:r>
        <w:rPr>
          <w:rFonts w:eastAsia="Times" w:cs="Times New Roman"/>
          <w:szCs w:val="24"/>
        </w:rPr>
        <w:t>HCBS spending plan</w:t>
      </w:r>
      <w:r w:rsidR="009C2EFB">
        <w:rPr>
          <w:rFonts w:eastAsia="Times" w:cs="Times New Roman"/>
          <w:szCs w:val="24"/>
        </w:rPr>
        <w:t>s</w:t>
      </w:r>
      <w:r w:rsidRPr="00597D31">
        <w:rPr>
          <w:rFonts w:eastAsia="Times" w:cs="Times New Roman"/>
          <w:szCs w:val="24"/>
        </w:rPr>
        <w:t xml:space="preserve"> and narrative</w:t>
      </w:r>
      <w:r w:rsidR="009C2EFB">
        <w:rPr>
          <w:rFonts w:eastAsia="Times" w:cs="Times New Roman"/>
          <w:szCs w:val="24"/>
        </w:rPr>
        <w:t>s</w:t>
      </w:r>
      <w:r w:rsidRPr="00597D31">
        <w:rPr>
          <w:rFonts w:eastAsia="Times" w:cs="Times New Roman"/>
          <w:szCs w:val="24"/>
        </w:rPr>
        <w:t xml:space="preserve"> to CMS</w:t>
      </w:r>
      <w:r>
        <w:rPr>
          <w:rFonts w:eastAsia="Times" w:cs="Times New Roman"/>
          <w:szCs w:val="24"/>
        </w:rPr>
        <w:t xml:space="preserve"> to report how the additional funding will be</w:t>
      </w:r>
      <w:r w:rsidR="009C2EFB">
        <w:rPr>
          <w:rFonts w:eastAsia="Times" w:cs="Times New Roman"/>
          <w:szCs w:val="24"/>
        </w:rPr>
        <w:t xml:space="preserve"> expended</w:t>
      </w:r>
      <w:r>
        <w:rPr>
          <w:rFonts w:eastAsia="Times" w:cs="Times New Roman"/>
          <w:szCs w:val="24"/>
        </w:rPr>
        <w:t xml:space="preserve"> </w:t>
      </w:r>
      <w:r w:rsidRPr="00597D31">
        <w:rPr>
          <w:rFonts w:eastAsia="Times" w:cs="Times New Roman"/>
          <w:szCs w:val="24"/>
        </w:rPr>
        <w:t xml:space="preserve">on activities that the state has implemented and/or intends to implement to enhance, expand, or strengthen HCBS </w:t>
      </w:r>
      <w:r>
        <w:rPr>
          <w:rFonts w:eastAsia="Times" w:cs="Times New Roman"/>
          <w:szCs w:val="24"/>
        </w:rPr>
        <w:t>to demonstrate that the state is supplementing, but not supplanting, existing state funds expended for Medicaid HCBS</w:t>
      </w:r>
      <w:r w:rsidRPr="00597D31">
        <w:rPr>
          <w:rFonts w:eastAsia="Times" w:cs="Times New Roman"/>
          <w:szCs w:val="24"/>
        </w:rPr>
        <w:t>.</w:t>
      </w:r>
      <w:r w:rsidR="00F17481">
        <w:t xml:space="preserve"> </w:t>
      </w:r>
    </w:p>
    <w:p w:rsidR="00712740" w:rsidP="00310E8E" w:rsidRDefault="00712740" w14:paraId="2B61AE8F" w14:textId="77777777">
      <w:pPr>
        <w:spacing w:after="0" w:line="240" w:lineRule="auto"/>
        <w:contextualSpacing/>
      </w:pPr>
    </w:p>
    <w:p w:rsidR="00101C09" w:rsidP="00C50E0E" w:rsidRDefault="00712740" w14:paraId="343D8650" w14:textId="6F15E3BD">
      <w:pPr>
        <w:spacing w:after="0" w:line="240" w:lineRule="auto"/>
        <w:contextualSpacing/>
      </w:pPr>
      <w:r>
        <w:t>In order to ensure maximum state flexibility and to reduce</w:t>
      </w:r>
      <w:r w:rsidR="009C2EFB">
        <w:t xml:space="preserve"> the reporting</w:t>
      </w:r>
      <w:r>
        <w:t xml:space="preserve"> burden on states as much as possible, </w:t>
      </w:r>
      <w:r w:rsidR="00507A1D">
        <w:t>states will submit spending plans and narratives in their own</w:t>
      </w:r>
      <w:r w:rsidRPr="00712740">
        <w:t xml:space="preserve"> preferred format.</w:t>
      </w:r>
      <w:r>
        <w:t xml:space="preserve">  CMS will not require states to use a </w:t>
      </w:r>
      <w:r w:rsidR="00C50E0E">
        <w:t xml:space="preserve">standardized template or form.  Instead, </w:t>
      </w:r>
      <w:r w:rsidR="00507A1D">
        <w:t xml:space="preserve">the SMDL details the </w:t>
      </w:r>
      <w:r w:rsidR="00C50E0E">
        <w:t>minimum reporting requirements</w:t>
      </w:r>
      <w:r w:rsidR="00507A1D">
        <w:t xml:space="preserve"> in full</w:t>
      </w:r>
      <w:r w:rsidR="00C50E0E">
        <w:t xml:space="preserve">.  The SMDL </w:t>
      </w:r>
      <w:r w:rsidR="00507A1D">
        <w:t>stipulates that</w:t>
      </w:r>
      <w:r w:rsidR="00B22DC8">
        <w:t xml:space="preserve"> in order to receive </w:t>
      </w:r>
      <w:r w:rsidR="00101C09">
        <w:t>the additional funding available under Section 9817, states must initially submit the following via email within 30 days of the release of the SMDL:</w:t>
      </w:r>
    </w:p>
    <w:p w:rsidRPr="00101C09" w:rsidR="00101C09" w:rsidP="00101C09" w:rsidRDefault="00101C09" w14:paraId="5A3787EE" w14:textId="4E4A8B8C">
      <w:pPr>
        <w:pStyle w:val="ListParagraph"/>
        <w:numPr>
          <w:ilvl w:val="0"/>
          <w:numId w:val="11"/>
        </w:numPr>
        <w:spacing w:after="0" w:line="240" w:lineRule="auto"/>
        <w:rPr>
          <w:rFonts w:ascii="Times New Roman" w:hAnsi="Times New Roman"/>
          <w:sz w:val="24"/>
          <w:szCs w:val="24"/>
        </w:rPr>
      </w:pPr>
      <w:r w:rsidRPr="00101C09">
        <w:rPr>
          <w:rFonts w:ascii="Times New Roman" w:hAnsi="Times New Roman"/>
          <w:sz w:val="24"/>
          <w:szCs w:val="24"/>
        </w:rPr>
        <w:t>Initial HCBS Spending Plan Projection</w:t>
      </w:r>
      <w:r>
        <w:rPr>
          <w:rFonts w:ascii="Times New Roman" w:hAnsi="Times New Roman"/>
          <w:sz w:val="24"/>
          <w:szCs w:val="24"/>
        </w:rPr>
        <w:t xml:space="preserve">: </w:t>
      </w:r>
      <w:r w:rsidR="00507A1D">
        <w:rPr>
          <w:rFonts w:ascii="Times New Roman" w:hAnsi="Times New Roman"/>
          <w:sz w:val="24"/>
          <w:szCs w:val="24"/>
        </w:rPr>
        <w:t>S</w:t>
      </w:r>
      <w:r>
        <w:rPr>
          <w:rFonts w:ascii="Times New Roman" w:hAnsi="Times New Roman"/>
          <w:sz w:val="24"/>
          <w:szCs w:val="24"/>
        </w:rPr>
        <w:t xml:space="preserve">tate </w:t>
      </w:r>
      <w:r w:rsidRPr="00101C09">
        <w:rPr>
          <w:rFonts w:ascii="Times New Roman" w:hAnsi="Times New Roman"/>
          <w:sz w:val="24"/>
          <w:szCs w:val="24"/>
        </w:rPr>
        <w:t>estimate</w:t>
      </w:r>
      <w:r w:rsidR="00507A1D">
        <w:rPr>
          <w:rFonts w:ascii="Times New Roman" w:hAnsi="Times New Roman"/>
          <w:sz w:val="24"/>
          <w:szCs w:val="24"/>
        </w:rPr>
        <w:t>s</w:t>
      </w:r>
      <w:r>
        <w:rPr>
          <w:rFonts w:ascii="Times New Roman" w:hAnsi="Times New Roman"/>
          <w:sz w:val="24"/>
          <w:szCs w:val="24"/>
        </w:rPr>
        <w:t xml:space="preserve"> of</w:t>
      </w:r>
      <w:r w:rsidRPr="00101C09">
        <w:rPr>
          <w:rFonts w:ascii="Times New Roman" w:hAnsi="Times New Roman"/>
          <w:sz w:val="24"/>
          <w:szCs w:val="24"/>
        </w:rPr>
        <w:t xml:space="preserve"> the total amount of funds attributable to the increase in FMAP that the state anticipates claiming between April 1, 2021 and March 31, 2022, as well as the anticipated expenditures for the activities the state intends to implement to enhance, expand, or strengthen HBCS under the state Medicaid program between April 1, 2021 and March 31, 2024.</w:t>
      </w:r>
    </w:p>
    <w:p w:rsidR="00101C09" w:rsidP="00101C09" w:rsidRDefault="00101C09" w14:paraId="27A55AEB" w14:textId="7B0524BA">
      <w:pPr>
        <w:pStyle w:val="ListParagraph"/>
        <w:numPr>
          <w:ilvl w:val="0"/>
          <w:numId w:val="11"/>
        </w:numPr>
        <w:spacing w:line="240" w:lineRule="auto"/>
        <w:contextualSpacing w:val="0"/>
        <w:rPr>
          <w:rFonts w:ascii="Times New Roman" w:hAnsi="Times New Roman"/>
          <w:sz w:val="24"/>
          <w:szCs w:val="24"/>
        </w:rPr>
      </w:pPr>
      <w:r w:rsidRPr="00101C09">
        <w:rPr>
          <w:rFonts w:ascii="Times New Roman" w:hAnsi="Times New Roman"/>
          <w:sz w:val="24"/>
          <w:szCs w:val="24"/>
        </w:rPr>
        <w:t xml:space="preserve">Initial HCBS Spending Narrative: </w:t>
      </w:r>
      <w:r>
        <w:rPr>
          <w:rFonts w:ascii="Times New Roman" w:hAnsi="Times New Roman"/>
          <w:sz w:val="24"/>
          <w:szCs w:val="24"/>
        </w:rPr>
        <w:t>I</w:t>
      </w:r>
      <w:r w:rsidRPr="00101C09">
        <w:rPr>
          <w:rFonts w:ascii="Times New Roman" w:hAnsi="Times New Roman"/>
          <w:sz w:val="24"/>
          <w:szCs w:val="24"/>
        </w:rPr>
        <w:t>nformation on the state’s required section 9817 activities and the connection between the spending plan projection and the scope of the activities. States must provide sufficient detail to affirm that the state’s activities enhance, expand, or strengthen HCBS under the state Medicaid program.</w:t>
      </w:r>
      <w:r w:rsidRPr="005D1489">
        <w:rPr>
          <w:rFonts w:ascii="Times New Roman" w:hAnsi="Times New Roman"/>
          <w:sz w:val="24"/>
          <w:szCs w:val="24"/>
        </w:rPr>
        <w:t xml:space="preserve"> </w:t>
      </w:r>
    </w:p>
    <w:p w:rsidRPr="00101C09" w:rsidR="00101C09" w:rsidP="00101C09" w:rsidRDefault="00101C09" w14:paraId="3DB46C7F" w14:textId="3CC59F6B">
      <w:pPr>
        <w:spacing w:line="240" w:lineRule="auto"/>
        <w:rPr>
          <w:szCs w:val="24"/>
        </w:rPr>
      </w:pPr>
      <w:r>
        <w:rPr>
          <w:rFonts w:eastAsia="Times" w:cs="Times New Roman"/>
          <w:szCs w:val="24"/>
        </w:rPr>
        <w:t>S</w:t>
      </w:r>
      <w:r w:rsidRPr="00597D31">
        <w:rPr>
          <w:rFonts w:eastAsia="Times" w:cs="Times New Roman"/>
          <w:szCs w:val="24"/>
        </w:rPr>
        <w:t>tate</w:t>
      </w:r>
      <w:r>
        <w:rPr>
          <w:rFonts w:eastAsia="Times" w:cs="Times New Roman"/>
          <w:szCs w:val="24"/>
        </w:rPr>
        <w:t xml:space="preserve">s </w:t>
      </w:r>
      <w:r w:rsidRPr="00597D31">
        <w:rPr>
          <w:rFonts w:eastAsia="Times" w:cs="Times New Roman"/>
          <w:szCs w:val="24"/>
        </w:rPr>
        <w:t xml:space="preserve">must </w:t>
      </w:r>
      <w:r>
        <w:rPr>
          <w:rFonts w:eastAsia="Times" w:cs="Times New Roman"/>
          <w:szCs w:val="24"/>
        </w:rPr>
        <w:t xml:space="preserve">then </w:t>
      </w:r>
      <w:r w:rsidRPr="00597D31">
        <w:rPr>
          <w:rFonts w:eastAsia="Times" w:cs="Times New Roman"/>
          <w:szCs w:val="24"/>
        </w:rPr>
        <w:t xml:space="preserve">submit a quarterly </w:t>
      </w:r>
      <w:r>
        <w:rPr>
          <w:rFonts w:eastAsia="Times" w:cs="Times New Roman"/>
          <w:szCs w:val="24"/>
        </w:rPr>
        <w:t>HCBS spending plan</w:t>
      </w:r>
      <w:r w:rsidRPr="00597D31">
        <w:rPr>
          <w:rFonts w:eastAsia="Times" w:cs="Times New Roman"/>
          <w:szCs w:val="24"/>
        </w:rPr>
        <w:t xml:space="preserve"> and narrative</w:t>
      </w:r>
      <w:r>
        <w:rPr>
          <w:rFonts w:eastAsia="Times" w:cs="Times New Roman"/>
          <w:szCs w:val="24"/>
        </w:rPr>
        <w:t xml:space="preserve"> for CMS review and approval; states may update their initial spending plan submissions through the quarterly spending plan submissions.  </w:t>
      </w:r>
      <w:r w:rsidRPr="00597D31">
        <w:rPr>
          <w:rFonts w:eastAsia="Times" w:cs="Times New Roman"/>
          <w:szCs w:val="24"/>
        </w:rPr>
        <w:t>States must report on a quarterly basis until funds are expended. As part of the reporting cycle, there are two documents to be submitted:</w:t>
      </w:r>
    </w:p>
    <w:p w:rsidR="00101C09" w:rsidP="00507A1D" w:rsidRDefault="00101C09" w14:paraId="39352E2A" w14:textId="77777777">
      <w:pPr>
        <w:pStyle w:val="ListParagraph"/>
        <w:numPr>
          <w:ilvl w:val="0"/>
          <w:numId w:val="11"/>
        </w:numPr>
        <w:spacing w:line="240" w:lineRule="auto"/>
        <w:rPr>
          <w:rFonts w:ascii="Times New Roman" w:hAnsi="Times New Roman"/>
          <w:sz w:val="24"/>
          <w:szCs w:val="24"/>
        </w:rPr>
      </w:pPr>
      <w:r w:rsidRPr="00101C09">
        <w:rPr>
          <w:rFonts w:ascii="Times New Roman" w:hAnsi="Times New Roman"/>
          <w:sz w:val="24"/>
          <w:szCs w:val="24"/>
        </w:rPr>
        <w:t xml:space="preserve">Quarterly HCBS Spending Plan: State estimate the total amount of funds attributable to the increase in FMAP that the state has claimed and/or anticipates claiming between April 1, 2021 and March 31, 2022, as well as anticipated and/or actual expenditures for the state’s activities to implement, to enhance, expand, or strengthen HBCS under the state Medicaid program between April 1, 2021, and March 31, 2024. </w:t>
      </w:r>
    </w:p>
    <w:p w:rsidR="00440809" w:rsidP="00440809" w:rsidRDefault="00101C09" w14:paraId="54DF3542" w14:textId="4805ACC0">
      <w:pPr>
        <w:pStyle w:val="ListParagraph"/>
        <w:numPr>
          <w:ilvl w:val="0"/>
          <w:numId w:val="11"/>
        </w:numPr>
        <w:spacing w:line="240" w:lineRule="auto"/>
        <w:rPr>
          <w:rFonts w:ascii="Times New Roman" w:hAnsi="Times New Roman"/>
          <w:sz w:val="24"/>
          <w:szCs w:val="24"/>
        </w:rPr>
      </w:pPr>
      <w:r w:rsidRPr="00101C09">
        <w:rPr>
          <w:rFonts w:ascii="Times New Roman" w:hAnsi="Times New Roman"/>
          <w:sz w:val="24"/>
          <w:szCs w:val="24"/>
        </w:rPr>
        <w:t>Quarterly HCBS Spending Narrative: Similar to the narrative that was submitted with the initial HCBS spending plan, this is a shorter narrative to provide activity updates. A state may also choose to provide information on activity outcomes, lessons learned, challenges, or any other information that the state deems as relevant and important to advancing HCBS.</w:t>
      </w:r>
      <w:r w:rsidR="005D1489">
        <w:rPr>
          <w:rFonts w:ascii="Times New Roman" w:hAnsi="Times New Roman"/>
          <w:sz w:val="24"/>
          <w:szCs w:val="24"/>
        </w:rPr>
        <w:t xml:space="preserve"> </w:t>
      </w:r>
      <w:r w:rsidRPr="00E11B2E" w:rsidR="005D1489">
        <w:rPr>
          <w:rFonts w:ascii="Times New Roman" w:hAnsi="Times New Roman"/>
          <w:sz w:val="24"/>
          <w:szCs w:val="24"/>
        </w:rPr>
        <w:t>States should also explain how they intend to sustain such activities beyond March 31, 2024.</w:t>
      </w:r>
    </w:p>
    <w:p w:rsidRPr="00DA03AC" w:rsidR="007E38F9" w:rsidP="007E38F9" w:rsidRDefault="007E38F9" w14:paraId="0299465E" w14:textId="77777777">
      <w:pPr>
        <w:rPr>
          <w:rFonts w:cs="Times New Roman"/>
          <w:szCs w:val="24"/>
        </w:rPr>
      </w:pPr>
      <w:r>
        <w:rPr>
          <w:rFonts w:cs="Times New Roman"/>
          <w:szCs w:val="24"/>
        </w:rPr>
        <w:t xml:space="preserve">When submitting the initial and quarterly HCBS spending plan and narrative, the designated state point of contact should attest to the following </w:t>
      </w:r>
      <w:r w:rsidRPr="00DA03AC">
        <w:rPr>
          <w:rFonts w:cs="Times New Roman"/>
          <w:szCs w:val="24"/>
        </w:rPr>
        <w:t xml:space="preserve">via </w:t>
      </w:r>
      <w:r>
        <w:rPr>
          <w:rFonts w:cs="Times New Roman"/>
          <w:szCs w:val="24"/>
        </w:rPr>
        <w:t>email</w:t>
      </w:r>
      <w:r w:rsidRPr="00DA03AC">
        <w:rPr>
          <w:rFonts w:cs="Times New Roman"/>
          <w:szCs w:val="24"/>
        </w:rPr>
        <w:t>:</w:t>
      </w:r>
    </w:p>
    <w:p w:rsidRPr="000F332E" w:rsidR="005D1489" w:rsidP="005D1489" w:rsidRDefault="005D1489" w14:paraId="114240B3" w14:textId="77777777">
      <w:pPr>
        <w:numPr>
          <w:ilvl w:val="0"/>
          <w:numId w:val="12"/>
        </w:numPr>
        <w:spacing w:after="0" w:line="240" w:lineRule="auto"/>
        <w:contextualSpacing/>
        <w:rPr>
          <w:rFonts w:cs="Times New Roman"/>
          <w:szCs w:val="24"/>
        </w:rPr>
      </w:pPr>
      <w:r w:rsidRPr="000F332E">
        <w:rPr>
          <w:rFonts w:cs="Times New Roman"/>
          <w:szCs w:val="24"/>
        </w:rPr>
        <w:t xml:space="preserve">The state is using the federal funds attributable to the increased FMAP to supplement and not supplant existing state funds expended for Medicaid HCBS in effect as of April 1, 2021; </w:t>
      </w:r>
    </w:p>
    <w:p w:rsidR="005D1489" w:rsidP="005D1489" w:rsidRDefault="005D1489" w14:paraId="35B8CD66" w14:textId="77777777">
      <w:pPr>
        <w:numPr>
          <w:ilvl w:val="0"/>
          <w:numId w:val="12"/>
        </w:numPr>
        <w:spacing w:after="0" w:line="240" w:lineRule="auto"/>
        <w:contextualSpacing/>
        <w:rPr>
          <w:rFonts w:cs="Times New Roman"/>
          <w:szCs w:val="24"/>
        </w:rPr>
      </w:pPr>
      <w:r w:rsidRPr="000F332E">
        <w:rPr>
          <w:rFonts w:cs="Times New Roman"/>
          <w:szCs w:val="24"/>
        </w:rPr>
        <w:t>The state is using the state funds equivalent to the amount of federal funds attributable to the increased FMAP to implement or supplement the implementation of one or more activities to enhance, expand, or strengthen HCBS under the Medicaid program;</w:t>
      </w:r>
    </w:p>
    <w:p w:rsidRPr="00712C0D" w:rsidR="005D1489" w:rsidP="005D1489" w:rsidRDefault="005D1489" w14:paraId="0DAC88A4" w14:textId="77777777">
      <w:pPr>
        <w:numPr>
          <w:ilvl w:val="0"/>
          <w:numId w:val="12"/>
        </w:numPr>
        <w:spacing w:after="0" w:line="240" w:lineRule="auto"/>
        <w:contextualSpacing/>
        <w:rPr>
          <w:rFonts w:cs="Times New Roman"/>
          <w:szCs w:val="24"/>
        </w:rPr>
      </w:pPr>
      <w:r>
        <w:rPr>
          <w:rFonts w:cs="Times New Roman"/>
          <w:szCs w:val="24"/>
        </w:rPr>
        <w:t>The state is n</w:t>
      </w:r>
      <w:r w:rsidRPr="004F64DC">
        <w:rPr>
          <w:rFonts w:cs="Times New Roman"/>
          <w:szCs w:val="24"/>
        </w:rPr>
        <w:t>ot impos</w:t>
      </w:r>
      <w:r>
        <w:rPr>
          <w:rFonts w:cs="Times New Roman"/>
          <w:szCs w:val="24"/>
        </w:rPr>
        <w:t>ing</w:t>
      </w:r>
      <w:r w:rsidRPr="00712C0D">
        <w:rPr>
          <w:rFonts w:cs="Times New Roman"/>
          <w:szCs w:val="24"/>
        </w:rPr>
        <w:t xml:space="preserve"> stricter eligibility standards, methodologies, or procedures for HCBS programs and services than were in place on April 1, 2021; </w:t>
      </w:r>
    </w:p>
    <w:p w:rsidR="005D1489" w:rsidP="005D1489" w:rsidRDefault="005D1489" w14:paraId="2F02B31A" w14:textId="77777777">
      <w:pPr>
        <w:numPr>
          <w:ilvl w:val="0"/>
          <w:numId w:val="12"/>
        </w:numPr>
        <w:spacing w:after="0" w:line="240" w:lineRule="auto"/>
        <w:contextualSpacing/>
        <w:rPr>
          <w:rFonts w:cs="Times New Roman"/>
          <w:szCs w:val="24"/>
        </w:rPr>
      </w:pPr>
      <w:r>
        <w:rPr>
          <w:rFonts w:cs="Times New Roman"/>
          <w:szCs w:val="24"/>
        </w:rPr>
        <w:t>The state is p</w:t>
      </w:r>
      <w:r w:rsidRPr="00597D31">
        <w:rPr>
          <w:rFonts w:cs="Times New Roman"/>
          <w:szCs w:val="24"/>
        </w:rPr>
        <w:t>reserv</w:t>
      </w:r>
      <w:r>
        <w:rPr>
          <w:rFonts w:cs="Times New Roman"/>
          <w:szCs w:val="24"/>
        </w:rPr>
        <w:t>ing</w:t>
      </w:r>
      <w:r w:rsidRPr="00597D31">
        <w:rPr>
          <w:rFonts w:cs="Times New Roman"/>
          <w:szCs w:val="24"/>
        </w:rPr>
        <w:t xml:space="preserve"> covered HCBS, including the services </w:t>
      </w:r>
      <w:r>
        <w:rPr>
          <w:rFonts w:cs="Times New Roman"/>
          <w:szCs w:val="24"/>
        </w:rPr>
        <w:t xml:space="preserve">themselves </w:t>
      </w:r>
      <w:r w:rsidRPr="00597D31">
        <w:rPr>
          <w:rFonts w:cs="Times New Roman"/>
          <w:szCs w:val="24"/>
        </w:rPr>
        <w:t>and the amount, duration, and scope of those services</w:t>
      </w:r>
      <w:r>
        <w:rPr>
          <w:rFonts w:cs="Times New Roman"/>
          <w:szCs w:val="24"/>
        </w:rPr>
        <w:t xml:space="preserve">, in effect </w:t>
      </w:r>
      <w:r w:rsidRPr="00597D31">
        <w:rPr>
          <w:rFonts w:cs="Times New Roman"/>
          <w:szCs w:val="24"/>
        </w:rPr>
        <w:t xml:space="preserve">as of </w:t>
      </w:r>
      <w:r>
        <w:rPr>
          <w:rFonts w:cs="Times New Roman"/>
          <w:szCs w:val="24"/>
        </w:rPr>
        <w:t xml:space="preserve">April </w:t>
      </w:r>
      <w:r w:rsidRPr="00597D31">
        <w:rPr>
          <w:rFonts w:cs="Times New Roman"/>
          <w:szCs w:val="24"/>
        </w:rPr>
        <w:t>1, 2021</w:t>
      </w:r>
      <w:r w:rsidRPr="009322A8">
        <w:rPr>
          <w:rFonts w:cs="Times New Roman"/>
          <w:szCs w:val="24"/>
        </w:rPr>
        <w:t>; and</w:t>
      </w:r>
    </w:p>
    <w:p w:rsidRPr="00DB5F28" w:rsidR="005D1489" w:rsidP="005D1489" w:rsidRDefault="005D1489" w14:paraId="159DB6C7" w14:textId="77777777">
      <w:pPr>
        <w:numPr>
          <w:ilvl w:val="0"/>
          <w:numId w:val="12"/>
        </w:numPr>
        <w:spacing w:after="0" w:line="240" w:lineRule="auto"/>
        <w:contextualSpacing/>
        <w:rPr>
          <w:rFonts w:eastAsia="Times" w:cs="Times New Roman"/>
          <w:szCs w:val="24"/>
        </w:rPr>
      </w:pPr>
      <w:r w:rsidRPr="00DB5F28">
        <w:rPr>
          <w:rFonts w:cs="Times New Roman"/>
          <w:szCs w:val="24"/>
        </w:rPr>
        <w:t>The state is maintain</w:t>
      </w:r>
      <w:r>
        <w:rPr>
          <w:rFonts w:cs="Times New Roman"/>
          <w:szCs w:val="24"/>
        </w:rPr>
        <w:t>ing</w:t>
      </w:r>
      <w:r w:rsidRPr="00DB5F28">
        <w:rPr>
          <w:rFonts w:cs="Times New Roman"/>
          <w:szCs w:val="24"/>
        </w:rPr>
        <w:t xml:space="preserve"> </w:t>
      </w:r>
      <w:r>
        <w:rPr>
          <w:rFonts w:cs="Times New Roman"/>
          <w:szCs w:val="24"/>
        </w:rPr>
        <w:t xml:space="preserve">HCBS </w:t>
      </w:r>
      <w:r w:rsidRPr="00DB5F28">
        <w:rPr>
          <w:rFonts w:cs="Times New Roman"/>
          <w:szCs w:val="24"/>
        </w:rPr>
        <w:t>provider payments at a rate no less than those in place as of April 1, 2021.</w:t>
      </w:r>
    </w:p>
    <w:p w:rsidRPr="005556AE" w:rsidR="00CD2AA4" w:rsidP="00310E8E" w:rsidRDefault="00CD2AA4" w14:paraId="2779133A" w14:textId="5832AB99">
      <w:pPr>
        <w:spacing w:after="0" w:line="240" w:lineRule="auto"/>
        <w:contextualSpacing/>
      </w:pPr>
    </w:p>
    <w:p w:rsidRPr="008111D2" w:rsidR="007D6E75" w:rsidP="00310E8E" w:rsidRDefault="003F3CE7" w14:paraId="66528621" w14:textId="77777777">
      <w:pPr>
        <w:pStyle w:val="Heading1"/>
      </w:pPr>
      <w:r>
        <w:t>C</w:t>
      </w:r>
      <w:r w:rsidRPr="008111D2" w:rsidR="007D6E75">
        <w:t>. Deviations from Generic Request</w:t>
      </w:r>
    </w:p>
    <w:p w:rsidR="00150C54" w:rsidP="00AB0285" w:rsidRDefault="00150C54" w14:paraId="06F09F5F" w14:textId="77777777">
      <w:pPr>
        <w:spacing w:after="0" w:line="240" w:lineRule="auto"/>
        <w:rPr>
          <w:szCs w:val="24"/>
        </w:rPr>
      </w:pPr>
    </w:p>
    <w:p w:rsidRPr="00815DFA" w:rsidR="00EE7851" w:rsidP="0084192B" w:rsidRDefault="009B19E8" w14:paraId="341112F8" w14:textId="50319602">
      <w:pPr>
        <w:spacing w:line="240" w:lineRule="auto"/>
        <w:rPr>
          <w:szCs w:val="24"/>
        </w:rPr>
      </w:pPr>
      <w:r w:rsidRPr="00815DFA">
        <w:rPr>
          <w:szCs w:val="24"/>
        </w:rPr>
        <w:t xml:space="preserve">No deviations </w:t>
      </w:r>
      <w:r w:rsidRPr="00815DFA" w:rsidR="00DE1DFF">
        <w:rPr>
          <w:szCs w:val="24"/>
        </w:rPr>
        <w:t>from the generic PRA request</w:t>
      </w:r>
      <w:r w:rsidRPr="00815DFA">
        <w:rPr>
          <w:szCs w:val="24"/>
        </w:rPr>
        <w:t>.</w:t>
      </w:r>
    </w:p>
    <w:p w:rsidRPr="00CA68C2" w:rsidR="00462F95" w:rsidP="004F1DDE" w:rsidRDefault="003F3CE7" w14:paraId="2B8EF38D" w14:textId="7DB5513D">
      <w:pPr>
        <w:pStyle w:val="Heading1"/>
        <w:rPr>
          <w:rFonts w:cs="Times New Roman"/>
          <w:szCs w:val="24"/>
        </w:rPr>
      </w:pPr>
      <w:r w:rsidRPr="00815DFA">
        <w:rPr>
          <w:rFonts w:cs="Times New Roman"/>
          <w:szCs w:val="24"/>
        </w:rPr>
        <w:t>D</w:t>
      </w:r>
      <w:r w:rsidRPr="00815DFA" w:rsidR="007D6E75">
        <w:rPr>
          <w:rFonts w:cs="Times New Roman"/>
          <w:szCs w:val="24"/>
        </w:rPr>
        <w:t>. Burden Hour Deduction</w:t>
      </w:r>
    </w:p>
    <w:p w:rsidR="006F16C2" w:rsidP="00CA6AEA" w:rsidRDefault="006F16C2" w14:paraId="788A5DF3" w14:textId="77777777">
      <w:pPr>
        <w:pStyle w:val="H3AlphaNoTOC"/>
        <w:rPr>
          <w:rFonts w:ascii="Times New Roman" w:hAnsi="Times New Roman"/>
          <w:i/>
          <w:color w:val="auto"/>
          <w:sz w:val="24"/>
        </w:rPr>
      </w:pPr>
    </w:p>
    <w:p w:rsidRPr="00E016CC" w:rsidR="00CA6AEA" w:rsidP="00CA6AEA" w:rsidRDefault="00CA6AEA" w14:paraId="4BE28B67" w14:textId="08A9E387">
      <w:pPr>
        <w:pStyle w:val="H3AlphaNoTOC"/>
        <w:rPr>
          <w:rFonts w:ascii="Times New Roman" w:hAnsi="Times New Roman"/>
          <w:i/>
          <w:color w:val="auto"/>
          <w:sz w:val="24"/>
        </w:rPr>
      </w:pPr>
      <w:r w:rsidRPr="00E016CC">
        <w:rPr>
          <w:rFonts w:ascii="Times New Roman" w:hAnsi="Times New Roman"/>
          <w:i/>
          <w:color w:val="auto"/>
          <w:sz w:val="24"/>
        </w:rPr>
        <w:t xml:space="preserve">High-level </w:t>
      </w:r>
      <w:r w:rsidR="009F1F61">
        <w:rPr>
          <w:rFonts w:ascii="Times New Roman" w:hAnsi="Times New Roman"/>
          <w:i/>
          <w:color w:val="auto"/>
          <w:sz w:val="24"/>
          <w:szCs w:val="24"/>
        </w:rPr>
        <w:t>A</w:t>
      </w:r>
      <w:r w:rsidRPr="009F1F61">
        <w:rPr>
          <w:rFonts w:ascii="Times New Roman" w:hAnsi="Times New Roman"/>
          <w:i/>
          <w:color w:val="auto"/>
          <w:sz w:val="24"/>
          <w:szCs w:val="24"/>
        </w:rPr>
        <w:t>ssumptions</w:t>
      </w:r>
    </w:p>
    <w:p w:rsidR="00CA6AEA" w:rsidP="00A6747A" w:rsidRDefault="00CA6AEA" w14:paraId="4D0AC9D4" w14:textId="6A18F61A">
      <w:pPr>
        <w:numPr>
          <w:ilvl w:val="0"/>
          <w:numId w:val="3"/>
        </w:numPr>
        <w:spacing w:after="0" w:line="240" w:lineRule="auto"/>
        <w:rPr>
          <w:rFonts w:cs="Times New Roman"/>
          <w:szCs w:val="24"/>
        </w:rPr>
      </w:pPr>
      <w:r w:rsidRPr="00405CF5">
        <w:rPr>
          <w:rFonts w:cs="Times New Roman"/>
          <w:szCs w:val="24"/>
        </w:rPr>
        <w:t xml:space="preserve">Each state </w:t>
      </w:r>
      <w:r w:rsidR="009C292F">
        <w:rPr>
          <w:rFonts w:cs="Times New Roman"/>
          <w:szCs w:val="24"/>
        </w:rPr>
        <w:t xml:space="preserve">and territory will submit </w:t>
      </w:r>
      <w:r w:rsidR="00101C09">
        <w:rPr>
          <w:rFonts w:cs="Times New Roman"/>
          <w:szCs w:val="24"/>
        </w:rPr>
        <w:t>an initial spending plan projection and narrative for a total of 56 submissions.</w:t>
      </w:r>
    </w:p>
    <w:p w:rsidR="00101C09" w:rsidP="00A6747A" w:rsidRDefault="008F31BE" w14:paraId="5AA64332" w14:textId="31F869E1">
      <w:pPr>
        <w:numPr>
          <w:ilvl w:val="0"/>
          <w:numId w:val="3"/>
        </w:numPr>
        <w:spacing w:after="0" w:line="240" w:lineRule="auto"/>
        <w:rPr>
          <w:rFonts w:cs="Times New Roman"/>
          <w:szCs w:val="24"/>
        </w:rPr>
      </w:pPr>
      <w:r>
        <w:rPr>
          <w:rFonts w:cs="Times New Roman"/>
          <w:szCs w:val="24"/>
        </w:rPr>
        <w:t xml:space="preserve">Each state and territory will submit a maximum of </w:t>
      </w:r>
      <w:r w:rsidR="0094112C">
        <w:rPr>
          <w:rFonts w:cs="Times New Roman"/>
          <w:szCs w:val="24"/>
        </w:rPr>
        <w:t>1</w:t>
      </w:r>
      <w:r w:rsidR="00E6764A">
        <w:rPr>
          <w:rFonts w:cs="Times New Roman"/>
          <w:szCs w:val="24"/>
        </w:rPr>
        <w:t>0</w:t>
      </w:r>
      <w:r w:rsidR="0094112C">
        <w:rPr>
          <w:rFonts w:cs="Times New Roman"/>
          <w:szCs w:val="24"/>
        </w:rPr>
        <w:t xml:space="preserve"> quarterly spending plans and narratives following submission of the initial spending plan and narrative, for a total of </w:t>
      </w:r>
      <w:r w:rsidR="00E6764A">
        <w:rPr>
          <w:rFonts w:cs="Times New Roman"/>
          <w:szCs w:val="24"/>
        </w:rPr>
        <w:t xml:space="preserve">560 </w:t>
      </w:r>
      <w:r w:rsidR="0094112C">
        <w:rPr>
          <w:rFonts w:cs="Times New Roman"/>
          <w:szCs w:val="24"/>
        </w:rPr>
        <w:t>submission</w:t>
      </w:r>
      <w:r w:rsidR="007B7699">
        <w:rPr>
          <w:rFonts w:cs="Times New Roman"/>
          <w:szCs w:val="24"/>
        </w:rPr>
        <w:t>s</w:t>
      </w:r>
      <w:r w:rsidR="0094112C">
        <w:rPr>
          <w:rFonts w:cs="Times New Roman"/>
          <w:szCs w:val="24"/>
        </w:rPr>
        <w:t>.</w:t>
      </w:r>
    </w:p>
    <w:p w:rsidRPr="00405CF5" w:rsidR="007E688D" w:rsidP="00A6747A" w:rsidRDefault="007E688D" w14:paraId="6776C145" w14:textId="2DEF2966">
      <w:pPr>
        <w:numPr>
          <w:ilvl w:val="0"/>
          <w:numId w:val="3"/>
        </w:numPr>
        <w:spacing w:after="0" w:line="240" w:lineRule="auto"/>
        <w:rPr>
          <w:rFonts w:cs="Times New Roman"/>
          <w:szCs w:val="24"/>
        </w:rPr>
      </w:pPr>
      <w:r>
        <w:rPr>
          <w:rFonts w:cs="Times New Roman"/>
          <w:szCs w:val="24"/>
        </w:rPr>
        <w:t>The project spans a maximum of three years.</w:t>
      </w:r>
    </w:p>
    <w:p w:rsidRPr="0094112C" w:rsidR="00C866C4" w:rsidP="00B5139F" w:rsidRDefault="00CA6AEA" w14:paraId="23D5C6CF" w14:textId="79981297">
      <w:pPr>
        <w:numPr>
          <w:ilvl w:val="0"/>
          <w:numId w:val="3"/>
        </w:numPr>
        <w:spacing w:after="0" w:line="240" w:lineRule="auto"/>
      </w:pPr>
      <w:r w:rsidRPr="0094112C">
        <w:rPr>
          <w:rFonts w:cs="Times New Roman"/>
          <w:szCs w:val="24"/>
        </w:rPr>
        <w:t xml:space="preserve">All </w:t>
      </w:r>
      <w:r w:rsidR="0094112C">
        <w:rPr>
          <w:rFonts w:cs="Times New Roman"/>
          <w:szCs w:val="24"/>
        </w:rPr>
        <w:t>plans and narratives</w:t>
      </w:r>
      <w:r w:rsidRPr="0094112C">
        <w:rPr>
          <w:rFonts w:cs="Times New Roman"/>
          <w:szCs w:val="24"/>
        </w:rPr>
        <w:t xml:space="preserve"> are completed by a health services manager</w:t>
      </w:r>
      <w:r w:rsidR="0094112C">
        <w:rPr>
          <w:rFonts w:cs="Times New Roman"/>
          <w:szCs w:val="24"/>
        </w:rPr>
        <w:t>.</w:t>
      </w:r>
    </w:p>
    <w:p w:rsidRPr="0094112C" w:rsidR="0094112C" w:rsidP="0094112C" w:rsidRDefault="0094112C" w14:paraId="2E607DE3" w14:textId="77777777">
      <w:pPr>
        <w:spacing w:after="0" w:line="240" w:lineRule="auto"/>
        <w:ind w:left="720"/>
      </w:pPr>
    </w:p>
    <w:p w:rsidRPr="00C866C4" w:rsidR="00C866C4" w:rsidP="00C866C4" w:rsidRDefault="00C866C4" w14:paraId="6BF68EA5" w14:textId="71E9E82C">
      <w:pPr>
        <w:pStyle w:val="MarkforTableTitle"/>
        <w:spacing w:after="0"/>
        <w:rPr>
          <w:rFonts w:ascii="Times New Roman" w:hAnsi="Times New Roman"/>
          <w:i/>
          <w:sz w:val="24"/>
          <w:szCs w:val="24"/>
        </w:rPr>
      </w:pPr>
      <w:r w:rsidRPr="00C866C4">
        <w:rPr>
          <w:rFonts w:ascii="Times New Roman" w:hAnsi="Times New Roman"/>
          <w:i/>
          <w:sz w:val="24"/>
          <w:szCs w:val="24"/>
        </w:rPr>
        <w:t>Wage Estimates</w:t>
      </w:r>
    </w:p>
    <w:p w:rsidR="00C866C4" w:rsidP="00C866C4" w:rsidRDefault="00C866C4" w14:paraId="357CC271" w14:textId="01A0492F">
      <w:pPr>
        <w:pStyle w:val="NormalSS"/>
        <w:spacing w:after="0"/>
      </w:pPr>
    </w:p>
    <w:p w:rsidRPr="00472269" w:rsidR="00C866C4" w:rsidP="00C866C4" w:rsidRDefault="00C866C4" w14:paraId="0935EB9C" w14:textId="1559D4C0">
      <w:pPr>
        <w:spacing w:after="0" w:line="240" w:lineRule="auto"/>
        <w:rPr>
          <w:szCs w:val="24"/>
        </w:rPr>
      </w:pPr>
      <w:r w:rsidRPr="000E318C">
        <w:rPr>
          <w:szCs w:val="24"/>
        </w:rPr>
        <w:t>To derive average costs, we are using data from the U.S. Bureau of Labor Statistics’ May 20</w:t>
      </w:r>
      <w:r w:rsidR="006F16C2">
        <w:rPr>
          <w:szCs w:val="24"/>
        </w:rPr>
        <w:t>20</w:t>
      </w:r>
      <w:r w:rsidRPr="00472269">
        <w:rPr>
          <w:szCs w:val="24"/>
        </w:rPr>
        <w:t xml:space="preserve"> National Occupational Employment and Wage Estimates for all salary estimates (</w:t>
      </w:r>
      <w:hyperlink w:history="1" r:id="rId9">
        <w:r w:rsidRPr="00472269">
          <w:rPr>
            <w:rStyle w:val="Hyperlink"/>
            <w:szCs w:val="24"/>
          </w:rPr>
          <w:t>http://www.bls.gov/oes/current/oes_nat.htm</w:t>
        </w:r>
      </w:hyperlink>
      <w:r w:rsidRPr="00472269">
        <w:rPr>
          <w:szCs w:val="24"/>
        </w:rPr>
        <w:t>). In this regard, the following table presents the mean hourly wage, the cost of fringe benefits and overhead (calculated at 100 percent of salary), and the adjusted hourly wage.</w:t>
      </w:r>
    </w:p>
    <w:p w:rsidRPr="00C866C4" w:rsidR="006244F7" w:rsidP="00E016CC" w:rsidRDefault="006244F7" w14:paraId="15D88839" w14:textId="77777777">
      <w:pPr>
        <w:pStyle w:val="NormalSS"/>
        <w:spacing w:after="0"/>
      </w:pPr>
    </w:p>
    <w:tbl>
      <w:tblPr>
        <w:tblW w:w="0" w:type="auto"/>
        <w:tblBorders>
          <w:top w:val="single" w:color="000000" w:sz="3" w:space="0"/>
          <w:left w:val="single" w:color="000000" w:sz="3" w:space="0"/>
          <w:bottom w:val="single" w:color="000000" w:sz="3" w:space="0"/>
          <w:right w:val="single" w:color="000000" w:sz="3" w:space="0"/>
          <w:insideH w:val="single" w:color="000000" w:sz="3" w:space="0"/>
          <w:insideV w:val="single" w:color="000000" w:sz="3" w:space="0"/>
        </w:tblBorders>
        <w:tblLayout w:type="fixed"/>
        <w:tblCellMar>
          <w:left w:w="0" w:type="dxa"/>
          <w:right w:w="0" w:type="dxa"/>
        </w:tblCellMar>
        <w:tblLook w:val="01E0" w:firstRow="1" w:lastRow="1" w:firstColumn="1" w:lastColumn="1" w:noHBand="0" w:noVBand="0"/>
      </w:tblPr>
      <w:tblGrid>
        <w:gridCol w:w="3056"/>
        <w:gridCol w:w="1746"/>
        <w:gridCol w:w="1314"/>
        <w:gridCol w:w="1530"/>
        <w:gridCol w:w="1588"/>
      </w:tblGrid>
      <w:tr w:rsidRPr="00C866C4" w:rsidR="00C866C4" w:rsidTr="00E071E1" w14:paraId="40285026" w14:textId="77777777">
        <w:trPr>
          <w:trHeight w:val="686"/>
        </w:trPr>
        <w:tc>
          <w:tcPr>
            <w:tcW w:w="3056" w:type="dxa"/>
          </w:tcPr>
          <w:p w:rsidRPr="00C866C4" w:rsidR="00C866C4" w:rsidP="00C866C4" w:rsidRDefault="00C866C4" w14:paraId="6CCB52FB" w14:textId="77777777">
            <w:pPr>
              <w:pStyle w:val="TableParagraph"/>
              <w:rPr>
                <w:b/>
                <w:sz w:val="20"/>
                <w:szCs w:val="20"/>
              </w:rPr>
            </w:pPr>
            <w:r w:rsidRPr="00C866C4">
              <w:rPr>
                <w:b/>
                <w:sz w:val="20"/>
                <w:szCs w:val="20"/>
              </w:rPr>
              <w:t>Occupation Title</w:t>
            </w:r>
          </w:p>
        </w:tc>
        <w:tc>
          <w:tcPr>
            <w:tcW w:w="1746" w:type="dxa"/>
          </w:tcPr>
          <w:p w:rsidRPr="00C866C4" w:rsidR="00C866C4" w:rsidP="00C866C4" w:rsidRDefault="00C866C4" w14:paraId="4F3B4C43" w14:textId="77777777">
            <w:pPr>
              <w:pStyle w:val="TableParagraph"/>
              <w:ind w:right="245"/>
              <w:jc w:val="center"/>
              <w:rPr>
                <w:b/>
                <w:sz w:val="20"/>
                <w:szCs w:val="20"/>
              </w:rPr>
            </w:pPr>
            <w:r w:rsidRPr="00C866C4">
              <w:rPr>
                <w:b/>
                <w:sz w:val="20"/>
                <w:szCs w:val="20"/>
              </w:rPr>
              <w:t>Occupation Code</w:t>
            </w:r>
          </w:p>
        </w:tc>
        <w:tc>
          <w:tcPr>
            <w:tcW w:w="1314" w:type="dxa"/>
          </w:tcPr>
          <w:p w:rsidRPr="00C866C4" w:rsidR="00C866C4" w:rsidP="007B0B37" w:rsidRDefault="00C866C4" w14:paraId="30E98187" w14:textId="6782A539">
            <w:pPr>
              <w:pStyle w:val="TableParagraph"/>
              <w:ind w:right="325"/>
              <w:jc w:val="center"/>
              <w:rPr>
                <w:b/>
                <w:sz w:val="20"/>
                <w:szCs w:val="20"/>
              </w:rPr>
            </w:pPr>
            <w:r w:rsidRPr="00C866C4">
              <w:rPr>
                <w:b/>
                <w:sz w:val="20"/>
                <w:szCs w:val="20"/>
              </w:rPr>
              <w:t>Mean Hourly Wage ($/</w:t>
            </w:r>
            <w:proofErr w:type="spellStart"/>
            <w:r w:rsidRPr="00C866C4" w:rsidR="0056166F">
              <w:rPr>
                <w:b/>
                <w:sz w:val="20"/>
                <w:szCs w:val="20"/>
              </w:rPr>
              <w:t>hr</w:t>
            </w:r>
            <w:proofErr w:type="spellEnd"/>
            <w:r w:rsidRPr="00C866C4">
              <w:rPr>
                <w:b/>
                <w:sz w:val="20"/>
                <w:szCs w:val="20"/>
              </w:rPr>
              <w:t>)</w:t>
            </w:r>
          </w:p>
        </w:tc>
        <w:tc>
          <w:tcPr>
            <w:tcW w:w="1530" w:type="dxa"/>
            <w:tcBorders>
              <w:right w:val="single" w:color="000000" w:sz="3" w:space="0"/>
            </w:tcBorders>
          </w:tcPr>
          <w:p w:rsidRPr="00C866C4" w:rsidR="00C866C4" w:rsidP="007B0B37" w:rsidRDefault="00C866C4" w14:paraId="091AF40F" w14:textId="1C4BE521">
            <w:pPr>
              <w:pStyle w:val="TableParagraph"/>
              <w:ind w:left="76" w:right="149"/>
              <w:jc w:val="center"/>
              <w:rPr>
                <w:b/>
                <w:sz w:val="20"/>
                <w:szCs w:val="20"/>
              </w:rPr>
            </w:pPr>
            <w:r w:rsidRPr="00C866C4">
              <w:rPr>
                <w:b/>
                <w:sz w:val="20"/>
                <w:szCs w:val="20"/>
              </w:rPr>
              <w:t>Fringe Benefits and Overhead ($/</w:t>
            </w:r>
            <w:proofErr w:type="spellStart"/>
            <w:r w:rsidRPr="00C866C4" w:rsidR="0056166F">
              <w:rPr>
                <w:b/>
                <w:sz w:val="20"/>
                <w:szCs w:val="20"/>
              </w:rPr>
              <w:t>hr</w:t>
            </w:r>
            <w:proofErr w:type="spellEnd"/>
            <w:r w:rsidRPr="00C866C4">
              <w:rPr>
                <w:b/>
                <w:sz w:val="20"/>
                <w:szCs w:val="20"/>
              </w:rPr>
              <w:t>)</w:t>
            </w:r>
          </w:p>
        </w:tc>
        <w:tc>
          <w:tcPr>
            <w:tcW w:w="1588" w:type="dxa"/>
            <w:tcBorders>
              <w:left w:val="single" w:color="000000" w:sz="3" w:space="0"/>
            </w:tcBorders>
          </w:tcPr>
          <w:p w:rsidRPr="00C866C4" w:rsidR="00C866C4" w:rsidP="007B0B37" w:rsidRDefault="00C866C4" w14:paraId="6A119905" w14:textId="59FC0EB9">
            <w:pPr>
              <w:pStyle w:val="TableParagraph"/>
              <w:ind w:right="317"/>
              <w:jc w:val="center"/>
              <w:rPr>
                <w:b/>
                <w:sz w:val="20"/>
                <w:szCs w:val="20"/>
              </w:rPr>
            </w:pPr>
            <w:r w:rsidRPr="00C866C4">
              <w:rPr>
                <w:b/>
                <w:sz w:val="20"/>
                <w:szCs w:val="20"/>
              </w:rPr>
              <w:t>Adjusted Hourly Wage ($/</w:t>
            </w:r>
            <w:proofErr w:type="spellStart"/>
            <w:r w:rsidRPr="00C866C4" w:rsidR="0056166F">
              <w:rPr>
                <w:b/>
                <w:sz w:val="20"/>
                <w:szCs w:val="20"/>
              </w:rPr>
              <w:t>hr</w:t>
            </w:r>
            <w:proofErr w:type="spellEnd"/>
            <w:r w:rsidRPr="00C866C4">
              <w:rPr>
                <w:b/>
                <w:sz w:val="20"/>
                <w:szCs w:val="20"/>
              </w:rPr>
              <w:t>)</w:t>
            </w:r>
          </w:p>
        </w:tc>
      </w:tr>
      <w:tr w:rsidRPr="00C866C4" w:rsidR="00C866C4" w:rsidTr="00E071E1" w14:paraId="4B499406" w14:textId="77777777">
        <w:trPr>
          <w:trHeight w:val="365"/>
        </w:trPr>
        <w:tc>
          <w:tcPr>
            <w:tcW w:w="3056" w:type="dxa"/>
          </w:tcPr>
          <w:p w:rsidRPr="00C866C4" w:rsidR="00C866C4" w:rsidP="00C866C4" w:rsidRDefault="00C866C4" w14:paraId="5000C9D0" w14:textId="77777777">
            <w:pPr>
              <w:pStyle w:val="TableParagraph"/>
              <w:ind w:left="38"/>
              <w:rPr>
                <w:sz w:val="20"/>
                <w:szCs w:val="20"/>
              </w:rPr>
            </w:pPr>
            <w:r w:rsidRPr="00C866C4">
              <w:rPr>
                <w:sz w:val="20"/>
                <w:szCs w:val="20"/>
              </w:rPr>
              <w:t>Health services manager</w:t>
            </w:r>
          </w:p>
        </w:tc>
        <w:tc>
          <w:tcPr>
            <w:tcW w:w="1746" w:type="dxa"/>
          </w:tcPr>
          <w:p w:rsidRPr="00C866C4" w:rsidR="00C866C4" w:rsidP="00C866C4" w:rsidRDefault="00C866C4" w14:paraId="494B1BB6" w14:textId="77777777">
            <w:pPr>
              <w:pStyle w:val="TableParagraph"/>
              <w:ind w:left="88"/>
              <w:jc w:val="center"/>
              <w:rPr>
                <w:sz w:val="20"/>
                <w:szCs w:val="20"/>
              </w:rPr>
            </w:pPr>
            <w:r w:rsidRPr="00C866C4">
              <w:rPr>
                <w:sz w:val="20"/>
                <w:szCs w:val="20"/>
              </w:rPr>
              <w:t>11-9111</w:t>
            </w:r>
          </w:p>
        </w:tc>
        <w:tc>
          <w:tcPr>
            <w:tcW w:w="1314" w:type="dxa"/>
          </w:tcPr>
          <w:p w:rsidRPr="00C866C4" w:rsidR="00C866C4" w:rsidP="00C866C4" w:rsidRDefault="00735436" w14:paraId="6172E537" w14:textId="75E52783">
            <w:pPr>
              <w:pStyle w:val="TableParagraph"/>
              <w:ind w:left="77"/>
              <w:jc w:val="center"/>
              <w:rPr>
                <w:sz w:val="20"/>
                <w:szCs w:val="20"/>
              </w:rPr>
            </w:pPr>
            <w:r>
              <w:rPr>
                <w:sz w:val="20"/>
                <w:szCs w:val="20"/>
              </w:rPr>
              <w:t>54.68</w:t>
            </w:r>
          </w:p>
        </w:tc>
        <w:tc>
          <w:tcPr>
            <w:tcW w:w="1530" w:type="dxa"/>
            <w:tcBorders>
              <w:right w:val="single" w:color="000000" w:sz="3" w:space="0"/>
            </w:tcBorders>
          </w:tcPr>
          <w:p w:rsidRPr="00C866C4" w:rsidR="00C866C4" w:rsidP="00C866C4" w:rsidRDefault="00735436" w14:paraId="0FD04F7E" w14:textId="577BE1E2">
            <w:pPr>
              <w:pStyle w:val="TableParagraph"/>
              <w:ind w:left="95"/>
              <w:jc w:val="center"/>
              <w:rPr>
                <w:sz w:val="20"/>
                <w:szCs w:val="20"/>
              </w:rPr>
            </w:pPr>
            <w:r>
              <w:rPr>
                <w:sz w:val="20"/>
                <w:szCs w:val="20"/>
              </w:rPr>
              <w:t>54.68</w:t>
            </w:r>
          </w:p>
        </w:tc>
        <w:tc>
          <w:tcPr>
            <w:tcW w:w="1588" w:type="dxa"/>
            <w:tcBorders>
              <w:left w:val="single" w:color="000000" w:sz="3" w:space="0"/>
            </w:tcBorders>
          </w:tcPr>
          <w:p w:rsidRPr="00C866C4" w:rsidR="00C866C4" w:rsidP="00C866C4" w:rsidRDefault="00A0361F" w14:paraId="45864673" w14:textId="3EFB5AED">
            <w:pPr>
              <w:pStyle w:val="TableParagraph"/>
              <w:ind w:left="62"/>
              <w:jc w:val="center"/>
              <w:rPr>
                <w:sz w:val="20"/>
                <w:szCs w:val="20"/>
              </w:rPr>
            </w:pPr>
            <w:r>
              <w:rPr>
                <w:sz w:val="20"/>
                <w:szCs w:val="20"/>
              </w:rPr>
              <w:t>109.36</w:t>
            </w:r>
          </w:p>
        </w:tc>
      </w:tr>
    </w:tbl>
    <w:p w:rsidR="00C866C4" w:rsidP="00E016CC" w:rsidRDefault="00C866C4" w14:paraId="4DAB19EC" w14:textId="47C2E0EB">
      <w:pPr>
        <w:pStyle w:val="NormalSS"/>
        <w:spacing w:after="0"/>
        <w:ind w:firstLine="0"/>
        <w:rPr>
          <w:szCs w:val="24"/>
        </w:rPr>
      </w:pPr>
    </w:p>
    <w:p w:rsidRPr="00472269" w:rsidR="00C866C4" w:rsidP="00C866C4" w:rsidRDefault="00C866C4" w14:paraId="180121DC" w14:textId="71C98FBD">
      <w:pPr>
        <w:spacing w:after="0" w:line="240" w:lineRule="auto"/>
        <w:rPr>
          <w:szCs w:val="24"/>
        </w:rPr>
      </w:pPr>
      <w:r w:rsidRPr="00472269">
        <w:rPr>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we believe that doubling the hourly wage to estimate total cost is a reasonably accurate estimation method.</w:t>
      </w:r>
    </w:p>
    <w:p w:rsidR="00C866C4" w:rsidP="004F1DDE" w:rsidRDefault="00C866C4" w14:paraId="1A3B7ACE" w14:textId="6C76B775">
      <w:pPr>
        <w:pStyle w:val="NormalSS"/>
        <w:spacing w:after="0"/>
        <w:ind w:firstLine="0"/>
        <w:rPr>
          <w:szCs w:val="24"/>
        </w:rPr>
      </w:pPr>
    </w:p>
    <w:p w:rsidRPr="00C866C4" w:rsidR="00C866C4" w:rsidP="004F1DDE" w:rsidRDefault="00E02680" w14:paraId="0D73E118" w14:textId="70B76692">
      <w:pPr>
        <w:pStyle w:val="NormalSS"/>
        <w:spacing w:after="0"/>
        <w:ind w:firstLine="0"/>
        <w:rPr>
          <w:i/>
          <w:szCs w:val="24"/>
        </w:rPr>
      </w:pPr>
      <w:r>
        <w:rPr>
          <w:i/>
          <w:szCs w:val="24"/>
        </w:rPr>
        <w:t xml:space="preserve">Collection of Information </w:t>
      </w:r>
      <w:r w:rsidR="00CA6AEA">
        <w:rPr>
          <w:i/>
          <w:szCs w:val="24"/>
        </w:rPr>
        <w:t xml:space="preserve">Requirements and Associated </w:t>
      </w:r>
      <w:r w:rsidRPr="00C866C4" w:rsidR="00C866C4">
        <w:rPr>
          <w:i/>
          <w:szCs w:val="24"/>
        </w:rPr>
        <w:t>Burden Estimates</w:t>
      </w:r>
    </w:p>
    <w:p w:rsidR="00C866C4" w:rsidP="001411B6" w:rsidRDefault="00C866C4" w14:paraId="561323D6" w14:textId="49AA6370">
      <w:pPr>
        <w:pStyle w:val="NormalSS"/>
        <w:spacing w:after="0"/>
        <w:ind w:firstLine="0"/>
        <w:rPr>
          <w:szCs w:val="24"/>
        </w:rPr>
      </w:pPr>
    </w:p>
    <w:p w:rsidR="00551DDF" w:rsidP="00551DDF" w:rsidRDefault="0094112C" w14:paraId="0D8B4649" w14:textId="5C91AE05">
      <w:pPr>
        <w:spacing w:after="0" w:line="240" w:lineRule="auto"/>
        <w:rPr>
          <w:rFonts w:cs="Times New Roman"/>
          <w:color w:val="000000"/>
          <w:szCs w:val="24"/>
        </w:rPr>
      </w:pPr>
      <w:r>
        <w:rPr>
          <w:rFonts w:cs="Times New Roman"/>
          <w:color w:val="000000"/>
          <w:szCs w:val="24"/>
        </w:rPr>
        <w:t>States will submit an initial spending plan and narrativ</w:t>
      </w:r>
      <w:r w:rsidR="00712995">
        <w:rPr>
          <w:rFonts w:cs="Times New Roman"/>
          <w:color w:val="000000"/>
          <w:szCs w:val="24"/>
        </w:rPr>
        <w:t xml:space="preserve">e and quarterly updates until funds </w:t>
      </w:r>
      <w:r w:rsidR="00E6764A">
        <w:rPr>
          <w:rFonts w:cs="Times New Roman"/>
          <w:color w:val="000000"/>
          <w:szCs w:val="24"/>
        </w:rPr>
        <w:t>are expended</w:t>
      </w:r>
      <w:r w:rsidR="00712995">
        <w:rPr>
          <w:rFonts w:cs="Times New Roman"/>
          <w:color w:val="000000"/>
          <w:szCs w:val="24"/>
        </w:rPr>
        <w:t xml:space="preserve">; March 31, 2024 at the latest. </w:t>
      </w:r>
    </w:p>
    <w:p w:rsidR="00551DDF" w:rsidP="001411B6" w:rsidRDefault="00551DDF" w14:paraId="05298EAF" w14:textId="77777777">
      <w:pPr>
        <w:pStyle w:val="NormalSS"/>
        <w:spacing w:after="0"/>
        <w:ind w:firstLine="0"/>
        <w:rPr>
          <w:szCs w:val="24"/>
        </w:rPr>
      </w:pPr>
    </w:p>
    <w:p w:rsidR="00712995" w:rsidP="00712995" w:rsidRDefault="00551DDF" w14:paraId="4D12907B" w14:textId="79FE7870">
      <w:pPr>
        <w:spacing w:after="0" w:line="240" w:lineRule="auto"/>
        <w:rPr>
          <w:szCs w:val="24"/>
        </w:rPr>
      </w:pPr>
      <w:r>
        <w:t>Since a</w:t>
      </w:r>
      <w:r w:rsidR="0062438C">
        <w:t>ll states</w:t>
      </w:r>
      <w:r w:rsidR="004B7E26">
        <w:t>/</w:t>
      </w:r>
      <w:r w:rsidR="0062438C">
        <w:t xml:space="preserve">territories </w:t>
      </w:r>
      <w:r w:rsidR="004B7E26">
        <w:t xml:space="preserve">(state) </w:t>
      </w:r>
      <w:r w:rsidR="0062438C">
        <w:t xml:space="preserve">will have the option to complete and submit </w:t>
      </w:r>
      <w:r w:rsidR="00712995">
        <w:t>an initial spending plan and narrative</w:t>
      </w:r>
      <w:r>
        <w:t>,</w:t>
      </w:r>
      <w:r w:rsidR="00AC47F0">
        <w:t xml:space="preserve"> we </w:t>
      </w:r>
      <w:r w:rsidR="007B0B37">
        <w:t>project 5</w:t>
      </w:r>
      <w:r w:rsidR="0062438C">
        <w:t>6</w:t>
      </w:r>
      <w:r w:rsidR="00AC47F0">
        <w:t xml:space="preserve"> </w:t>
      </w:r>
      <w:r w:rsidRPr="00472269" w:rsidR="00AC47F0">
        <w:t>sta</w:t>
      </w:r>
      <w:r w:rsidR="00AC47F0">
        <w:t>te</w:t>
      </w:r>
      <w:r w:rsidR="007B0B37">
        <w:t xml:space="preserve"> respondents</w:t>
      </w:r>
      <w:r w:rsidR="00AC47F0">
        <w:t>.</w:t>
      </w:r>
      <w:r w:rsidR="00712995">
        <w:t xml:space="preserve">  </w:t>
      </w:r>
      <w:r w:rsidR="00435652">
        <w:rPr>
          <w:rFonts w:cs="Times New Roman"/>
          <w:bCs/>
          <w:szCs w:val="24"/>
        </w:rPr>
        <w:t>We estimate i</w:t>
      </w:r>
      <w:r w:rsidR="00C44E39">
        <w:rPr>
          <w:rFonts w:cs="Times New Roman"/>
          <w:bCs/>
          <w:szCs w:val="24"/>
        </w:rPr>
        <w:t>t</w:t>
      </w:r>
      <w:r w:rsidR="00435652">
        <w:rPr>
          <w:rFonts w:cs="Times New Roman"/>
          <w:bCs/>
          <w:szCs w:val="24"/>
        </w:rPr>
        <w:t xml:space="preserve"> would take </w:t>
      </w:r>
      <w:r w:rsidR="00712995">
        <w:rPr>
          <w:rFonts w:cs="Times New Roman"/>
          <w:bCs/>
          <w:szCs w:val="24"/>
        </w:rPr>
        <w:t>4</w:t>
      </w:r>
      <w:r w:rsidRPr="00E94A5B" w:rsidR="00435652">
        <w:rPr>
          <w:rFonts w:cs="Times New Roman"/>
          <w:bCs/>
          <w:szCs w:val="24"/>
        </w:rPr>
        <w:t xml:space="preserve"> hours</w:t>
      </w:r>
      <w:r w:rsidRPr="00694FC7" w:rsidR="00435652">
        <w:rPr>
          <w:rFonts w:cs="Times New Roman"/>
          <w:bCs/>
          <w:szCs w:val="24"/>
        </w:rPr>
        <w:t xml:space="preserve"> </w:t>
      </w:r>
      <w:r w:rsidR="00435652">
        <w:rPr>
          <w:rFonts w:cs="Times New Roman"/>
          <w:bCs/>
          <w:szCs w:val="24"/>
        </w:rPr>
        <w:t>(</w:t>
      </w:r>
      <w:r w:rsidRPr="00694FC7" w:rsidR="00435652">
        <w:rPr>
          <w:rFonts w:cs="Times New Roman"/>
          <w:bCs/>
          <w:szCs w:val="24"/>
        </w:rPr>
        <w:t>per state</w:t>
      </w:r>
      <w:r w:rsidR="00435652">
        <w:rPr>
          <w:rFonts w:cs="Times New Roman"/>
          <w:bCs/>
          <w:szCs w:val="24"/>
        </w:rPr>
        <w:t>)</w:t>
      </w:r>
      <w:r w:rsidR="003E428B">
        <w:rPr>
          <w:rFonts w:cs="Times New Roman"/>
          <w:bCs/>
          <w:szCs w:val="24"/>
        </w:rPr>
        <w:t xml:space="preserve"> </w:t>
      </w:r>
      <w:r w:rsidR="007B0B37">
        <w:rPr>
          <w:rFonts w:cs="Times New Roman"/>
          <w:bCs/>
          <w:szCs w:val="24"/>
        </w:rPr>
        <w:t>at $109.36/</w:t>
      </w:r>
      <w:proofErr w:type="spellStart"/>
      <w:r w:rsidR="007B0B37">
        <w:rPr>
          <w:rFonts w:cs="Times New Roman"/>
          <w:bCs/>
          <w:szCs w:val="24"/>
        </w:rPr>
        <w:t>hr</w:t>
      </w:r>
      <w:proofErr w:type="spellEnd"/>
      <w:r w:rsidR="007B0B37">
        <w:rPr>
          <w:rFonts w:cs="Times New Roman"/>
          <w:bCs/>
          <w:szCs w:val="24"/>
        </w:rPr>
        <w:t xml:space="preserve"> for a </w:t>
      </w:r>
      <w:r w:rsidR="007B0B37">
        <w:rPr>
          <w:rFonts w:cs="Times New Roman"/>
          <w:color w:val="000000"/>
          <w:szCs w:val="24"/>
        </w:rPr>
        <w:t>health services manager</w:t>
      </w:r>
      <w:r w:rsidR="007B0B37">
        <w:rPr>
          <w:rFonts w:cs="Times New Roman"/>
          <w:bCs/>
          <w:szCs w:val="24"/>
        </w:rPr>
        <w:t xml:space="preserve"> </w:t>
      </w:r>
      <w:r w:rsidR="003E428B">
        <w:rPr>
          <w:rFonts w:cs="Times New Roman"/>
          <w:bCs/>
          <w:szCs w:val="24"/>
        </w:rPr>
        <w:t xml:space="preserve">to </w:t>
      </w:r>
      <w:r w:rsidR="00712995">
        <w:rPr>
          <w:rFonts w:cs="Times New Roman"/>
          <w:bCs/>
          <w:szCs w:val="24"/>
        </w:rPr>
        <w:t xml:space="preserve">develop their plan for spending the funding available under Section 9817 and to detail their </w:t>
      </w:r>
      <w:r w:rsidRPr="00712995" w:rsidR="00712995">
        <w:rPr>
          <w:rFonts w:cs="Times New Roman"/>
          <w:bCs/>
          <w:szCs w:val="24"/>
        </w:rPr>
        <w:t xml:space="preserve">activities </w:t>
      </w:r>
      <w:r w:rsidR="00712995">
        <w:rPr>
          <w:rFonts w:cs="Times New Roman"/>
          <w:bCs/>
          <w:szCs w:val="24"/>
        </w:rPr>
        <w:t>for enhancing</w:t>
      </w:r>
      <w:r w:rsidRPr="00712995" w:rsidR="00712995">
        <w:rPr>
          <w:rFonts w:cs="Times New Roman"/>
          <w:bCs/>
          <w:szCs w:val="24"/>
        </w:rPr>
        <w:t>, expand</w:t>
      </w:r>
      <w:r w:rsidR="00712995">
        <w:rPr>
          <w:rFonts w:cs="Times New Roman"/>
          <w:bCs/>
          <w:szCs w:val="24"/>
        </w:rPr>
        <w:t>ing</w:t>
      </w:r>
      <w:r w:rsidRPr="00712995" w:rsidR="00712995">
        <w:rPr>
          <w:rFonts w:cs="Times New Roman"/>
          <w:bCs/>
          <w:szCs w:val="24"/>
        </w:rPr>
        <w:t>, or strengthen</w:t>
      </w:r>
      <w:r w:rsidR="00712995">
        <w:rPr>
          <w:rFonts w:cs="Times New Roman"/>
          <w:bCs/>
          <w:szCs w:val="24"/>
        </w:rPr>
        <w:t>ing</w:t>
      </w:r>
      <w:r w:rsidRPr="00712995" w:rsidR="00712995">
        <w:rPr>
          <w:rFonts w:cs="Times New Roman"/>
          <w:bCs/>
          <w:szCs w:val="24"/>
        </w:rPr>
        <w:t xml:space="preserve"> HCBS under the state Medicaid program.</w:t>
      </w:r>
      <w:r w:rsidR="00712995">
        <w:rPr>
          <w:bCs/>
          <w:szCs w:val="24"/>
        </w:rPr>
        <w:t xml:space="preserve">  </w:t>
      </w:r>
      <w:r w:rsidR="00712995">
        <w:rPr>
          <w:szCs w:val="24"/>
        </w:rPr>
        <w:t>W</w:t>
      </w:r>
      <w:r w:rsidRPr="004A420A" w:rsidR="00712995">
        <w:rPr>
          <w:szCs w:val="24"/>
        </w:rPr>
        <w:t xml:space="preserve">e estimate a burden of </w:t>
      </w:r>
      <w:r w:rsidR="00712995">
        <w:rPr>
          <w:szCs w:val="24"/>
        </w:rPr>
        <w:t xml:space="preserve">224 </w:t>
      </w:r>
      <w:r w:rsidRPr="004A420A" w:rsidR="00712995">
        <w:rPr>
          <w:szCs w:val="24"/>
        </w:rPr>
        <w:t>hours (</w:t>
      </w:r>
      <w:r w:rsidR="00712995">
        <w:rPr>
          <w:szCs w:val="24"/>
        </w:rPr>
        <w:t>56</w:t>
      </w:r>
      <w:r w:rsidRPr="004A420A" w:rsidR="00712995">
        <w:rPr>
          <w:szCs w:val="24"/>
        </w:rPr>
        <w:t xml:space="preserve"> states x </w:t>
      </w:r>
      <w:r w:rsidR="00712995">
        <w:rPr>
          <w:szCs w:val="24"/>
        </w:rPr>
        <w:t>4</w:t>
      </w:r>
      <w:r w:rsidRPr="004A420A" w:rsidR="00712995">
        <w:rPr>
          <w:szCs w:val="24"/>
        </w:rPr>
        <w:t xml:space="preserve"> </w:t>
      </w:r>
      <w:proofErr w:type="spellStart"/>
      <w:r w:rsidRPr="004A420A" w:rsidR="00712995">
        <w:rPr>
          <w:szCs w:val="24"/>
        </w:rPr>
        <w:t>hr</w:t>
      </w:r>
      <w:proofErr w:type="spellEnd"/>
      <w:r w:rsidRPr="004A420A" w:rsidR="00712995">
        <w:rPr>
          <w:szCs w:val="24"/>
        </w:rPr>
        <w:t xml:space="preserve">) at a cost of </w:t>
      </w:r>
      <w:r w:rsidRPr="001F50DC" w:rsidR="00712995">
        <w:rPr>
          <w:szCs w:val="24"/>
        </w:rPr>
        <w:t>$</w:t>
      </w:r>
      <w:r w:rsidR="00712995">
        <w:rPr>
          <w:szCs w:val="24"/>
        </w:rPr>
        <w:t>24</w:t>
      </w:r>
      <w:r w:rsidRPr="001F50DC" w:rsidR="00712995">
        <w:rPr>
          <w:szCs w:val="24"/>
        </w:rPr>
        <w:t>,</w:t>
      </w:r>
      <w:r w:rsidR="00712995">
        <w:rPr>
          <w:szCs w:val="24"/>
        </w:rPr>
        <w:t>49</w:t>
      </w:r>
      <w:r w:rsidR="00457DE7">
        <w:rPr>
          <w:szCs w:val="24"/>
        </w:rPr>
        <w:t>7</w:t>
      </w:r>
      <w:r w:rsidRPr="004A420A" w:rsidR="00712995">
        <w:rPr>
          <w:szCs w:val="24"/>
        </w:rPr>
        <w:t xml:space="preserve"> </w:t>
      </w:r>
      <w:r w:rsidR="00712995">
        <w:rPr>
          <w:szCs w:val="24"/>
        </w:rPr>
        <w:t xml:space="preserve">(224 </w:t>
      </w:r>
      <w:proofErr w:type="spellStart"/>
      <w:r w:rsidR="00712995">
        <w:rPr>
          <w:szCs w:val="24"/>
        </w:rPr>
        <w:t>hr</w:t>
      </w:r>
      <w:proofErr w:type="spellEnd"/>
      <w:r w:rsidR="00712995">
        <w:rPr>
          <w:szCs w:val="24"/>
        </w:rPr>
        <w:t xml:space="preserve"> x </w:t>
      </w:r>
      <w:r w:rsidR="00712995">
        <w:rPr>
          <w:rFonts w:cs="Times New Roman"/>
          <w:bCs/>
          <w:szCs w:val="24"/>
        </w:rPr>
        <w:t>$109.36/</w:t>
      </w:r>
      <w:proofErr w:type="spellStart"/>
      <w:r w:rsidR="00712995">
        <w:rPr>
          <w:rFonts w:cs="Times New Roman"/>
          <w:bCs/>
          <w:szCs w:val="24"/>
        </w:rPr>
        <w:t>hr</w:t>
      </w:r>
      <w:proofErr w:type="spellEnd"/>
      <w:r w:rsidRPr="004A420A" w:rsidR="00712995">
        <w:rPr>
          <w:szCs w:val="24"/>
        </w:rPr>
        <w:t>).</w:t>
      </w:r>
    </w:p>
    <w:p w:rsidR="00435652" w:rsidP="00435652" w:rsidRDefault="00435652" w14:paraId="21FAC651" w14:textId="668F83C4">
      <w:pPr>
        <w:spacing w:after="0" w:line="240" w:lineRule="auto"/>
      </w:pPr>
    </w:p>
    <w:p w:rsidRPr="00E94A5B" w:rsidR="00E265ED" w:rsidP="00E265ED" w:rsidRDefault="00E265ED" w14:paraId="055522AA" w14:textId="38C82AE9">
      <w:pPr>
        <w:spacing w:after="0" w:line="240" w:lineRule="auto"/>
        <w:rPr>
          <w:rFonts w:cs="Times New Roman"/>
          <w:bCs/>
          <w:szCs w:val="24"/>
        </w:rPr>
      </w:pPr>
      <w:r>
        <w:rPr>
          <w:rFonts w:cs="Times New Roman"/>
          <w:bCs/>
          <w:szCs w:val="24"/>
        </w:rPr>
        <w:t>We also</w:t>
      </w:r>
      <w:r w:rsidR="00712995">
        <w:rPr>
          <w:rFonts w:cs="Times New Roman"/>
          <w:bCs/>
          <w:szCs w:val="24"/>
        </w:rPr>
        <w:t xml:space="preserve"> project that each/state territory will submit </w:t>
      </w:r>
      <w:r w:rsidR="00545B68">
        <w:rPr>
          <w:rFonts w:cs="Times New Roman"/>
          <w:bCs/>
          <w:szCs w:val="24"/>
        </w:rPr>
        <w:t>1</w:t>
      </w:r>
      <w:r w:rsidR="00E6764A">
        <w:rPr>
          <w:rFonts w:cs="Times New Roman"/>
          <w:bCs/>
          <w:szCs w:val="24"/>
        </w:rPr>
        <w:t>0</w:t>
      </w:r>
      <w:r w:rsidR="00545B68">
        <w:rPr>
          <w:rFonts w:cs="Times New Roman"/>
          <w:bCs/>
          <w:szCs w:val="24"/>
        </w:rPr>
        <w:t xml:space="preserve"> </w:t>
      </w:r>
      <w:r w:rsidR="00712995">
        <w:rPr>
          <w:rFonts w:cs="Times New Roman"/>
          <w:bCs/>
          <w:szCs w:val="24"/>
        </w:rPr>
        <w:t>quarterly spending plans and narratives for expenditures rendered through March 31, 2024</w:t>
      </w:r>
      <w:r w:rsidR="007B7699">
        <w:rPr>
          <w:rFonts w:cs="Times New Roman"/>
          <w:bCs/>
          <w:szCs w:val="24"/>
        </w:rPr>
        <w:t xml:space="preserve">. </w:t>
      </w:r>
      <w:r w:rsidR="00712995">
        <w:rPr>
          <w:rFonts w:cs="Times New Roman"/>
          <w:bCs/>
          <w:szCs w:val="24"/>
        </w:rPr>
        <w:t>We estimate</w:t>
      </w:r>
      <w:r>
        <w:rPr>
          <w:rFonts w:cs="Times New Roman"/>
          <w:bCs/>
          <w:szCs w:val="24"/>
        </w:rPr>
        <w:t xml:space="preserve"> it would take </w:t>
      </w:r>
      <w:r w:rsidR="00712995">
        <w:rPr>
          <w:rFonts w:cs="Times New Roman"/>
          <w:bCs/>
          <w:szCs w:val="24"/>
        </w:rPr>
        <w:t xml:space="preserve">2 </w:t>
      </w:r>
      <w:r w:rsidRPr="00E94A5B">
        <w:rPr>
          <w:rFonts w:cs="Times New Roman"/>
          <w:bCs/>
          <w:szCs w:val="24"/>
        </w:rPr>
        <w:t>hour</w:t>
      </w:r>
      <w:r w:rsidR="00712995">
        <w:rPr>
          <w:rFonts w:cs="Times New Roman"/>
          <w:bCs/>
          <w:szCs w:val="24"/>
        </w:rPr>
        <w:t>s</w:t>
      </w:r>
      <w:r>
        <w:rPr>
          <w:rFonts w:cs="Times New Roman"/>
          <w:bCs/>
          <w:szCs w:val="24"/>
        </w:rPr>
        <w:t xml:space="preserve"> (</w:t>
      </w:r>
      <w:r w:rsidRPr="00694FC7">
        <w:rPr>
          <w:rFonts w:cs="Times New Roman"/>
          <w:bCs/>
          <w:szCs w:val="24"/>
        </w:rPr>
        <w:t>per state</w:t>
      </w:r>
      <w:r>
        <w:rPr>
          <w:rFonts w:cs="Times New Roman"/>
          <w:bCs/>
          <w:szCs w:val="24"/>
        </w:rPr>
        <w:t xml:space="preserve">) for a </w:t>
      </w:r>
      <w:r>
        <w:rPr>
          <w:rFonts w:cs="Times New Roman"/>
          <w:color w:val="000000"/>
          <w:szCs w:val="24"/>
        </w:rPr>
        <w:t>health services manager</w:t>
      </w:r>
      <w:r>
        <w:rPr>
          <w:rFonts w:cs="Times New Roman"/>
          <w:bCs/>
          <w:szCs w:val="24"/>
        </w:rPr>
        <w:t xml:space="preserve"> to </w:t>
      </w:r>
      <w:r w:rsidR="00712995">
        <w:rPr>
          <w:rFonts w:cs="Times New Roman"/>
          <w:bCs/>
          <w:szCs w:val="24"/>
        </w:rPr>
        <w:t>develop quarterly spending plans and narrative updates</w:t>
      </w:r>
      <w:r w:rsidR="0097398E">
        <w:rPr>
          <w:rFonts w:cs="Times New Roman"/>
          <w:bCs/>
          <w:szCs w:val="24"/>
        </w:rPr>
        <w:t xml:space="preserve">.  </w:t>
      </w:r>
      <w:r w:rsidR="00712995">
        <w:rPr>
          <w:szCs w:val="24"/>
        </w:rPr>
        <w:t>We estimate a</w:t>
      </w:r>
      <w:r w:rsidRPr="004A420A" w:rsidR="00712995">
        <w:rPr>
          <w:szCs w:val="24"/>
        </w:rPr>
        <w:t xml:space="preserve"> burden of </w:t>
      </w:r>
      <w:r w:rsidR="00545B68">
        <w:rPr>
          <w:szCs w:val="24"/>
        </w:rPr>
        <w:t>1,</w:t>
      </w:r>
      <w:r w:rsidR="00E6764A">
        <w:rPr>
          <w:szCs w:val="24"/>
        </w:rPr>
        <w:t xml:space="preserve">120 </w:t>
      </w:r>
      <w:r w:rsidRPr="004A420A" w:rsidR="00712995">
        <w:rPr>
          <w:szCs w:val="24"/>
        </w:rPr>
        <w:t>hours (</w:t>
      </w:r>
      <w:r w:rsidR="00712995">
        <w:rPr>
          <w:szCs w:val="24"/>
        </w:rPr>
        <w:t>56</w:t>
      </w:r>
      <w:r w:rsidRPr="004A420A" w:rsidR="00712995">
        <w:rPr>
          <w:szCs w:val="24"/>
        </w:rPr>
        <w:t xml:space="preserve"> states x </w:t>
      </w:r>
      <w:r w:rsidR="00545B68">
        <w:rPr>
          <w:szCs w:val="24"/>
        </w:rPr>
        <w:t>2</w:t>
      </w:r>
      <w:r w:rsidRPr="004A420A" w:rsidR="00712995">
        <w:rPr>
          <w:szCs w:val="24"/>
        </w:rPr>
        <w:t xml:space="preserve"> </w:t>
      </w:r>
      <w:proofErr w:type="spellStart"/>
      <w:r w:rsidRPr="004A420A" w:rsidR="00712995">
        <w:rPr>
          <w:szCs w:val="24"/>
        </w:rPr>
        <w:t>hr</w:t>
      </w:r>
      <w:proofErr w:type="spellEnd"/>
      <w:r w:rsidR="00545B68">
        <w:rPr>
          <w:szCs w:val="24"/>
        </w:rPr>
        <w:t xml:space="preserve"> x 1</w:t>
      </w:r>
      <w:r w:rsidR="00E6764A">
        <w:rPr>
          <w:szCs w:val="24"/>
        </w:rPr>
        <w:t>0</w:t>
      </w:r>
      <w:r w:rsidR="00545B68">
        <w:rPr>
          <w:szCs w:val="24"/>
        </w:rPr>
        <w:t xml:space="preserve"> quarterly plans/narratives</w:t>
      </w:r>
      <w:r w:rsidRPr="004A420A" w:rsidR="00712995">
        <w:rPr>
          <w:szCs w:val="24"/>
        </w:rPr>
        <w:t>) at a cost of</w:t>
      </w:r>
      <w:r w:rsidR="00545B68">
        <w:rPr>
          <w:szCs w:val="24"/>
        </w:rPr>
        <w:t xml:space="preserve"> $</w:t>
      </w:r>
      <w:r w:rsidR="00E6764A">
        <w:rPr>
          <w:szCs w:val="24"/>
        </w:rPr>
        <w:t>122,483</w:t>
      </w:r>
      <w:r w:rsidRPr="004A420A" w:rsidR="00712995">
        <w:rPr>
          <w:szCs w:val="24"/>
        </w:rPr>
        <w:t xml:space="preserve"> </w:t>
      </w:r>
      <w:r w:rsidR="00712995">
        <w:rPr>
          <w:szCs w:val="24"/>
        </w:rPr>
        <w:t>(</w:t>
      </w:r>
      <w:r w:rsidR="00545B68">
        <w:rPr>
          <w:szCs w:val="24"/>
        </w:rPr>
        <w:t>1,</w:t>
      </w:r>
      <w:r w:rsidR="00E6764A">
        <w:rPr>
          <w:szCs w:val="24"/>
        </w:rPr>
        <w:t>120</w:t>
      </w:r>
      <w:r w:rsidR="00545B68">
        <w:rPr>
          <w:szCs w:val="24"/>
        </w:rPr>
        <w:t xml:space="preserve"> </w:t>
      </w:r>
      <w:proofErr w:type="spellStart"/>
      <w:r w:rsidR="00712995">
        <w:rPr>
          <w:szCs w:val="24"/>
        </w:rPr>
        <w:t>hr</w:t>
      </w:r>
      <w:proofErr w:type="spellEnd"/>
      <w:r w:rsidR="00712995">
        <w:rPr>
          <w:szCs w:val="24"/>
        </w:rPr>
        <w:t xml:space="preserve"> x </w:t>
      </w:r>
      <w:r w:rsidR="00712995">
        <w:rPr>
          <w:rFonts w:cs="Times New Roman"/>
          <w:bCs/>
          <w:szCs w:val="24"/>
        </w:rPr>
        <w:t>$109.36/</w:t>
      </w:r>
      <w:proofErr w:type="spellStart"/>
      <w:r w:rsidR="00712995">
        <w:rPr>
          <w:rFonts w:cs="Times New Roman"/>
          <w:bCs/>
          <w:szCs w:val="24"/>
        </w:rPr>
        <w:t>hr</w:t>
      </w:r>
      <w:proofErr w:type="spellEnd"/>
      <w:r w:rsidRPr="004A420A" w:rsidR="00712995">
        <w:rPr>
          <w:szCs w:val="24"/>
        </w:rPr>
        <w:t>).</w:t>
      </w:r>
    </w:p>
    <w:p w:rsidR="00E265ED" w:rsidP="00435652" w:rsidRDefault="00E265ED" w14:paraId="24585BC0" w14:textId="69E6CD7B">
      <w:pPr>
        <w:spacing w:after="0" w:line="240" w:lineRule="auto"/>
      </w:pPr>
    </w:p>
    <w:p w:rsidR="00435652" w:rsidP="00435652" w:rsidRDefault="0097398E" w14:paraId="2C96E57F" w14:textId="19662A6F">
      <w:pPr>
        <w:spacing w:after="0" w:line="240" w:lineRule="auto"/>
        <w:rPr>
          <w:szCs w:val="24"/>
        </w:rPr>
      </w:pPr>
      <w:r>
        <w:t>This yields a total respondent</w:t>
      </w:r>
      <w:r w:rsidRPr="004A420A" w:rsidR="00435652">
        <w:rPr>
          <w:szCs w:val="24"/>
        </w:rPr>
        <w:t xml:space="preserve"> burden of </w:t>
      </w:r>
      <w:r w:rsidR="001F50DC">
        <w:rPr>
          <w:szCs w:val="24"/>
        </w:rPr>
        <w:t>1</w:t>
      </w:r>
      <w:r w:rsidR="00545B68">
        <w:rPr>
          <w:szCs w:val="24"/>
        </w:rPr>
        <w:t>,</w:t>
      </w:r>
      <w:r w:rsidR="00E6764A">
        <w:rPr>
          <w:szCs w:val="24"/>
        </w:rPr>
        <w:t xml:space="preserve">344 </w:t>
      </w:r>
      <w:r w:rsidRPr="004A420A" w:rsidR="00435652">
        <w:rPr>
          <w:szCs w:val="24"/>
        </w:rPr>
        <w:t>hours (</w:t>
      </w:r>
      <w:r w:rsidRPr="00F43E42" w:rsidR="00F43E42">
        <w:rPr>
          <w:szCs w:val="24"/>
        </w:rPr>
        <w:t>224</w:t>
      </w:r>
      <w:r w:rsidR="00F43E42">
        <w:rPr>
          <w:szCs w:val="24"/>
        </w:rPr>
        <w:t xml:space="preserve"> </w:t>
      </w:r>
      <w:proofErr w:type="spellStart"/>
      <w:r w:rsidR="00F43E42">
        <w:rPr>
          <w:szCs w:val="24"/>
        </w:rPr>
        <w:t>hr</w:t>
      </w:r>
      <w:proofErr w:type="spellEnd"/>
      <w:r w:rsidR="00F43E42">
        <w:rPr>
          <w:szCs w:val="24"/>
        </w:rPr>
        <w:t xml:space="preserve"> + </w:t>
      </w:r>
      <w:r w:rsidRPr="00F43E42" w:rsidR="00F43E42">
        <w:rPr>
          <w:szCs w:val="24"/>
        </w:rPr>
        <w:t xml:space="preserve">1,120 </w:t>
      </w:r>
      <w:proofErr w:type="spellStart"/>
      <w:r w:rsidRPr="00F43E42" w:rsidR="00F43E42">
        <w:rPr>
          <w:szCs w:val="24"/>
        </w:rPr>
        <w:t>h</w:t>
      </w:r>
      <w:r w:rsidR="00F43E42">
        <w:rPr>
          <w:szCs w:val="24"/>
        </w:rPr>
        <w:t>r</w:t>
      </w:r>
      <w:proofErr w:type="spellEnd"/>
      <w:r w:rsidRPr="004A420A" w:rsidR="00435652">
        <w:rPr>
          <w:szCs w:val="24"/>
        </w:rPr>
        <w:t>) at a cost of</w:t>
      </w:r>
      <w:r>
        <w:rPr>
          <w:szCs w:val="24"/>
        </w:rPr>
        <w:t xml:space="preserve"> </w:t>
      </w:r>
      <w:r w:rsidR="00545B68">
        <w:rPr>
          <w:szCs w:val="24"/>
        </w:rPr>
        <w:t>$</w:t>
      </w:r>
      <w:r w:rsidR="00E6764A">
        <w:rPr>
          <w:szCs w:val="24"/>
        </w:rPr>
        <w:t>146,980</w:t>
      </w:r>
      <w:r w:rsidR="00545B68">
        <w:rPr>
          <w:szCs w:val="24"/>
        </w:rPr>
        <w:t xml:space="preserve"> </w:t>
      </w:r>
      <w:r w:rsidR="001F50DC">
        <w:rPr>
          <w:szCs w:val="24"/>
        </w:rPr>
        <w:t>(</w:t>
      </w:r>
      <w:r w:rsidRPr="00F43E42" w:rsidR="00F43E42">
        <w:rPr>
          <w:rFonts w:cs="Times New Roman"/>
          <w:bCs/>
          <w:szCs w:val="24"/>
        </w:rPr>
        <w:t>$24,497</w:t>
      </w:r>
      <w:r w:rsidR="00F43E42">
        <w:rPr>
          <w:rFonts w:cs="Times New Roman"/>
          <w:bCs/>
          <w:szCs w:val="24"/>
        </w:rPr>
        <w:t xml:space="preserve"> + </w:t>
      </w:r>
      <w:r w:rsidRPr="00F43E42" w:rsidR="00F43E42">
        <w:rPr>
          <w:rFonts w:cs="Times New Roman"/>
          <w:bCs/>
          <w:szCs w:val="24"/>
        </w:rPr>
        <w:t>$122,483</w:t>
      </w:r>
      <w:r w:rsidRPr="004A420A" w:rsidR="00435652">
        <w:rPr>
          <w:szCs w:val="24"/>
        </w:rPr>
        <w:t>).</w:t>
      </w:r>
      <w:r>
        <w:rPr>
          <w:szCs w:val="24"/>
        </w:rPr>
        <w:t xml:space="preserve">  These activities </w:t>
      </w:r>
      <w:r w:rsidRPr="0097398E">
        <w:rPr>
          <w:szCs w:val="24"/>
        </w:rPr>
        <w:t>(both the initial</w:t>
      </w:r>
      <w:r>
        <w:rPr>
          <w:szCs w:val="24"/>
        </w:rPr>
        <w:t xml:space="preserve"> plan/narrative</w:t>
      </w:r>
      <w:r w:rsidRPr="0097398E">
        <w:rPr>
          <w:szCs w:val="24"/>
        </w:rPr>
        <w:t xml:space="preserve"> and </w:t>
      </w:r>
      <w:r>
        <w:rPr>
          <w:szCs w:val="24"/>
        </w:rPr>
        <w:t xml:space="preserve">quarterly </w:t>
      </w:r>
      <w:r w:rsidRPr="0097398E">
        <w:rPr>
          <w:szCs w:val="24"/>
        </w:rPr>
        <w:t xml:space="preserve">updates) will span </w:t>
      </w:r>
      <w:r>
        <w:rPr>
          <w:szCs w:val="24"/>
        </w:rPr>
        <w:t>three</w:t>
      </w:r>
      <w:r w:rsidRPr="0097398E">
        <w:rPr>
          <w:szCs w:val="24"/>
        </w:rPr>
        <w:t xml:space="preserve"> years </w:t>
      </w:r>
      <w:r>
        <w:rPr>
          <w:szCs w:val="24"/>
        </w:rPr>
        <w:t>in total</w:t>
      </w:r>
      <w:r w:rsidRPr="0097398E">
        <w:rPr>
          <w:szCs w:val="24"/>
        </w:rPr>
        <w:t xml:space="preserve"> (one year for PCS and one year for HHCS)</w:t>
      </w:r>
      <w:r w:rsidR="006730E9">
        <w:rPr>
          <w:szCs w:val="24"/>
        </w:rPr>
        <w:t>.</w:t>
      </w:r>
    </w:p>
    <w:p w:rsidRPr="00AA10A1" w:rsidR="00A64CD1" w:rsidP="00E93FBA" w:rsidRDefault="00A64CD1" w14:paraId="5D94D6EB" w14:textId="77777777">
      <w:pPr>
        <w:pStyle w:val="BodyText"/>
      </w:pPr>
    </w:p>
    <w:p w:rsidR="00490409" w:rsidP="004D521F" w:rsidRDefault="00490409" w14:paraId="4090A633" w14:textId="3205CB3D">
      <w:pPr>
        <w:spacing w:after="0" w:line="240" w:lineRule="auto"/>
        <w:rPr>
          <w:i/>
        </w:rPr>
      </w:pPr>
      <w:r w:rsidRPr="00490409">
        <w:rPr>
          <w:i/>
        </w:rPr>
        <w:t>Summary of Collection of Information Requirements and Burden Estimates</w:t>
      </w:r>
    </w:p>
    <w:p w:rsidRPr="00490409" w:rsidR="00A64CD1" w:rsidP="004D521F" w:rsidRDefault="00A64CD1" w14:paraId="39153011" w14:textId="77777777">
      <w:pPr>
        <w:spacing w:after="0" w:line="240" w:lineRule="auto"/>
        <w:rPr>
          <w:i/>
        </w:rPr>
      </w:pPr>
    </w:p>
    <w:tbl>
      <w:tblPr>
        <w:tblW w:w="95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30"/>
        <w:gridCol w:w="1350"/>
        <w:gridCol w:w="1530"/>
        <w:gridCol w:w="1350"/>
        <w:gridCol w:w="1080"/>
        <w:gridCol w:w="1350"/>
        <w:gridCol w:w="1391"/>
      </w:tblGrid>
      <w:tr w:rsidRPr="00551DDF" w:rsidR="004D521F" w:rsidTr="00E071E1" w14:paraId="6437D505" w14:textId="77777777">
        <w:trPr>
          <w:trHeight w:val="800"/>
          <w:tblHeader/>
        </w:trPr>
        <w:tc>
          <w:tcPr>
            <w:tcW w:w="1530" w:type="dxa"/>
            <w:shd w:val="clear" w:color="auto" w:fill="auto"/>
          </w:tcPr>
          <w:p w:rsidRPr="00551DDF" w:rsidR="004D521F" w:rsidP="00165097" w:rsidRDefault="004D521F" w14:paraId="1EB59A59" w14:textId="77777777">
            <w:pPr>
              <w:spacing w:after="0" w:line="240" w:lineRule="auto"/>
              <w:jc w:val="center"/>
              <w:rPr>
                <w:sz w:val="20"/>
                <w:szCs w:val="20"/>
              </w:rPr>
            </w:pPr>
            <w:r w:rsidRPr="00551DDF">
              <w:rPr>
                <w:sz w:val="20"/>
                <w:szCs w:val="20"/>
              </w:rPr>
              <w:t>Requirement</w:t>
            </w:r>
          </w:p>
        </w:tc>
        <w:tc>
          <w:tcPr>
            <w:tcW w:w="1350" w:type="dxa"/>
            <w:shd w:val="clear" w:color="auto" w:fill="auto"/>
          </w:tcPr>
          <w:p w:rsidRPr="00551DDF" w:rsidR="004D521F" w:rsidP="00165097" w:rsidRDefault="00880774" w14:paraId="37EEFE82" w14:textId="2D835E81">
            <w:pPr>
              <w:spacing w:after="0" w:line="240" w:lineRule="auto"/>
              <w:jc w:val="center"/>
              <w:rPr>
                <w:sz w:val="20"/>
                <w:szCs w:val="20"/>
              </w:rPr>
            </w:pPr>
            <w:r w:rsidRPr="00551DDF">
              <w:rPr>
                <w:sz w:val="20"/>
                <w:szCs w:val="20"/>
              </w:rPr>
              <w:t xml:space="preserve">No. </w:t>
            </w:r>
            <w:r w:rsidRPr="00551DDF" w:rsidR="004D521F">
              <w:rPr>
                <w:sz w:val="20"/>
                <w:szCs w:val="20"/>
              </w:rPr>
              <w:t>Respondents</w:t>
            </w:r>
          </w:p>
        </w:tc>
        <w:tc>
          <w:tcPr>
            <w:tcW w:w="1530" w:type="dxa"/>
            <w:shd w:val="clear" w:color="auto" w:fill="auto"/>
          </w:tcPr>
          <w:p w:rsidRPr="00551DDF" w:rsidR="004D521F" w:rsidP="00165097" w:rsidRDefault="004D521F" w14:paraId="66A68137" w14:textId="77777777">
            <w:pPr>
              <w:spacing w:after="0" w:line="240" w:lineRule="auto"/>
              <w:jc w:val="center"/>
              <w:rPr>
                <w:sz w:val="20"/>
                <w:szCs w:val="20"/>
              </w:rPr>
            </w:pPr>
            <w:r w:rsidRPr="00551DDF">
              <w:rPr>
                <w:sz w:val="20"/>
                <w:szCs w:val="20"/>
              </w:rPr>
              <w:t>Total Responses</w:t>
            </w:r>
          </w:p>
        </w:tc>
        <w:tc>
          <w:tcPr>
            <w:tcW w:w="1350" w:type="dxa"/>
            <w:shd w:val="clear" w:color="auto" w:fill="auto"/>
          </w:tcPr>
          <w:p w:rsidRPr="00551DDF" w:rsidR="004D521F" w:rsidP="007B0B37" w:rsidRDefault="009C2C6E" w14:paraId="1CB7F978" w14:textId="01A6337A">
            <w:pPr>
              <w:spacing w:after="0" w:line="240" w:lineRule="auto"/>
              <w:jc w:val="center"/>
              <w:rPr>
                <w:sz w:val="20"/>
                <w:szCs w:val="20"/>
              </w:rPr>
            </w:pPr>
            <w:r w:rsidRPr="00551DDF">
              <w:rPr>
                <w:sz w:val="20"/>
                <w:szCs w:val="20"/>
              </w:rPr>
              <w:t>Time</w:t>
            </w:r>
            <w:r w:rsidRPr="00551DDF" w:rsidR="004D521F">
              <w:rPr>
                <w:sz w:val="20"/>
                <w:szCs w:val="20"/>
              </w:rPr>
              <w:t xml:space="preserve"> per Response (</w:t>
            </w:r>
            <w:proofErr w:type="spellStart"/>
            <w:r w:rsidRPr="00551DDF" w:rsidR="00490409">
              <w:rPr>
                <w:sz w:val="20"/>
                <w:szCs w:val="20"/>
              </w:rPr>
              <w:t>h</w:t>
            </w:r>
            <w:r w:rsidRPr="00551DDF" w:rsidR="007B0B37">
              <w:rPr>
                <w:sz w:val="20"/>
                <w:szCs w:val="20"/>
              </w:rPr>
              <w:t>r</w:t>
            </w:r>
            <w:proofErr w:type="spellEnd"/>
            <w:r w:rsidRPr="00551DDF" w:rsidR="004D521F">
              <w:rPr>
                <w:sz w:val="20"/>
                <w:szCs w:val="20"/>
              </w:rPr>
              <w:t>)</w:t>
            </w:r>
          </w:p>
        </w:tc>
        <w:tc>
          <w:tcPr>
            <w:tcW w:w="1080" w:type="dxa"/>
          </w:tcPr>
          <w:p w:rsidRPr="00551DDF" w:rsidR="004D521F" w:rsidP="00457DE7" w:rsidRDefault="00880774" w14:paraId="58EA25F1" w14:textId="30664879">
            <w:pPr>
              <w:spacing w:after="0" w:line="240" w:lineRule="auto"/>
              <w:jc w:val="center"/>
              <w:rPr>
                <w:sz w:val="20"/>
                <w:szCs w:val="20"/>
              </w:rPr>
            </w:pPr>
            <w:r w:rsidRPr="00551DDF">
              <w:rPr>
                <w:sz w:val="20"/>
                <w:szCs w:val="20"/>
              </w:rPr>
              <w:t>Total Time</w:t>
            </w:r>
            <w:r w:rsidRPr="00551DDF" w:rsidR="004D521F">
              <w:rPr>
                <w:sz w:val="20"/>
                <w:szCs w:val="20"/>
              </w:rPr>
              <w:t xml:space="preserve"> (</w:t>
            </w:r>
            <w:proofErr w:type="spellStart"/>
            <w:r w:rsidRPr="00551DDF" w:rsidR="004D521F">
              <w:rPr>
                <w:sz w:val="20"/>
                <w:szCs w:val="20"/>
              </w:rPr>
              <w:t>h</w:t>
            </w:r>
            <w:r w:rsidRPr="00551DDF" w:rsidR="007B0B37">
              <w:rPr>
                <w:sz w:val="20"/>
                <w:szCs w:val="20"/>
              </w:rPr>
              <w:t>r</w:t>
            </w:r>
            <w:proofErr w:type="spellEnd"/>
            <w:r w:rsidRPr="00551DDF" w:rsidR="004D521F">
              <w:rPr>
                <w:sz w:val="20"/>
                <w:szCs w:val="20"/>
              </w:rPr>
              <w:t>)</w:t>
            </w:r>
          </w:p>
        </w:tc>
        <w:tc>
          <w:tcPr>
            <w:tcW w:w="1350" w:type="dxa"/>
          </w:tcPr>
          <w:p w:rsidRPr="00551DDF" w:rsidR="004D521F" w:rsidP="007B0B37" w:rsidRDefault="004D521F" w14:paraId="29BE74FB" w14:textId="6DF8481B">
            <w:pPr>
              <w:spacing w:after="0" w:line="240" w:lineRule="auto"/>
              <w:jc w:val="center"/>
              <w:rPr>
                <w:sz w:val="20"/>
                <w:szCs w:val="20"/>
              </w:rPr>
            </w:pPr>
            <w:r w:rsidRPr="00551DDF">
              <w:rPr>
                <w:sz w:val="20"/>
                <w:szCs w:val="20"/>
              </w:rPr>
              <w:t xml:space="preserve">Labor </w:t>
            </w:r>
            <w:r w:rsidRPr="00551DDF" w:rsidR="007B0B37">
              <w:rPr>
                <w:sz w:val="20"/>
                <w:szCs w:val="20"/>
              </w:rPr>
              <w:t>C</w:t>
            </w:r>
            <w:r w:rsidRPr="00551DDF">
              <w:rPr>
                <w:sz w:val="20"/>
                <w:szCs w:val="20"/>
              </w:rPr>
              <w:t>ost ($/</w:t>
            </w:r>
            <w:proofErr w:type="spellStart"/>
            <w:r w:rsidRPr="00551DDF">
              <w:rPr>
                <w:sz w:val="20"/>
                <w:szCs w:val="20"/>
              </w:rPr>
              <w:t>hr</w:t>
            </w:r>
            <w:proofErr w:type="spellEnd"/>
            <w:r w:rsidRPr="00551DDF">
              <w:rPr>
                <w:sz w:val="20"/>
                <w:szCs w:val="20"/>
              </w:rPr>
              <w:t>)</w:t>
            </w:r>
          </w:p>
        </w:tc>
        <w:tc>
          <w:tcPr>
            <w:tcW w:w="1391" w:type="dxa"/>
            <w:shd w:val="clear" w:color="auto" w:fill="auto"/>
          </w:tcPr>
          <w:p w:rsidRPr="00551DDF" w:rsidR="004D521F" w:rsidP="007E688D" w:rsidRDefault="004D521F" w14:paraId="0A9A8047" w14:textId="3B84B0CD">
            <w:pPr>
              <w:spacing w:after="0" w:line="240" w:lineRule="auto"/>
              <w:jc w:val="center"/>
              <w:rPr>
                <w:sz w:val="20"/>
                <w:szCs w:val="20"/>
              </w:rPr>
            </w:pPr>
            <w:r w:rsidRPr="00551DDF">
              <w:rPr>
                <w:sz w:val="20"/>
                <w:szCs w:val="20"/>
              </w:rPr>
              <w:t>Total Cost ($)</w:t>
            </w:r>
          </w:p>
        </w:tc>
      </w:tr>
      <w:tr w:rsidRPr="00880774" w:rsidR="00794E0C" w:rsidTr="00E016CC" w14:paraId="505CFD8B" w14:textId="77777777">
        <w:trPr>
          <w:trHeight w:val="800"/>
          <w:tblHeader/>
        </w:trPr>
        <w:tc>
          <w:tcPr>
            <w:tcW w:w="1530" w:type="dxa"/>
            <w:shd w:val="clear" w:color="auto" w:fill="auto"/>
          </w:tcPr>
          <w:p w:rsidRPr="00B80253" w:rsidR="00794E0C" w:rsidP="00457DE7" w:rsidRDefault="007B7699" w14:paraId="08910441" w14:textId="7D371120">
            <w:pPr>
              <w:spacing w:after="0" w:line="240" w:lineRule="auto"/>
              <w:rPr>
                <w:sz w:val="20"/>
                <w:szCs w:val="20"/>
              </w:rPr>
            </w:pPr>
            <w:r>
              <w:rPr>
                <w:rFonts w:eastAsia="Calibri" w:cs="Times New Roman"/>
                <w:bCs/>
                <w:sz w:val="20"/>
                <w:szCs w:val="20"/>
              </w:rPr>
              <w:t>Initial plan/narrative</w:t>
            </w:r>
            <w:r w:rsidR="00B80253">
              <w:rPr>
                <w:rFonts w:eastAsia="Calibri" w:cs="Times New Roman"/>
                <w:bCs/>
                <w:sz w:val="20"/>
                <w:szCs w:val="20"/>
              </w:rPr>
              <w:t xml:space="preserve"> </w:t>
            </w:r>
          </w:p>
        </w:tc>
        <w:tc>
          <w:tcPr>
            <w:tcW w:w="1350" w:type="dxa"/>
            <w:shd w:val="clear" w:color="auto" w:fill="auto"/>
          </w:tcPr>
          <w:p w:rsidRPr="00880774" w:rsidR="00794E0C" w:rsidP="00165097" w:rsidRDefault="00B80253" w14:paraId="3E5CD880" w14:textId="1615CA7D">
            <w:pPr>
              <w:spacing w:after="0" w:line="240" w:lineRule="auto"/>
              <w:jc w:val="center"/>
              <w:rPr>
                <w:sz w:val="20"/>
              </w:rPr>
            </w:pPr>
            <w:r>
              <w:rPr>
                <w:sz w:val="20"/>
              </w:rPr>
              <w:t>56</w:t>
            </w:r>
          </w:p>
        </w:tc>
        <w:tc>
          <w:tcPr>
            <w:tcW w:w="1530" w:type="dxa"/>
            <w:shd w:val="clear" w:color="auto" w:fill="auto"/>
          </w:tcPr>
          <w:p w:rsidRPr="00880774" w:rsidR="00794E0C" w:rsidP="00165097" w:rsidRDefault="00457DE7" w14:paraId="0AEA8AC2" w14:textId="14D3C63B">
            <w:pPr>
              <w:spacing w:after="0" w:line="240" w:lineRule="auto"/>
              <w:jc w:val="center"/>
              <w:rPr>
                <w:sz w:val="20"/>
              </w:rPr>
            </w:pPr>
            <w:r>
              <w:rPr>
                <w:sz w:val="20"/>
              </w:rPr>
              <w:t>56</w:t>
            </w:r>
          </w:p>
        </w:tc>
        <w:tc>
          <w:tcPr>
            <w:tcW w:w="1350" w:type="dxa"/>
            <w:shd w:val="clear" w:color="auto" w:fill="auto"/>
          </w:tcPr>
          <w:p w:rsidRPr="00880774" w:rsidR="00794E0C" w:rsidP="00165097" w:rsidRDefault="00457DE7" w14:paraId="62D9E94D" w14:textId="08AE4D27">
            <w:pPr>
              <w:spacing w:after="0" w:line="240" w:lineRule="auto"/>
              <w:jc w:val="center"/>
              <w:rPr>
                <w:sz w:val="20"/>
                <w:szCs w:val="20"/>
              </w:rPr>
            </w:pPr>
            <w:r>
              <w:rPr>
                <w:sz w:val="20"/>
                <w:szCs w:val="20"/>
              </w:rPr>
              <w:t>4</w:t>
            </w:r>
          </w:p>
        </w:tc>
        <w:tc>
          <w:tcPr>
            <w:tcW w:w="1080" w:type="dxa"/>
          </w:tcPr>
          <w:p w:rsidRPr="00880774" w:rsidR="00794E0C" w:rsidP="00E265ED" w:rsidRDefault="00457DE7" w14:paraId="5CD80AFC" w14:textId="55630F24">
            <w:pPr>
              <w:spacing w:after="0" w:line="240" w:lineRule="auto"/>
              <w:jc w:val="center"/>
              <w:rPr>
                <w:sz w:val="20"/>
                <w:szCs w:val="20"/>
              </w:rPr>
            </w:pPr>
            <w:r>
              <w:rPr>
                <w:sz w:val="20"/>
                <w:szCs w:val="20"/>
              </w:rPr>
              <w:t>224</w:t>
            </w:r>
          </w:p>
        </w:tc>
        <w:tc>
          <w:tcPr>
            <w:tcW w:w="1350" w:type="dxa"/>
          </w:tcPr>
          <w:p w:rsidRPr="00880774" w:rsidR="00794E0C" w:rsidP="00165097" w:rsidRDefault="005410C8" w14:paraId="672A417B" w14:textId="66551F9D">
            <w:pPr>
              <w:spacing w:after="0" w:line="240" w:lineRule="auto"/>
              <w:jc w:val="center"/>
              <w:rPr>
                <w:sz w:val="20"/>
                <w:szCs w:val="20"/>
              </w:rPr>
            </w:pPr>
            <w:r w:rsidRPr="00880774">
              <w:rPr>
                <w:sz w:val="20"/>
                <w:szCs w:val="20"/>
              </w:rPr>
              <w:t>109.36</w:t>
            </w:r>
          </w:p>
        </w:tc>
        <w:tc>
          <w:tcPr>
            <w:tcW w:w="1391" w:type="dxa"/>
            <w:shd w:val="clear" w:color="auto" w:fill="auto"/>
          </w:tcPr>
          <w:p w:rsidRPr="00880774" w:rsidR="00794E0C" w:rsidP="00E265ED" w:rsidRDefault="00457DE7" w14:paraId="5B1F0704" w14:textId="60872C98">
            <w:pPr>
              <w:spacing w:after="0" w:line="240" w:lineRule="auto"/>
              <w:jc w:val="center"/>
              <w:rPr>
                <w:sz w:val="20"/>
                <w:szCs w:val="20"/>
              </w:rPr>
            </w:pPr>
            <w:r w:rsidRPr="00457DE7">
              <w:rPr>
                <w:sz w:val="20"/>
                <w:szCs w:val="20"/>
              </w:rPr>
              <w:t>24,497</w:t>
            </w:r>
          </w:p>
        </w:tc>
      </w:tr>
      <w:tr w:rsidRPr="00880774" w:rsidR="00457DE7" w:rsidTr="00E016CC" w14:paraId="42DAFA72" w14:textId="77777777">
        <w:trPr>
          <w:trHeight w:val="800"/>
          <w:tblHeader/>
        </w:trPr>
        <w:tc>
          <w:tcPr>
            <w:tcW w:w="1530" w:type="dxa"/>
            <w:shd w:val="clear" w:color="auto" w:fill="auto"/>
          </w:tcPr>
          <w:p w:rsidR="00457DE7" w:rsidP="004B7E26" w:rsidRDefault="00457DE7" w14:paraId="7F77EF5F" w14:textId="654D11B7">
            <w:pPr>
              <w:spacing w:after="0" w:line="240" w:lineRule="auto"/>
              <w:rPr>
                <w:rFonts w:eastAsia="Calibri" w:cs="Times New Roman"/>
                <w:bCs/>
                <w:sz w:val="20"/>
                <w:szCs w:val="20"/>
              </w:rPr>
            </w:pPr>
            <w:r>
              <w:rPr>
                <w:rFonts w:eastAsia="Calibri" w:cs="Times New Roman"/>
                <w:bCs/>
                <w:sz w:val="20"/>
                <w:szCs w:val="20"/>
              </w:rPr>
              <w:t>Quarterly plan/narrative</w:t>
            </w:r>
          </w:p>
        </w:tc>
        <w:tc>
          <w:tcPr>
            <w:tcW w:w="1350" w:type="dxa"/>
            <w:shd w:val="clear" w:color="auto" w:fill="auto"/>
          </w:tcPr>
          <w:p w:rsidR="00457DE7" w:rsidP="00165097" w:rsidRDefault="00457DE7" w14:paraId="37270B12" w14:textId="6D81E02B">
            <w:pPr>
              <w:spacing w:after="0" w:line="240" w:lineRule="auto"/>
              <w:jc w:val="center"/>
              <w:rPr>
                <w:sz w:val="20"/>
              </w:rPr>
            </w:pPr>
            <w:r>
              <w:rPr>
                <w:sz w:val="20"/>
              </w:rPr>
              <w:t>56</w:t>
            </w:r>
          </w:p>
        </w:tc>
        <w:tc>
          <w:tcPr>
            <w:tcW w:w="1530" w:type="dxa"/>
            <w:shd w:val="clear" w:color="auto" w:fill="auto"/>
          </w:tcPr>
          <w:p w:rsidR="00457DE7" w:rsidP="00165097" w:rsidRDefault="00B6730C" w14:paraId="6FE0793E" w14:textId="116E7BA7">
            <w:pPr>
              <w:spacing w:after="0" w:line="240" w:lineRule="auto"/>
              <w:jc w:val="center"/>
              <w:rPr>
                <w:sz w:val="20"/>
              </w:rPr>
            </w:pPr>
            <w:r>
              <w:rPr>
                <w:sz w:val="20"/>
              </w:rPr>
              <w:t>560</w:t>
            </w:r>
          </w:p>
        </w:tc>
        <w:tc>
          <w:tcPr>
            <w:tcW w:w="1350" w:type="dxa"/>
            <w:shd w:val="clear" w:color="auto" w:fill="auto"/>
          </w:tcPr>
          <w:p w:rsidR="00457DE7" w:rsidP="00165097" w:rsidRDefault="00457DE7" w14:paraId="11983936" w14:textId="74147A74">
            <w:pPr>
              <w:spacing w:after="0" w:line="240" w:lineRule="auto"/>
              <w:jc w:val="center"/>
              <w:rPr>
                <w:sz w:val="20"/>
                <w:szCs w:val="20"/>
              </w:rPr>
            </w:pPr>
            <w:r>
              <w:rPr>
                <w:sz w:val="20"/>
                <w:szCs w:val="20"/>
              </w:rPr>
              <w:t>2</w:t>
            </w:r>
          </w:p>
        </w:tc>
        <w:tc>
          <w:tcPr>
            <w:tcW w:w="1080" w:type="dxa"/>
          </w:tcPr>
          <w:p w:rsidR="00457DE7" w:rsidP="00B6730C" w:rsidRDefault="00457DE7" w14:paraId="17D77F7F" w14:textId="568A6566">
            <w:pPr>
              <w:spacing w:after="0" w:line="240" w:lineRule="auto"/>
              <w:jc w:val="center"/>
              <w:rPr>
                <w:sz w:val="20"/>
                <w:szCs w:val="20"/>
              </w:rPr>
            </w:pPr>
            <w:r>
              <w:rPr>
                <w:sz w:val="20"/>
                <w:szCs w:val="20"/>
              </w:rPr>
              <w:t>1,</w:t>
            </w:r>
            <w:r w:rsidR="00B6730C">
              <w:rPr>
                <w:sz w:val="20"/>
                <w:szCs w:val="20"/>
              </w:rPr>
              <w:t>120</w:t>
            </w:r>
          </w:p>
        </w:tc>
        <w:tc>
          <w:tcPr>
            <w:tcW w:w="1350" w:type="dxa"/>
          </w:tcPr>
          <w:p w:rsidRPr="00880774" w:rsidR="00457DE7" w:rsidP="00165097" w:rsidRDefault="00457DE7" w14:paraId="4142EB6D" w14:textId="4C6B57C6">
            <w:pPr>
              <w:spacing w:after="0" w:line="240" w:lineRule="auto"/>
              <w:jc w:val="center"/>
              <w:rPr>
                <w:sz w:val="20"/>
                <w:szCs w:val="20"/>
              </w:rPr>
            </w:pPr>
            <w:r>
              <w:rPr>
                <w:sz w:val="20"/>
                <w:szCs w:val="20"/>
              </w:rPr>
              <w:t>109.36</w:t>
            </w:r>
          </w:p>
        </w:tc>
        <w:tc>
          <w:tcPr>
            <w:tcW w:w="1391" w:type="dxa"/>
            <w:shd w:val="clear" w:color="auto" w:fill="auto"/>
          </w:tcPr>
          <w:p w:rsidR="00457DE7" w:rsidP="00457DE7" w:rsidRDefault="00B6730C" w14:paraId="3F4E8898" w14:textId="4FDC26B4">
            <w:pPr>
              <w:spacing w:after="0" w:line="240" w:lineRule="auto"/>
              <w:jc w:val="center"/>
              <w:rPr>
                <w:sz w:val="20"/>
                <w:szCs w:val="20"/>
              </w:rPr>
            </w:pPr>
            <w:r>
              <w:rPr>
                <w:sz w:val="20"/>
                <w:szCs w:val="20"/>
              </w:rPr>
              <w:t>122,483</w:t>
            </w:r>
          </w:p>
        </w:tc>
      </w:tr>
      <w:tr w:rsidRPr="00880774" w:rsidR="00457DE7" w:rsidTr="00DC1A81" w14:paraId="0B3AB3ED" w14:textId="77777777">
        <w:trPr>
          <w:trHeight w:val="350"/>
          <w:tblHeader/>
        </w:trPr>
        <w:tc>
          <w:tcPr>
            <w:tcW w:w="1530" w:type="dxa"/>
            <w:shd w:val="clear" w:color="auto" w:fill="D9D9D9" w:themeFill="background1" w:themeFillShade="D9"/>
          </w:tcPr>
          <w:p w:rsidRPr="00DC1A81" w:rsidR="00457DE7" w:rsidP="004B7E26" w:rsidRDefault="00457DE7" w14:paraId="61F9C446" w14:textId="5E7BA58D">
            <w:pPr>
              <w:spacing w:after="0" w:line="240" w:lineRule="auto"/>
              <w:rPr>
                <w:rFonts w:eastAsia="Calibri" w:cs="Times New Roman"/>
                <w:b/>
                <w:bCs/>
                <w:sz w:val="20"/>
                <w:szCs w:val="20"/>
              </w:rPr>
            </w:pPr>
            <w:r w:rsidRPr="00DC1A81">
              <w:rPr>
                <w:rFonts w:eastAsia="Calibri" w:cs="Times New Roman"/>
                <w:b/>
                <w:bCs/>
                <w:sz w:val="20"/>
                <w:szCs w:val="20"/>
              </w:rPr>
              <w:t>TOTAL</w:t>
            </w:r>
          </w:p>
        </w:tc>
        <w:tc>
          <w:tcPr>
            <w:tcW w:w="1350" w:type="dxa"/>
            <w:shd w:val="clear" w:color="auto" w:fill="D9D9D9" w:themeFill="background1" w:themeFillShade="D9"/>
          </w:tcPr>
          <w:p w:rsidRPr="00DC1A81" w:rsidR="00457DE7" w:rsidP="00165097" w:rsidRDefault="00457DE7" w14:paraId="45EBA365" w14:textId="2661923A">
            <w:pPr>
              <w:spacing w:after="0" w:line="240" w:lineRule="auto"/>
              <w:jc w:val="center"/>
              <w:rPr>
                <w:b/>
                <w:sz w:val="20"/>
              </w:rPr>
            </w:pPr>
            <w:r w:rsidRPr="00DC1A81">
              <w:rPr>
                <w:b/>
                <w:sz w:val="20"/>
              </w:rPr>
              <w:t>56</w:t>
            </w:r>
          </w:p>
        </w:tc>
        <w:tc>
          <w:tcPr>
            <w:tcW w:w="1530" w:type="dxa"/>
            <w:shd w:val="clear" w:color="auto" w:fill="D9D9D9" w:themeFill="background1" w:themeFillShade="D9"/>
          </w:tcPr>
          <w:p w:rsidRPr="00DC1A81" w:rsidR="00457DE7" w:rsidP="00F30A50" w:rsidRDefault="00F30A50" w14:paraId="7BE83E18" w14:textId="7F76A97B">
            <w:pPr>
              <w:spacing w:after="0" w:line="240" w:lineRule="auto"/>
              <w:jc w:val="center"/>
              <w:rPr>
                <w:b/>
                <w:sz w:val="20"/>
              </w:rPr>
            </w:pPr>
            <w:r>
              <w:rPr>
                <w:b/>
                <w:sz w:val="20"/>
              </w:rPr>
              <w:t>616</w:t>
            </w:r>
          </w:p>
        </w:tc>
        <w:tc>
          <w:tcPr>
            <w:tcW w:w="1350" w:type="dxa"/>
            <w:shd w:val="clear" w:color="auto" w:fill="D9D9D9" w:themeFill="background1" w:themeFillShade="D9"/>
          </w:tcPr>
          <w:p w:rsidRPr="00DC1A81" w:rsidR="00457DE7" w:rsidP="00165097" w:rsidRDefault="00457DE7" w14:paraId="17A307D9" w14:textId="357B071A">
            <w:pPr>
              <w:spacing w:after="0" w:line="240" w:lineRule="auto"/>
              <w:jc w:val="center"/>
              <w:rPr>
                <w:b/>
                <w:sz w:val="20"/>
                <w:szCs w:val="20"/>
              </w:rPr>
            </w:pPr>
            <w:r w:rsidRPr="00DC1A81">
              <w:rPr>
                <w:b/>
                <w:sz w:val="20"/>
                <w:szCs w:val="20"/>
              </w:rPr>
              <w:t>Varies</w:t>
            </w:r>
          </w:p>
        </w:tc>
        <w:tc>
          <w:tcPr>
            <w:tcW w:w="1080" w:type="dxa"/>
            <w:shd w:val="clear" w:color="auto" w:fill="D9D9D9" w:themeFill="background1" w:themeFillShade="D9"/>
          </w:tcPr>
          <w:p w:rsidRPr="00DC1A81" w:rsidR="00457DE7" w:rsidP="00B6730C" w:rsidRDefault="00457DE7" w14:paraId="6470BD50" w14:textId="79931169">
            <w:pPr>
              <w:spacing w:after="0" w:line="240" w:lineRule="auto"/>
              <w:jc w:val="center"/>
              <w:rPr>
                <w:b/>
                <w:sz w:val="20"/>
                <w:szCs w:val="20"/>
              </w:rPr>
            </w:pPr>
            <w:r w:rsidRPr="00DC1A81">
              <w:rPr>
                <w:b/>
                <w:sz w:val="20"/>
                <w:szCs w:val="20"/>
              </w:rPr>
              <w:t>1,</w:t>
            </w:r>
            <w:r w:rsidR="00B6730C">
              <w:rPr>
                <w:b/>
                <w:sz w:val="20"/>
                <w:szCs w:val="20"/>
              </w:rPr>
              <w:t>344</w:t>
            </w:r>
          </w:p>
        </w:tc>
        <w:tc>
          <w:tcPr>
            <w:tcW w:w="1350" w:type="dxa"/>
            <w:shd w:val="clear" w:color="auto" w:fill="D9D9D9" w:themeFill="background1" w:themeFillShade="D9"/>
          </w:tcPr>
          <w:p w:rsidRPr="00DC1A81" w:rsidR="00457DE7" w:rsidP="00165097" w:rsidRDefault="00457DE7" w14:paraId="541B89B7" w14:textId="3948ABF0">
            <w:pPr>
              <w:spacing w:after="0" w:line="240" w:lineRule="auto"/>
              <w:jc w:val="center"/>
              <w:rPr>
                <w:b/>
                <w:sz w:val="20"/>
                <w:szCs w:val="20"/>
              </w:rPr>
            </w:pPr>
            <w:r w:rsidRPr="00DC1A81">
              <w:rPr>
                <w:b/>
                <w:sz w:val="20"/>
                <w:szCs w:val="20"/>
              </w:rPr>
              <w:t>109.36</w:t>
            </w:r>
          </w:p>
        </w:tc>
        <w:tc>
          <w:tcPr>
            <w:tcW w:w="1391" w:type="dxa"/>
            <w:shd w:val="clear" w:color="auto" w:fill="D9D9D9" w:themeFill="background1" w:themeFillShade="D9"/>
          </w:tcPr>
          <w:p w:rsidRPr="00DC1A81" w:rsidR="00457DE7" w:rsidP="00457DE7" w:rsidRDefault="00B6730C" w14:paraId="3F7F21A6" w14:textId="1A0FE1B5">
            <w:pPr>
              <w:spacing w:after="0" w:line="240" w:lineRule="auto"/>
              <w:jc w:val="center"/>
              <w:rPr>
                <w:b/>
                <w:sz w:val="20"/>
                <w:szCs w:val="20"/>
              </w:rPr>
            </w:pPr>
            <w:r>
              <w:rPr>
                <w:b/>
                <w:sz w:val="20"/>
                <w:szCs w:val="20"/>
              </w:rPr>
              <w:t>146,980</w:t>
            </w:r>
          </w:p>
        </w:tc>
      </w:tr>
    </w:tbl>
    <w:p w:rsidR="00590312" w:rsidP="009333CB" w:rsidRDefault="00590312" w14:paraId="6F042E2E" w14:textId="77777777">
      <w:pPr>
        <w:spacing w:after="0" w:line="240" w:lineRule="auto"/>
        <w:rPr>
          <w:i/>
        </w:rPr>
      </w:pPr>
    </w:p>
    <w:p w:rsidRPr="0045367A" w:rsidR="009333CB" w:rsidP="009333CB" w:rsidRDefault="009333CB" w14:paraId="203CC2B2" w14:textId="4DCB4C1A">
      <w:pPr>
        <w:spacing w:after="0" w:line="240" w:lineRule="auto"/>
        <w:rPr>
          <w:i/>
        </w:rPr>
      </w:pPr>
      <w:r w:rsidRPr="0045367A">
        <w:rPr>
          <w:i/>
        </w:rPr>
        <w:t>Information Collection Instruments and Instruction/Guidance Documents</w:t>
      </w:r>
    </w:p>
    <w:p w:rsidRPr="00472269" w:rsidR="009333CB" w:rsidP="009333CB" w:rsidRDefault="009333CB" w14:paraId="5605F736" w14:textId="77777777">
      <w:pPr>
        <w:pStyle w:val="BodyText"/>
        <w:rPr>
          <w:sz w:val="24"/>
        </w:rPr>
      </w:pPr>
    </w:p>
    <w:p w:rsidR="00FE1749" w:rsidP="00FE1749" w:rsidRDefault="007E688D" w14:paraId="75857EE0" w14:textId="37261740">
      <w:pPr>
        <w:pStyle w:val="BodyText"/>
        <w:rPr>
          <w:i w:val="0"/>
          <w:sz w:val="24"/>
          <w:szCs w:val="24"/>
        </w:rPr>
      </w:pPr>
      <w:r>
        <w:rPr>
          <w:i w:val="0"/>
          <w:sz w:val="24"/>
          <w:szCs w:val="24"/>
        </w:rPr>
        <w:t>All Information Collection requirements are detailed in Section D of the corresponding SMDL.</w:t>
      </w:r>
    </w:p>
    <w:p w:rsidRPr="00FE1749" w:rsidR="007E688D" w:rsidP="00FE1749" w:rsidRDefault="007E688D" w14:paraId="44481CFB" w14:textId="77777777">
      <w:pPr>
        <w:pStyle w:val="BodyText"/>
        <w:rPr>
          <w:i w:val="0"/>
          <w:sz w:val="24"/>
          <w:szCs w:val="24"/>
        </w:rPr>
      </w:pPr>
      <w:bookmarkStart w:name="_GoBack" w:id="0"/>
      <w:bookmarkEnd w:id="0"/>
    </w:p>
    <w:p w:rsidRPr="002A4CA6" w:rsidR="00737C80" w:rsidP="00107E26" w:rsidRDefault="003F3CE7" w14:paraId="24F3F593" w14:textId="77777777">
      <w:pPr>
        <w:pStyle w:val="Heading1"/>
      </w:pPr>
      <w:r>
        <w:t>E</w:t>
      </w:r>
      <w:r w:rsidRPr="002A4CA6" w:rsidR="007D6E75">
        <w:t>. Timeline</w:t>
      </w:r>
    </w:p>
    <w:p w:rsidRPr="00574C42" w:rsidR="00443F76" w:rsidP="007A5704" w:rsidRDefault="00443F76" w14:paraId="3E20D4D4" w14:textId="77777777">
      <w:pPr>
        <w:spacing w:after="0" w:line="240" w:lineRule="auto"/>
        <w:rPr>
          <w:szCs w:val="24"/>
        </w:rPr>
      </w:pPr>
    </w:p>
    <w:p w:rsidRPr="00EC7145" w:rsidR="009E53CC" w:rsidP="009E53CC" w:rsidRDefault="009E53CC" w14:paraId="178943B3" w14:textId="77777777">
      <w:pPr>
        <w:spacing w:after="0" w:line="240" w:lineRule="auto"/>
        <w:rPr>
          <w:szCs w:val="24"/>
        </w:rPr>
      </w:pPr>
      <w:r w:rsidRPr="00EC7145">
        <w:rPr>
          <w:szCs w:val="24"/>
        </w:rPr>
        <w:t>This collection of information request was approved by OMB on May 11, 2021. Since the reporting requirements are associated with an SMDL, it was submitted to OMB ahead of the publication of the 14-day Federal Register notice.</w:t>
      </w:r>
    </w:p>
    <w:p w:rsidRPr="00EC7145" w:rsidR="009E53CC" w:rsidP="009E53CC" w:rsidRDefault="009E53CC" w14:paraId="07F6D7D0" w14:textId="77777777">
      <w:pPr>
        <w:spacing w:after="0" w:line="240" w:lineRule="auto"/>
        <w:rPr>
          <w:szCs w:val="24"/>
        </w:rPr>
      </w:pPr>
    </w:p>
    <w:p w:rsidR="009E53CC" w:rsidP="009E53CC" w:rsidRDefault="009E53CC" w14:paraId="23C1F95E" w14:textId="77777777">
      <w:pPr>
        <w:spacing w:after="0" w:line="240" w:lineRule="auto"/>
        <w:rPr>
          <w:szCs w:val="24"/>
        </w:rPr>
      </w:pPr>
      <w:r w:rsidRPr="00EC7145">
        <w:rPr>
          <w:szCs w:val="24"/>
        </w:rPr>
        <w:t>The 14-day notice published in the Federal Register on May 20, 2021 (86 FR 27433). Public comments were due June 3, 2021. Once comment letter was received. The comments and our response are attached to this collection of information request. We did not make any changes as a result of the comments.</w:t>
      </w:r>
    </w:p>
    <w:p w:rsidRPr="0045367A" w:rsidR="006952F1" w:rsidP="007A5704" w:rsidRDefault="006952F1" w14:paraId="10F0BA55" w14:textId="77777777">
      <w:pPr>
        <w:pStyle w:val="BodyText"/>
        <w:rPr>
          <w:i w:val="0"/>
          <w:sz w:val="24"/>
        </w:rPr>
      </w:pPr>
    </w:p>
    <w:sectPr w:rsidRPr="0045367A" w:rsidR="006952F1" w:rsidSect="005B4F1B">
      <w:pgSz w:w="12240" w:h="15840" w:code="1"/>
      <w:pgMar w:top="1440" w:right="135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C1123A" w16cid:durableId="2444EFB7"/>
  <w16cid:commentId w16cid:paraId="5E79AAF6" w16cid:durableId="2444F042"/>
  <w16cid:commentId w16cid:paraId="32EB839B" w16cid:durableId="2444F0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72657" w14:textId="77777777" w:rsidR="006B5A6D" w:rsidRDefault="006B5A6D" w:rsidP="008111D2">
      <w:pPr>
        <w:spacing w:after="0" w:line="240" w:lineRule="auto"/>
      </w:pPr>
      <w:r>
        <w:separator/>
      </w:r>
    </w:p>
  </w:endnote>
  <w:endnote w:type="continuationSeparator" w:id="0">
    <w:p w14:paraId="62C313C9" w14:textId="77777777" w:rsidR="006B5A6D" w:rsidRDefault="006B5A6D" w:rsidP="008111D2">
      <w:pPr>
        <w:spacing w:after="0" w:line="240" w:lineRule="auto"/>
      </w:pPr>
      <w:r>
        <w:continuationSeparator/>
      </w:r>
    </w:p>
  </w:endnote>
  <w:endnote w:type="continuationNotice" w:id="1">
    <w:p w14:paraId="1A8DECC8" w14:textId="77777777" w:rsidR="006B5A6D" w:rsidRDefault="006B5A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466845"/>
      <w:docPartObj>
        <w:docPartGallery w:val="Page Numbers (Bottom of Page)"/>
        <w:docPartUnique/>
      </w:docPartObj>
    </w:sdtPr>
    <w:sdtEndPr>
      <w:rPr>
        <w:noProof/>
      </w:rPr>
    </w:sdtEndPr>
    <w:sdtContent>
      <w:p w14:paraId="042A2214" w14:textId="3F0DE148" w:rsidR="005155F1" w:rsidRDefault="005155F1">
        <w:pPr>
          <w:pStyle w:val="Footer"/>
          <w:jc w:val="center"/>
        </w:pPr>
        <w:r>
          <w:fldChar w:fldCharType="begin"/>
        </w:r>
        <w:r>
          <w:instrText xml:space="preserve"> PAGE   \* MERGEFORMAT </w:instrText>
        </w:r>
        <w:r>
          <w:fldChar w:fldCharType="separate"/>
        </w:r>
        <w:r w:rsidR="00EC7145">
          <w:rPr>
            <w:noProof/>
          </w:rPr>
          <w:t>3</w:t>
        </w:r>
        <w:r>
          <w:rPr>
            <w:noProof/>
          </w:rPr>
          <w:fldChar w:fldCharType="end"/>
        </w:r>
      </w:p>
    </w:sdtContent>
  </w:sdt>
  <w:p w14:paraId="6385DF94" w14:textId="69FF7E40" w:rsidR="00A12183" w:rsidRDefault="00A12183" w:rsidP="005E07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BE0AB" w14:textId="77777777" w:rsidR="006B5A6D" w:rsidRDefault="006B5A6D" w:rsidP="008111D2">
      <w:pPr>
        <w:spacing w:after="0" w:line="240" w:lineRule="auto"/>
      </w:pPr>
      <w:r>
        <w:separator/>
      </w:r>
    </w:p>
  </w:footnote>
  <w:footnote w:type="continuationSeparator" w:id="0">
    <w:p w14:paraId="0079048F" w14:textId="77777777" w:rsidR="006B5A6D" w:rsidRDefault="006B5A6D" w:rsidP="008111D2">
      <w:pPr>
        <w:spacing w:after="0" w:line="240" w:lineRule="auto"/>
      </w:pPr>
      <w:r>
        <w:continuationSeparator/>
      </w:r>
    </w:p>
  </w:footnote>
  <w:footnote w:type="continuationNotice" w:id="1">
    <w:p w14:paraId="3CC86C98" w14:textId="77777777" w:rsidR="006B5A6D" w:rsidRDefault="006B5A6D">
      <w:pPr>
        <w:spacing w:after="0" w:line="240" w:lineRule="auto"/>
      </w:pPr>
    </w:p>
  </w:footnote>
  <w:footnote w:id="2">
    <w:p w14:paraId="34860A80" w14:textId="336D602C" w:rsidR="004B18D3" w:rsidRPr="004B18D3" w:rsidRDefault="004B18D3">
      <w:pPr>
        <w:pStyle w:val="FootnoteText"/>
        <w:rPr>
          <w:rFonts w:ascii="Times New Roman" w:hAnsi="Times New Roman" w:cs="Times New Roman"/>
          <w:sz w:val="18"/>
          <w:szCs w:val="18"/>
        </w:rPr>
      </w:pPr>
      <w:r w:rsidRPr="004B18D3">
        <w:rPr>
          <w:rStyle w:val="FootnoteReference"/>
          <w:rFonts w:ascii="Times New Roman" w:hAnsi="Times New Roman" w:cs="Times New Roman"/>
          <w:sz w:val="18"/>
          <w:szCs w:val="18"/>
        </w:rPr>
        <w:footnoteRef/>
      </w:r>
      <w:r w:rsidRPr="004B18D3">
        <w:rPr>
          <w:rFonts w:ascii="Times New Roman" w:hAnsi="Times New Roman" w:cs="Times New Roman"/>
          <w:sz w:val="18"/>
          <w:szCs w:val="18"/>
        </w:rPr>
        <w:t xml:space="preserve"> Working Title: </w:t>
      </w:r>
      <w:r w:rsidRPr="004B18D3">
        <w:rPr>
          <w:rFonts w:ascii="Times New Roman" w:hAnsi="Times New Roman" w:cs="Times New Roman"/>
          <w:i/>
          <w:iCs/>
          <w:color w:val="000000"/>
          <w:sz w:val="18"/>
          <w:szCs w:val="18"/>
          <w:shd w:val="clear" w:color="auto" w:fill="FFFFFF"/>
        </w:rPr>
        <w:t>Implementation of American Rescue Plan Act Section 9817: Additional Support for Medicaid Home and Community-Based Services During the COVID-19 Emergency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4195"/>
    <w:multiLevelType w:val="hybridMultilevel"/>
    <w:tmpl w:val="3F88BC78"/>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C103C7"/>
    <w:multiLevelType w:val="hybridMultilevel"/>
    <w:tmpl w:val="7BB4064E"/>
    <w:lvl w:ilvl="0" w:tplc="68341F26">
      <w:start w:val="1"/>
      <w:numFmt w:val="decimal"/>
      <w:lvlText w:val="%1."/>
      <w:lvlJc w:val="left"/>
      <w:pPr>
        <w:ind w:left="810" w:hanging="720"/>
      </w:pPr>
      <w:rPr>
        <w:rFonts w:cstheme="minorBidi"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9F856CB"/>
    <w:multiLevelType w:val="hybridMultilevel"/>
    <w:tmpl w:val="0B32C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DD2C31"/>
    <w:multiLevelType w:val="hybridMultilevel"/>
    <w:tmpl w:val="B98CCBF2"/>
    <w:lvl w:ilvl="0" w:tplc="34703C6E">
      <w:start w:val="1"/>
      <w:numFmt w:val="decimal"/>
      <w:lvlText w:val="%1."/>
      <w:lvlJc w:val="left"/>
      <w:pPr>
        <w:ind w:left="1080" w:hanging="720"/>
      </w:pPr>
      <w:rPr>
        <w:rFonts w:eastAsia="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43655"/>
    <w:multiLevelType w:val="hybridMultilevel"/>
    <w:tmpl w:val="3CF2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E536E5"/>
    <w:multiLevelType w:val="hybridMultilevel"/>
    <w:tmpl w:val="64F808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DF50D1E"/>
    <w:multiLevelType w:val="hybridMultilevel"/>
    <w:tmpl w:val="F8E65A98"/>
    <w:lvl w:ilvl="0" w:tplc="D77AE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0423B8"/>
    <w:multiLevelType w:val="hybridMultilevel"/>
    <w:tmpl w:val="FAB21C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3BC3F43"/>
    <w:multiLevelType w:val="hybridMultilevel"/>
    <w:tmpl w:val="7EFE7A4A"/>
    <w:lvl w:ilvl="0" w:tplc="F66E78F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F5E3E"/>
    <w:multiLevelType w:val="hybridMultilevel"/>
    <w:tmpl w:val="956C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C93E37"/>
    <w:multiLevelType w:val="hybridMultilevel"/>
    <w:tmpl w:val="2302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B032EB"/>
    <w:multiLevelType w:val="hybridMultilevel"/>
    <w:tmpl w:val="50BEF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2"/>
  </w:num>
  <w:num w:numId="5">
    <w:abstractNumId w:val="1"/>
  </w:num>
  <w:num w:numId="6">
    <w:abstractNumId w:val="7"/>
  </w:num>
  <w:num w:numId="7">
    <w:abstractNumId w:val="6"/>
  </w:num>
  <w:num w:numId="8">
    <w:abstractNumId w:val="3"/>
  </w:num>
  <w:num w:numId="9">
    <w:abstractNumId w:val="10"/>
  </w:num>
  <w:num w:numId="10">
    <w:abstractNumId w:val="4"/>
  </w:num>
  <w:num w:numId="11">
    <w:abstractNumId w:val="8"/>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012D5"/>
    <w:rsid w:val="000036F5"/>
    <w:rsid w:val="00003C46"/>
    <w:rsid w:val="00004F77"/>
    <w:rsid w:val="0000589A"/>
    <w:rsid w:val="000061C4"/>
    <w:rsid w:val="00006294"/>
    <w:rsid w:val="00006D62"/>
    <w:rsid w:val="00011FEE"/>
    <w:rsid w:val="00013454"/>
    <w:rsid w:val="00014CB8"/>
    <w:rsid w:val="00015FB5"/>
    <w:rsid w:val="00016C77"/>
    <w:rsid w:val="0002120D"/>
    <w:rsid w:val="00027E8F"/>
    <w:rsid w:val="0003161D"/>
    <w:rsid w:val="00031BF7"/>
    <w:rsid w:val="00034FFD"/>
    <w:rsid w:val="000362BD"/>
    <w:rsid w:val="00037992"/>
    <w:rsid w:val="00043D0E"/>
    <w:rsid w:val="00046ABB"/>
    <w:rsid w:val="000548DE"/>
    <w:rsid w:val="00055754"/>
    <w:rsid w:val="0005612E"/>
    <w:rsid w:val="00063E11"/>
    <w:rsid w:val="000643E3"/>
    <w:rsid w:val="00065F43"/>
    <w:rsid w:val="000712B4"/>
    <w:rsid w:val="000722FE"/>
    <w:rsid w:val="000765F2"/>
    <w:rsid w:val="000778D8"/>
    <w:rsid w:val="0008164F"/>
    <w:rsid w:val="00081947"/>
    <w:rsid w:val="00084BF8"/>
    <w:rsid w:val="000876D9"/>
    <w:rsid w:val="00087B5B"/>
    <w:rsid w:val="00096C8E"/>
    <w:rsid w:val="00097D8E"/>
    <w:rsid w:val="000A3364"/>
    <w:rsid w:val="000A3FC7"/>
    <w:rsid w:val="000A442A"/>
    <w:rsid w:val="000A48DC"/>
    <w:rsid w:val="000A4B1C"/>
    <w:rsid w:val="000A5959"/>
    <w:rsid w:val="000B20AE"/>
    <w:rsid w:val="000B23D2"/>
    <w:rsid w:val="000B28B2"/>
    <w:rsid w:val="000B3656"/>
    <w:rsid w:val="000B4AA9"/>
    <w:rsid w:val="000C2A0D"/>
    <w:rsid w:val="000C2B1A"/>
    <w:rsid w:val="000C349A"/>
    <w:rsid w:val="000D194E"/>
    <w:rsid w:val="000D1C46"/>
    <w:rsid w:val="000D1CFD"/>
    <w:rsid w:val="000D3F37"/>
    <w:rsid w:val="000E318C"/>
    <w:rsid w:val="000E3C91"/>
    <w:rsid w:val="000E4824"/>
    <w:rsid w:val="000E55DA"/>
    <w:rsid w:val="000E6C4E"/>
    <w:rsid w:val="000E7BF6"/>
    <w:rsid w:val="000F362E"/>
    <w:rsid w:val="000F51AA"/>
    <w:rsid w:val="000F708D"/>
    <w:rsid w:val="001003E5"/>
    <w:rsid w:val="00101173"/>
    <w:rsid w:val="00101C09"/>
    <w:rsid w:val="00103F7E"/>
    <w:rsid w:val="00105999"/>
    <w:rsid w:val="0010672B"/>
    <w:rsid w:val="00107E26"/>
    <w:rsid w:val="00110200"/>
    <w:rsid w:val="00111672"/>
    <w:rsid w:val="00112577"/>
    <w:rsid w:val="00113D59"/>
    <w:rsid w:val="0011549A"/>
    <w:rsid w:val="00117707"/>
    <w:rsid w:val="001213D3"/>
    <w:rsid w:val="00122C0E"/>
    <w:rsid w:val="00131629"/>
    <w:rsid w:val="00131E5A"/>
    <w:rsid w:val="00134C47"/>
    <w:rsid w:val="001353BD"/>
    <w:rsid w:val="001356ED"/>
    <w:rsid w:val="00137BE3"/>
    <w:rsid w:val="001411B6"/>
    <w:rsid w:val="001417FA"/>
    <w:rsid w:val="00142432"/>
    <w:rsid w:val="00144638"/>
    <w:rsid w:val="00147447"/>
    <w:rsid w:val="001503BF"/>
    <w:rsid w:val="00150737"/>
    <w:rsid w:val="00150B48"/>
    <w:rsid w:val="00150C54"/>
    <w:rsid w:val="00151312"/>
    <w:rsid w:val="00153271"/>
    <w:rsid w:val="00154A68"/>
    <w:rsid w:val="00161FA7"/>
    <w:rsid w:val="00163201"/>
    <w:rsid w:val="0016497A"/>
    <w:rsid w:val="00164E4A"/>
    <w:rsid w:val="00165097"/>
    <w:rsid w:val="00165F61"/>
    <w:rsid w:val="00172248"/>
    <w:rsid w:val="00173249"/>
    <w:rsid w:val="0017390D"/>
    <w:rsid w:val="001756A8"/>
    <w:rsid w:val="00175A39"/>
    <w:rsid w:val="0018057C"/>
    <w:rsid w:val="00181585"/>
    <w:rsid w:val="00181D3E"/>
    <w:rsid w:val="00184079"/>
    <w:rsid w:val="00185CB4"/>
    <w:rsid w:val="001877E8"/>
    <w:rsid w:val="001904B6"/>
    <w:rsid w:val="00193435"/>
    <w:rsid w:val="001948CD"/>
    <w:rsid w:val="0019625C"/>
    <w:rsid w:val="0019638B"/>
    <w:rsid w:val="00196A4A"/>
    <w:rsid w:val="001A1FC6"/>
    <w:rsid w:val="001B1B30"/>
    <w:rsid w:val="001B26B8"/>
    <w:rsid w:val="001B3A3D"/>
    <w:rsid w:val="001B42DB"/>
    <w:rsid w:val="001C63B7"/>
    <w:rsid w:val="001C6FEB"/>
    <w:rsid w:val="001D04AC"/>
    <w:rsid w:val="001D0641"/>
    <w:rsid w:val="001D069B"/>
    <w:rsid w:val="001D09B1"/>
    <w:rsid w:val="001D197A"/>
    <w:rsid w:val="001D1C35"/>
    <w:rsid w:val="001D5FEE"/>
    <w:rsid w:val="001D6DCB"/>
    <w:rsid w:val="001E124A"/>
    <w:rsid w:val="001E1D01"/>
    <w:rsid w:val="001E1FA0"/>
    <w:rsid w:val="001E66B6"/>
    <w:rsid w:val="001F0AB5"/>
    <w:rsid w:val="001F2403"/>
    <w:rsid w:val="001F2628"/>
    <w:rsid w:val="001F322B"/>
    <w:rsid w:val="001F50DC"/>
    <w:rsid w:val="001F78DF"/>
    <w:rsid w:val="0020026D"/>
    <w:rsid w:val="00200AD7"/>
    <w:rsid w:val="00202A6F"/>
    <w:rsid w:val="00203975"/>
    <w:rsid w:val="00203D75"/>
    <w:rsid w:val="0020641C"/>
    <w:rsid w:val="0021213D"/>
    <w:rsid w:val="00214F31"/>
    <w:rsid w:val="00214F96"/>
    <w:rsid w:val="00215C25"/>
    <w:rsid w:val="00220D31"/>
    <w:rsid w:val="00220D55"/>
    <w:rsid w:val="00221B90"/>
    <w:rsid w:val="002221A3"/>
    <w:rsid w:val="00222B4F"/>
    <w:rsid w:val="0022382E"/>
    <w:rsid w:val="00223FCC"/>
    <w:rsid w:val="00227CC6"/>
    <w:rsid w:val="00227E28"/>
    <w:rsid w:val="00230F3D"/>
    <w:rsid w:val="0023194C"/>
    <w:rsid w:val="00235691"/>
    <w:rsid w:val="002516FF"/>
    <w:rsid w:val="00252D20"/>
    <w:rsid w:val="00253B99"/>
    <w:rsid w:val="002544FD"/>
    <w:rsid w:val="00260F63"/>
    <w:rsid w:val="00262B47"/>
    <w:rsid w:val="002631B4"/>
    <w:rsid w:val="00265DA7"/>
    <w:rsid w:val="00270765"/>
    <w:rsid w:val="0027114C"/>
    <w:rsid w:val="00273038"/>
    <w:rsid w:val="002743A6"/>
    <w:rsid w:val="00275034"/>
    <w:rsid w:val="00283534"/>
    <w:rsid w:val="00284582"/>
    <w:rsid w:val="00286070"/>
    <w:rsid w:val="0028799E"/>
    <w:rsid w:val="00292AD5"/>
    <w:rsid w:val="00294A0D"/>
    <w:rsid w:val="002A0D2E"/>
    <w:rsid w:val="002A0E26"/>
    <w:rsid w:val="002A1FBE"/>
    <w:rsid w:val="002A2B1F"/>
    <w:rsid w:val="002A3350"/>
    <w:rsid w:val="002A3FD2"/>
    <w:rsid w:val="002A4CA6"/>
    <w:rsid w:val="002A68E9"/>
    <w:rsid w:val="002B324D"/>
    <w:rsid w:val="002B3F1C"/>
    <w:rsid w:val="002B4CF2"/>
    <w:rsid w:val="002C17E7"/>
    <w:rsid w:val="002C2A69"/>
    <w:rsid w:val="002C33BF"/>
    <w:rsid w:val="002C3976"/>
    <w:rsid w:val="002C3A2C"/>
    <w:rsid w:val="002C4DFD"/>
    <w:rsid w:val="002C62E4"/>
    <w:rsid w:val="002C7F64"/>
    <w:rsid w:val="002D0890"/>
    <w:rsid w:val="002D129A"/>
    <w:rsid w:val="002D3ED9"/>
    <w:rsid w:val="002D549A"/>
    <w:rsid w:val="002D5D20"/>
    <w:rsid w:val="002D682A"/>
    <w:rsid w:val="002D697B"/>
    <w:rsid w:val="002D72F2"/>
    <w:rsid w:val="002E16EF"/>
    <w:rsid w:val="002E20A2"/>
    <w:rsid w:val="002E2865"/>
    <w:rsid w:val="002E568A"/>
    <w:rsid w:val="002F07B1"/>
    <w:rsid w:val="002F4D32"/>
    <w:rsid w:val="002F6357"/>
    <w:rsid w:val="002F6BE3"/>
    <w:rsid w:val="002F74C2"/>
    <w:rsid w:val="002F77FB"/>
    <w:rsid w:val="003011E1"/>
    <w:rsid w:val="003064F9"/>
    <w:rsid w:val="00310922"/>
    <w:rsid w:val="00310E8E"/>
    <w:rsid w:val="00311631"/>
    <w:rsid w:val="0031362E"/>
    <w:rsid w:val="00313740"/>
    <w:rsid w:val="00314673"/>
    <w:rsid w:val="0031732B"/>
    <w:rsid w:val="00323F99"/>
    <w:rsid w:val="003248D0"/>
    <w:rsid w:val="00324C1F"/>
    <w:rsid w:val="00325D26"/>
    <w:rsid w:val="00325F87"/>
    <w:rsid w:val="00332B40"/>
    <w:rsid w:val="0033349B"/>
    <w:rsid w:val="00335313"/>
    <w:rsid w:val="0033679F"/>
    <w:rsid w:val="00337ECD"/>
    <w:rsid w:val="003444B4"/>
    <w:rsid w:val="00344B11"/>
    <w:rsid w:val="00344D4E"/>
    <w:rsid w:val="00344DDB"/>
    <w:rsid w:val="003459D9"/>
    <w:rsid w:val="003513EB"/>
    <w:rsid w:val="00355EAF"/>
    <w:rsid w:val="0035669B"/>
    <w:rsid w:val="0035711F"/>
    <w:rsid w:val="00357D62"/>
    <w:rsid w:val="00360C3A"/>
    <w:rsid w:val="00362735"/>
    <w:rsid w:val="003627C8"/>
    <w:rsid w:val="003672C1"/>
    <w:rsid w:val="00371CF2"/>
    <w:rsid w:val="003767AA"/>
    <w:rsid w:val="003767DA"/>
    <w:rsid w:val="00382733"/>
    <w:rsid w:val="003844CF"/>
    <w:rsid w:val="003847FD"/>
    <w:rsid w:val="003865CE"/>
    <w:rsid w:val="00386C4B"/>
    <w:rsid w:val="00387465"/>
    <w:rsid w:val="003918B4"/>
    <w:rsid w:val="00391F70"/>
    <w:rsid w:val="003927DF"/>
    <w:rsid w:val="00393D9F"/>
    <w:rsid w:val="003940DC"/>
    <w:rsid w:val="003A6CA3"/>
    <w:rsid w:val="003A75D0"/>
    <w:rsid w:val="003B03F9"/>
    <w:rsid w:val="003B0828"/>
    <w:rsid w:val="003B2452"/>
    <w:rsid w:val="003B299C"/>
    <w:rsid w:val="003B38DD"/>
    <w:rsid w:val="003B5152"/>
    <w:rsid w:val="003B5B51"/>
    <w:rsid w:val="003B68E7"/>
    <w:rsid w:val="003C0B23"/>
    <w:rsid w:val="003C2CA5"/>
    <w:rsid w:val="003C3780"/>
    <w:rsid w:val="003C47A3"/>
    <w:rsid w:val="003C78F4"/>
    <w:rsid w:val="003C7CBF"/>
    <w:rsid w:val="003D14A3"/>
    <w:rsid w:val="003D1A0C"/>
    <w:rsid w:val="003D374C"/>
    <w:rsid w:val="003D390F"/>
    <w:rsid w:val="003D5E9C"/>
    <w:rsid w:val="003D6F5F"/>
    <w:rsid w:val="003E257D"/>
    <w:rsid w:val="003E428B"/>
    <w:rsid w:val="003E4ED1"/>
    <w:rsid w:val="003E59EF"/>
    <w:rsid w:val="003E5F5B"/>
    <w:rsid w:val="003F3168"/>
    <w:rsid w:val="003F3CE7"/>
    <w:rsid w:val="003F4D04"/>
    <w:rsid w:val="003F573D"/>
    <w:rsid w:val="003F655A"/>
    <w:rsid w:val="004009F1"/>
    <w:rsid w:val="00403E71"/>
    <w:rsid w:val="00405CF5"/>
    <w:rsid w:val="00405CF9"/>
    <w:rsid w:val="00406440"/>
    <w:rsid w:val="00411DE9"/>
    <w:rsid w:val="0041543F"/>
    <w:rsid w:val="00421D81"/>
    <w:rsid w:val="00422A85"/>
    <w:rsid w:val="00423962"/>
    <w:rsid w:val="00424ABD"/>
    <w:rsid w:val="00424ED4"/>
    <w:rsid w:val="004259C2"/>
    <w:rsid w:val="00425E80"/>
    <w:rsid w:val="004272E0"/>
    <w:rsid w:val="0043142D"/>
    <w:rsid w:val="00432BF7"/>
    <w:rsid w:val="00432C17"/>
    <w:rsid w:val="00435652"/>
    <w:rsid w:val="00436365"/>
    <w:rsid w:val="00436C40"/>
    <w:rsid w:val="00437FE6"/>
    <w:rsid w:val="00440809"/>
    <w:rsid w:val="00441D67"/>
    <w:rsid w:val="00442975"/>
    <w:rsid w:val="00443F76"/>
    <w:rsid w:val="004468DD"/>
    <w:rsid w:val="004502D6"/>
    <w:rsid w:val="004522CE"/>
    <w:rsid w:val="0045367A"/>
    <w:rsid w:val="00454007"/>
    <w:rsid w:val="00454BBE"/>
    <w:rsid w:val="004566C6"/>
    <w:rsid w:val="00456FF9"/>
    <w:rsid w:val="00457DE7"/>
    <w:rsid w:val="00462F95"/>
    <w:rsid w:val="00465B2D"/>
    <w:rsid w:val="00467E98"/>
    <w:rsid w:val="00472269"/>
    <w:rsid w:val="00472839"/>
    <w:rsid w:val="00474257"/>
    <w:rsid w:val="00475EF8"/>
    <w:rsid w:val="0047638B"/>
    <w:rsid w:val="00476395"/>
    <w:rsid w:val="00481E7B"/>
    <w:rsid w:val="00483058"/>
    <w:rsid w:val="004833FA"/>
    <w:rsid w:val="004847B2"/>
    <w:rsid w:val="00484BCD"/>
    <w:rsid w:val="00485FD9"/>
    <w:rsid w:val="0048686E"/>
    <w:rsid w:val="00487D6E"/>
    <w:rsid w:val="00490409"/>
    <w:rsid w:val="00491981"/>
    <w:rsid w:val="004A04A0"/>
    <w:rsid w:val="004A0A30"/>
    <w:rsid w:val="004A2DC7"/>
    <w:rsid w:val="004A420A"/>
    <w:rsid w:val="004A4B76"/>
    <w:rsid w:val="004B0333"/>
    <w:rsid w:val="004B05F7"/>
    <w:rsid w:val="004B13E8"/>
    <w:rsid w:val="004B18D3"/>
    <w:rsid w:val="004B5A02"/>
    <w:rsid w:val="004B74CC"/>
    <w:rsid w:val="004B7A73"/>
    <w:rsid w:val="004B7E26"/>
    <w:rsid w:val="004C4FD2"/>
    <w:rsid w:val="004C7294"/>
    <w:rsid w:val="004D0857"/>
    <w:rsid w:val="004D2D4E"/>
    <w:rsid w:val="004D345C"/>
    <w:rsid w:val="004D4A22"/>
    <w:rsid w:val="004D4CCB"/>
    <w:rsid w:val="004D521F"/>
    <w:rsid w:val="004D528A"/>
    <w:rsid w:val="004D614D"/>
    <w:rsid w:val="004E5356"/>
    <w:rsid w:val="004E6C57"/>
    <w:rsid w:val="004E7B1A"/>
    <w:rsid w:val="004E7DA0"/>
    <w:rsid w:val="004F1DDE"/>
    <w:rsid w:val="004F30DF"/>
    <w:rsid w:val="004F61D1"/>
    <w:rsid w:val="00503ED0"/>
    <w:rsid w:val="00507A1D"/>
    <w:rsid w:val="00507C11"/>
    <w:rsid w:val="005111D2"/>
    <w:rsid w:val="005155F1"/>
    <w:rsid w:val="00515B67"/>
    <w:rsid w:val="0052333E"/>
    <w:rsid w:val="0052692B"/>
    <w:rsid w:val="005273BC"/>
    <w:rsid w:val="005313AB"/>
    <w:rsid w:val="00534233"/>
    <w:rsid w:val="00534726"/>
    <w:rsid w:val="00534EB0"/>
    <w:rsid w:val="00535665"/>
    <w:rsid w:val="005373DE"/>
    <w:rsid w:val="005410C8"/>
    <w:rsid w:val="00542537"/>
    <w:rsid w:val="00545B68"/>
    <w:rsid w:val="00551DDF"/>
    <w:rsid w:val="005556AE"/>
    <w:rsid w:val="00560697"/>
    <w:rsid w:val="0056166F"/>
    <w:rsid w:val="00566EDA"/>
    <w:rsid w:val="0057392B"/>
    <w:rsid w:val="005742B3"/>
    <w:rsid w:val="00574C42"/>
    <w:rsid w:val="005750B0"/>
    <w:rsid w:val="005757F3"/>
    <w:rsid w:val="00584BB1"/>
    <w:rsid w:val="005851B3"/>
    <w:rsid w:val="00590312"/>
    <w:rsid w:val="00590C22"/>
    <w:rsid w:val="00590E8B"/>
    <w:rsid w:val="00591B4E"/>
    <w:rsid w:val="005926C5"/>
    <w:rsid w:val="00595CFA"/>
    <w:rsid w:val="00597229"/>
    <w:rsid w:val="005A018D"/>
    <w:rsid w:val="005A149C"/>
    <w:rsid w:val="005A3468"/>
    <w:rsid w:val="005A5A92"/>
    <w:rsid w:val="005A6E88"/>
    <w:rsid w:val="005A72FC"/>
    <w:rsid w:val="005A7F50"/>
    <w:rsid w:val="005B1D52"/>
    <w:rsid w:val="005B2ACF"/>
    <w:rsid w:val="005B4861"/>
    <w:rsid w:val="005B4F1B"/>
    <w:rsid w:val="005B5382"/>
    <w:rsid w:val="005B5B9F"/>
    <w:rsid w:val="005B64D7"/>
    <w:rsid w:val="005B6A37"/>
    <w:rsid w:val="005C2BE1"/>
    <w:rsid w:val="005C3919"/>
    <w:rsid w:val="005C4FE2"/>
    <w:rsid w:val="005C57D9"/>
    <w:rsid w:val="005C580D"/>
    <w:rsid w:val="005C5C57"/>
    <w:rsid w:val="005C6140"/>
    <w:rsid w:val="005D001F"/>
    <w:rsid w:val="005D0E99"/>
    <w:rsid w:val="005D1489"/>
    <w:rsid w:val="005D197A"/>
    <w:rsid w:val="005D2BBC"/>
    <w:rsid w:val="005E0425"/>
    <w:rsid w:val="005E0785"/>
    <w:rsid w:val="005E0B1F"/>
    <w:rsid w:val="005E21F1"/>
    <w:rsid w:val="005E3B79"/>
    <w:rsid w:val="005E4F89"/>
    <w:rsid w:val="005E52BE"/>
    <w:rsid w:val="005E6549"/>
    <w:rsid w:val="005F5475"/>
    <w:rsid w:val="005F5AC4"/>
    <w:rsid w:val="005F5AC7"/>
    <w:rsid w:val="006026DA"/>
    <w:rsid w:val="006027C5"/>
    <w:rsid w:val="00604DA2"/>
    <w:rsid w:val="0060557D"/>
    <w:rsid w:val="006064E5"/>
    <w:rsid w:val="00607AC6"/>
    <w:rsid w:val="00611183"/>
    <w:rsid w:val="00612488"/>
    <w:rsid w:val="00612496"/>
    <w:rsid w:val="00614F8C"/>
    <w:rsid w:val="006153DE"/>
    <w:rsid w:val="006172CD"/>
    <w:rsid w:val="00621F8D"/>
    <w:rsid w:val="0062222B"/>
    <w:rsid w:val="00623AA6"/>
    <w:rsid w:val="0062438C"/>
    <w:rsid w:val="006244F7"/>
    <w:rsid w:val="00625CF0"/>
    <w:rsid w:val="00631F0F"/>
    <w:rsid w:val="00631FDE"/>
    <w:rsid w:val="0063494B"/>
    <w:rsid w:val="00635952"/>
    <w:rsid w:val="00637B35"/>
    <w:rsid w:val="00637BAB"/>
    <w:rsid w:val="00641F60"/>
    <w:rsid w:val="00643782"/>
    <w:rsid w:val="006446AC"/>
    <w:rsid w:val="006458A5"/>
    <w:rsid w:val="00647812"/>
    <w:rsid w:val="00650047"/>
    <w:rsid w:val="006515BD"/>
    <w:rsid w:val="00651B6C"/>
    <w:rsid w:val="006558EA"/>
    <w:rsid w:val="00660108"/>
    <w:rsid w:val="00661F4D"/>
    <w:rsid w:val="00663288"/>
    <w:rsid w:val="00663509"/>
    <w:rsid w:val="00663EE5"/>
    <w:rsid w:val="00665F73"/>
    <w:rsid w:val="00666717"/>
    <w:rsid w:val="006672EF"/>
    <w:rsid w:val="00667CF1"/>
    <w:rsid w:val="00670707"/>
    <w:rsid w:val="006730E9"/>
    <w:rsid w:val="00680B64"/>
    <w:rsid w:val="00682FAE"/>
    <w:rsid w:val="00685368"/>
    <w:rsid w:val="00687A9B"/>
    <w:rsid w:val="00692092"/>
    <w:rsid w:val="00694307"/>
    <w:rsid w:val="006946AB"/>
    <w:rsid w:val="00694FC7"/>
    <w:rsid w:val="006952F1"/>
    <w:rsid w:val="00696395"/>
    <w:rsid w:val="00697145"/>
    <w:rsid w:val="00697650"/>
    <w:rsid w:val="006A13CF"/>
    <w:rsid w:val="006A1987"/>
    <w:rsid w:val="006A200D"/>
    <w:rsid w:val="006A290A"/>
    <w:rsid w:val="006A3AF2"/>
    <w:rsid w:val="006A584D"/>
    <w:rsid w:val="006A6679"/>
    <w:rsid w:val="006B1E9A"/>
    <w:rsid w:val="006B4702"/>
    <w:rsid w:val="006B5A6D"/>
    <w:rsid w:val="006C0B96"/>
    <w:rsid w:val="006C12A3"/>
    <w:rsid w:val="006C1B73"/>
    <w:rsid w:val="006C3092"/>
    <w:rsid w:val="006C3C92"/>
    <w:rsid w:val="006C43CA"/>
    <w:rsid w:val="006C4626"/>
    <w:rsid w:val="006C64E3"/>
    <w:rsid w:val="006D017D"/>
    <w:rsid w:val="006D24AA"/>
    <w:rsid w:val="006D360E"/>
    <w:rsid w:val="006D3742"/>
    <w:rsid w:val="006D3C34"/>
    <w:rsid w:val="006D4B10"/>
    <w:rsid w:val="006D6A5D"/>
    <w:rsid w:val="006D7006"/>
    <w:rsid w:val="006D7353"/>
    <w:rsid w:val="006E1C18"/>
    <w:rsid w:val="006E1E10"/>
    <w:rsid w:val="006E2A21"/>
    <w:rsid w:val="006F087C"/>
    <w:rsid w:val="006F16C2"/>
    <w:rsid w:val="006F24FB"/>
    <w:rsid w:val="006F2918"/>
    <w:rsid w:val="006F4FDA"/>
    <w:rsid w:val="006F4FF9"/>
    <w:rsid w:val="006F51D0"/>
    <w:rsid w:val="00702396"/>
    <w:rsid w:val="007028EB"/>
    <w:rsid w:val="00707666"/>
    <w:rsid w:val="00707A87"/>
    <w:rsid w:val="007105DC"/>
    <w:rsid w:val="00712740"/>
    <w:rsid w:val="00712995"/>
    <w:rsid w:val="00714597"/>
    <w:rsid w:val="00715FC4"/>
    <w:rsid w:val="0071650B"/>
    <w:rsid w:val="00716824"/>
    <w:rsid w:val="00723A9E"/>
    <w:rsid w:val="007244F6"/>
    <w:rsid w:val="00726491"/>
    <w:rsid w:val="00726C5D"/>
    <w:rsid w:val="00733737"/>
    <w:rsid w:val="00735436"/>
    <w:rsid w:val="00736F77"/>
    <w:rsid w:val="00737C80"/>
    <w:rsid w:val="00741197"/>
    <w:rsid w:val="007417CF"/>
    <w:rsid w:val="007512FD"/>
    <w:rsid w:val="00752A0A"/>
    <w:rsid w:val="00753C11"/>
    <w:rsid w:val="00754077"/>
    <w:rsid w:val="00754985"/>
    <w:rsid w:val="00754BC0"/>
    <w:rsid w:val="00757452"/>
    <w:rsid w:val="007600F4"/>
    <w:rsid w:val="0076633A"/>
    <w:rsid w:val="00772992"/>
    <w:rsid w:val="00777B46"/>
    <w:rsid w:val="00777BFF"/>
    <w:rsid w:val="00777EFC"/>
    <w:rsid w:val="00786CB3"/>
    <w:rsid w:val="00794E0C"/>
    <w:rsid w:val="00795758"/>
    <w:rsid w:val="00796EF3"/>
    <w:rsid w:val="007A014E"/>
    <w:rsid w:val="007A5704"/>
    <w:rsid w:val="007A76F4"/>
    <w:rsid w:val="007B0B37"/>
    <w:rsid w:val="007B0FDD"/>
    <w:rsid w:val="007B22F4"/>
    <w:rsid w:val="007B255E"/>
    <w:rsid w:val="007B4604"/>
    <w:rsid w:val="007B7699"/>
    <w:rsid w:val="007C3683"/>
    <w:rsid w:val="007C3C26"/>
    <w:rsid w:val="007C458F"/>
    <w:rsid w:val="007C7391"/>
    <w:rsid w:val="007C74AD"/>
    <w:rsid w:val="007D0D81"/>
    <w:rsid w:val="007D39C5"/>
    <w:rsid w:val="007D39FD"/>
    <w:rsid w:val="007D4C31"/>
    <w:rsid w:val="007D67B8"/>
    <w:rsid w:val="007D6E75"/>
    <w:rsid w:val="007D780E"/>
    <w:rsid w:val="007E2946"/>
    <w:rsid w:val="007E38F9"/>
    <w:rsid w:val="007E5C16"/>
    <w:rsid w:val="007E688D"/>
    <w:rsid w:val="007E72EC"/>
    <w:rsid w:val="007E73ED"/>
    <w:rsid w:val="007E785B"/>
    <w:rsid w:val="007F1711"/>
    <w:rsid w:val="007F3C76"/>
    <w:rsid w:val="007F4938"/>
    <w:rsid w:val="007F7620"/>
    <w:rsid w:val="007F7EC5"/>
    <w:rsid w:val="00802400"/>
    <w:rsid w:val="00802598"/>
    <w:rsid w:val="00803247"/>
    <w:rsid w:val="00804226"/>
    <w:rsid w:val="00804B02"/>
    <w:rsid w:val="008106DC"/>
    <w:rsid w:val="008111D2"/>
    <w:rsid w:val="00814400"/>
    <w:rsid w:val="00814FF0"/>
    <w:rsid w:val="00815DFA"/>
    <w:rsid w:val="008177DE"/>
    <w:rsid w:val="0082047B"/>
    <w:rsid w:val="00820E43"/>
    <w:rsid w:val="00822582"/>
    <w:rsid w:val="008325D0"/>
    <w:rsid w:val="008366CF"/>
    <w:rsid w:val="00836E8F"/>
    <w:rsid w:val="008379E3"/>
    <w:rsid w:val="008408DB"/>
    <w:rsid w:val="0084192B"/>
    <w:rsid w:val="00844D65"/>
    <w:rsid w:val="008463F4"/>
    <w:rsid w:val="00846B8F"/>
    <w:rsid w:val="00846F80"/>
    <w:rsid w:val="00850D26"/>
    <w:rsid w:val="00850D75"/>
    <w:rsid w:val="008528D3"/>
    <w:rsid w:val="008529BF"/>
    <w:rsid w:val="0085404A"/>
    <w:rsid w:val="00854309"/>
    <w:rsid w:val="00856AFD"/>
    <w:rsid w:val="008606C2"/>
    <w:rsid w:val="00864B8A"/>
    <w:rsid w:val="00867343"/>
    <w:rsid w:val="008721C1"/>
    <w:rsid w:val="00873459"/>
    <w:rsid w:val="00875352"/>
    <w:rsid w:val="00875CAE"/>
    <w:rsid w:val="00875D3F"/>
    <w:rsid w:val="008800D7"/>
    <w:rsid w:val="00880774"/>
    <w:rsid w:val="00880BC5"/>
    <w:rsid w:val="0088476C"/>
    <w:rsid w:val="0088756F"/>
    <w:rsid w:val="008910E3"/>
    <w:rsid w:val="0089164A"/>
    <w:rsid w:val="008924BC"/>
    <w:rsid w:val="00892724"/>
    <w:rsid w:val="00892B25"/>
    <w:rsid w:val="008A27CB"/>
    <w:rsid w:val="008B248F"/>
    <w:rsid w:val="008B2C95"/>
    <w:rsid w:val="008B3BE6"/>
    <w:rsid w:val="008B6835"/>
    <w:rsid w:val="008B73D2"/>
    <w:rsid w:val="008C0950"/>
    <w:rsid w:val="008C11BC"/>
    <w:rsid w:val="008D0242"/>
    <w:rsid w:val="008D2A22"/>
    <w:rsid w:val="008D4082"/>
    <w:rsid w:val="008D4EB3"/>
    <w:rsid w:val="008D52D1"/>
    <w:rsid w:val="008D6E16"/>
    <w:rsid w:val="008E06FE"/>
    <w:rsid w:val="008E0BF5"/>
    <w:rsid w:val="008E4617"/>
    <w:rsid w:val="008E6143"/>
    <w:rsid w:val="008F08FD"/>
    <w:rsid w:val="008F2AED"/>
    <w:rsid w:val="008F31BE"/>
    <w:rsid w:val="008F5E1B"/>
    <w:rsid w:val="008F5E28"/>
    <w:rsid w:val="008F5FF4"/>
    <w:rsid w:val="008F6D39"/>
    <w:rsid w:val="008F7C09"/>
    <w:rsid w:val="009004E1"/>
    <w:rsid w:val="00901B45"/>
    <w:rsid w:val="009047C0"/>
    <w:rsid w:val="00904ABB"/>
    <w:rsid w:val="00906782"/>
    <w:rsid w:val="009073C6"/>
    <w:rsid w:val="0090766C"/>
    <w:rsid w:val="00911EAB"/>
    <w:rsid w:val="009160CB"/>
    <w:rsid w:val="00916ACC"/>
    <w:rsid w:val="00917FD0"/>
    <w:rsid w:val="00921262"/>
    <w:rsid w:val="00921518"/>
    <w:rsid w:val="00921608"/>
    <w:rsid w:val="009217D6"/>
    <w:rsid w:val="00921AB7"/>
    <w:rsid w:val="0092380B"/>
    <w:rsid w:val="009240DA"/>
    <w:rsid w:val="0092430E"/>
    <w:rsid w:val="00927BB1"/>
    <w:rsid w:val="00927BE3"/>
    <w:rsid w:val="0093224D"/>
    <w:rsid w:val="009333CB"/>
    <w:rsid w:val="009354C2"/>
    <w:rsid w:val="00935DCA"/>
    <w:rsid w:val="009378C1"/>
    <w:rsid w:val="0094112C"/>
    <w:rsid w:val="009414AD"/>
    <w:rsid w:val="009472B4"/>
    <w:rsid w:val="00950B92"/>
    <w:rsid w:val="0095297C"/>
    <w:rsid w:val="00954934"/>
    <w:rsid w:val="009558F4"/>
    <w:rsid w:val="00960481"/>
    <w:rsid w:val="00963F03"/>
    <w:rsid w:val="00966155"/>
    <w:rsid w:val="00970D1A"/>
    <w:rsid w:val="009727F8"/>
    <w:rsid w:val="0097398E"/>
    <w:rsid w:val="00976353"/>
    <w:rsid w:val="00977516"/>
    <w:rsid w:val="0098626A"/>
    <w:rsid w:val="009903AB"/>
    <w:rsid w:val="00993A91"/>
    <w:rsid w:val="00994F98"/>
    <w:rsid w:val="009968BB"/>
    <w:rsid w:val="009A0C35"/>
    <w:rsid w:val="009A3029"/>
    <w:rsid w:val="009A31CA"/>
    <w:rsid w:val="009A3D84"/>
    <w:rsid w:val="009A7609"/>
    <w:rsid w:val="009B19E8"/>
    <w:rsid w:val="009B32D5"/>
    <w:rsid w:val="009B4F3A"/>
    <w:rsid w:val="009B6B42"/>
    <w:rsid w:val="009C15AE"/>
    <w:rsid w:val="009C1F1C"/>
    <w:rsid w:val="009C239A"/>
    <w:rsid w:val="009C292F"/>
    <w:rsid w:val="009C2C6E"/>
    <w:rsid w:val="009C2EFB"/>
    <w:rsid w:val="009C2F36"/>
    <w:rsid w:val="009C39F2"/>
    <w:rsid w:val="009C62D1"/>
    <w:rsid w:val="009C6359"/>
    <w:rsid w:val="009D1A53"/>
    <w:rsid w:val="009E1BC7"/>
    <w:rsid w:val="009E3403"/>
    <w:rsid w:val="009E3FAC"/>
    <w:rsid w:val="009E422B"/>
    <w:rsid w:val="009E4BCA"/>
    <w:rsid w:val="009E53CC"/>
    <w:rsid w:val="009F0256"/>
    <w:rsid w:val="009F1DAC"/>
    <w:rsid w:val="009F1F61"/>
    <w:rsid w:val="009F3B94"/>
    <w:rsid w:val="009F44BD"/>
    <w:rsid w:val="009F49FC"/>
    <w:rsid w:val="009F5C4B"/>
    <w:rsid w:val="00A02CD6"/>
    <w:rsid w:val="00A0361F"/>
    <w:rsid w:val="00A045F2"/>
    <w:rsid w:val="00A04F7E"/>
    <w:rsid w:val="00A07819"/>
    <w:rsid w:val="00A10F75"/>
    <w:rsid w:val="00A12183"/>
    <w:rsid w:val="00A12A80"/>
    <w:rsid w:val="00A13797"/>
    <w:rsid w:val="00A138F7"/>
    <w:rsid w:val="00A13E0E"/>
    <w:rsid w:val="00A15460"/>
    <w:rsid w:val="00A2132C"/>
    <w:rsid w:val="00A2154C"/>
    <w:rsid w:val="00A23A01"/>
    <w:rsid w:val="00A2678D"/>
    <w:rsid w:val="00A278B1"/>
    <w:rsid w:val="00A27F7B"/>
    <w:rsid w:val="00A3035A"/>
    <w:rsid w:val="00A34954"/>
    <w:rsid w:val="00A356D4"/>
    <w:rsid w:val="00A35716"/>
    <w:rsid w:val="00A3663B"/>
    <w:rsid w:val="00A409B8"/>
    <w:rsid w:val="00A4283B"/>
    <w:rsid w:val="00A42EF4"/>
    <w:rsid w:val="00A445B8"/>
    <w:rsid w:val="00A46E37"/>
    <w:rsid w:val="00A548CA"/>
    <w:rsid w:val="00A551BC"/>
    <w:rsid w:val="00A6078E"/>
    <w:rsid w:val="00A64CD1"/>
    <w:rsid w:val="00A65452"/>
    <w:rsid w:val="00A6747A"/>
    <w:rsid w:val="00A6749D"/>
    <w:rsid w:val="00A67602"/>
    <w:rsid w:val="00A70F2B"/>
    <w:rsid w:val="00A718B4"/>
    <w:rsid w:val="00A71A0C"/>
    <w:rsid w:val="00A73BC8"/>
    <w:rsid w:val="00A742F4"/>
    <w:rsid w:val="00A760B7"/>
    <w:rsid w:val="00A771F4"/>
    <w:rsid w:val="00A772C0"/>
    <w:rsid w:val="00A8062F"/>
    <w:rsid w:val="00A83A42"/>
    <w:rsid w:val="00A85109"/>
    <w:rsid w:val="00A85B29"/>
    <w:rsid w:val="00A90245"/>
    <w:rsid w:val="00A91007"/>
    <w:rsid w:val="00A92C7E"/>
    <w:rsid w:val="00A93EA7"/>
    <w:rsid w:val="00A9704C"/>
    <w:rsid w:val="00AA10A1"/>
    <w:rsid w:val="00AA1107"/>
    <w:rsid w:val="00AA37EC"/>
    <w:rsid w:val="00AA46DE"/>
    <w:rsid w:val="00AA495B"/>
    <w:rsid w:val="00AB01BC"/>
    <w:rsid w:val="00AB0285"/>
    <w:rsid w:val="00AB1116"/>
    <w:rsid w:val="00AB2888"/>
    <w:rsid w:val="00AB5366"/>
    <w:rsid w:val="00AB6185"/>
    <w:rsid w:val="00AC1AB9"/>
    <w:rsid w:val="00AC47F0"/>
    <w:rsid w:val="00AD183B"/>
    <w:rsid w:val="00AE1BD8"/>
    <w:rsid w:val="00AE235B"/>
    <w:rsid w:val="00AE24CA"/>
    <w:rsid w:val="00AE4F4B"/>
    <w:rsid w:val="00AE4F5B"/>
    <w:rsid w:val="00B000F8"/>
    <w:rsid w:val="00B00A5B"/>
    <w:rsid w:val="00B00BC6"/>
    <w:rsid w:val="00B06EA8"/>
    <w:rsid w:val="00B1443D"/>
    <w:rsid w:val="00B144CB"/>
    <w:rsid w:val="00B151B4"/>
    <w:rsid w:val="00B20438"/>
    <w:rsid w:val="00B2287F"/>
    <w:rsid w:val="00B22DC8"/>
    <w:rsid w:val="00B22E2D"/>
    <w:rsid w:val="00B30430"/>
    <w:rsid w:val="00B31715"/>
    <w:rsid w:val="00B32E2A"/>
    <w:rsid w:val="00B34D07"/>
    <w:rsid w:val="00B378DB"/>
    <w:rsid w:val="00B40AA0"/>
    <w:rsid w:val="00B42174"/>
    <w:rsid w:val="00B43BBD"/>
    <w:rsid w:val="00B43E71"/>
    <w:rsid w:val="00B45B81"/>
    <w:rsid w:val="00B469A3"/>
    <w:rsid w:val="00B46E67"/>
    <w:rsid w:val="00B51646"/>
    <w:rsid w:val="00B529B9"/>
    <w:rsid w:val="00B532F3"/>
    <w:rsid w:val="00B53477"/>
    <w:rsid w:val="00B53C9E"/>
    <w:rsid w:val="00B54634"/>
    <w:rsid w:val="00B5668C"/>
    <w:rsid w:val="00B56D33"/>
    <w:rsid w:val="00B5736F"/>
    <w:rsid w:val="00B607D8"/>
    <w:rsid w:val="00B66512"/>
    <w:rsid w:val="00B666BC"/>
    <w:rsid w:val="00B6730C"/>
    <w:rsid w:val="00B70582"/>
    <w:rsid w:val="00B76CC9"/>
    <w:rsid w:val="00B80253"/>
    <w:rsid w:val="00B80CBA"/>
    <w:rsid w:val="00B82377"/>
    <w:rsid w:val="00B85A7B"/>
    <w:rsid w:val="00B865AF"/>
    <w:rsid w:val="00B8682E"/>
    <w:rsid w:val="00B86AAB"/>
    <w:rsid w:val="00B87957"/>
    <w:rsid w:val="00B91242"/>
    <w:rsid w:val="00B95670"/>
    <w:rsid w:val="00B9719C"/>
    <w:rsid w:val="00BA0E4E"/>
    <w:rsid w:val="00BA14B9"/>
    <w:rsid w:val="00BA3121"/>
    <w:rsid w:val="00BA35B2"/>
    <w:rsid w:val="00BA3ECB"/>
    <w:rsid w:val="00BA610D"/>
    <w:rsid w:val="00BA7680"/>
    <w:rsid w:val="00BB0760"/>
    <w:rsid w:val="00BB109D"/>
    <w:rsid w:val="00BB19C1"/>
    <w:rsid w:val="00BB1BB1"/>
    <w:rsid w:val="00BB1CC7"/>
    <w:rsid w:val="00BB3522"/>
    <w:rsid w:val="00BB6559"/>
    <w:rsid w:val="00BB67A8"/>
    <w:rsid w:val="00BB6AEF"/>
    <w:rsid w:val="00BB6BC5"/>
    <w:rsid w:val="00BB79A8"/>
    <w:rsid w:val="00BC188F"/>
    <w:rsid w:val="00BC1A74"/>
    <w:rsid w:val="00BC40CE"/>
    <w:rsid w:val="00BD0065"/>
    <w:rsid w:val="00BD02EB"/>
    <w:rsid w:val="00BD1124"/>
    <w:rsid w:val="00BD1E9D"/>
    <w:rsid w:val="00BD32FA"/>
    <w:rsid w:val="00BD7D3A"/>
    <w:rsid w:val="00BE0BC4"/>
    <w:rsid w:val="00BE2D56"/>
    <w:rsid w:val="00BE51D8"/>
    <w:rsid w:val="00BE6E2E"/>
    <w:rsid w:val="00BF1C57"/>
    <w:rsid w:val="00BF1D4B"/>
    <w:rsid w:val="00BF60BE"/>
    <w:rsid w:val="00BF76F7"/>
    <w:rsid w:val="00C0172F"/>
    <w:rsid w:val="00C03C6D"/>
    <w:rsid w:val="00C03D62"/>
    <w:rsid w:val="00C0488A"/>
    <w:rsid w:val="00C0692E"/>
    <w:rsid w:val="00C20B45"/>
    <w:rsid w:val="00C2142E"/>
    <w:rsid w:val="00C242C3"/>
    <w:rsid w:val="00C325E1"/>
    <w:rsid w:val="00C3485F"/>
    <w:rsid w:val="00C44E39"/>
    <w:rsid w:val="00C46B1C"/>
    <w:rsid w:val="00C47A7D"/>
    <w:rsid w:val="00C50E0E"/>
    <w:rsid w:val="00C52E3D"/>
    <w:rsid w:val="00C63B57"/>
    <w:rsid w:val="00C65564"/>
    <w:rsid w:val="00C66D7A"/>
    <w:rsid w:val="00C704EA"/>
    <w:rsid w:val="00C70CFF"/>
    <w:rsid w:val="00C71A75"/>
    <w:rsid w:val="00C7631F"/>
    <w:rsid w:val="00C77262"/>
    <w:rsid w:val="00C80713"/>
    <w:rsid w:val="00C8105A"/>
    <w:rsid w:val="00C81071"/>
    <w:rsid w:val="00C8355D"/>
    <w:rsid w:val="00C84FD4"/>
    <w:rsid w:val="00C8592B"/>
    <w:rsid w:val="00C85C81"/>
    <w:rsid w:val="00C866C4"/>
    <w:rsid w:val="00C903C4"/>
    <w:rsid w:val="00C94C5E"/>
    <w:rsid w:val="00C96CB9"/>
    <w:rsid w:val="00CA1801"/>
    <w:rsid w:val="00CA414B"/>
    <w:rsid w:val="00CA5C2F"/>
    <w:rsid w:val="00CA65E1"/>
    <w:rsid w:val="00CA68C2"/>
    <w:rsid w:val="00CA6AEA"/>
    <w:rsid w:val="00CB1C45"/>
    <w:rsid w:val="00CB241F"/>
    <w:rsid w:val="00CB58E7"/>
    <w:rsid w:val="00CB646D"/>
    <w:rsid w:val="00CB7DDC"/>
    <w:rsid w:val="00CC0C59"/>
    <w:rsid w:val="00CC0E51"/>
    <w:rsid w:val="00CC2F0D"/>
    <w:rsid w:val="00CC5EED"/>
    <w:rsid w:val="00CD22D7"/>
    <w:rsid w:val="00CD2AA4"/>
    <w:rsid w:val="00CD47ED"/>
    <w:rsid w:val="00CD6891"/>
    <w:rsid w:val="00CD71C1"/>
    <w:rsid w:val="00CD7F74"/>
    <w:rsid w:val="00CE38F7"/>
    <w:rsid w:val="00CE787E"/>
    <w:rsid w:val="00CE7C0B"/>
    <w:rsid w:val="00CF494F"/>
    <w:rsid w:val="00CF62F9"/>
    <w:rsid w:val="00CF6C1D"/>
    <w:rsid w:val="00D013CD"/>
    <w:rsid w:val="00D02857"/>
    <w:rsid w:val="00D12225"/>
    <w:rsid w:val="00D12A26"/>
    <w:rsid w:val="00D12ABB"/>
    <w:rsid w:val="00D12AEE"/>
    <w:rsid w:val="00D1439E"/>
    <w:rsid w:val="00D15962"/>
    <w:rsid w:val="00D201ED"/>
    <w:rsid w:val="00D215B4"/>
    <w:rsid w:val="00D2212F"/>
    <w:rsid w:val="00D2500E"/>
    <w:rsid w:val="00D31AF8"/>
    <w:rsid w:val="00D324D8"/>
    <w:rsid w:val="00D358CE"/>
    <w:rsid w:val="00D37480"/>
    <w:rsid w:val="00D4002B"/>
    <w:rsid w:val="00D41767"/>
    <w:rsid w:val="00D42E31"/>
    <w:rsid w:val="00D463DC"/>
    <w:rsid w:val="00D46C38"/>
    <w:rsid w:val="00D4736A"/>
    <w:rsid w:val="00D50434"/>
    <w:rsid w:val="00D51371"/>
    <w:rsid w:val="00D53D14"/>
    <w:rsid w:val="00D54419"/>
    <w:rsid w:val="00D56C59"/>
    <w:rsid w:val="00D57BFE"/>
    <w:rsid w:val="00D61183"/>
    <w:rsid w:val="00D6777B"/>
    <w:rsid w:val="00D704F5"/>
    <w:rsid w:val="00D74158"/>
    <w:rsid w:val="00D811C1"/>
    <w:rsid w:val="00D82C21"/>
    <w:rsid w:val="00D8648D"/>
    <w:rsid w:val="00D87E83"/>
    <w:rsid w:val="00D91161"/>
    <w:rsid w:val="00DA31AF"/>
    <w:rsid w:val="00DA419D"/>
    <w:rsid w:val="00DA4A30"/>
    <w:rsid w:val="00DA5C73"/>
    <w:rsid w:val="00DB4077"/>
    <w:rsid w:val="00DB54AB"/>
    <w:rsid w:val="00DB7215"/>
    <w:rsid w:val="00DC1A81"/>
    <w:rsid w:val="00DC3020"/>
    <w:rsid w:val="00DC6D2A"/>
    <w:rsid w:val="00DD794C"/>
    <w:rsid w:val="00DE1DFF"/>
    <w:rsid w:val="00DE2D44"/>
    <w:rsid w:val="00DE6E47"/>
    <w:rsid w:val="00DF0890"/>
    <w:rsid w:val="00DF098E"/>
    <w:rsid w:val="00DF14A0"/>
    <w:rsid w:val="00DF646A"/>
    <w:rsid w:val="00DF78D5"/>
    <w:rsid w:val="00E016CC"/>
    <w:rsid w:val="00E017CE"/>
    <w:rsid w:val="00E02680"/>
    <w:rsid w:val="00E0310E"/>
    <w:rsid w:val="00E06360"/>
    <w:rsid w:val="00E071E1"/>
    <w:rsid w:val="00E07860"/>
    <w:rsid w:val="00E12201"/>
    <w:rsid w:val="00E134EC"/>
    <w:rsid w:val="00E1369E"/>
    <w:rsid w:val="00E236CD"/>
    <w:rsid w:val="00E23F27"/>
    <w:rsid w:val="00E265ED"/>
    <w:rsid w:val="00E26F1C"/>
    <w:rsid w:val="00E30C39"/>
    <w:rsid w:val="00E32ECF"/>
    <w:rsid w:val="00E342EA"/>
    <w:rsid w:val="00E34602"/>
    <w:rsid w:val="00E3682E"/>
    <w:rsid w:val="00E369B2"/>
    <w:rsid w:val="00E4039D"/>
    <w:rsid w:val="00E41E72"/>
    <w:rsid w:val="00E43AA8"/>
    <w:rsid w:val="00E44703"/>
    <w:rsid w:val="00E44CFE"/>
    <w:rsid w:val="00E53B53"/>
    <w:rsid w:val="00E53D51"/>
    <w:rsid w:val="00E54FE9"/>
    <w:rsid w:val="00E5517D"/>
    <w:rsid w:val="00E60D81"/>
    <w:rsid w:val="00E6250E"/>
    <w:rsid w:val="00E64716"/>
    <w:rsid w:val="00E65ED9"/>
    <w:rsid w:val="00E6764A"/>
    <w:rsid w:val="00E72C6F"/>
    <w:rsid w:val="00E7522B"/>
    <w:rsid w:val="00E772FF"/>
    <w:rsid w:val="00E77B33"/>
    <w:rsid w:val="00E80247"/>
    <w:rsid w:val="00E81F48"/>
    <w:rsid w:val="00E831F7"/>
    <w:rsid w:val="00E83C3E"/>
    <w:rsid w:val="00E92573"/>
    <w:rsid w:val="00E92C23"/>
    <w:rsid w:val="00E93F3F"/>
    <w:rsid w:val="00E93FBA"/>
    <w:rsid w:val="00E94A5B"/>
    <w:rsid w:val="00E97E5B"/>
    <w:rsid w:val="00EA4AB1"/>
    <w:rsid w:val="00EB1115"/>
    <w:rsid w:val="00EB1143"/>
    <w:rsid w:val="00EB59C6"/>
    <w:rsid w:val="00EB7FBA"/>
    <w:rsid w:val="00EC0BE9"/>
    <w:rsid w:val="00EC24DC"/>
    <w:rsid w:val="00EC3C86"/>
    <w:rsid w:val="00EC451C"/>
    <w:rsid w:val="00EC7145"/>
    <w:rsid w:val="00EC7578"/>
    <w:rsid w:val="00EC796D"/>
    <w:rsid w:val="00ED41BB"/>
    <w:rsid w:val="00ED51CF"/>
    <w:rsid w:val="00EE11B4"/>
    <w:rsid w:val="00EE1AD1"/>
    <w:rsid w:val="00EE4256"/>
    <w:rsid w:val="00EE58CD"/>
    <w:rsid w:val="00EE5F43"/>
    <w:rsid w:val="00EE7851"/>
    <w:rsid w:val="00EF34E9"/>
    <w:rsid w:val="00EF3873"/>
    <w:rsid w:val="00EF3A74"/>
    <w:rsid w:val="00EF44CF"/>
    <w:rsid w:val="00EF4D5F"/>
    <w:rsid w:val="00F009F1"/>
    <w:rsid w:val="00F01D40"/>
    <w:rsid w:val="00F02098"/>
    <w:rsid w:val="00F04F6D"/>
    <w:rsid w:val="00F07F04"/>
    <w:rsid w:val="00F12C36"/>
    <w:rsid w:val="00F130D0"/>
    <w:rsid w:val="00F17481"/>
    <w:rsid w:val="00F2212E"/>
    <w:rsid w:val="00F24CE8"/>
    <w:rsid w:val="00F24D0F"/>
    <w:rsid w:val="00F26D0D"/>
    <w:rsid w:val="00F303E4"/>
    <w:rsid w:val="00F30A50"/>
    <w:rsid w:val="00F34393"/>
    <w:rsid w:val="00F36BDB"/>
    <w:rsid w:val="00F42E2A"/>
    <w:rsid w:val="00F43E42"/>
    <w:rsid w:val="00F451B7"/>
    <w:rsid w:val="00F464EE"/>
    <w:rsid w:val="00F54374"/>
    <w:rsid w:val="00F56BF9"/>
    <w:rsid w:val="00F63705"/>
    <w:rsid w:val="00F65437"/>
    <w:rsid w:val="00F679ED"/>
    <w:rsid w:val="00F72DE4"/>
    <w:rsid w:val="00F74076"/>
    <w:rsid w:val="00F7439B"/>
    <w:rsid w:val="00F77570"/>
    <w:rsid w:val="00F82BC4"/>
    <w:rsid w:val="00F85CCE"/>
    <w:rsid w:val="00F87359"/>
    <w:rsid w:val="00F91233"/>
    <w:rsid w:val="00F9295B"/>
    <w:rsid w:val="00F92F05"/>
    <w:rsid w:val="00F97C05"/>
    <w:rsid w:val="00FA0A35"/>
    <w:rsid w:val="00FA26EA"/>
    <w:rsid w:val="00FA2A71"/>
    <w:rsid w:val="00FB0571"/>
    <w:rsid w:val="00FB0945"/>
    <w:rsid w:val="00FB1238"/>
    <w:rsid w:val="00FB17C9"/>
    <w:rsid w:val="00FB2846"/>
    <w:rsid w:val="00FB28C3"/>
    <w:rsid w:val="00FB3D21"/>
    <w:rsid w:val="00FC4AC5"/>
    <w:rsid w:val="00FC5417"/>
    <w:rsid w:val="00FC585C"/>
    <w:rsid w:val="00FD22A3"/>
    <w:rsid w:val="00FE1749"/>
    <w:rsid w:val="00FE4833"/>
    <w:rsid w:val="00FE4F27"/>
    <w:rsid w:val="00FE644A"/>
    <w:rsid w:val="00FF0D41"/>
    <w:rsid w:val="00FF1DF7"/>
    <w:rsid w:val="00FF3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50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107E26"/>
    <w:pPr>
      <w:keepNext/>
      <w:keepLines/>
      <w:spacing w:after="0" w:line="240" w:lineRule="auto"/>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462F9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62F95"/>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462F9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E26"/>
    <w:rPr>
      <w:rFonts w:ascii="Times New Roman" w:eastAsiaTheme="majorEastAsia" w:hAnsi="Times New Roman" w:cstheme="majorBidi"/>
      <w:b/>
      <w:bCs/>
      <w:sz w:val="24"/>
      <w:szCs w:val="28"/>
    </w:rPr>
  </w:style>
  <w:style w:type="paragraph" w:styleId="ListParagraph">
    <w:name w:val="List Paragraph"/>
    <w:aliases w:val="Dot pt,F5 List Paragraph,No Spacing1,List Paragraph Char Char Char,Indicator Text,Numbered Para 1,Bullet 1,Bullet Points,List Paragraph2,MAIN CONTENT,Normal numbered,Issue Action POC,3,POCG Table Text,FooterText,Colorful List - Accent 11"/>
    <w:basedOn w:val="Normal"/>
    <w:link w:val="ListParagraphChar"/>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unhideWhenUsed/>
    <w:rsid w:val="00F54374"/>
    <w:rPr>
      <w:vertAlign w:val="superscript"/>
    </w:rPr>
  </w:style>
  <w:style w:type="paragraph" w:styleId="FootnoteText">
    <w:name w:val="footnote text"/>
    <w:aliases w:val="Char18"/>
    <w:basedOn w:val="Normal"/>
    <w:link w:val="FootnoteTextChar"/>
    <w:uiPriority w:val="99"/>
    <w:unhideWhenUsed/>
    <w:qFormat/>
    <w:rsid w:val="00F54374"/>
    <w:pPr>
      <w:spacing w:after="0" w:line="240" w:lineRule="auto"/>
    </w:pPr>
    <w:rPr>
      <w:rFonts w:asciiTheme="minorHAnsi" w:hAnsiTheme="minorHAnsi"/>
      <w:sz w:val="20"/>
      <w:szCs w:val="20"/>
    </w:rPr>
  </w:style>
  <w:style w:type="character" w:customStyle="1" w:styleId="FootnoteTextChar">
    <w:name w:val="Footnote Text Char"/>
    <w:aliases w:val="Char18 Char"/>
    <w:basedOn w:val="DefaultParagraphFont"/>
    <w:link w:val="FootnoteText"/>
    <w:uiPriority w:val="99"/>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unhideWhenUsed/>
    <w:rsid w:val="00F63705"/>
    <w:rPr>
      <w:sz w:val="16"/>
      <w:szCs w:val="16"/>
    </w:rPr>
  </w:style>
  <w:style w:type="paragraph" w:styleId="CommentText">
    <w:name w:val="annotation text"/>
    <w:basedOn w:val="Normal"/>
    <w:link w:val="CommentTextChar"/>
    <w:uiPriority w:val="99"/>
    <w:unhideWhenUsed/>
    <w:rsid w:val="00F63705"/>
    <w:pPr>
      <w:spacing w:line="240" w:lineRule="auto"/>
    </w:pPr>
    <w:rPr>
      <w:sz w:val="20"/>
      <w:szCs w:val="20"/>
    </w:rPr>
  </w:style>
  <w:style w:type="character" w:customStyle="1" w:styleId="CommentTextChar">
    <w:name w:val="Comment Text Char"/>
    <w:basedOn w:val="DefaultParagraphFont"/>
    <w:link w:val="CommentText"/>
    <w:uiPriority w:val="99"/>
    <w:rsid w:val="00F6370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63705"/>
    <w:rPr>
      <w:b/>
      <w:bCs/>
    </w:rPr>
  </w:style>
  <w:style w:type="character" w:customStyle="1" w:styleId="CommentSubjectChar">
    <w:name w:val="Comment Subject Char"/>
    <w:basedOn w:val="CommentTextChar"/>
    <w:link w:val="CommentSubject"/>
    <w:uiPriority w:val="99"/>
    <w:semiHidden/>
    <w:rsid w:val="00F63705"/>
    <w:rPr>
      <w:rFonts w:ascii="Times New Roman" w:hAnsi="Times New Roman"/>
      <w:b/>
      <w:bCs/>
      <w:sz w:val="20"/>
      <w:szCs w:val="20"/>
    </w:rPr>
  </w:style>
  <w:style w:type="paragraph" w:styleId="Revision">
    <w:name w:val="Revision"/>
    <w:hidden/>
    <w:uiPriority w:val="99"/>
    <w:semiHidden/>
    <w:rsid w:val="00B54634"/>
    <w:pPr>
      <w:spacing w:after="0" w:line="240" w:lineRule="auto"/>
    </w:pPr>
    <w:rPr>
      <w:rFonts w:ascii="Times New Roman" w:hAnsi="Times New Roman"/>
      <w:sz w:val="24"/>
    </w:rPr>
  </w:style>
  <w:style w:type="paragraph" w:customStyle="1" w:styleId="BodyA">
    <w:name w:val="Body A"/>
    <w:rsid w:val="004A2DC7"/>
    <w:pPr>
      <w:widowControl w:val="0"/>
      <w:pBdr>
        <w:top w:val="nil"/>
        <w:left w:val="nil"/>
        <w:bottom w:val="nil"/>
        <w:right w:val="nil"/>
        <w:between w:val="nil"/>
        <w:bar w:val="nil"/>
      </w:pBdr>
      <w:spacing w:after="0" w:line="240" w:lineRule="auto"/>
    </w:pPr>
    <w:rPr>
      <w:rFonts w:ascii="Courier" w:eastAsia="Arial Unicode MS" w:hAnsi="Arial Unicode MS" w:cs="Arial Unicode MS"/>
      <w:color w:val="000000"/>
      <w:sz w:val="24"/>
      <w:szCs w:val="24"/>
      <w:u w:color="000000"/>
      <w:bdr w:val="nil"/>
      <w:lang w:val="pt-PT"/>
    </w:rPr>
  </w:style>
  <w:style w:type="paragraph" w:styleId="BodyText">
    <w:name w:val="Body Text"/>
    <w:basedOn w:val="Normal"/>
    <w:link w:val="BodyTextChar"/>
    <w:uiPriority w:val="1"/>
    <w:qFormat/>
    <w:rsid w:val="001D09B1"/>
    <w:pPr>
      <w:widowControl w:val="0"/>
      <w:autoSpaceDE w:val="0"/>
      <w:autoSpaceDN w:val="0"/>
      <w:spacing w:after="0" w:line="240" w:lineRule="auto"/>
    </w:pPr>
    <w:rPr>
      <w:rFonts w:eastAsia="Times New Roman" w:cs="Times New Roman"/>
      <w:i/>
      <w:sz w:val="18"/>
      <w:szCs w:val="18"/>
    </w:rPr>
  </w:style>
  <w:style w:type="character" w:customStyle="1" w:styleId="BodyTextChar">
    <w:name w:val="Body Text Char"/>
    <w:basedOn w:val="DefaultParagraphFont"/>
    <w:link w:val="BodyText"/>
    <w:uiPriority w:val="1"/>
    <w:rsid w:val="001D09B1"/>
    <w:rPr>
      <w:rFonts w:ascii="Times New Roman" w:eastAsia="Times New Roman" w:hAnsi="Times New Roman" w:cs="Times New Roman"/>
      <w:i/>
      <w:sz w:val="18"/>
      <w:szCs w:val="18"/>
    </w:rPr>
  </w:style>
  <w:style w:type="paragraph" w:customStyle="1" w:styleId="TableParagraph">
    <w:name w:val="Table Paragraph"/>
    <w:basedOn w:val="Normal"/>
    <w:uiPriority w:val="1"/>
    <w:qFormat/>
    <w:rsid w:val="008F08FD"/>
    <w:pPr>
      <w:widowControl w:val="0"/>
      <w:autoSpaceDE w:val="0"/>
      <w:autoSpaceDN w:val="0"/>
      <w:spacing w:after="0" w:line="240" w:lineRule="auto"/>
      <w:ind w:left="78"/>
    </w:pPr>
    <w:rPr>
      <w:rFonts w:eastAsia="Times New Roman" w:cs="Times New Roman"/>
      <w:sz w:val="22"/>
    </w:rPr>
  </w:style>
  <w:style w:type="paragraph" w:customStyle="1" w:styleId="StyleInfoBlueArialLeftLeft0After12pt">
    <w:name w:val="Style InfoBlue + Arial Left Left:  0&quot; After:  12 pt"/>
    <w:basedOn w:val="Normal"/>
    <w:rsid w:val="002A1FBE"/>
    <w:pPr>
      <w:widowControl w:val="0"/>
      <w:spacing w:after="240" w:line="240" w:lineRule="atLeast"/>
    </w:pPr>
    <w:rPr>
      <w:rFonts w:ascii="Arial" w:eastAsia="Times New Roman" w:hAnsi="Arial" w:cs="Times New Roman"/>
      <w:i/>
      <w:iCs/>
      <w:color w:val="0000FF"/>
      <w:szCs w:val="20"/>
    </w:rPr>
  </w:style>
  <w:style w:type="paragraph" w:styleId="NormalWeb">
    <w:name w:val="Normal (Web)"/>
    <w:basedOn w:val="Normal"/>
    <w:uiPriority w:val="99"/>
    <w:unhideWhenUsed/>
    <w:rsid w:val="002A1FBE"/>
    <w:pPr>
      <w:spacing w:before="100" w:beforeAutospacing="1" w:after="100" w:afterAutospacing="1" w:line="240" w:lineRule="auto"/>
    </w:pPr>
    <w:rPr>
      <w:rFonts w:eastAsia="Times New Roman" w:cs="Times New Roman"/>
      <w:szCs w:val="24"/>
    </w:rPr>
  </w:style>
  <w:style w:type="character" w:customStyle="1" w:styleId="ListParagraphChar">
    <w:name w:val="List Paragraph Char"/>
    <w:aliases w:val="Dot pt Char,F5 List Paragraph Char,No Spacing1 Char,List Paragraph Char Char Char Char,Indicator Text Char,Numbered Para 1 Char,Bullet 1 Char,Bullet Points Char,List Paragraph2 Char,MAIN CONTENT Char,Normal numbered Char,3 Char"/>
    <w:link w:val="ListParagraph"/>
    <w:uiPriority w:val="34"/>
    <w:locked/>
    <w:rsid w:val="00357D62"/>
    <w:rPr>
      <w:rFonts w:ascii="Calibri" w:eastAsia="Calibri" w:hAnsi="Calibri" w:cs="Times New Roman"/>
    </w:rPr>
  </w:style>
  <w:style w:type="paragraph" w:styleId="List2">
    <w:name w:val="List 2"/>
    <w:basedOn w:val="Normal"/>
    <w:uiPriority w:val="99"/>
    <w:unhideWhenUsed/>
    <w:rsid w:val="00357D62"/>
    <w:pPr>
      <w:autoSpaceDE w:val="0"/>
      <w:autoSpaceDN w:val="0"/>
      <w:spacing w:after="0" w:line="240" w:lineRule="auto"/>
      <w:ind w:left="720" w:hanging="360"/>
    </w:pPr>
    <w:rPr>
      <w:rFonts w:eastAsiaTheme="minorEastAsia" w:cs="Times New Roman"/>
      <w:sz w:val="20"/>
      <w:szCs w:val="20"/>
    </w:rPr>
  </w:style>
  <w:style w:type="paragraph" w:customStyle="1" w:styleId="MarkforTableTitle">
    <w:name w:val="Mark for Table Title"/>
    <w:basedOn w:val="Normal"/>
    <w:next w:val="NormalSS"/>
    <w:qFormat/>
    <w:rsid w:val="00462F95"/>
    <w:pPr>
      <w:keepNext/>
      <w:spacing w:after="60" w:line="240" w:lineRule="auto"/>
    </w:pPr>
    <w:rPr>
      <w:rFonts w:ascii="Arial Black" w:eastAsia="Times New Roman" w:hAnsi="Arial Black" w:cs="Times New Roman"/>
      <w:sz w:val="22"/>
      <w:szCs w:val="20"/>
    </w:rPr>
  </w:style>
  <w:style w:type="paragraph" w:customStyle="1" w:styleId="NormalSS">
    <w:name w:val="NormalSS"/>
    <w:basedOn w:val="Normal"/>
    <w:qFormat/>
    <w:rsid w:val="00462F95"/>
    <w:pPr>
      <w:spacing w:after="240" w:line="240" w:lineRule="auto"/>
      <w:ind w:firstLine="432"/>
    </w:pPr>
    <w:rPr>
      <w:rFonts w:eastAsia="Times New Roman" w:cs="Times New Roman"/>
      <w:szCs w:val="20"/>
    </w:rPr>
  </w:style>
  <w:style w:type="paragraph" w:customStyle="1" w:styleId="H2Chapter">
    <w:name w:val="H2_Chapter"/>
    <w:basedOn w:val="Heading1"/>
    <w:next w:val="NormalSS"/>
    <w:link w:val="H2ChapterChar"/>
    <w:qFormat/>
    <w:rsid w:val="00462F95"/>
    <w:pPr>
      <w:keepLines w:val="0"/>
      <w:pBdr>
        <w:bottom w:val="single" w:sz="2" w:space="1" w:color="auto"/>
      </w:pBdr>
      <w:tabs>
        <w:tab w:val="left" w:pos="432"/>
      </w:tabs>
      <w:spacing w:before="240" w:after="240"/>
      <w:ind w:left="432" w:hanging="432"/>
      <w:outlineLvl w:val="1"/>
    </w:pPr>
    <w:rPr>
      <w:rFonts w:ascii="Arial Black" w:eastAsia="Times New Roman" w:hAnsi="Arial Black" w:cs="Times New Roman"/>
      <w:b w:val="0"/>
      <w:bCs w:val="0"/>
      <w:caps/>
      <w:szCs w:val="20"/>
    </w:rPr>
  </w:style>
  <w:style w:type="paragraph" w:customStyle="1" w:styleId="H3Alpha">
    <w:name w:val="H3_Alpha"/>
    <w:basedOn w:val="Heading2"/>
    <w:next w:val="NormalSS"/>
    <w:link w:val="H3AlphaChar"/>
    <w:qFormat/>
    <w:rsid w:val="00462F95"/>
    <w:pPr>
      <w:keepLines w:val="0"/>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2ChapterChar">
    <w:name w:val="H2_Chapter Char"/>
    <w:basedOn w:val="Heading1Char"/>
    <w:link w:val="H2Chapter"/>
    <w:rsid w:val="00462F95"/>
    <w:rPr>
      <w:rFonts w:ascii="Arial Black" w:eastAsia="Times New Roman" w:hAnsi="Arial Black" w:cs="Times New Roman"/>
      <w:b w:val="0"/>
      <w:bCs w:val="0"/>
      <w:caps/>
      <w:sz w:val="24"/>
      <w:szCs w:val="20"/>
    </w:rPr>
  </w:style>
  <w:style w:type="paragraph" w:customStyle="1" w:styleId="H3AlphaNoTOC">
    <w:name w:val="H3_Alpha_No TOC"/>
    <w:basedOn w:val="H3Alpha"/>
    <w:next w:val="NormalSS"/>
    <w:link w:val="H3AlphaNoTOCChar"/>
    <w:qFormat/>
    <w:rsid w:val="00462F95"/>
    <w:pPr>
      <w:outlineLvl w:val="9"/>
    </w:pPr>
  </w:style>
  <w:style w:type="character" w:customStyle="1" w:styleId="H3AlphaChar">
    <w:name w:val="H3_Alpha Char"/>
    <w:basedOn w:val="Heading2Char"/>
    <w:link w:val="H3Alpha"/>
    <w:rsid w:val="00462F95"/>
    <w:rPr>
      <w:rFonts w:ascii="Arial Black" w:eastAsia="Times New Roman" w:hAnsi="Arial Black" w:cs="Times New Roman"/>
      <w:color w:val="365F91" w:themeColor="accent1" w:themeShade="BF"/>
      <w:sz w:val="26"/>
      <w:szCs w:val="20"/>
    </w:rPr>
  </w:style>
  <w:style w:type="paragraph" w:customStyle="1" w:styleId="H4Number">
    <w:name w:val="H4_Number"/>
    <w:basedOn w:val="Heading3"/>
    <w:next w:val="NormalSS"/>
    <w:link w:val="H4NumberChar"/>
    <w:qFormat/>
    <w:rsid w:val="00462F95"/>
    <w:pPr>
      <w:keepLines w:val="0"/>
      <w:tabs>
        <w:tab w:val="left" w:pos="432"/>
      </w:tabs>
      <w:spacing w:before="0" w:after="120" w:line="240" w:lineRule="auto"/>
      <w:ind w:left="432" w:hanging="432"/>
      <w:outlineLvl w:val="3"/>
    </w:pPr>
    <w:rPr>
      <w:rFonts w:ascii="Times New Roman" w:eastAsia="Times New Roman" w:hAnsi="Times New Roman" w:cs="Times New Roman"/>
      <w:b/>
      <w:szCs w:val="20"/>
    </w:rPr>
  </w:style>
  <w:style w:type="character" w:customStyle="1" w:styleId="H3AlphaNoTOCChar">
    <w:name w:val="H3_Alpha_No TOC Char"/>
    <w:basedOn w:val="H3AlphaChar"/>
    <w:link w:val="H3AlphaNoTOC"/>
    <w:rsid w:val="00462F95"/>
    <w:rPr>
      <w:rFonts w:ascii="Arial Black" w:eastAsia="Times New Roman" w:hAnsi="Arial Black" w:cs="Times New Roman"/>
      <w:color w:val="365F91" w:themeColor="accent1" w:themeShade="BF"/>
      <w:sz w:val="26"/>
      <w:szCs w:val="20"/>
    </w:rPr>
  </w:style>
  <w:style w:type="character" w:customStyle="1" w:styleId="H4NumberChar">
    <w:name w:val="H4_Number Char"/>
    <w:basedOn w:val="Heading3Char"/>
    <w:link w:val="H4Number"/>
    <w:rsid w:val="00462F95"/>
    <w:rPr>
      <w:rFonts w:ascii="Times New Roman" w:eastAsia="Times New Roman" w:hAnsi="Times New Roman" w:cs="Times New Roman"/>
      <w:b/>
      <w:color w:val="243F60" w:themeColor="accent1" w:themeShade="7F"/>
      <w:sz w:val="24"/>
      <w:szCs w:val="20"/>
    </w:rPr>
  </w:style>
  <w:style w:type="paragraph" w:customStyle="1" w:styleId="H5Lower">
    <w:name w:val="H5_Lower"/>
    <w:basedOn w:val="Heading4"/>
    <w:next w:val="NormalSS"/>
    <w:link w:val="H5LowerChar"/>
    <w:qFormat/>
    <w:rsid w:val="00462F95"/>
    <w:pPr>
      <w:keepLines w:val="0"/>
      <w:tabs>
        <w:tab w:val="left" w:pos="432"/>
      </w:tabs>
      <w:spacing w:before="0" w:after="120" w:line="240" w:lineRule="auto"/>
      <w:ind w:left="432" w:hanging="432"/>
      <w:outlineLvl w:val="4"/>
    </w:pPr>
    <w:rPr>
      <w:rFonts w:ascii="Times New Roman" w:eastAsia="Times New Roman" w:hAnsi="Times New Roman" w:cs="Times New Roman"/>
      <w:b/>
      <w:i w:val="0"/>
      <w:iCs w:val="0"/>
      <w:szCs w:val="20"/>
    </w:rPr>
  </w:style>
  <w:style w:type="character" w:customStyle="1" w:styleId="H5LowerChar">
    <w:name w:val="H5_Lower Char"/>
    <w:basedOn w:val="Heading4Char"/>
    <w:link w:val="H5Lower"/>
    <w:rsid w:val="00462F95"/>
    <w:rPr>
      <w:rFonts w:ascii="Times New Roman" w:eastAsia="Times New Roman" w:hAnsi="Times New Roman" w:cs="Times New Roman"/>
      <w:b/>
      <w:i w:val="0"/>
      <w:iCs w:val="0"/>
      <w:color w:val="365F91" w:themeColor="accent1" w:themeShade="BF"/>
      <w:sz w:val="24"/>
      <w:szCs w:val="20"/>
    </w:rPr>
  </w:style>
  <w:style w:type="character" w:customStyle="1" w:styleId="Heading2Char">
    <w:name w:val="Heading 2 Char"/>
    <w:basedOn w:val="DefaultParagraphFont"/>
    <w:link w:val="Heading2"/>
    <w:uiPriority w:val="9"/>
    <w:semiHidden/>
    <w:rsid w:val="00462F9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62F9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62F95"/>
    <w:rPr>
      <w:rFonts w:asciiTheme="majorHAnsi" w:eastAsiaTheme="majorEastAsia" w:hAnsiTheme="majorHAnsi" w:cstheme="majorBidi"/>
      <w:i/>
      <w:iCs/>
      <w:color w:val="365F91" w:themeColor="accent1" w:themeShade="BF"/>
      <w:sz w:val="24"/>
    </w:rPr>
  </w:style>
  <w:style w:type="paragraph" w:styleId="PlainText">
    <w:name w:val="Plain Text"/>
    <w:basedOn w:val="Normal"/>
    <w:link w:val="PlainTextChar"/>
    <w:uiPriority w:val="99"/>
    <w:unhideWhenUsed/>
    <w:rsid w:val="00CD2AA4"/>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CD2AA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883326624">
      <w:bodyDiv w:val="1"/>
      <w:marLeft w:val="0"/>
      <w:marRight w:val="0"/>
      <w:marTop w:val="0"/>
      <w:marBottom w:val="0"/>
      <w:divBdr>
        <w:top w:val="none" w:sz="0" w:space="0" w:color="auto"/>
        <w:left w:val="none" w:sz="0" w:space="0" w:color="auto"/>
        <w:bottom w:val="none" w:sz="0" w:space="0" w:color="auto"/>
        <w:right w:val="none" w:sz="0" w:space="0" w:color="auto"/>
      </w:divBdr>
    </w:div>
    <w:div w:id="1284773248">
      <w:bodyDiv w:val="1"/>
      <w:marLeft w:val="0"/>
      <w:marRight w:val="0"/>
      <w:marTop w:val="0"/>
      <w:marBottom w:val="0"/>
      <w:divBdr>
        <w:top w:val="none" w:sz="0" w:space="0" w:color="auto"/>
        <w:left w:val="none" w:sz="0" w:space="0" w:color="auto"/>
        <w:bottom w:val="none" w:sz="0" w:space="0" w:color="auto"/>
        <w:right w:val="none" w:sz="0" w:space="0" w:color="auto"/>
      </w:divBdr>
    </w:div>
    <w:div w:id="1599602942">
      <w:bodyDiv w:val="1"/>
      <w:marLeft w:val="0"/>
      <w:marRight w:val="0"/>
      <w:marTop w:val="0"/>
      <w:marBottom w:val="0"/>
      <w:divBdr>
        <w:top w:val="none" w:sz="0" w:space="0" w:color="auto"/>
        <w:left w:val="none" w:sz="0" w:space="0" w:color="auto"/>
        <w:bottom w:val="none" w:sz="0" w:space="0" w:color="auto"/>
        <w:right w:val="none" w:sz="0" w:space="0" w:color="auto"/>
      </w:divBdr>
    </w:div>
    <w:div w:id="1782526782">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55F40-5E6B-47E7-A45C-7020CD9E9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2021-06-16T11:12:00Z</dcterms:created>
  <dcterms:modified xsi:type="dcterms:W3CDTF">2021-06-16T11:12:00Z</dcterms:modified>
</cp:coreProperties>
</file>