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5247" w:rsidRPr="003D0924" w:rsidP="00414F09" w14:paraId="172B932B" w14:textId="6D5A36D0">
      <w:pPr>
        <w:jc w:val="center"/>
        <w:rPr>
          <w:szCs w:val="24"/>
        </w:rPr>
      </w:pPr>
      <w:r w:rsidRPr="003D0924">
        <w:rPr>
          <w:szCs w:val="24"/>
        </w:rPr>
        <w:t>Medicaid and CHIP State Plan, Waiver, and Program Submissions</w:t>
      </w:r>
    </w:p>
    <w:p w:rsidR="003D0924" w:rsidP="00414F09" w14:paraId="403AE5B4" w14:textId="718617F6">
      <w:pPr>
        <w:jc w:val="center"/>
        <w:rPr>
          <w:szCs w:val="24"/>
        </w:rPr>
      </w:pPr>
      <w:r w:rsidRPr="003D0924">
        <w:rPr>
          <w:szCs w:val="24"/>
        </w:rPr>
        <w:t>Certified Community Behavioral Health Clinic (CCBHC)</w:t>
      </w:r>
    </w:p>
    <w:p w:rsidR="00A7365D" w:rsidRPr="00EF59ED" w:rsidP="00414F09" w14:paraId="27F248F9" w14:textId="2E8B0C66">
      <w:pPr>
        <w:jc w:val="center"/>
        <w:rPr>
          <w:szCs w:val="24"/>
        </w:rPr>
      </w:pPr>
      <w:r w:rsidRPr="003D0924">
        <w:rPr>
          <w:szCs w:val="24"/>
        </w:rPr>
        <w:t>2024 State Proposal Demonstration Application</w:t>
      </w:r>
      <w:r>
        <w:rPr>
          <w:szCs w:val="24"/>
        </w:rPr>
        <w:t xml:space="preserve"> </w:t>
      </w:r>
    </w:p>
    <w:p w:rsidR="00DF098E" w:rsidRPr="00EF59ED" w:rsidP="008111D2" w14:paraId="73C3145A" w14:textId="5F8E1846">
      <w:pPr>
        <w:jc w:val="center"/>
        <w:rPr>
          <w:szCs w:val="24"/>
        </w:rPr>
      </w:pPr>
      <w:r w:rsidRPr="00EF59ED">
        <w:rPr>
          <w:szCs w:val="24"/>
        </w:rPr>
        <w:t>CMS-10398</w:t>
      </w:r>
      <w:r w:rsidRPr="00EF59ED" w:rsidR="00A7365D">
        <w:rPr>
          <w:szCs w:val="24"/>
        </w:rPr>
        <w:t xml:space="preserve"> #45</w:t>
      </w:r>
      <w:r w:rsidRPr="00EF59ED">
        <w:rPr>
          <w:szCs w:val="24"/>
        </w:rPr>
        <w:t>, OMB 0938-1148</w:t>
      </w:r>
    </w:p>
    <w:p w:rsidR="00A7365D" w:rsidRPr="00EF59ED" w:rsidP="00342E67" w14:paraId="1CB8A022" w14:textId="77777777">
      <w:pPr>
        <w:pStyle w:val="Heading1"/>
        <w:rPr>
          <w:b w:val="0"/>
          <w:bCs w:val="0"/>
        </w:rPr>
      </w:pPr>
    </w:p>
    <w:p w:rsidR="0071285D" w:rsidRPr="00EF59ED" w:rsidP="0071285D" w14:paraId="1400C600" w14:textId="40523F17">
      <w:r w:rsidRPr="00EF59ED">
        <w:t xml:space="preserve">This </w:t>
      </w:r>
      <w:r w:rsidR="00E239CE">
        <w:t xml:space="preserve">January </w:t>
      </w:r>
      <w:r w:rsidRPr="00EF59ED">
        <w:t>202</w:t>
      </w:r>
      <w:r w:rsidR="00E239CE">
        <w:t>4</w:t>
      </w:r>
      <w:r w:rsidRPr="00EF59ED">
        <w:t xml:space="preserve"> iteration is a revision of an active collection of information request.</w:t>
      </w:r>
    </w:p>
    <w:p w:rsidR="0071285D" w:rsidRPr="00EF59ED" w:rsidP="0071285D" w14:paraId="53B8643D" w14:textId="77777777"/>
    <w:p w:rsidR="007D6E75" w:rsidRPr="00F54374" w:rsidP="00342E67" w14:paraId="37BFF5C0" w14:textId="4FEEF1A1">
      <w:pPr>
        <w:pStyle w:val="Heading1"/>
      </w:pPr>
      <w:r w:rsidRPr="00EF59ED">
        <w:t>A. Background</w:t>
      </w:r>
    </w:p>
    <w:p w:rsidR="002D7087" w:rsidP="00C740E2" w14:paraId="4A0550A5" w14:textId="77777777">
      <w:pPr>
        <w:rPr>
          <w:rFonts w:cs="Times New Roman"/>
          <w:szCs w:val="24"/>
        </w:rPr>
      </w:pPr>
    </w:p>
    <w:p w:rsidR="00B222CE" w:rsidP="0041008F" w14:paraId="09E761CC" w14:textId="67F87AD2">
      <w:pPr>
        <w:rPr>
          <w:rFonts w:cs="Times New Roman"/>
          <w:szCs w:val="24"/>
        </w:rPr>
      </w:pPr>
      <w:r>
        <w:rPr>
          <w:rFonts w:cs="Times New Roman"/>
          <w:szCs w:val="24"/>
        </w:rPr>
        <w:t xml:space="preserve">Based on recent extension and expansion of the </w:t>
      </w:r>
      <w:r w:rsidRPr="00AA3ECF" w:rsidR="003A3043">
        <w:rPr>
          <w:rFonts w:cs="Times New Roman"/>
          <w:szCs w:val="24"/>
        </w:rPr>
        <w:t xml:space="preserve">CCBHC Demonstration </w:t>
      </w:r>
      <w:r>
        <w:rPr>
          <w:rFonts w:cs="Times New Roman"/>
          <w:szCs w:val="24"/>
        </w:rPr>
        <w:t xml:space="preserve">under section 11001 of </w:t>
      </w:r>
      <w:r w:rsidR="00E421DE">
        <w:rPr>
          <w:rFonts w:cs="Times New Roman"/>
          <w:szCs w:val="24"/>
        </w:rPr>
        <w:t>Bipartisan Safer Communities Act</w:t>
      </w:r>
      <w:r>
        <w:rPr>
          <w:rStyle w:val="FootnoteReference"/>
          <w:rFonts w:cs="Times New Roman"/>
          <w:szCs w:val="24"/>
        </w:rPr>
        <w:footnoteReference w:id="3"/>
      </w:r>
      <w:r w:rsidR="00E421DE">
        <w:rPr>
          <w:rFonts w:cs="Times New Roman"/>
          <w:szCs w:val="24"/>
        </w:rPr>
        <w:t xml:space="preserve"> </w:t>
      </w:r>
      <w:r w:rsidR="0041008F">
        <w:t xml:space="preserve">(BSCA) </w:t>
      </w:r>
      <w:r>
        <w:rPr>
          <w:rFonts w:cs="Times New Roman"/>
          <w:szCs w:val="24"/>
        </w:rPr>
        <w:t xml:space="preserve">of 2022, the State Proposal </w:t>
      </w:r>
      <w:r w:rsidR="00414F09">
        <w:rPr>
          <w:rFonts w:cs="Times New Roman"/>
          <w:szCs w:val="24"/>
        </w:rPr>
        <w:t xml:space="preserve">Demonstration </w:t>
      </w:r>
      <w:r>
        <w:rPr>
          <w:rFonts w:cs="Times New Roman"/>
          <w:szCs w:val="24"/>
        </w:rPr>
        <w:t xml:space="preserve">Application </w:t>
      </w:r>
      <w:r w:rsidR="009825CC">
        <w:rPr>
          <w:rFonts w:cs="Times New Roman"/>
          <w:szCs w:val="24"/>
        </w:rPr>
        <w:t xml:space="preserve">is required </w:t>
      </w:r>
      <w:r>
        <w:rPr>
          <w:rFonts w:cs="Times New Roman"/>
          <w:szCs w:val="24"/>
        </w:rPr>
        <w:t xml:space="preserve">to be completed by existing </w:t>
      </w:r>
      <w:r w:rsidR="009825CC">
        <w:rPr>
          <w:rFonts w:cs="Times New Roman"/>
          <w:szCs w:val="24"/>
        </w:rPr>
        <w:t xml:space="preserve">CCBHC </w:t>
      </w:r>
      <w:r>
        <w:rPr>
          <w:rFonts w:cs="Times New Roman"/>
          <w:szCs w:val="24"/>
        </w:rPr>
        <w:t xml:space="preserve">grantee states and submitted to </w:t>
      </w:r>
      <w:r w:rsidR="00414F09">
        <w:rPr>
          <w:rFonts w:cs="Times New Roman"/>
          <w:szCs w:val="24"/>
        </w:rPr>
        <w:t>the Centers for Medicare &amp; Medicaid Services (CMS)</w:t>
      </w:r>
      <w:r>
        <w:rPr>
          <w:rFonts w:cs="Times New Roman"/>
          <w:szCs w:val="24"/>
        </w:rPr>
        <w:t xml:space="preserve"> and the Substance Abuse and Mental Health Services Administration (SAMHSA) to determine state readiness and eligibility to be selected as one of the 10 </w:t>
      </w:r>
      <w:r w:rsidR="009825CC">
        <w:rPr>
          <w:rFonts w:cs="Times New Roman"/>
          <w:szCs w:val="24"/>
        </w:rPr>
        <w:t xml:space="preserve">new </w:t>
      </w:r>
      <w:r>
        <w:rPr>
          <w:rFonts w:cs="Times New Roman"/>
          <w:szCs w:val="24"/>
        </w:rPr>
        <w:t>states added to the CCBHC demonstration</w:t>
      </w:r>
      <w:r w:rsidR="009825CC">
        <w:rPr>
          <w:rFonts w:cs="Times New Roman"/>
          <w:szCs w:val="24"/>
        </w:rPr>
        <w:t xml:space="preserve"> in 2024 and every two years thereafter per the BSCA legislation. The information below provides detailed background on the program since its inception and how the success of the demonstration has </w:t>
      </w:r>
      <w:r w:rsidR="00A532D7">
        <w:rPr>
          <w:rFonts w:cs="Times New Roman"/>
          <w:szCs w:val="24"/>
        </w:rPr>
        <w:t>led</w:t>
      </w:r>
      <w:r w:rsidR="009825CC">
        <w:rPr>
          <w:rFonts w:cs="Times New Roman"/>
          <w:szCs w:val="24"/>
        </w:rPr>
        <w:t xml:space="preserve"> to </w:t>
      </w:r>
      <w:r w:rsidR="00A532D7">
        <w:rPr>
          <w:rFonts w:cs="Times New Roman"/>
          <w:szCs w:val="24"/>
        </w:rPr>
        <w:t xml:space="preserve">recent </w:t>
      </w:r>
      <w:r w:rsidR="009825CC">
        <w:rPr>
          <w:rFonts w:cs="Times New Roman"/>
          <w:szCs w:val="24"/>
        </w:rPr>
        <w:t>program expansion</w:t>
      </w:r>
      <w:r w:rsidR="00A532D7">
        <w:rPr>
          <w:rFonts w:cs="Times New Roman"/>
          <w:szCs w:val="24"/>
        </w:rPr>
        <w:t xml:space="preserve"> under the BSCA</w:t>
      </w:r>
      <w:r w:rsidR="009825CC">
        <w:rPr>
          <w:rFonts w:cs="Times New Roman"/>
          <w:szCs w:val="24"/>
        </w:rPr>
        <w:t>.</w:t>
      </w:r>
      <w:r>
        <w:rPr>
          <w:rFonts w:cs="Times New Roman"/>
          <w:szCs w:val="24"/>
        </w:rPr>
        <w:t xml:space="preserve"> </w:t>
      </w:r>
      <w:r>
        <w:rPr>
          <w:rFonts w:cs="Times New Roman"/>
          <w:szCs w:val="24"/>
        </w:rPr>
        <w:t xml:space="preserve"> </w:t>
      </w:r>
    </w:p>
    <w:p w:rsidR="00B222CE" w:rsidP="00B222CE" w14:paraId="5D36939D" w14:textId="77777777">
      <w:pPr>
        <w:pStyle w:val="xmsonormal"/>
        <w:rPr>
          <w:rFonts w:ascii="Times New Roman" w:hAnsi="Times New Roman" w:cs="Times New Roman"/>
          <w:sz w:val="24"/>
          <w:szCs w:val="24"/>
        </w:rPr>
      </w:pPr>
    </w:p>
    <w:p w:rsidR="00C740E2" w:rsidRPr="00B222CE" w:rsidP="0041008F" w14:paraId="5A43A0F6" w14:textId="35FEA94B">
      <w:pPr>
        <w:rPr>
          <w:rFonts w:cs="Times New Roman"/>
          <w:szCs w:val="24"/>
        </w:rPr>
      </w:pPr>
      <w:r w:rsidRPr="00B222CE">
        <w:rPr>
          <w:rFonts w:cs="Times New Roman"/>
          <w:szCs w:val="24"/>
        </w:rPr>
        <w:t>On April 1, 2014, the</w:t>
      </w:r>
      <w:r w:rsidR="00E421DE">
        <w:rPr>
          <w:rFonts w:cs="Times New Roman"/>
          <w:szCs w:val="24"/>
        </w:rPr>
        <w:t xml:space="preserve"> Protecting Access to Medicare Act</w:t>
      </w:r>
      <w:r>
        <w:rPr>
          <w:rStyle w:val="FootnoteReference"/>
          <w:rFonts w:cs="Times New Roman"/>
          <w:szCs w:val="24"/>
        </w:rPr>
        <w:footnoteReference w:id="4"/>
      </w:r>
      <w:r w:rsidRPr="00B222CE">
        <w:rPr>
          <w:rFonts w:cs="Times New Roman"/>
          <w:szCs w:val="24"/>
        </w:rPr>
        <w:t xml:space="preserve"> of 2014 (Public Law 113-93) was enacted.  The law included “Demonstration Programs to Improve Community Mental Health Services” at Section 223 of the Act.  The program requires:</w:t>
      </w:r>
    </w:p>
    <w:p w:rsidR="00C740E2" w:rsidRPr="00B222CE" w:rsidP="00C740E2" w14:paraId="6F82F1E1" w14:textId="77777777">
      <w:pPr>
        <w:rPr>
          <w:rFonts w:cs="Times New Roman"/>
          <w:szCs w:val="24"/>
        </w:rPr>
      </w:pPr>
    </w:p>
    <w:p w:rsidR="00C740E2" w:rsidRPr="006F66FD" w:rsidP="00C740E2" w14:paraId="0D862FE4" w14:textId="77777777">
      <w:pPr>
        <w:ind w:left="288"/>
        <w:rPr>
          <w:rFonts w:cs="Times New Roman"/>
          <w:szCs w:val="24"/>
        </w:rPr>
      </w:pPr>
      <w:r w:rsidRPr="006F66FD">
        <w:rPr>
          <w:rFonts w:cs="Times New Roman"/>
          <w:szCs w:val="24"/>
        </w:rPr>
        <w:t xml:space="preserve">(1) </w:t>
      </w:r>
      <w:r>
        <w:rPr>
          <w:rFonts w:cs="Times New Roman"/>
          <w:szCs w:val="24"/>
        </w:rPr>
        <w:t xml:space="preserve">the </w:t>
      </w:r>
      <w:r w:rsidRPr="006F66FD">
        <w:rPr>
          <w:rFonts w:cs="Times New Roman"/>
          <w:szCs w:val="24"/>
        </w:rPr>
        <w:t xml:space="preserve">establishment and publication of criteria for clinics to be certified by a state as a certified community behavioral health clinic (CCBHC) to participate in a demonstration program; </w:t>
      </w:r>
    </w:p>
    <w:p w:rsidR="00C740E2" w:rsidRPr="006F66FD" w:rsidP="00C740E2" w14:paraId="6FE7E7B6" w14:textId="77777777">
      <w:pPr>
        <w:ind w:left="288" w:hanging="18"/>
        <w:rPr>
          <w:rFonts w:cs="Times New Roman"/>
          <w:szCs w:val="24"/>
        </w:rPr>
      </w:pPr>
      <w:r w:rsidRPr="006F66FD">
        <w:rPr>
          <w:rFonts w:cs="Times New Roman"/>
          <w:szCs w:val="24"/>
        </w:rPr>
        <w:t xml:space="preserve">(2) the issuance of guidance on the development of a Prospective Payment System (PPS) for testing during the demonstration program; and </w:t>
      </w:r>
    </w:p>
    <w:p w:rsidR="00C740E2" w:rsidP="00C740E2" w14:paraId="2EB11F90" w14:textId="77777777">
      <w:pPr>
        <w:ind w:left="288" w:hanging="18"/>
        <w:rPr>
          <w:rFonts w:cs="Times New Roman"/>
          <w:szCs w:val="24"/>
        </w:rPr>
      </w:pPr>
      <w:r w:rsidRPr="006F66FD">
        <w:rPr>
          <w:rFonts w:cs="Times New Roman"/>
          <w:szCs w:val="24"/>
        </w:rPr>
        <w:t xml:space="preserve">(3) the awarding of planning grants for the purpose of developing proposals to participate in a time-limited demonstration program. </w:t>
      </w:r>
    </w:p>
    <w:p w:rsidR="00C740E2" w:rsidRPr="006F66FD" w:rsidP="00C740E2" w14:paraId="5C14A742" w14:textId="77777777">
      <w:pPr>
        <w:ind w:left="288" w:hanging="18"/>
        <w:rPr>
          <w:rFonts w:cs="Times New Roman"/>
          <w:szCs w:val="24"/>
        </w:rPr>
      </w:pPr>
    </w:p>
    <w:p w:rsidR="00C740E2" w:rsidRPr="006F66FD" w:rsidP="00C740E2" w14:paraId="1F6187EA" w14:textId="3389BE29">
      <w:pPr>
        <w:rPr>
          <w:rFonts w:cs="Times New Roman"/>
          <w:szCs w:val="24"/>
        </w:rPr>
      </w:pPr>
      <w:r w:rsidRPr="006F66FD">
        <w:rPr>
          <w:rFonts w:cs="Times New Roman"/>
          <w:szCs w:val="24"/>
        </w:rPr>
        <w:t xml:space="preserve">The overall goal </w:t>
      </w:r>
      <w:r w:rsidR="003F2E18">
        <w:rPr>
          <w:rFonts w:cs="Times New Roman"/>
          <w:szCs w:val="24"/>
        </w:rPr>
        <w:t>was</w:t>
      </w:r>
      <w:r w:rsidRPr="006F66FD" w:rsidR="003F2E18">
        <w:rPr>
          <w:rFonts w:cs="Times New Roman"/>
          <w:szCs w:val="24"/>
        </w:rPr>
        <w:t xml:space="preserve"> </w:t>
      </w:r>
      <w:r w:rsidRPr="006F66FD">
        <w:rPr>
          <w:rFonts w:cs="Times New Roman"/>
          <w:szCs w:val="24"/>
        </w:rPr>
        <w:t xml:space="preserve">to </w:t>
      </w:r>
      <w:r w:rsidR="009C01E2">
        <w:rPr>
          <w:rFonts w:cs="Times New Roman"/>
          <w:szCs w:val="24"/>
        </w:rPr>
        <w:t xml:space="preserve">test </w:t>
      </w:r>
      <w:r w:rsidRPr="006F66FD">
        <w:rPr>
          <w:rFonts w:cs="Times New Roman"/>
          <w:szCs w:val="24"/>
        </w:rPr>
        <w:t xml:space="preserve">demonstration programs in up to eight states that </w:t>
      </w:r>
      <w:r w:rsidR="003F2E18">
        <w:rPr>
          <w:rFonts w:cs="Times New Roman"/>
          <w:szCs w:val="24"/>
        </w:rPr>
        <w:t>would</w:t>
      </w:r>
      <w:r w:rsidRPr="006F66FD" w:rsidR="003F2E18">
        <w:rPr>
          <w:rFonts w:cs="Times New Roman"/>
          <w:szCs w:val="24"/>
        </w:rPr>
        <w:t xml:space="preserve"> </w:t>
      </w:r>
      <w:r w:rsidRPr="006F66FD">
        <w:rPr>
          <w:rFonts w:cs="Times New Roman"/>
          <w:szCs w:val="24"/>
        </w:rPr>
        <w:t xml:space="preserve">establish CCBHCs according to specified criteria that </w:t>
      </w:r>
      <w:r w:rsidR="003F2E18">
        <w:rPr>
          <w:rFonts w:cs="Times New Roman"/>
          <w:szCs w:val="24"/>
        </w:rPr>
        <w:t>would</w:t>
      </w:r>
      <w:r w:rsidRPr="006F66FD" w:rsidR="003F2E18">
        <w:rPr>
          <w:rFonts w:cs="Times New Roman"/>
          <w:szCs w:val="24"/>
        </w:rPr>
        <w:t xml:space="preserve"> </w:t>
      </w:r>
      <w:r w:rsidRPr="006F66FD">
        <w:rPr>
          <w:rFonts w:cs="Times New Roman"/>
          <w:szCs w:val="24"/>
        </w:rPr>
        <w:t xml:space="preserve">make them eligible for enhanced Medicaid </w:t>
      </w:r>
      <w:r>
        <w:rPr>
          <w:rFonts w:cs="Times New Roman"/>
          <w:szCs w:val="24"/>
        </w:rPr>
        <w:t>payment</w:t>
      </w:r>
      <w:r w:rsidRPr="006F66FD">
        <w:rPr>
          <w:rFonts w:cs="Times New Roman"/>
          <w:szCs w:val="24"/>
        </w:rPr>
        <w:t xml:space="preserve"> through the PPS.</w:t>
      </w:r>
    </w:p>
    <w:p w:rsidR="00C740E2" w:rsidP="00C740E2" w14:paraId="7BA7D5ED" w14:textId="02B21054">
      <w:pPr>
        <w:rPr>
          <w:rFonts w:cs="Times New Roman"/>
          <w:szCs w:val="24"/>
        </w:rPr>
      </w:pPr>
    </w:p>
    <w:p w:rsidR="002D161F" w:rsidRPr="00E13A7B" w:rsidP="002D161F" w14:paraId="30DD9AD8" w14:textId="77777777">
      <w:pPr>
        <w:rPr>
          <w:rFonts w:cs="Times New Roman"/>
          <w:szCs w:val="24"/>
        </w:rPr>
      </w:pPr>
      <w:r w:rsidRPr="0059722D">
        <w:rPr>
          <w:rFonts w:cs="Times New Roman"/>
          <w:szCs w:val="24"/>
        </w:rPr>
        <w:t>CCBHCs serve adults with serious mental illness, children with serious emotional disturbance, those with long term and serious substance use disorders, as well as others with comorbid mental illness and substance use disorders. By meeting the certification criteria, CCBHCs across the country provide comprehensive, coordinated, trauma-informed,</w:t>
      </w:r>
      <w:r w:rsidRPr="00E13A7B">
        <w:rPr>
          <w:rFonts w:cs="Times New Roman"/>
          <w:szCs w:val="24"/>
        </w:rPr>
        <w:t xml:space="preserve"> and recovery-oriented care for mental health and substance use conditions.</w:t>
      </w:r>
    </w:p>
    <w:p w:rsidR="002D161F" w:rsidRPr="006F66FD" w:rsidP="00C740E2" w14:paraId="1F7617F6" w14:textId="77777777">
      <w:pPr>
        <w:rPr>
          <w:rFonts w:cs="Times New Roman"/>
          <w:szCs w:val="24"/>
        </w:rPr>
      </w:pPr>
    </w:p>
    <w:p w:rsidR="009A4BC8" w:rsidRPr="008F73E3" w:rsidP="009A4BC8" w14:paraId="65DD3238" w14:textId="3F251FE6">
      <w:pPr>
        <w:rPr>
          <w:rFonts w:cs="Times New Roman"/>
        </w:rPr>
      </w:pPr>
      <w:r w:rsidRPr="66C91678">
        <w:rPr>
          <w:rFonts w:cs="Times New Roman"/>
        </w:rPr>
        <w:t xml:space="preserve">On October 19, 2015, SAMHSA awarded 24 Planning grants to states to provide funding through </w:t>
      </w:r>
      <w:r w:rsidR="00650035">
        <w:rPr>
          <w:rFonts w:cs="Times New Roman"/>
        </w:rPr>
        <w:t>a</w:t>
      </w:r>
      <w:r w:rsidRPr="66C91678">
        <w:rPr>
          <w:rFonts w:cs="Times New Roman"/>
        </w:rPr>
        <w:t xml:space="preserve"> one-year</w:t>
      </w:r>
      <w:r>
        <w:rPr>
          <w:rFonts w:cs="Times New Roman"/>
        </w:rPr>
        <w:t xml:space="preserve"> (October 2015 – October 2016)</w:t>
      </w:r>
      <w:r w:rsidRPr="66C91678">
        <w:rPr>
          <w:rFonts w:cs="Times New Roman"/>
        </w:rPr>
        <w:t xml:space="preserve"> planning phase of the demonstration. Federal grant funding was used by states to certify community behavioral health clinics, establish a PPS </w:t>
      </w:r>
      <w:r w:rsidRPr="66C91678">
        <w:rPr>
          <w:rFonts w:cs="Times New Roman"/>
        </w:rPr>
        <w:t>for Medicaid reimbursable behavioral health services, and prepare an application</w:t>
      </w:r>
      <w:r>
        <w:rPr>
          <w:rFonts w:cs="Times New Roman"/>
        </w:rPr>
        <w:t xml:space="preserve"> approved through the OMB PRA process #45 S</w:t>
      </w:r>
      <w:r>
        <w:rPr>
          <w:rFonts w:cs="Times New Roman"/>
          <w:szCs w:val="24"/>
        </w:rPr>
        <w:t xml:space="preserve">ection 223 State Proposal Application, </w:t>
      </w:r>
      <w:r w:rsidRPr="66C91678">
        <w:rPr>
          <w:rFonts w:cs="Times New Roman"/>
        </w:rPr>
        <w:t xml:space="preserve">to participate in a two-year demonstration program.  At the end of the </w:t>
      </w:r>
      <w:r>
        <w:rPr>
          <w:rFonts w:cs="Times New Roman"/>
        </w:rPr>
        <w:t xml:space="preserve">2016 </w:t>
      </w:r>
      <w:r w:rsidRPr="66C91678">
        <w:rPr>
          <w:rFonts w:cs="Times New Roman"/>
        </w:rPr>
        <w:t xml:space="preserve">planning phase of the demonstration, states were required to apply </w:t>
      </w:r>
      <w:r>
        <w:rPr>
          <w:rFonts w:cs="Times New Roman"/>
        </w:rPr>
        <w:t xml:space="preserve">through application </w:t>
      </w:r>
      <w:r w:rsidRPr="66C91678">
        <w:rPr>
          <w:rFonts w:cs="Times New Roman"/>
        </w:rPr>
        <w:t xml:space="preserve">to show that they met all demonstration </w:t>
      </w:r>
      <w:r w:rsidRPr="008F73E3">
        <w:rPr>
          <w:rFonts w:cs="Times New Roman"/>
        </w:rPr>
        <w:t xml:space="preserve">requirements set by SAMHSA and CMS. </w:t>
      </w:r>
    </w:p>
    <w:p w:rsidR="009A4BC8" w:rsidRPr="008F73E3" w:rsidP="00C740E2" w14:paraId="074B1123" w14:textId="77777777">
      <w:pPr>
        <w:rPr>
          <w:rFonts w:cs="Times New Roman"/>
          <w:szCs w:val="24"/>
        </w:rPr>
      </w:pPr>
    </w:p>
    <w:p w:rsidR="008B7FE1" w:rsidRPr="008B7FE1" w:rsidP="008B7FE1" w14:paraId="643A5609" w14:textId="2DBC8973">
      <w:pPr>
        <w:pStyle w:val="Normal21"/>
      </w:pPr>
      <w:r>
        <w:t>On</w:t>
      </w:r>
      <w:r w:rsidRPr="008F73E3">
        <w:t xml:space="preserve"> December </w:t>
      </w:r>
      <w:r w:rsidR="00F64B1C">
        <w:t xml:space="preserve">21, </w:t>
      </w:r>
      <w:r w:rsidRPr="008F73E3">
        <w:t>2016, based on SAMHSA, CMS, and</w:t>
      </w:r>
      <w:r w:rsidRPr="008B7FE1">
        <w:t xml:space="preserve"> </w:t>
      </w:r>
      <w:r w:rsidR="00650035">
        <w:t xml:space="preserve">the </w:t>
      </w:r>
      <w:r w:rsidRPr="006F66FD" w:rsidR="00650035">
        <w:t>Assistant Secretary for Planning and Evaluation</w:t>
      </w:r>
      <w:r w:rsidRPr="008B7FE1" w:rsidR="00650035">
        <w:t xml:space="preserve"> </w:t>
      </w:r>
      <w:r w:rsidR="00650035">
        <w:t>(</w:t>
      </w:r>
      <w:r w:rsidRPr="008B7FE1">
        <w:t>ASPE</w:t>
      </w:r>
      <w:r w:rsidR="00650035">
        <w:t>)</w:t>
      </w:r>
      <w:r w:rsidRPr="008B7FE1">
        <w:t xml:space="preserve">, </w:t>
      </w:r>
      <w:r w:rsidR="003F7460">
        <w:t xml:space="preserve">review of applications submitted by </w:t>
      </w:r>
      <w:r w:rsidR="00836087">
        <w:t xml:space="preserve">19 </w:t>
      </w:r>
      <w:r w:rsidR="003F7460">
        <w:t xml:space="preserve">CCBHC planning grant states, the three Federal Agencies </w:t>
      </w:r>
      <w:r w:rsidRPr="008B7FE1">
        <w:t>announced the selection of the following eight states</w:t>
      </w:r>
      <w:r w:rsidR="003F7460">
        <w:t xml:space="preserve"> </w:t>
      </w:r>
      <w:r w:rsidR="00836087">
        <w:t>(</w:t>
      </w:r>
      <w:r w:rsidRPr="008B7FE1" w:rsidR="00836087">
        <w:t>Minnesota, Missouri, New York, New Jersey, Nevada, Oklahoma, Oregon, and Pennsylvania</w:t>
      </w:r>
      <w:r w:rsidR="00836087">
        <w:t xml:space="preserve">) </w:t>
      </w:r>
      <w:r w:rsidR="003F7460">
        <w:t xml:space="preserve">to be </w:t>
      </w:r>
      <w:r w:rsidR="00836087">
        <w:t xml:space="preserve">the first participant states in the </w:t>
      </w:r>
      <w:r w:rsidR="003F7460">
        <w:t>CCBHC demonstration</w:t>
      </w:r>
      <w:r w:rsidR="00836087">
        <w:t xml:space="preserve"> able to</w:t>
      </w:r>
      <w:r w:rsidRPr="008B7FE1">
        <w:t xml:space="preserve"> receive enhanced federal match for</w:t>
      </w:r>
      <w:r w:rsidR="00836087">
        <w:t xml:space="preserve"> the provision of 9 statutorily required </w:t>
      </w:r>
      <w:r w:rsidRPr="008B7FE1">
        <w:t xml:space="preserve">behavioral health services over a period of two years. Demonstration programs in selected states were launched between the months of April 1, 2017 </w:t>
      </w:r>
      <w:r w:rsidR="00836087">
        <w:t>and</w:t>
      </w:r>
      <w:r w:rsidRPr="008B7FE1">
        <w:t xml:space="preserve"> July 1, 2017. </w:t>
      </w:r>
    </w:p>
    <w:p w:rsidR="008B7FE1" w:rsidP="00C740E2" w14:paraId="5A7F645E" w14:textId="77777777">
      <w:pPr>
        <w:rPr>
          <w:rFonts w:cs="Times New Roman"/>
          <w:szCs w:val="24"/>
        </w:rPr>
      </w:pPr>
    </w:p>
    <w:p w:rsidR="00C740E2" w:rsidP="00C740E2" w14:paraId="49641A89" w14:textId="79EBA1CB">
      <w:pPr>
        <w:rPr>
          <w:rFonts w:cs="Times New Roman"/>
          <w:szCs w:val="24"/>
        </w:rPr>
      </w:pPr>
      <w:r>
        <w:rPr>
          <w:rFonts w:cs="Times New Roman"/>
          <w:szCs w:val="24"/>
        </w:rPr>
        <w:t xml:space="preserve">Since 2017, CMS continues to work </w:t>
      </w:r>
      <w:r w:rsidRPr="006F66FD">
        <w:rPr>
          <w:rFonts w:cs="Times New Roman"/>
          <w:szCs w:val="24"/>
        </w:rPr>
        <w:t>collaboratively with the SAM</w:t>
      </w:r>
      <w:r w:rsidR="00A211F4">
        <w:rPr>
          <w:rFonts w:cs="Times New Roman"/>
          <w:szCs w:val="24"/>
        </w:rPr>
        <w:t>H</w:t>
      </w:r>
      <w:r w:rsidRPr="006F66FD">
        <w:rPr>
          <w:rFonts w:cs="Times New Roman"/>
          <w:szCs w:val="24"/>
        </w:rPr>
        <w:t>SA</w:t>
      </w:r>
      <w:r w:rsidR="009645A4">
        <w:rPr>
          <w:rFonts w:cs="Times New Roman"/>
          <w:szCs w:val="24"/>
        </w:rPr>
        <w:t xml:space="preserve"> to ensure federal oversight of the CCBHC demonstration and to provide ongoing </w:t>
      </w:r>
      <w:r w:rsidR="009C01E2">
        <w:rPr>
          <w:rFonts w:cs="Times New Roman"/>
          <w:szCs w:val="24"/>
        </w:rPr>
        <w:t xml:space="preserve">policy direction and </w:t>
      </w:r>
      <w:r w:rsidR="009645A4">
        <w:rPr>
          <w:rFonts w:cs="Times New Roman"/>
          <w:szCs w:val="24"/>
        </w:rPr>
        <w:t xml:space="preserve">technical assistance to states currently participating in the program. In addition, </w:t>
      </w:r>
      <w:r w:rsidRPr="006F66FD">
        <w:rPr>
          <w:rFonts w:cs="Times New Roman"/>
          <w:szCs w:val="24"/>
        </w:rPr>
        <w:t xml:space="preserve">the ASPE </w:t>
      </w:r>
      <w:r w:rsidR="009645A4">
        <w:rPr>
          <w:rFonts w:cs="Times New Roman"/>
          <w:szCs w:val="24"/>
        </w:rPr>
        <w:t>partners with CMS and SAMSHA and conducts annual evaluations of CCBHC demonstration programs in states and also prepares annual Reports to Congress on the status of the program including cost and quality outcomes associated with states’ ability to meet statutory requirements and those includ</w:t>
      </w:r>
      <w:r w:rsidR="00650035">
        <w:rPr>
          <w:rFonts w:cs="Times New Roman"/>
          <w:szCs w:val="24"/>
        </w:rPr>
        <w:t>ed</w:t>
      </w:r>
      <w:r w:rsidR="009645A4">
        <w:rPr>
          <w:rFonts w:cs="Times New Roman"/>
          <w:szCs w:val="24"/>
        </w:rPr>
        <w:t xml:space="preserve"> in the SAMHSA CCBHC Criteria and CMS Prospective Payment System Guidance which supports ongoing maintenance of the program</w:t>
      </w:r>
      <w:r w:rsidRPr="006F66FD">
        <w:rPr>
          <w:rFonts w:cs="Times New Roman"/>
          <w:szCs w:val="24"/>
        </w:rPr>
        <w:t>.</w:t>
      </w:r>
    </w:p>
    <w:p w:rsidR="00C740E2" w:rsidP="00C740E2" w14:paraId="205AD08A" w14:textId="1B4BFBE5">
      <w:pPr>
        <w:rPr>
          <w:rFonts w:cs="Times New Roman"/>
          <w:szCs w:val="24"/>
        </w:rPr>
      </w:pPr>
    </w:p>
    <w:p w:rsidR="00BD5829" w:rsidP="00C740E2" w14:paraId="308E0B34" w14:textId="649E9389">
      <w:r w:rsidRPr="008F73E3">
        <w:t xml:space="preserve">In August 2020, the Coronavirus Aid, Relief, and Economic Security Act (Public Law 116-136) expanded the demonstration to two new states (Kentucky and Michigan). </w:t>
      </w:r>
      <w:r w:rsidRPr="008F73E3">
        <w:t xml:space="preserve">The demonstration has </w:t>
      </w:r>
      <w:r w:rsidRPr="008F73E3" w:rsidR="00076F30">
        <w:t xml:space="preserve">been </w:t>
      </w:r>
      <w:r w:rsidRPr="008F73E3">
        <w:t xml:space="preserve">extended several times and it is currently authorized </w:t>
      </w:r>
      <w:r w:rsidRPr="008F73E3" w:rsidR="008B7FE1">
        <w:t xml:space="preserve">under the BSCA </w:t>
      </w:r>
      <w:r w:rsidRPr="008F73E3">
        <w:t xml:space="preserve">in the original </w:t>
      </w:r>
      <w:r w:rsidRPr="008F73E3" w:rsidR="009C01E2">
        <w:t xml:space="preserve">eight </w:t>
      </w:r>
      <w:r w:rsidRPr="008F73E3">
        <w:t>states</w:t>
      </w:r>
      <w:r w:rsidRPr="008F73E3" w:rsidR="009C01E2">
        <w:t xml:space="preserve"> through</w:t>
      </w:r>
      <w:r w:rsidRPr="008F73E3">
        <w:t xml:space="preserve"> September 2025</w:t>
      </w:r>
      <w:r w:rsidRPr="008F73E3">
        <w:t>, and effective as early as July 1, 2024</w:t>
      </w:r>
      <w:r w:rsidR="0048155E">
        <w:t>,</w:t>
      </w:r>
      <w:r w:rsidRPr="008F73E3">
        <w:t xml:space="preserve"> for the first cohort of 10 new BSCA states added to the program</w:t>
      </w:r>
      <w:r w:rsidR="00716F32">
        <w:t xml:space="preserve"> and again in 2026 for the next cohort of 10 states selected for CCBHC program participation</w:t>
      </w:r>
      <w:r w:rsidRPr="008F73E3" w:rsidR="00076F30">
        <w:t>.</w:t>
      </w:r>
      <w:r w:rsidR="00076F30">
        <w:t xml:space="preserve"> </w:t>
      </w:r>
    </w:p>
    <w:p w:rsidR="00076F30" w:rsidP="00C740E2" w14:paraId="65FAF08A" w14:textId="77777777">
      <w:pPr>
        <w:rPr>
          <w:rFonts w:cs="Times New Roman"/>
          <w:szCs w:val="24"/>
        </w:rPr>
      </w:pPr>
    </w:p>
    <w:p w:rsidR="00C064B8" w:rsidP="00C064B8" w14:paraId="46411213" w14:textId="66EAD471">
      <w:pPr>
        <w:rPr>
          <w:rFonts w:cs="Times New Roman"/>
          <w:szCs w:val="24"/>
        </w:rPr>
      </w:pPr>
      <w:r w:rsidRPr="00E13A7B">
        <w:rPr>
          <w:rFonts w:cs="Times New Roman"/>
          <w:szCs w:val="24"/>
        </w:rPr>
        <w:t xml:space="preserve">In March 2023, the certification criteria were updated to reflect changes based on lessons learned from initial Demonstration activities and advances in the </w:t>
      </w:r>
      <w:r w:rsidRPr="001F6033">
        <w:rPr>
          <w:rFonts w:cs="Times New Roman"/>
          <w:szCs w:val="24"/>
        </w:rPr>
        <w:t xml:space="preserve">provision of services for mental and substance use disorders. Furthermore, </w:t>
      </w:r>
      <w:r w:rsidRPr="00F3165E">
        <w:rPr>
          <w:rFonts w:cs="Times New Roman"/>
          <w:szCs w:val="24"/>
        </w:rPr>
        <w:t>pursuant to BSC</w:t>
      </w:r>
      <w:r w:rsidRPr="001F6033">
        <w:rPr>
          <w:rFonts w:cs="Times New Roman"/>
          <w:szCs w:val="24"/>
        </w:rPr>
        <w:t>A, on March 16, 202</w:t>
      </w:r>
      <w:r w:rsidRPr="00E13A7B">
        <w:rPr>
          <w:rFonts w:cs="Times New Roman"/>
          <w:szCs w:val="24"/>
        </w:rPr>
        <w:t>3</w:t>
      </w:r>
      <w:r w:rsidR="00C12448">
        <w:rPr>
          <w:rFonts w:cs="Times New Roman"/>
          <w:szCs w:val="24"/>
        </w:rPr>
        <w:t>,</w:t>
      </w:r>
      <w:r w:rsidRPr="00E13A7B">
        <w:rPr>
          <w:rFonts w:cs="Times New Roman"/>
          <w:szCs w:val="24"/>
        </w:rPr>
        <w:t xml:space="preserve"> SAMHSA awarded 15 additional planning grants to </w:t>
      </w:r>
      <w:r>
        <w:rPr>
          <w:rFonts w:cs="Times New Roman"/>
          <w:szCs w:val="24"/>
        </w:rPr>
        <w:t>s</w:t>
      </w:r>
      <w:r w:rsidRPr="00E13A7B">
        <w:rPr>
          <w:rFonts w:cs="Times New Roman"/>
          <w:szCs w:val="24"/>
        </w:rPr>
        <w:t xml:space="preserve">tates. </w:t>
      </w:r>
    </w:p>
    <w:p w:rsidR="00342E67" w:rsidP="00C064B8" w14:paraId="03B080E1" w14:textId="77777777">
      <w:pPr>
        <w:rPr>
          <w:rFonts w:cs="Times New Roman"/>
        </w:rPr>
      </w:pPr>
    </w:p>
    <w:p w:rsidR="003516F2" w:rsidRPr="00E13A7B" w:rsidP="003516F2" w14:paraId="47B19E90" w14:textId="2FE4F679">
      <w:pPr>
        <w:rPr>
          <w:rFonts w:cs="Times New Roman"/>
          <w:szCs w:val="24"/>
        </w:rPr>
      </w:pPr>
      <w:r w:rsidRPr="00E13A7B">
        <w:rPr>
          <w:rFonts w:cs="Times New Roman"/>
          <w:szCs w:val="24"/>
        </w:rPr>
        <w:t xml:space="preserve">The 15 </w:t>
      </w:r>
      <w:r>
        <w:rPr>
          <w:rFonts w:cs="Times New Roman"/>
          <w:szCs w:val="24"/>
        </w:rPr>
        <w:t>s</w:t>
      </w:r>
      <w:r w:rsidRPr="00E13A7B">
        <w:rPr>
          <w:rFonts w:cs="Times New Roman"/>
          <w:szCs w:val="24"/>
        </w:rPr>
        <w:t xml:space="preserve">tates </w:t>
      </w:r>
      <w:r w:rsidR="00342E67">
        <w:rPr>
          <w:rFonts w:cs="Times New Roman"/>
          <w:szCs w:val="24"/>
        </w:rPr>
        <w:t xml:space="preserve">are </w:t>
      </w:r>
      <w:r w:rsidRPr="00E13A7B">
        <w:rPr>
          <w:rFonts w:cs="Times New Roman"/>
          <w:szCs w:val="24"/>
        </w:rPr>
        <w:t>us</w:t>
      </w:r>
      <w:r w:rsidR="00342E67">
        <w:rPr>
          <w:rFonts w:cs="Times New Roman"/>
          <w:szCs w:val="24"/>
        </w:rPr>
        <w:t>ing</w:t>
      </w:r>
      <w:r w:rsidRPr="00E13A7B">
        <w:rPr>
          <w:rFonts w:cs="Times New Roman"/>
          <w:szCs w:val="24"/>
        </w:rPr>
        <w:t xml:space="preserve"> the funds in the following ways: </w:t>
      </w:r>
    </w:p>
    <w:p w:rsidR="003516F2" w:rsidRPr="00E13A7B" w:rsidP="003516F2" w14:paraId="041CCB50" w14:textId="7DD0432A">
      <w:pPr>
        <w:pStyle w:val="ListParagraph"/>
        <w:numPr>
          <w:ilvl w:val="0"/>
          <w:numId w:val="17"/>
        </w:numPr>
        <w:rPr>
          <w:rFonts w:ascii="Times New Roman" w:hAnsi="Times New Roman"/>
          <w:sz w:val="24"/>
          <w:szCs w:val="24"/>
        </w:rPr>
      </w:pPr>
      <w:r>
        <w:rPr>
          <w:rFonts w:ascii="Times New Roman" w:hAnsi="Times New Roman"/>
          <w:sz w:val="24"/>
          <w:szCs w:val="24"/>
        </w:rPr>
        <w:t xml:space="preserve">to </w:t>
      </w:r>
      <w:r w:rsidRPr="00E13A7B">
        <w:rPr>
          <w:rFonts w:ascii="Times New Roman" w:hAnsi="Times New Roman"/>
          <w:sz w:val="24"/>
          <w:szCs w:val="24"/>
        </w:rPr>
        <w:t>certify community behavioral health clinics</w:t>
      </w:r>
      <w:r w:rsidR="00C12448">
        <w:rPr>
          <w:rFonts w:ascii="Times New Roman" w:hAnsi="Times New Roman"/>
          <w:sz w:val="24"/>
          <w:szCs w:val="24"/>
        </w:rPr>
        <w:t>;</w:t>
      </w:r>
      <w:r w:rsidRPr="00E13A7B">
        <w:rPr>
          <w:rFonts w:ascii="Times New Roman" w:hAnsi="Times New Roman"/>
          <w:sz w:val="24"/>
          <w:szCs w:val="24"/>
        </w:rPr>
        <w:t xml:space="preserve"> </w:t>
      </w:r>
    </w:p>
    <w:p w:rsidR="003516F2" w:rsidRPr="00E13A7B" w:rsidP="003516F2" w14:paraId="5FB07D19" w14:textId="39AD9FD7">
      <w:pPr>
        <w:pStyle w:val="ListParagraph"/>
        <w:numPr>
          <w:ilvl w:val="0"/>
          <w:numId w:val="17"/>
        </w:numPr>
        <w:rPr>
          <w:rFonts w:ascii="Times New Roman" w:hAnsi="Times New Roman"/>
          <w:sz w:val="24"/>
          <w:szCs w:val="24"/>
        </w:rPr>
      </w:pPr>
      <w:r>
        <w:rPr>
          <w:rFonts w:ascii="Times New Roman" w:hAnsi="Times New Roman"/>
          <w:sz w:val="24"/>
          <w:szCs w:val="24"/>
        </w:rPr>
        <w:t xml:space="preserve">to </w:t>
      </w:r>
      <w:r w:rsidRPr="00E13A7B">
        <w:rPr>
          <w:rFonts w:ascii="Times New Roman" w:hAnsi="Times New Roman"/>
          <w:sz w:val="24"/>
          <w:szCs w:val="24"/>
        </w:rPr>
        <w:t>establish a Prospective Payment System (PPS) for Medicaid reimbursable behavioral health services</w:t>
      </w:r>
      <w:r w:rsidR="00C12448">
        <w:rPr>
          <w:rFonts w:ascii="Times New Roman" w:hAnsi="Times New Roman"/>
          <w:sz w:val="24"/>
          <w:szCs w:val="24"/>
        </w:rPr>
        <w:t>;</w:t>
      </w:r>
      <w:r w:rsidRPr="00E13A7B">
        <w:rPr>
          <w:rFonts w:ascii="Times New Roman" w:hAnsi="Times New Roman"/>
          <w:sz w:val="24"/>
          <w:szCs w:val="24"/>
        </w:rPr>
        <w:t xml:space="preserve"> and </w:t>
      </w:r>
    </w:p>
    <w:p w:rsidR="003516F2" w:rsidP="003516F2" w14:paraId="10BC1B66" w14:textId="4BC7DDFC">
      <w:pPr>
        <w:pStyle w:val="ListParagraph"/>
        <w:numPr>
          <w:ilvl w:val="0"/>
          <w:numId w:val="17"/>
        </w:numPr>
        <w:rPr>
          <w:rFonts w:ascii="Times New Roman" w:hAnsi="Times New Roman"/>
          <w:sz w:val="24"/>
          <w:szCs w:val="24"/>
        </w:rPr>
      </w:pPr>
      <w:r>
        <w:rPr>
          <w:rFonts w:ascii="Times New Roman" w:hAnsi="Times New Roman"/>
          <w:sz w:val="24"/>
          <w:szCs w:val="24"/>
        </w:rPr>
        <w:t xml:space="preserve">to </w:t>
      </w:r>
      <w:r w:rsidRPr="00E13A7B">
        <w:rPr>
          <w:rFonts w:ascii="Times New Roman" w:hAnsi="Times New Roman"/>
          <w:sz w:val="24"/>
          <w:szCs w:val="24"/>
        </w:rPr>
        <w:t xml:space="preserve">prepare an application </w:t>
      </w:r>
      <w:r w:rsidR="00AD51CC">
        <w:rPr>
          <w:rFonts w:ascii="Times New Roman" w:hAnsi="Times New Roman"/>
          <w:sz w:val="24"/>
          <w:szCs w:val="24"/>
        </w:rPr>
        <w:t xml:space="preserve">(due March 20, 2024) </w:t>
      </w:r>
      <w:r w:rsidRPr="00E13A7B">
        <w:rPr>
          <w:rFonts w:ascii="Times New Roman" w:hAnsi="Times New Roman"/>
          <w:sz w:val="24"/>
          <w:szCs w:val="24"/>
        </w:rPr>
        <w:t>to participate in the Demonstration program, slated to begin in 2024, with up to 10 additional states to be added to the Demonstration</w:t>
      </w:r>
      <w:r>
        <w:rPr>
          <w:rFonts w:ascii="Times New Roman" w:hAnsi="Times New Roman"/>
          <w:sz w:val="24"/>
          <w:szCs w:val="24"/>
        </w:rPr>
        <w:t xml:space="preserve"> from planning grant participants</w:t>
      </w:r>
      <w:r w:rsidRPr="00E13A7B">
        <w:rPr>
          <w:rFonts w:ascii="Times New Roman" w:hAnsi="Times New Roman"/>
          <w:sz w:val="24"/>
          <w:szCs w:val="24"/>
        </w:rPr>
        <w:t>.</w:t>
      </w:r>
    </w:p>
    <w:p w:rsidR="00342E67" w:rsidP="00342E67" w14:paraId="584EF56B" w14:textId="77777777">
      <w:pPr>
        <w:rPr>
          <w:rFonts w:cs="Times New Roman"/>
        </w:rPr>
      </w:pPr>
    </w:p>
    <w:p w:rsidR="00342E67" w:rsidRPr="00342E67" w:rsidP="00AA3ECF" w14:paraId="608D306D" w14:textId="6A4EF4E8">
      <w:pPr>
        <w:rPr>
          <w:szCs w:val="24"/>
        </w:rPr>
      </w:pPr>
      <w:r w:rsidRPr="00062D7F">
        <w:rPr>
          <w:rFonts w:cs="Times New Roman"/>
        </w:rPr>
        <w:t>The awarding of Planning Grants to states was the first phase of a two-phase process.  Phase II will consist of participation in the demonstration.</w:t>
      </w:r>
      <w:r w:rsidRPr="66C91678">
        <w:rPr>
          <w:rFonts w:cs="Times New Roman"/>
        </w:rPr>
        <w:t xml:space="preserve"> </w:t>
      </w:r>
    </w:p>
    <w:p w:rsidR="00342E67" w:rsidP="00E10916" w14:paraId="20687D61" w14:textId="77777777"/>
    <w:p w:rsidR="007D6E75" w:rsidRPr="008F73E3" w:rsidP="00342E67" w14:paraId="3A27E8A5" w14:textId="08DF157A">
      <w:pPr>
        <w:pStyle w:val="Heading1"/>
      </w:pPr>
      <w:r w:rsidRPr="008F73E3">
        <w:t>B. Description of Information Collection</w:t>
      </w:r>
    </w:p>
    <w:p w:rsidR="00075863" w:rsidRPr="008F73E3" w:rsidP="006F66FD" w14:paraId="3AA5C33C" w14:textId="77777777">
      <w:pPr>
        <w:rPr>
          <w:rFonts w:cs="Times New Roman"/>
          <w:szCs w:val="24"/>
          <w:u w:val="single"/>
        </w:rPr>
      </w:pPr>
    </w:p>
    <w:p w:rsidR="006F66FD" w:rsidRPr="008F73E3" w:rsidP="006F66FD" w14:paraId="1195ADB2" w14:textId="3E0089B3">
      <w:pPr>
        <w:rPr>
          <w:rFonts w:cs="Times New Roman"/>
          <w:szCs w:val="24"/>
        </w:rPr>
      </w:pPr>
      <w:r w:rsidRPr="008F73E3">
        <w:rPr>
          <w:rFonts w:cs="Times New Roman"/>
          <w:szCs w:val="24"/>
        </w:rPr>
        <w:t>The information collection includes two components</w:t>
      </w:r>
      <w:r w:rsidRPr="008F73E3" w:rsidR="00C409B6">
        <w:rPr>
          <w:rFonts w:cs="Times New Roman"/>
          <w:szCs w:val="24"/>
        </w:rPr>
        <w:t>:</w:t>
      </w:r>
      <w:r w:rsidRPr="008F73E3">
        <w:rPr>
          <w:rFonts w:cs="Times New Roman"/>
          <w:szCs w:val="24"/>
        </w:rPr>
        <w:t xml:space="preserve"> 1) the </w:t>
      </w:r>
      <w:r w:rsidR="00716F32">
        <w:rPr>
          <w:rFonts w:cs="Times New Roman"/>
          <w:szCs w:val="24"/>
        </w:rPr>
        <w:t xml:space="preserve">CCBHC State Proposal Demonstration </w:t>
      </w:r>
      <w:r w:rsidRPr="008F73E3">
        <w:rPr>
          <w:rFonts w:cs="Times New Roman"/>
          <w:szCs w:val="24"/>
        </w:rPr>
        <w:t>Application and 2) An application to add additional CCBHCs to existing state demonstration programs, providing updates to the information previously submitted in the state’s original state application.</w:t>
      </w:r>
      <w:r w:rsidR="003C58A3">
        <w:rPr>
          <w:rFonts w:cs="Times New Roman"/>
          <w:szCs w:val="24"/>
        </w:rPr>
        <w:t xml:space="preserve"> Both component collections include many of the same questions, however the State Proposal Demonstration Application has limited use to facilitate state eligibility and Federal selection to participate in the CCBHC demonstration, while the application to add CCBHCs is ongoing and can be used by states annually once a clinic meets state certification and can later be added to the program at the start of a state’s annual demonstration year.</w:t>
      </w:r>
    </w:p>
    <w:p w:rsidR="00AD51CC" w:rsidRPr="008F73E3" w:rsidP="66C91678" w14:paraId="3AEF93ED" w14:textId="77777777">
      <w:pPr>
        <w:rPr>
          <w:rFonts w:cs="Times New Roman"/>
          <w:u w:val="single"/>
        </w:rPr>
      </w:pPr>
    </w:p>
    <w:p w:rsidR="006F66FD" w:rsidRPr="008F73E3" w:rsidP="66C91678" w14:paraId="363545BB" w14:textId="1F23C955">
      <w:pPr>
        <w:rPr>
          <w:rFonts w:cs="Times New Roman"/>
          <w:u w:val="single"/>
        </w:rPr>
      </w:pPr>
      <w:bookmarkStart w:id="0" w:name="_Hlk154654619"/>
      <w:r w:rsidRPr="008F73E3">
        <w:rPr>
          <w:rFonts w:cs="Times New Roman"/>
          <w:u w:val="single"/>
        </w:rPr>
        <w:t>Section 223 State</w:t>
      </w:r>
      <w:r w:rsidRPr="008F73E3" w:rsidR="00A12D05">
        <w:rPr>
          <w:rFonts w:cs="Times New Roman"/>
          <w:u w:val="single"/>
        </w:rPr>
        <w:t xml:space="preserve"> </w:t>
      </w:r>
      <w:r w:rsidRPr="008F73E3" w:rsidR="6F8ED2A7">
        <w:rPr>
          <w:rFonts w:cs="Times New Roman"/>
          <w:u w:val="single"/>
        </w:rPr>
        <w:t xml:space="preserve">Demonstration </w:t>
      </w:r>
      <w:r w:rsidRPr="008F73E3">
        <w:rPr>
          <w:rFonts w:cs="Times New Roman"/>
          <w:u w:val="single"/>
        </w:rPr>
        <w:t>Application</w:t>
      </w:r>
    </w:p>
    <w:p w:rsidR="003644B6" w:rsidRPr="008F73E3" w:rsidP="006F66FD" w14:paraId="34C0D606" w14:textId="77777777">
      <w:pPr>
        <w:rPr>
          <w:rFonts w:cs="Times New Roman"/>
          <w:szCs w:val="24"/>
        </w:rPr>
      </w:pPr>
    </w:p>
    <w:p w:rsidR="002C58D2" w:rsidRPr="008F73E3" w:rsidP="002C58D2" w14:paraId="2A8EF3F7" w14:textId="35AF6CB3">
      <w:r w:rsidRPr="008F73E3">
        <w:rPr>
          <w:rFonts w:cs="Times New Roman"/>
        </w:rPr>
        <w:t>At the end of the planning phase of the demonstration, states are required to submit an application to show that they can meet all demonstration requirements set by SAMHSA and CMS.</w:t>
      </w:r>
      <w:r w:rsidRPr="008F73E3" w:rsidR="00F3165E">
        <w:rPr>
          <w:rFonts w:cs="Times New Roman"/>
        </w:rPr>
        <w:t xml:space="preserve">  </w:t>
      </w:r>
      <w:r w:rsidRPr="008F73E3" w:rsidR="006F66FD">
        <w:rPr>
          <w:rFonts w:cs="Times New Roman"/>
          <w:szCs w:val="24"/>
        </w:rPr>
        <w:t xml:space="preserve">States </w:t>
      </w:r>
      <w:r w:rsidRPr="008F73E3" w:rsidR="00AD51CC">
        <w:rPr>
          <w:rFonts w:cs="Times New Roman"/>
          <w:szCs w:val="24"/>
        </w:rPr>
        <w:t>must</w:t>
      </w:r>
      <w:r w:rsidRPr="008F73E3" w:rsidR="006F66FD">
        <w:rPr>
          <w:rFonts w:cs="Times New Roman"/>
          <w:szCs w:val="24"/>
        </w:rPr>
        <w:t xml:space="preserve"> complete the </w:t>
      </w:r>
      <w:r w:rsidRPr="008F73E3" w:rsidR="00E47B65">
        <w:rPr>
          <w:rFonts w:cs="Times New Roman"/>
          <w:szCs w:val="24"/>
        </w:rPr>
        <w:t>one</w:t>
      </w:r>
      <w:r w:rsidRPr="008F73E3" w:rsidR="00AD51CC">
        <w:rPr>
          <w:rFonts w:cs="Times New Roman"/>
          <w:szCs w:val="24"/>
        </w:rPr>
        <w:t>-</w:t>
      </w:r>
      <w:r w:rsidRPr="008F73E3" w:rsidR="00E47B65">
        <w:rPr>
          <w:rFonts w:cs="Times New Roman"/>
          <w:szCs w:val="24"/>
        </w:rPr>
        <w:t xml:space="preserve">time application </w:t>
      </w:r>
      <w:r w:rsidRPr="008F73E3" w:rsidR="006F66FD">
        <w:rPr>
          <w:rFonts w:cs="Times New Roman"/>
          <w:szCs w:val="24"/>
        </w:rPr>
        <w:t>template that includes criteria for a clinic to become certified prior to being selected for the demonstration program</w:t>
      </w:r>
      <w:r w:rsidRPr="008F73E3" w:rsidR="00F3165E">
        <w:rPr>
          <w:rFonts w:cs="Times New Roman"/>
          <w:szCs w:val="24"/>
        </w:rPr>
        <w:t xml:space="preserve"> and requirements around setting PPS rates including submission of a completed cost report to demonstrate the state’s understanding of the manner in which providers are to report their clinic specific costs in the reporting template and set their clinic specific PPS rate</w:t>
      </w:r>
      <w:r w:rsidRPr="008F73E3" w:rsidR="006F66FD">
        <w:rPr>
          <w:rFonts w:cs="Times New Roman"/>
          <w:szCs w:val="24"/>
        </w:rPr>
        <w:t>.  The template will serve as the application for consideration to participate in the demonstration.</w:t>
      </w:r>
      <w:r w:rsidRPr="002C58D2">
        <w:t xml:space="preserve"> </w:t>
      </w:r>
      <w:r w:rsidRPr="008F73E3">
        <w:t>The same two-phase planning grant award and demonstration application process will take place in FY 2025</w:t>
      </w:r>
      <w:r>
        <w:t xml:space="preserve"> and</w:t>
      </w:r>
      <w:r w:rsidRPr="008F73E3">
        <w:t xml:space="preserve"> 2026.</w:t>
      </w:r>
    </w:p>
    <w:p w:rsidR="009E6579" w:rsidRPr="008F73E3" w:rsidP="006F66FD" w14:paraId="789FBDC6" w14:textId="2A65DD5B">
      <w:pPr>
        <w:rPr>
          <w:rFonts w:cs="Times New Roman"/>
          <w:szCs w:val="24"/>
        </w:rPr>
      </w:pPr>
    </w:p>
    <w:p w:rsidR="00C409B6" w:rsidRPr="008F73E3" w:rsidP="006F66FD" w14:paraId="35124961" w14:textId="60235CC5">
      <w:pPr>
        <w:rPr>
          <w:rFonts w:cs="Times New Roman"/>
          <w:szCs w:val="24"/>
          <w:u w:val="single"/>
        </w:rPr>
      </w:pPr>
      <w:r w:rsidRPr="008F73E3">
        <w:rPr>
          <w:rFonts w:cs="Times New Roman"/>
          <w:szCs w:val="24"/>
          <w:u w:val="single"/>
        </w:rPr>
        <w:t>Application to Add Additional CCBHCs</w:t>
      </w:r>
    </w:p>
    <w:bookmarkEnd w:id="0"/>
    <w:p w:rsidR="00C409B6" w:rsidRPr="008F73E3" w:rsidP="006F66FD" w14:paraId="25AD67AF" w14:textId="77777777">
      <w:pPr>
        <w:rPr>
          <w:rFonts w:cs="Times New Roman"/>
          <w:szCs w:val="24"/>
        </w:rPr>
      </w:pPr>
    </w:p>
    <w:p w:rsidR="008F73E3" w:rsidRPr="008F73E3" w:rsidP="66C91678" w14:paraId="0C3BB3D7" w14:textId="51F846F2">
      <w:r>
        <w:t>Existing s</w:t>
      </w:r>
      <w:r w:rsidRPr="008F73E3" w:rsidR="00A91E2F">
        <w:t>tates participating in the Section 223 Protecting Access to Medicare Act of 2014, CCBHC Demonstration Program are permitted as of February 21, 2023 to add new CCBHCs to their demonstration programs, subject to the following guidance</w:t>
      </w:r>
      <w:r w:rsidRPr="008F73E3" w:rsidR="00076F30">
        <w:t xml:space="preserve"> </w:t>
      </w:r>
      <w:hyperlink r:id="rId11" w:history="1">
        <w:r w:rsidRPr="008F73E3" w:rsidR="00076F30">
          <w:rPr>
            <w:rStyle w:val="Hyperlink"/>
          </w:rPr>
          <w:t>Addition of CCBHCs to State Demonstration Programs</w:t>
        </w:r>
      </w:hyperlink>
      <w:r w:rsidRPr="008F73E3" w:rsidR="00076F30">
        <w:t xml:space="preserve">. </w:t>
      </w:r>
      <w:r w:rsidRPr="008F73E3" w:rsidR="00A91E2F">
        <w:t xml:space="preserve">States applying to participate in the demonstration will be required to detail the process for </w:t>
      </w:r>
      <w:r w:rsidR="003C58A3">
        <w:t>any future addition of clinics not added during the state</w:t>
      </w:r>
      <w:r>
        <w:t>’s</w:t>
      </w:r>
      <w:r w:rsidR="003C58A3">
        <w:t xml:space="preserve"> first demonstration year </w:t>
      </w:r>
      <w:r w:rsidRPr="008F73E3" w:rsidR="00A91E2F">
        <w:t xml:space="preserve">which includes </w:t>
      </w:r>
      <w:r>
        <w:t xml:space="preserve">completion of the </w:t>
      </w:r>
      <w:r w:rsidRPr="008F73E3" w:rsidR="00A91E2F">
        <w:t>Criteria Compliance Checklist</w:t>
      </w:r>
      <w:r w:rsidRPr="008F73E3" w:rsidR="006E1953">
        <w:t xml:space="preserve">. </w:t>
      </w:r>
    </w:p>
    <w:p w:rsidR="008F73E3" w:rsidRPr="008F73E3" w:rsidP="66C91678" w14:paraId="6057500F" w14:textId="77777777"/>
    <w:p w:rsidR="007D6E75" w:rsidRPr="008111D2" w:rsidP="00342E67" w14:paraId="5AC7D694" w14:textId="77777777">
      <w:pPr>
        <w:pStyle w:val="Heading1"/>
      </w:pPr>
      <w:r w:rsidRPr="008F73E3">
        <w:t>C. Deviations from Generic Request</w:t>
      </w:r>
    </w:p>
    <w:p w:rsidR="006F66FD" w:rsidP="00E57856" w14:paraId="3F7FDE55" w14:textId="77777777">
      <w:pPr>
        <w:rPr>
          <w:szCs w:val="24"/>
        </w:rPr>
      </w:pPr>
    </w:p>
    <w:p w:rsidR="00E2436A" w:rsidP="00E57856" w14:paraId="061E6EE8" w14:textId="4B84DE15">
      <w:r>
        <w:t>n/a</w:t>
      </w:r>
    </w:p>
    <w:p w:rsidR="00E2436A" w:rsidRPr="00E57856" w:rsidP="00E57856" w14:paraId="589169A2" w14:textId="77777777"/>
    <w:p w:rsidR="007D6E75" w:rsidRPr="008111D2" w:rsidP="00342E67" w14:paraId="492D928A" w14:textId="77777777">
      <w:pPr>
        <w:pStyle w:val="Heading1"/>
      </w:pPr>
      <w:r w:rsidRPr="008111D2">
        <w:t>D. Burden Hour Deduction</w:t>
      </w:r>
    </w:p>
    <w:p w:rsidR="006F66FD" w:rsidP="00E57856" w14:paraId="745B9F02" w14:textId="77777777">
      <w:pPr>
        <w:rPr>
          <w:szCs w:val="24"/>
        </w:rPr>
      </w:pPr>
    </w:p>
    <w:p w:rsidR="00D17137" w:rsidRPr="003F2630" w:rsidP="00E57856" w14:paraId="65F60A6D" w14:textId="47E82049">
      <w:pPr>
        <w:rPr>
          <w:i/>
          <w:iCs/>
          <w:szCs w:val="24"/>
        </w:rPr>
      </w:pPr>
      <w:r w:rsidRPr="003F2630">
        <w:rPr>
          <w:i/>
          <w:iCs/>
          <w:szCs w:val="24"/>
        </w:rPr>
        <w:t xml:space="preserve">D.1 </w:t>
      </w:r>
      <w:r w:rsidRPr="003F2630">
        <w:rPr>
          <w:i/>
          <w:iCs/>
          <w:szCs w:val="24"/>
        </w:rPr>
        <w:t>Wage Data</w:t>
      </w:r>
    </w:p>
    <w:p w:rsidR="00D17137" w:rsidP="00E57856" w14:paraId="773DF972" w14:textId="77777777">
      <w:pPr>
        <w:rPr>
          <w:szCs w:val="24"/>
        </w:rPr>
      </w:pPr>
    </w:p>
    <w:p w:rsidR="00784C7C" w:rsidP="00E57856" w14:paraId="01567F01" w14:textId="2534CD3D">
      <w:pPr>
        <w:rPr>
          <w:szCs w:val="24"/>
        </w:rPr>
      </w:pPr>
      <w:r w:rsidRPr="00784C7C">
        <w:rPr>
          <w:szCs w:val="24"/>
        </w:rPr>
        <w:t xml:space="preserve">To derive average costs, we used data from the U.S. Bureau of Labor Statistics’ May 2022 National Occupational Employment and Wage Estimates for all salary estimates (https://www.bls.gov/oes/2022/may/oes_nat.htm). In this regard, </w:t>
      </w:r>
      <w:r>
        <w:rPr>
          <w:szCs w:val="24"/>
        </w:rPr>
        <w:t xml:space="preserve">Table 1 </w:t>
      </w:r>
      <w:r w:rsidRPr="00784C7C">
        <w:rPr>
          <w:szCs w:val="24"/>
        </w:rPr>
        <w:t xml:space="preserve">presents </w:t>
      </w:r>
      <w:r>
        <w:rPr>
          <w:szCs w:val="24"/>
        </w:rPr>
        <w:t xml:space="preserve">BLS’ </w:t>
      </w:r>
      <w:r w:rsidRPr="00784C7C">
        <w:rPr>
          <w:szCs w:val="24"/>
        </w:rPr>
        <w:t>me</w:t>
      </w:r>
      <w:r>
        <w:rPr>
          <w:szCs w:val="24"/>
        </w:rPr>
        <w:t>an</w:t>
      </w:r>
      <w:r w:rsidRPr="00784C7C">
        <w:rPr>
          <w:szCs w:val="24"/>
        </w:rPr>
        <w:t xml:space="preserve"> </w:t>
      </w:r>
      <w:r w:rsidRPr="00784C7C">
        <w:rPr>
          <w:szCs w:val="24"/>
        </w:rPr>
        <w:t xml:space="preserve">hourly wage, </w:t>
      </w:r>
      <w:r>
        <w:rPr>
          <w:szCs w:val="24"/>
        </w:rPr>
        <w:t xml:space="preserve">our estimated </w:t>
      </w:r>
      <w:r w:rsidRPr="00784C7C">
        <w:rPr>
          <w:szCs w:val="24"/>
        </w:rPr>
        <w:t xml:space="preserve">cost of fringe benefits and other indirect costs (calculated at 100 percent of salary), and </w:t>
      </w:r>
      <w:r>
        <w:rPr>
          <w:szCs w:val="24"/>
        </w:rPr>
        <w:t xml:space="preserve">our </w:t>
      </w:r>
      <w:r w:rsidRPr="00784C7C">
        <w:rPr>
          <w:szCs w:val="24"/>
        </w:rPr>
        <w:t>adjusted hourly wage.</w:t>
      </w:r>
    </w:p>
    <w:p w:rsidR="00D17137" w:rsidP="00E57856" w14:paraId="12D60AC6" w14:textId="77777777">
      <w:pPr>
        <w:rPr>
          <w:szCs w:val="24"/>
        </w:rPr>
      </w:pPr>
    </w:p>
    <w:p w:rsidR="00D4764B" w:rsidRPr="007907F3" w:rsidP="00784C7C" w14:paraId="485D51C4" w14:textId="34485BEF">
      <w:pPr>
        <w:jc w:val="center"/>
        <w:rPr>
          <w:rFonts w:cs="Times New Roman"/>
          <w:iCs/>
          <w:szCs w:val="24"/>
        </w:rPr>
      </w:pPr>
      <w:r w:rsidRPr="007907F3">
        <w:rPr>
          <w:rFonts w:cs="Times New Roman"/>
          <w:iCs/>
          <w:szCs w:val="24"/>
        </w:rPr>
        <w:t>Table 1:</w:t>
      </w:r>
      <w:r w:rsidRPr="007907F3" w:rsidR="00CE19D5">
        <w:rPr>
          <w:rFonts w:cs="Times New Roman"/>
          <w:iCs/>
          <w:szCs w:val="24"/>
        </w:rPr>
        <w:t xml:space="preserve"> Occupational Employment and Wage Estimates</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440"/>
        <w:gridCol w:w="1170"/>
        <w:gridCol w:w="1350"/>
        <w:gridCol w:w="1440"/>
      </w:tblGrid>
      <w:tr w14:paraId="16D24777" w14:textId="77777777" w:rsidTr="00084152">
        <w:tblPrEx>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blHeader/>
        </w:trPr>
        <w:tc>
          <w:tcPr>
            <w:tcW w:w="2880" w:type="dxa"/>
            <w:shd w:val="clear" w:color="auto" w:fill="auto"/>
          </w:tcPr>
          <w:p w:rsidR="00D4764B" w:rsidRPr="008D1448" w:rsidP="00C61231" w14:paraId="3F16A3F2" w14:textId="77777777">
            <w:pPr>
              <w:rPr>
                <w:rFonts w:cs="Times New Roman"/>
                <w:bCs/>
                <w:sz w:val="22"/>
              </w:rPr>
            </w:pPr>
            <w:r w:rsidRPr="008D1448">
              <w:rPr>
                <w:rFonts w:cs="Times New Roman"/>
                <w:bCs/>
                <w:sz w:val="22"/>
              </w:rPr>
              <w:t>Occupation Title</w:t>
            </w:r>
          </w:p>
        </w:tc>
        <w:tc>
          <w:tcPr>
            <w:tcW w:w="1440" w:type="dxa"/>
            <w:shd w:val="clear" w:color="auto" w:fill="auto"/>
          </w:tcPr>
          <w:p w:rsidR="00D4764B" w:rsidRPr="008D1448" w:rsidP="00C61231" w14:paraId="629C494A" w14:textId="77777777">
            <w:pPr>
              <w:rPr>
                <w:rFonts w:cs="Times New Roman"/>
                <w:bCs/>
                <w:sz w:val="22"/>
              </w:rPr>
            </w:pPr>
            <w:r w:rsidRPr="008D1448">
              <w:rPr>
                <w:rFonts w:cs="Times New Roman"/>
                <w:bCs/>
                <w:sz w:val="22"/>
              </w:rPr>
              <w:t>Occupation Code</w:t>
            </w:r>
          </w:p>
        </w:tc>
        <w:tc>
          <w:tcPr>
            <w:tcW w:w="1170" w:type="dxa"/>
            <w:shd w:val="clear" w:color="auto" w:fill="auto"/>
          </w:tcPr>
          <w:p w:rsidR="00D4764B" w:rsidRPr="008D1448" w:rsidP="00C61231" w14:paraId="20B47593" w14:textId="235DD385">
            <w:pPr>
              <w:rPr>
                <w:rFonts w:cs="Times New Roman"/>
                <w:bCs/>
                <w:sz w:val="22"/>
              </w:rPr>
            </w:pPr>
            <w:r w:rsidRPr="008D1448">
              <w:rPr>
                <w:rFonts w:cs="Times New Roman"/>
                <w:bCs/>
                <w:sz w:val="22"/>
              </w:rPr>
              <w:t>Mean Hourly Wage</w:t>
            </w:r>
            <w:r w:rsidRPr="008D1448" w:rsidR="0070121E">
              <w:rPr>
                <w:rFonts w:cs="Times New Roman"/>
                <w:bCs/>
                <w:sz w:val="22"/>
              </w:rPr>
              <w:t xml:space="preserve"> ($/hr)</w:t>
            </w:r>
          </w:p>
        </w:tc>
        <w:tc>
          <w:tcPr>
            <w:tcW w:w="1350" w:type="dxa"/>
            <w:shd w:val="clear" w:color="auto" w:fill="auto"/>
          </w:tcPr>
          <w:p w:rsidR="00D4764B" w:rsidRPr="008D1448" w:rsidP="00C61231" w14:paraId="460F4C23" w14:textId="38643BAE">
            <w:pPr>
              <w:rPr>
                <w:rFonts w:cs="Times New Roman"/>
                <w:bCs/>
                <w:sz w:val="22"/>
              </w:rPr>
            </w:pPr>
            <w:r w:rsidRPr="008D1448">
              <w:rPr>
                <w:rFonts w:cs="Times New Roman"/>
                <w:bCs/>
                <w:sz w:val="22"/>
              </w:rPr>
              <w:t>Fringe Benefit</w:t>
            </w:r>
            <w:r w:rsidRPr="008D1448" w:rsidR="0070121E">
              <w:rPr>
                <w:rFonts w:cs="Times New Roman"/>
                <w:bCs/>
                <w:sz w:val="22"/>
              </w:rPr>
              <w:t xml:space="preserve">s and </w:t>
            </w:r>
            <w:r w:rsidRPr="008D1448" w:rsidR="008E275D">
              <w:rPr>
                <w:rFonts w:cs="Times New Roman"/>
                <w:bCs/>
                <w:sz w:val="22"/>
              </w:rPr>
              <w:t>Other Indirect Costs</w:t>
            </w:r>
            <w:r w:rsidRPr="008D1448" w:rsidR="0070121E">
              <w:rPr>
                <w:rFonts w:cs="Times New Roman"/>
                <w:bCs/>
                <w:sz w:val="22"/>
              </w:rPr>
              <w:t xml:space="preserve"> ($/hr)</w:t>
            </w:r>
          </w:p>
        </w:tc>
        <w:tc>
          <w:tcPr>
            <w:tcW w:w="1440" w:type="dxa"/>
          </w:tcPr>
          <w:p w:rsidR="00D4764B" w:rsidRPr="008D1448" w:rsidP="00C61231" w14:paraId="53E8BC58" w14:textId="77777777">
            <w:pPr>
              <w:rPr>
                <w:rFonts w:cs="Times New Roman"/>
                <w:bCs/>
                <w:sz w:val="22"/>
              </w:rPr>
            </w:pPr>
            <w:r w:rsidRPr="008D1448">
              <w:rPr>
                <w:rFonts w:cs="Times New Roman"/>
                <w:bCs/>
                <w:sz w:val="22"/>
              </w:rPr>
              <w:t>Adjusted Hourly Wage</w:t>
            </w:r>
          </w:p>
        </w:tc>
      </w:tr>
      <w:tr w14:paraId="3ACE475F" w14:textId="77777777" w:rsidTr="00084152">
        <w:tblPrEx>
          <w:tblW w:w="8280" w:type="dxa"/>
          <w:tblInd w:w="-5" w:type="dxa"/>
          <w:tblLayout w:type="fixed"/>
          <w:tblLook w:val="04A0"/>
        </w:tblPrEx>
        <w:trPr>
          <w:trHeight w:val="800"/>
          <w:tblHeader/>
        </w:trPr>
        <w:tc>
          <w:tcPr>
            <w:tcW w:w="2880" w:type="dxa"/>
            <w:shd w:val="clear" w:color="auto" w:fill="auto"/>
          </w:tcPr>
          <w:p w:rsidR="0070121E" w:rsidRPr="008D1448" w:rsidP="0070121E" w14:paraId="53ADE670" w14:textId="170B4DBE">
            <w:pPr>
              <w:rPr>
                <w:rFonts w:cs="Times New Roman"/>
                <w:sz w:val="22"/>
              </w:rPr>
            </w:pPr>
            <w:r w:rsidRPr="008D1448">
              <w:rPr>
                <w:rFonts w:cs="Times New Roman"/>
                <w:sz w:val="22"/>
              </w:rPr>
              <w:t>Financial Manager</w:t>
            </w:r>
          </w:p>
        </w:tc>
        <w:tc>
          <w:tcPr>
            <w:tcW w:w="1440" w:type="dxa"/>
            <w:shd w:val="clear" w:color="auto" w:fill="auto"/>
          </w:tcPr>
          <w:p w:rsidR="0070121E" w:rsidRPr="008D1448" w:rsidP="0070121E" w14:paraId="516E4A00" w14:textId="27B22115">
            <w:pPr>
              <w:rPr>
                <w:rFonts w:cs="Times New Roman"/>
                <w:sz w:val="22"/>
              </w:rPr>
            </w:pPr>
            <w:r w:rsidRPr="008D1448">
              <w:rPr>
                <w:rFonts w:cs="Times New Roman"/>
                <w:sz w:val="22"/>
              </w:rPr>
              <w:t>11-3031</w:t>
            </w:r>
          </w:p>
        </w:tc>
        <w:tc>
          <w:tcPr>
            <w:tcW w:w="1170" w:type="dxa"/>
            <w:shd w:val="clear" w:color="auto" w:fill="auto"/>
          </w:tcPr>
          <w:p w:rsidR="0070121E" w:rsidRPr="008D1448" w:rsidP="0070121E" w14:paraId="0F19D0BF" w14:textId="61886989">
            <w:pPr>
              <w:rPr>
                <w:rFonts w:cs="Times New Roman"/>
                <w:sz w:val="22"/>
              </w:rPr>
            </w:pPr>
            <w:r w:rsidRPr="008D1448">
              <w:rPr>
                <w:rFonts w:cs="Times New Roman"/>
                <w:sz w:val="22"/>
              </w:rPr>
              <w:t>79.83</w:t>
            </w:r>
          </w:p>
        </w:tc>
        <w:tc>
          <w:tcPr>
            <w:tcW w:w="1350" w:type="dxa"/>
            <w:shd w:val="clear" w:color="auto" w:fill="auto"/>
          </w:tcPr>
          <w:p w:rsidR="0070121E" w:rsidRPr="008D1448" w:rsidP="0070121E" w14:paraId="6C69F4B1" w14:textId="06EEC2B7">
            <w:pPr>
              <w:rPr>
                <w:rFonts w:cs="Times New Roman"/>
                <w:sz w:val="22"/>
                <w:highlight w:val="yellow"/>
              </w:rPr>
            </w:pPr>
            <w:r w:rsidRPr="008D1448">
              <w:rPr>
                <w:rFonts w:cs="Times New Roman"/>
                <w:sz w:val="22"/>
              </w:rPr>
              <w:t>79.83</w:t>
            </w:r>
          </w:p>
        </w:tc>
        <w:tc>
          <w:tcPr>
            <w:tcW w:w="1440" w:type="dxa"/>
          </w:tcPr>
          <w:p w:rsidR="0070121E" w:rsidRPr="008D1448" w:rsidP="0070121E" w14:paraId="37DD2B2E" w14:textId="5615EB06">
            <w:pPr>
              <w:rPr>
                <w:rFonts w:cs="Times New Roman"/>
                <w:sz w:val="22"/>
              </w:rPr>
            </w:pPr>
            <w:r w:rsidRPr="008D1448">
              <w:rPr>
                <w:rFonts w:cs="Times New Roman"/>
                <w:sz w:val="22"/>
              </w:rPr>
              <w:t>159.66</w:t>
            </w:r>
          </w:p>
        </w:tc>
      </w:tr>
      <w:tr w14:paraId="32F99EDF" w14:textId="77777777" w:rsidTr="00084152">
        <w:tblPrEx>
          <w:tblW w:w="8280" w:type="dxa"/>
          <w:tblInd w:w="-5" w:type="dxa"/>
          <w:tblLayout w:type="fixed"/>
          <w:tblLook w:val="04A0"/>
        </w:tblPrEx>
        <w:tc>
          <w:tcPr>
            <w:tcW w:w="2880" w:type="dxa"/>
            <w:shd w:val="clear" w:color="auto" w:fill="auto"/>
          </w:tcPr>
          <w:p w:rsidR="0070121E" w:rsidRPr="008D1448" w:rsidP="0070121E" w14:paraId="1C0C5701" w14:textId="77777777">
            <w:pPr>
              <w:rPr>
                <w:rFonts w:cs="Times New Roman"/>
                <w:sz w:val="22"/>
              </w:rPr>
            </w:pPr>
            <w:r w:rsidRPr="008D1448">
              <w:rPr>
                <w:rFonts w:cs="Times New Roman"/>
                <w:sz w:val="22"/>
              </w:rPr>
              <w:t>Financial Specialists,  All Other</w:t>
            </w:r>
          </w:p>
        </w:tc>
        <w:tc>
          <w:tcPr>
            <w:tcW w:w="1440" w:type="dxa"/>
            <w:shd w:val="clear" w:color="auto" w:fill="auto"/>
          </w:tcPr>
          <w:p w:rsidR="0070121E" w:rsidRPr="008D1448" w:rsidP="0070121E" w14:paraId="207292BD" w14:textId="77777777">
            <w:pPr>
              <w:rPr>
                <w:rFonts w:cs="Times New Roman"/>
                <w:sz w:val="22"/>
              </w:rPr>
            </w:pPr>
            <w:r w:rsidRPr="008D1448">
              <w:rPr>
                <w:rFonts w:cs="Times New Roman"/>
                <w:sz w:val="22"/>
              </w:rPr>
              <w:t>13-2099</w:t>
            </w:r>
          </w:p>
        </w:tc>
        <w:tc>
          <w:tcPr>
            <w:tcW w:w="1170" w:type="dxa"/>
            <w:shd w:val="clear" w:color="auto" w:fill="auto"/>
          </w:tcPr>
          <w:p w:rsidR="0070121E" w:rsidRPr="008D1448" w:rsidP="0070121E" w14:paraId="66741A2D" w14:textId="49458CE7">
            <w:pPr>
              <w:rPr>
                <w:rFonts w:cs="Times New Roman"/>
                <w:sz w:val="22"/>
              </w:rPr>
            </w:pPr>
            <w:r w:rsidRPr="008D1448">
              <w:rPr>
                <w:rFonts w:cs="Times New Roman"/>
                <w:sz w:val="22"/>
              </w:rPr>
              <w:t>40.18</w:t>
            </w:r>
          </w:p>
        </w:tc>
        <w:tc>
          <w:tcPr>
            <w:tcW w:w="1350" w:type="dxa"/>
            <w:shd w:val="clear" w:color="auto" w:fill="auto"/>
          </w:tcPr>
          <w:p w:rsidR="0070121E" w:rsidRPr="008D1448" w:rsidP="0070121E" w14:paraId="0F1D0F0F" w14:textId="10B09038">
            <w:pPr>
              <w:rPr>
                <w:rFonts w:cs="Times New Roman"/>
                <w:sz w:val="22"/>
              </w:rPr>
            </w:pPr>
            <w:r w:rsidRPr="008D1448">
              <w:rPr>
                <w:rFonts w:cs="Times New Roman"/>
                <w:sz w:val="22"/>
              </w:rPr>
              <w:t>40.18</w:t>
            </w:r>
          </w:p>
        </w:tc>
        <w:tc>
          <w:tcPr>
            <w:tcW w:w="1440" w:type="dxa"/>
          </w:tcPr>
          <w:p w:rsidR="0070121E" w:rsidRPr="008D1448" w:rsidP="0070121E" w14:paraId="68D77CB3" w14:textId="21E634E6">
            <w:pPr>
              <w:rPr>
                <w:rFonts w:cs="Times New Roman"/>
                <w:sz w:val="22"/>
              </w:rPr>
            </w:pPr>
            <w:r w:rsidRPr="008D1448">
              <w:rPr>
                <w:rFonts w:cs="Times New Roman"/>
                <w:sz w:val="22"/>
              </w:rPr>
              <w:t>80.36</w:t>
            </w:r>
          </w:p>
        </w:tc>
      </w:tr>
      <w:tr w14:paraId="2EFB5019" w14:textId="77777777" w:rsidTr="00084152">
        <w:tblPrEx>
          <w:tblW w:w="8280" w:type="dxa"/>
          <w:tblInd w:w="-5" w:type="dxa"/>
          <w:tblLayout w:type="fixed"/>
          <w:tblLook w:val="04A0"/>
        </w:tblPrEx>
        <w:tc>
          <w:tcPr>
            <w:tcW w:w="2880" w:type="dxa"/>
            <w:shd w:val="clear" w:color="auto" w:fill="auto"/>
          </w:tcPr>
          <w:p w:rsidR="0070121E" w:rsidRPr="008D1448" w:rsidP="0070121E" w14:paraId="2D50A05D" w14:textId="6FA7FFE3">
            <w:pPr>
              <w:rPr>
                <w:rFonts w:cs="Times New Roman"/>
                <w:sz w:val="22"/>
              </w:rPr>
            </w:pPr>
            <w:r w:rsidRPr="008D1448">
              <w:rPr>
                <w:rFonts w:cs="Times New Roman"/>
                <w:sz w:val="22"/>
              </w:rPr>
              <w:t>General and Operations Manager</w:t>
            </w:r>
          </w:p>
        </w:tc>
        <w:tc>
          <w:tcPr>
            <w:tcW w:w="1440" w:type="dxa"/>
            <w:shd w:val="clear" w:color="auto" w:fill="auto"/>
          </w:tcPr>
          <w:p w:rsidR="0070121E" w:rsidRPr="008D1448" w:rsidP="0070121E" w14:paraId="0924D0FA" w14:textId="1B10910B">
            <w:pPr>
              <w:rPr>
                <w:rFonts w:cs="Times New Roman"/>
                <w:sz w:val="22"/>
              </w:rPr>
            </w:pPr>
            <w:r w:rsidRPr="008D1448">
              <w:rPr>
                <w:rFonts w:cs="Times New Roman"/>
                <w:sz w:val="22"/>
              </w:rPr>
              <w:t>11-1021</w:t>
            </w:r>
          </w:p>
        </w:tc>
        <w:tc>
          <w:tcPr>
            <w:tcW w:w="1170" w:type="dxa"/>
            <w:shd w:val="clear" w:color="auto" w:fill="auto"/>
          </w:tcPr>
          <w:p w:rsidR="0070121E" w:rsidRPr="008D1448" w:rsidP="0070121E" w14:paraId="6471BB58" w14:textId="0C3B557C">
            <w:pPr>
              <w:rPr>
                <w:rFonts w:cs="Times New Roman"/>
                <w:sz w:val="22"/>
              </w:rPr>
            </w:pPr>
            <w:r w:rsidRPr="008D1448">
              <w:rPr>
                <w:rFonts w:cs="Times New Roman"/>
                <w:sz w:val="22"/>
              </w:rPr>
              <w:t>59.07</w:t>
            </w:r>
          </w:p>
        </w:tc>
        <w:tc>
          <w:tcPr>
            <w:tcW w:w="1350" w:type="dxa"/>
            <w:shd w:val="clear" w:color="auto" w:fill="auto"/>
          </w:tcPr>
          <w:p w:rsidR="0070121E" w:rsidRPr="008D1448" w:rsidP="0070121E" w14:paraId="7A2D0578" w14:textId="60996E7D">
            <w:pPr>
              <w:rPr>
                <w:rFonts w:cs="Times New Roman"/>
                <w:sz w:val="22"/>
              </w:rPr>
            </w:pPr>
            <w:r w:rsidRPr="008D1448">
              <w:rPr>
                <w:rFonts w:cs="Times New Roman"/>
                <w:sz w:val="22"/>
              </w:rPr>
              <w:t>59.07</w:t>
            </w:r>
          </w:p>
        </w:tc>
        <w:tc>
          <w:tcPr>
            <w:tcW w:w="1440" w:type="dxa"/>
          </w:tcPr>
          <w:p w:rsidR="0070121E" w:rsidRPr="008D1448" w:rsidP="0070121E" w14:paraId="2C37B904" w14:textId="17882EBA">
            <w:pPr>
              <w:rPr>
                <w:rFonts w:cs="Times New Roman"/>
                <w:sz w:val="22"/>
              </w:rPr>
            </w:pPr>
            <w:r w:rsidRPr="008D1448">
              <w:rPr>
                <w:rFonts w:cs="Times New Roman"/>
                <w:sz w:val="22"/>
              </w:rPr>
              <w:t>118.14</w:t>
            </w:r>
          </w:p>
        </w:tc>
      </w:tr>
      <w:tr w14:paraId="1B4033F5" w14:textId="77777777" w:rsidTr="00084152">
        <w:tblPrEx>
          <w:tblW w:w="8280" w:type="dxa"/>
          <w:tblInd w:w="-5" w:type="dxa"/>
          <w:tblLayout w:type="fixed"/>
          <w:tblLook w:val="04A0"/>
        </w:tblPrEx>
        <w:tc>
          <w:tcPr>
            <w:tcW w:w="2880" w:type="dxa"/>
            <w:shd w:val="clear" w:color="auto" w:fill="auto"/>
          </w:tcPr>
          <w:p w:rsidR="0070121E" w:rsidRPr="008D1448" w:rsidP="0070121E" w14:paraId="7A3C8BC5" w14:textId="108DA3CD">
            <w:pPr>
              <w:rPr>
                <w:rFonts w:cs="Times New Roman"/>
                <w:sz w:val="22"/>
              </w:rPr>
            </w:pPr>
            <w:r w:rsidRPr="008D1448">
              <w:rPr>
                <w:rFonts w:cs="Times New Roman"/>
                <w:sz w:val="22"/>
              </w:rPr>
              <w:t>Medical and Health Services Manager</w:t>
            </w:r>
          </w:p>
        </w:tc>
        <w:tc>
          <w:tcPr>
            <w:tcW w:w="1440" w:type="dxa"/>
            <w:shd w:val="clear" w:color="auto" w:fill="auto"/>
          </w:tcPr>
          <w:p w:rsidR="0070121E" w:rsidRPr="008D1448" w:rsidP="0070121E" w14:paraId="7FCB09B6" w14:textId="24D1BB87">
            <w:pPr>
              <w:rPr>
                <w:rFonts w:cs="Times New Roman"/>
                <w:sz w:val="22"/>
              </w:rPr>
            </w:pPr>
            <w:r w:rsidRPr="008D1448">
              <w:rPr>
                <w:rFonts w:cs="Times New Roman"/>
                <w:sz w:val="22"/>
              </w:rPr>
              <w:t>11-9111</w:t>
            </w:r>
          </w:p>
        </w:tc>
        <w:tc>
          <w:tcPr>
            <w:tcW w:w="1170" w:type="dxa"/>
            <w:shd w:val="clear" w:color="auto" w:fill="auto"/>
          </w:tcPr>
          <w:p w:rsidR="0070121E" w:rsidRPr="008D1448" w:rsidP="0070121E" w14:paraId="2B4082C7" w14:textId="5B4B282C">
            <w:pPr>
              <w:rPr>
                <w:rFonts w:cs="Times New Roman"/>
                <w:sz w:val="22"/>
              </w:rPr>
            </w:pPr>
            <w:r w:rsidRPr="008D1448">
              <w:rPr>
                <w:rFonts w:cs="Times New Roman"/>
                <w:sz w:val="22"/>
              </w:rPr>
              <w:t>61.53</w:t>
            </w:r>
          </w:p>
        </w:tc>
        <w:tc>
          <w:tcPr>
            <w:tcW w:w="1350" w:type="dxa"/>
            <w:shd w:val="clear" w:color="auto" w:fill="auto"/>
          </w:tcPr>
          <w:p w:rsidR="0070121E" w:rsidRPr="008D1448" w:rsidP="0070121E" w14:paraId="64E5E947" w14:textId="79308973">
            <w:pPr>
              <w:rPr>
                <w:rFonts w:cs="Times New Roman"/>
                <w:sz w:val="22"/>
              </w:rPr>
            </w:pPr>
            <w:r w:rsidRPr="008D1448">
              <w:rPr>
                <w:rFonts w:cs="Times New Roman"/>
                <w:sz w:val="22"/>
              </w:rPr>
              <w:t>61.53</w:t>
            </w:r>
          </w:p>
        </w:tc>
        <w:tc>
          <w:tcPr>
            <w:tcW w:w="1440" w:type="dxa"/>
          </w:tcPr>
          <w:p w:rsidR="0070121E" w:rsidRPr="008D1448" w:rsidP="0070121E" w14:paraId="63333297" w14:textId="5E7560DF">
            <w:pPr>
              <w:rPr>
                <w:rFonts w:cs="Times New Roman"/>
                <w:sz w:val="22"/>
              </w:rPr>
            </w:pPr>
            <w:r w:rsidRPr="008D1448">
              <w:rPr>
                <w:rFonts w:cs="Times New Roman"/>
                <w:sz w:val="22"/>
              </w:rPr>
              <w:t>123.06</w:t>
            </w:r>
          </w:p>
        </w:tc>
      </w:tr>
    </w:tbl>
    <w:p w:rsidR="0070121E" w:rsidP="00E57856" w14:paraId="410613C4" w14:textId="77777777">
      <w:pPr>
        <w:rPr>
          <w:szCs w:val="24"/>
        </w:rPr>
      </w:pPr>
    </w:p>
    <w:p w:rsidR="00D4764B" w:rsidP="00D4764B" w14:paraId="728F246D" w14:textId="4C47BF63">
      <w:r w:rsidRPr="007D6208">
        <w:rPr>
          <w:rFonts w:cs="Times New Roman"/>
          <w:szCs w:val="24"/>
        </w:rPr>
        <w:t xml:space="preserve">As indicated, we are adjusting our employee hourly wage estimates by a factor of 100 percent. This is necessarily a rough adjustment, both because fringe benefits and </w:t>
      </w:r>
      <w:r w:rsidRPr="00D01F06" w:rsidR="00D01F06">
        <w:rPr>
          <w:rFonts w:cs="Times New Roman"/>
          <w:szCs w:val="24"/>
        </w:rPr>
        <w:t xml:space="preserve">other indirect costs </w:t>
      </w:r>
      <w:r w:rsidRPr="007D6208">
        <w:rPr>
          <w:rFonts w:cs="Times New Roman"/>
          <w:szCs w:val="24"/>
        </w:rPr>
        <w:t xml:space="preserve">vary significantly from employer to employer, and because methods of estimating these costs vary widely from study to study. </w:t>
      </w:r>
      <w:r>
        <w:rPr>
          <w:rFonts w:cs="Times New Roman"/>
          <w:szCs w:val="24"/>
        </w:rPr>
        <w:t>W</w:t>
      </w:r>
      <w:r w:rsidRPr="007D6208">
        <w:rPr>
          <w:rFonts w:cs="Times New Roman"/>
          <w:szCs w:val="24"/>
        </w:rPr>
        <w:t>e believe that doubling the hourly wage to estimate total cost is a reasonably accurate estimation method.</w:t>
      </w:r>
    </w:p>
    <w:p w:rsidR="00D17137" w:rsidP="00E57856" w14:paraId="20C22DA0" w14:textId="77777777">
      <w:pPr>
        <w:rPr>
          <w:szCs w:val="24"/>
        </w:rPr>
      </w:pPr>
    </w:p>
    <w:p w:rsidR="003644B6" w:rsidRPr="003F2630" w:rsidP="003644B6" w14:paraId="128E1DD0" w14:textId="767BF32D">
      <w:pPr>
        <w:rPr>
          <w:rFonts w:cs="Times New Roman"/>
          <w:i/>
          <w:iCs/>
          <w:szCs w:val="24"/>
          <w:u w:val="single"/>
        </w:rPr>
      </w:pPr>
      <w:r w:rsidRPr="003F2630">
        <w:rPr>
          <w:rFonts w:eastAsia="Calibri" w:cs="Times New Roman"/>
          <w:i/>
          <w:iCs/>
          <w:szCs w:val="24"/>
        </w:rPr>
        <w:t xml:space="preserve">D.2 </w:t>
      </w:r>
      <w:r w:rsidRPr="003F2630" w:rsidR="004F7BE7">
        <w:rPr>
          <w:rFonts w:eastAsia="Calibri" w:cs="Times New Roman"/>
          <w:i/>
          <w:iCs/>
          <w:szCs w:val="24"/>
        </w:rPr>
        <w:t>Collection of Information Requirements and Associated Burden Estimates</w:t>
      </w:r>
    </w:p>
    <w:p w:rsidR="00B12D73" w:rsidP="005012D4" w14:paraId="711A81F6" w14:textId="77777777">
      <w:pPr>
        <w:rPr>
          <w:rFonts w:eastAsia="Calibri" w:cs="Times New Roman"/>
          <w:szCs w:val="24"/>
        </w:rPr>
      </w:pPr>
    </w:p>
    <w:p w:rsidR="0041080E" w:rsidRPr="008244D2" w:rsidP="0041080E" w14:paraId="5A5B79F4" w14:textId="276A43DB">
      <w:r w:rsidRPr="004F7BE7">
        <w:rPr>
          <w:iCs/>
          <w:u w:val="single"/>
        </w:rPr>
        <w:t>State Demonstration</w:t>
      </w:r>
      <w:r w:rsidRPr="004F7BE7" w:rsidR="00A84AD5">
        <w:rPr>
          <w:iCs/>
          <w:u w:val="single"/>
        </w:rPr>
        <w:t xml:space="preserve"> Application</w:t>
      </w:r>
      <w:r w:rsidRPr="004F7BE7" w:rsidR="00FF65FA">
        <w:rPr>
          <w:iCs/>
        </w:rPr>
        <w:t xml:space="preserve"> </w:t>
      </w:r>
      <w:r w:rsidR="004F7BE7">
        <w:rPr>
          <w:iCs/>
        </w:rPr>
        <w:t>A</w:t>
      </w:r>
      <w:r w:rsidRPr="004F7BE7" w:rsidR="004F7BE7">
        <w:rPr>
          <w:iCs/>
        </w:rPr>
        <w:t xml:space="preserve"> state must be awarded a planning grant to qualify to apply to participate in the demonstration.</w:t>
      </w:r>
      <w:r w:rsidR="004F7BE7">
        <w:rPr>
          <w:iCs/>
        </w:rPr>
        <w:t xml:space="preserve"> </w:t>
      </w:r>
      <w:r>
        <w:t xml:space="preserve">Planning grants </w:t>
      </w:r>
      <w:r w:rsidR="00D06866">
        <w:t>were</w:t>
      </w:r>
      <w:r>
        <w:t xml:space="preserve"> awarded to </w:t>
      </w:r>
      <w:r w:rsidR="00D06866">
        <w:t>15</w:t>
      </w:r>
      <w:r>
        <w:t xml:space="preserve"> states</w:t>
      </w:r>
      <w:r w:rsidR="004F7BE7">
        <w:t xml:space="preserve">. </w:t>
      </w:r>
      <w:r w:rsidR="00D06866">
        <w:t xml:space="preserve">There </w:t>
      </w:r>
      <w:r w:rsidR="00754E94">
        <w:t>are an additional</w:t>
      </w:r>
      <w:r w:rsidR="00D06866">
        <w:t xml:space="preserve"> 1</w:t>
      </w:r>
      <w:r w:rsidR="00754E94">
        <w:t>2</w:t>
      </w:r>
      <w:r w:rsidR="00D06866">
        <w:t xml:space="preserve"> states that had previously received a planning grant in 2</w:t>
      </w:r>
      <w:r w:rsidR="002A60DF">
        <w:t>0</w:t>
      </w:r>
      <w:r w:rsidR="00D06866">
        <w:t>16</w:t>
      </w:r>
      <w:r w:rsidR="000E432F">
        <w:t xml:space="preserve"> but were not selected for the Demonstration</w:t>
      </w:r>
      <w:r w:rsidR="00EC4104">
        <w:t xml:space="preserve">, did not receive another planning grant in 2023, </w:t>
      </w:r>
      <w:r w:rsidR="004F1A86">
        <w:t xml:space="preserve">and are eligible to apply to the demonstration. </w:t>
      </w:r>
      <w:r>
        <w:t xml:space="preserve">Therefore, </w:t>
      </w:r>
      <w:r w:rsidR="1FE2DE65">
        <w:t>up to 2</w:t>
      </w:r>
      <w:r w:rsidR="00754E94">
        <w:t>7</w:t>
      </w:r>
      <w:r>
        <w:t xml:space="preserve"> s</w:t>
      </w:r>
      <w:r w:rsidRPr="007115BC">
        <w:t xml:space="preserve">tates </w:t>
      </w:r>
      <w:r w:rsidR="004F7BE7">
        <w:t xml:space="preserve">(15 awarded states + 12 unawarded states) </w:t>
      </w:r>
      <w:r w:rsidRPr="007115BC">
        <w:t xml:space="preserve">may </w:t>
      </w:r>
      <w:r w:rsidRPr="008D1448">
        <w:t>utilize the demonstration application</w:t>
      </w:r>
      <w:r w:rsidRPr="008D1448" w:rsidR="166BEEF9">
        <w:t xml:space="preserve">, and we anticipate two thirds </w:t>
      </w:r>
      <w:r w:rsidRPr="008D1448" w:rsidR="004F7BE7">
        <w:t>(18 states = 27 states x</w:t>
      </w:r>
      <w:r w:rsidR="004F7BE7">
        <w:t xml:space="preserve"> 0.6667) </w:t>
      </w:r>
      <w:r w:rsidR="166BEEF9">
        <w:t>will exercise this option</w:t>
      </w:r>
      <w:r w:rsidR="000E62E0">
        <w:t>.</w:t>
      </w:r>
    </w:p>
    <w:p w:rsidR="00A84AD5" w:rsidP="0041080E" w14:paraId="67B9DA72" w14:textId="77777777">
      <w:pPr>
        <w:rPr>
          <w:rFonts w:cs="Times New Roman"/>
          <w:szCs w:val="24"/>
        </w:rPr>
      </w:pPr>
    </w:p>
    <w:p w:rsidR="00CA7366" w:rsidP="00830424" w14:paraId="5FFE3B07" w14:textId="5AC24B71">
      <w:pPr>
        <w:rPr>
          <w:rFonts w:cs="Times New Roman"/>
          <w:szCs w:val="24"/>
        </w:rPr>
      </w:pPr>
      <w:r w:rsidRPr="00830424">
        <w:rPr>
          <w:rFonts w:cs="Times New Roman"/>
          <w:szCs w:val="24"/>
        </w:rPr>
        <w:t>To complete the application, we estimate it will take 8.5 h</w:t>
      </w:r>
      <w:r w:rsidR="0002397D">
        <w:rPr>
          <w:rFonts w:cs="Times New Roman"/>
          <w:szCs w:val="24"/>
        </w:rPr>
        <w:t xml:space="preserve">ours </w:t>
      </w:r>
      <w:r w:rsidRPr="00830424">
        <w:rPr>
          <w:rFonts w:cs="Times New Roman"/>
          <w:szCs w:val="24"/>
        </w:rPr>
        <w:t xml:space="preserve">at </w:t>
      </w:r>
      <w:r w:rsidR="00FB3D12">
        <w:rPr>
          <w:rFonts w:cs="Times New Roman"/>
          <w:szCs w:val="24"/>
        </w:rPr>
        <w:t>$80.36/hr</w:t>
      </w:r>
      <w:r w:rsidRPr="00830424">
        <w:rPr>
          <w:rFonts w:cs="Times New Roman"/>
          <w:szCs w:val="24"/>
        </w:rPr>
        <w:t xml:space="preserve"> for a F</w:t>
      </w:r>
      <w:r w:rsidRPr="00830424" w:rsidR="00A84AD5">
        <w:rPr>
          <w:rFonts w:cs="Times New Roman"/>
          <w:szCs w:val="24"/>
        </w:rPr>
        <w:t>inancial Specialist to provide data underlying the proposal</w:t>
      </w:r>
      <w:r w:rsidRPr="00830424">
        <w:rPr>
          <w:rFonts w:cs="Times New Roman"/>
          <w:szCs w:val="24"/>
        </w:rPr>
        <w:t>, 6.5 h</w:t>
      </w:r>
      <w:r w:rsidR="0002397D">
        <w:rPr>
          <w:rFonts w:cs="Times New Roman"/>
          <w:szCs w:val="24"/>
        </w:rPr>
        <w:t>ours</w:t>
      </w:r>
      <w:r w:rsidRPr="00830424">
        <w:rPr>
          <w:rFonts w:cs="Times New Roman"/>
          <w:szCs w:val="24"/>
        </w:rPr>
        <w:t xml:space="preserve"> at </w:t>
      </w:r>
      <w:r w:rsidR="00FB3D12">
        <w:rPr>
          <w:rFonts w:cs="Times New Roman"/>
          <w:szCs w:val="24"/>
        </w:rPr>
        <w:t>$</w:t>
      </w:r>
      <w:r w:rsidRPr="00FB3D12" w:rsidR="00FB3D12">
        <w:rPr>
          <w:rFonts w:cs="Times New Roman"/>
          <w:szCs w:val="24"/>
        </w:rPr>
        <w:t>159.66</w:t>
      </w:r>
      <w:r w:rsidR="00FB3D12">
        <w:rPr>
          <w:rFonts w:cs="Times New Roman"/>
          <w:szCs w:val="24"/>
        </w:rPr>
        <w:t>/hr</w:t>
      </w:r>
      <w:r w:rsidRPr="00830424">
        <w:rPr>
          <w:rFonts w:cs="Times New Roman"/>
          <w:szCs w:val="24"/>
        </w:rPr>
        <w:t xml:space="preserve"> for a </w:t>
      </w:r>
      <w:r w:rsidRPr="00830424" w:rsidR="00A84AD5">
        <w:rPr>
          <w:rFonts w:cs="Times New Roman"/>
          <w:szCs w:val="24"/>
        </w:rPr>
        <w:t>Financial Manager to complete part of the PPS Methodology Description</w:t>
      </w:r>
      <w:r w:rsidRPr="00830424">
        <w:rPr>
          <w:rFonts w:cs="Times New Roman"/>
          <w:szCs w:val="24"/>
        </w:rPr>
        <w:t xml:space="preserve">, and 61 </w:t>
      </w:r>
      <w:r w:rsidRPr="00830424" w:rsidR="00A84AD5">
        <w:rPr>
          <w:rFonts w:cs="Times New Roman"/>
          <w:szCs w:val="24"/>
        </w:rPr>
        <w:t>hours</w:t>
      </w:r>
      <w:r w:rsidRPr="00830424">
        <w:rPr>
          <w:rFonts w:cs="Times New Roman"/>
          <w:szCs w:val="24"/>
        </w:rPr>
        <w:t xml:space="preserve"> at </w:t>
      </w:r>
      <w:r w:rsidR="00FB3D12">
        <w:rPr>
          <w:rFonts w:cs="Times New Roman"/>
          <w:szCs w:val="24"/>
        </w:rPr>
        <w:t>$</w:t>
      </w:r>
      <w:r w:rsidRPr="00FB3D12" w:rsidR="00FB3D12">
        <w:rPr>
          <w:rFonts w:cs="Times New Roman"/>
          <w:szCs w:val="24"/>
        </w:rPr>
        <w:t>118.14</w:t>
      </w:r>
      <w:r w:rsidR="00FB3D12">
        <w:rPr>
          <w:rFonts w:cs="Times New Roman"/>
          <w:szCs w:val="24"/>
        </w:rPr>
        <w:t>/hr</w:t>
      </w:r>
      <w:r w:rsidRPr="00830424">
        <w:rPr>
          <w:rFonts w:cs="Times New Roman"/>
          <w:szCs w:val="24"/>
        </w:rPr>
        <w:t xml:space="preserve"> for a </w:t>
      </w:r>
      <w:r w:rsidRPr="00830424" w:rsidR="00A84AD5">
        <w:rPr>
          <w:rFonts w:cs="Times New Roman"/>
          <w:szCs w:val="24"/>
        </w:rPr>
        <w:t xml:space="preserve">General and Operations Manager to oversee </w:t>
      </w:r>
      <w:r w:rsidRPr="00830424">
        <w:rPr>
          <w:rFonts w:cs="Times New Roman"/>
          <w:szCs w:val="24"/>
        </w:rPr>
        <w:t xml:space="preserve">the </w:t>
      </w:r>
      <w:r w:rsidRPr="00830424" w:rsidR="00A84AD5">
        <w:rPr>
          <w:rFonts w:cs="Times New Roman"/>
          <w:szCs w:val="24"/>
        </w:rPr>
        <w:t>collection of information and prepare most of the proposal</w:t>
      </w:r>
      <w:r w:rsidRPr="00830424">
        <w:rPr>
          <w:rFonts w:cs="Times New Roman"/>
          <w:szCs w:val="24"/>
        </w:rPr>
        <w:t>.</w:t>
      </w:r>
    </w:p>
    <w:p w:rsidR="00CA7366" w:rsidP="00CA7366" w14:paraId="372B5FCC" w14:textId="77777777">
      <w:pPr>
        <w:rPr>
          <w:rFonts w:cs="Times New Roman"/>
          <w:szCs w:val="24"/>
        </w:rPr>
      </w:pPr>
    </w:p>
    <w:p w:rsidR="00CE62B7" w:rsidP="00CE62B7" w14:paraId="645C18B7" w14:textId="17884A5B">
      <w:pPr>
        <w:rPr>
          <w:rFonts w:cs="Times New Roman"/>
          <w:szCs w:val="24"/>
        </w:rPr>
      </w:pPr>
      <w:r w:rsidRPr="00CE62B7">
        <w:rPr>
          <w:rFonts w:cs="Times New Roman"/>
          <w:szCs w:val="24"/>
        </w:rPr>
        <w:t xml:space="preserve">Consequently, the burden for states to complete the </w:t>
      </w:r>
      <w:r w:rsidRPr="00CE62B7" w:rsidR="00EC4384">
        <w:rPr>
          <w:rFonts w:cs="Times New Roman"/>
          <w:szCs w:val="24"/>
        </w:rPr>
        <w:t>application</w:t>
      </w:r>
      <w:r w:rsidRPr="00CE62B7">
        <w:rPr>
          <w:rFonts w:cs="Times New Roman"/>
          <w:szCs w:val="24"/>
        </w:rPr>
        <w:t xml:space="preserve"> is estimated to average </w:t>
      </w:r>
      <w:r w:rsidRPr="00CE62B7" w:rsidR="00073D6D">
        <w:rPr>
          <w:rFonts w:cs="Times New Roman"/>
          <w:szCs w:val="24"/>
        </w:rPr>
        <w:t>76</w:t>
      </w:r>
      <w:r w:rsidRPr="00CE62B7">
        <w:rPr>
          <w:rFonts w:cs="Times New Roman"/>
          <w:szCs w:val="24"/>
        </w:rPr>
        <w:t xml:space="preserve"> hours per response</w:t>
      </w:r>
      <w:r>
        <w:rPr>
          <w:rFonts w:cs="Times New Roman"/>
          <w:szCs w:val="24"/>
        </w:rPr>
        <w:t xml:space="preserve"> (see Table 2)</w:t>
      </w:r>
      <w:r w:rsidRPr="00CE62B7">
        <w:rPr>
          <w:rFonts w:cs="Times New Roman"/>
          <w:szCs w:val="24"/>
        </w:rPr>
        <w:t xml:space="preserve">.  There is a potential of 1 response per State for 2 clinics.  </w:t>
      </w:r>
      <w:r w:rsidRPr="00CE62B7">
        <w:rPr>
          <w:rFonts w:cs="Times New Roman"/>
          <w:szCs w:val="24"/>
        </w:rPr>
        <w:t>Most components of the proposal will be a single amount per state, with only a few components requiring more time and resources if more than two clinics are certified.</w:t>
      </w:r>
      <w:r w:rsidRPr="0088206C">
        <w:rPr>
          <w:rFonts w:cs="Times New Roman"/>
          <w:szCs w:val="24"/>
        </w:rPr>
        <w:t xml:space="preserve">  </w:t>
      </w:r>
    </w:p>
    <w:p w:rsidR="00CE62B7" w:rsidP="0041080E" w14:paraId="6ADE11C1" w14:textId="77777777">
      <w:pPr>
        <w:rPr>
          <w:rFonts w:cs="Times New Roman"/>
          <w:szCs w:val="24"/>
        </w:rPr>
      </w:pPr>
    </w:p>
    <w:p w:rsidR="0041080E" w:rsidP="0041080E" w14:paraId="06F002B4" w14:textId="0D0530C1">
      <w:pPr>
        <w:rPr>
          <w:rFonts w:cs="Times New Roman"/>
          <w:szCs w:val="24"/>
        </w:rPr>
      </w:pPr>
      <w:r w:rsidRPr="0013389C">
        <w:rPr>
          <w:rFonts w:cs="Times New Roman"/>
          <w:szCs w:val="24"/>
        </w:rPr>
        <w:t>Each response will be submitted by the state from 2 clinics per state.  We have a potential universe of 2</w:t>
      </w:r>
      <w:r w:rsidRPr="0013389C" w:rsidR="000560A3">
        <w:rPr>
          <w:rFonts w:cs="Times New Roman"/>
          <w:szCs w:val="24"/>
        </w:rPr>
        <w:t>0</w:t>
      </w:r>
      <w:r w:rsidRPr="0013389C" w:rsidR="003E36B0">
        <w:rPr>
          <w:rFonts w:cs="Times New Roman"/>
          <w:szCs w:val="24"/>
        </w:rPr>
        <w:t xml:space="preserve"> </w:t>
      </w:r>
      <w:r w:rsidRPr="0013389C">
        <w:rPr>
          <w:rFonts w:cs="Times New Roman"/>
          <w:szCs w:val="24"/>
        </w:rPr>
        <w:t xml:space="preserve">respondents.  In aggregate, we estimate </w:t>
      </w:r>
      <w:r w:rsidRPr="0013389C" w:rsidR="00CE62B7">
        <w:rPr>
          <w:rFonts w:cs="Times New Roman"/>
          <w:szCs w:val="24"/>
        </w:rPr>
        <w:t xml:space="preserve">a burden of </w:t>
      </w:r>
      <w:r w:rsidRPr="0013389C" w:rsidR="004774EA">
        <w:rPr>
          <w:rFonts w:cs="Times New Roman"/>
          <w:szCs w:val="24"/>
        </w:rPr>
        <w:t>1,520</w:t>
      </w:r>
      <w:r w:rsidRPr="0013389C" w:rsidR="00E00F94">
        <w:rPr>
          <w:rFonts w:cs="Times New Roman"/>
          <w:szCs w:val="24"/>
        </w:rPr>
        <w:t xml:space="preserve"> </w:t>
      </w:r>
      <w:r w:rsidRPr="0013389C">
        <w:rPr>
          <w:rFonts w:cs="Times New Roman"/>
          <w:szCs w:val="24"/>
        </w:rPr>
        <w:t>hours (2</w:t>
      </w:r>
      <w:r w:rsidRPr="0013389C" w:rsidR="000560A3">
        <w:rPr>
          <w:rFonts w:cs="Times New Roman"/>
          <w:szCs w:val="24"/>
        </w:rPr>
        <w:t>0</w:t>
      </w:r>
      <w:r w:rsidRPr="0013389C" w:rsidR="003E36B0">
        <w:rPr>
          <w:rFonts w:cs="Times New Roman"/>
          <w:szCs w:val="24"/>
        </w:rPr>
        <w:t xml:space="preserve"> </w:t>
      </w:r>
      <w:r w:rsidRPr="0013389C">
        <w:rPr>
          <w:rFonts w:cs="Times New Roman"/>
          <w:szCs w:val="24"/>
        </w:rPr>
        <w:t xml:space="preserve">responses x </w:t>
      </w:r>
      <w:r w:rsidRPr="0013389C" w:rsidR="00214CDD">
        <w:rPr>
          <w:rFonts w:cs="Times New Roman"/>
          <w:szCs w:val="24"/>
        </w:rPr>
        <w:t>76</w:t>
      </w:r>
      <w:r w:rsidRPr="0013389C">
        <w:rPr>
          <w:rFonts w:cs="Times New Roman"/>
          <w:szCs w:val="24"/>
        </w:rPr>
        <w:t xml:space="preserve"> hours)</w:t>
      </w:r>
      <w:r w:rsidRPr="0013389C" w:rsidR="00CE62B7">
        <w:rPr>
          <w:rFonts w:cs="Times New Roman"/>
          <w:szCs w:val="24"/>
        </w:rPr>
        <w:t xml:space="preserve"> at a cost of </w:t>
      </w:r>
      <w:r w:rsidRPr="0013389C">
        <w:rPr>
          <w:rFonts w:cs="Times New Roman"/>
          <w:szCs w:val="24"/>
        </w:rPr>
        <w:t>$</w:t>
      </w:r>
      <w:r w:rsidRPr="0013389C" w:rsidR="00E00F94">
        <w:rPr>
          <w:rFonts w:cs="Times New Roman"/>
          <w:szCs w:val="24"/>
        </w:rPr>
        <w:t>178,548.</w:t>
      </w:r>
    </w:p>
    <w:p w:rsidR="00DB0042" w:rsidP="002B0E30" w14:paraId="5EA7BB04" w14:textId="0368F23A">
      <w:pPr>
        <w:rPr>
          <w:rFonts w:cs="Times New Roman"/>
          <w:szCs w:val="24"/>
        </w:rPr>
      </w:pPr>
    </w:p>
    <w:p w:rsidR="00DB0042" w:rsidRPr="0002397D" w:rsidP="0002397D" w14:paraId="2F832783" w14:textId="33E77858">
      <w:pPr>
        <w:jc w:val="center"/>
        <w:rPr>
          <w:rFonts w:cs="Times New Roman"/>
          <w:iCs/>
          <w:szCs w:val="24"/>
        </w:rPr>
      </w:pPr>
      <w:r>
        <w:rPr>
          <w:iCs/>
        </w:rPr>
        <w:t xml:space="preserve">Table 2: </w:t>
      </w:r>
      <w:r w:rsidRPr="006B0BD6">
        <w:rPr>
          <w:iCs/>
        </w:rPr>
        <w:t>State Demonstration Application Burden</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350"/>
        <w:gridCol w:w="1350"/>
        <w:gridCol w:w="1350"/>
        <w:gridCol w:w="1350"/>
        <w:gridCol w:w="1350"/>
        <w:gridCol w:w="1350"/>
      </w:tblGrid>
      <w:tr w14:paraId="02F6CFC2" w14:textId="77777777" w:rsidTr="00117FBB">
        <w:tblPrEx>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blHeader/>
        </w:trPr>
        <w:tc>
          <w:tcPr>
            <w:tcW w:w="2340" w:type="dxa"/>
            <w:shd w:val="clear" w:color="auto" w:fill="auto"/>
          </w:tcPr>
          <w:p w:rsidR="00117FBB" w:rsidRPr="008D1448" w:rsidP="00117FBB" w14:paraId="558F9F89" w14:textId="54B71A44">
            <w:pPr>
              <w:rPr>
                <w:rFonts w:cs="Times New Roman"/>
                <w:bCs/>
                <w:sz w:val="22"/>
              </w:rPr>
            </w:pPr>
            <w:r w:rsidRPr="008D1448">
              <w:rPr>
                <w:rFonts w:cs="Times New Roman"/>
                <w:bCs/>
                <w:sz w:val="22"/>
              </w:rPr>
              <w:t>Occupation Title</w:t>
            </w:r>
          </w:p>
        </w:tc>
        <w:tc>
          <w:tcPr>
            <w:tcW w:w="1350" w:type="dxa"/>
          </w:tcPr>
          <w:p w:rsidR="00117FBB" w:rsidRPr="008D1448" w:rsidP="00117FBB" w14:paraId="4CEAA060" w14:textId="29A68DDF">
            <w:pPr>
              <w:rPr>
                <w:rFonts w:cs="Times New Roman"/>
                <w:bCs/>
                <w:sz w:val="22"/>
              </w:rPr>
            </w:pPr>
            <w:r w:rsidRPr="008D1448">
              <w:rPr>
                <w:rFonts w:cs="Times New Roman"/>
                <w:bCs/>
                <w:sz w:val="22"/>
              </w:rPr>
              <w:t>Respondents</w:t>
            </w:r>
          </w:p>
        </w:tc>
        <w:tc>
          <w:tcPr>
            <w:tcW w:w="1350" w:type="dxa"/>
          </w:tcPr>
          <w:p w:rsidR="00117FBB" w:rsidRPr="008D1448" w:rsidP="00117FBB" w14:paraId="21DCDF65" w14:textId="1D330D51">
            <w:pPr>
              <w:rPr>
                <w:rFonts w:cs="Times New Roman"/>
                <w:bCs/>
                <w:sz w:val="22"/>
              </w:rPr>
            </w:pPr>
            <w:r w:rsidRPr="008D1448">
              <w:rPr>
                <w:rFonts w:cs="Times New Roman"/>
                <w:bCs/>
                <w:sz w:val="22"/>
              </w:rPr>
              <w:t>Responses</w:t>
            </w:r>
          </w:p>
        </w:tc>
        <w:tc>
          <w:tcPr>
            <w:tcW w:w="1350" w:type="dxa"/>
          </w:tcPr>
          <w:p w:rsidR="00117FBB" w:rsidRPr="008D1448" w:rsidP="00117FBB" w14:paraId="3A5A1CB3" w14:textId="5BEB6596">
            <w:pPr>
              <w:rPr>
                <w:rFonts w:cs="Times New Roman"/>
                <w:bCs/>
                <w:sz w:val="22"/>
              </w:rPr>
            </w:pPr>
            <w:r w:rsidRPr="008D1448">
              <w:rPr>
                <w:rFonts w:cs="Times New Roman"/>
                <w:bCs/>
                <w:sz w:val="22"/>
              </w:rPr>
              <w:t>Time per Response (hr)</w:t>
            </w:r>
          </w:p>
        </w:tc>
        <w:tc>
          <w:tcPr>
            <w:tcW w:w="1350" w:type="dxa"/>
          </w:tcPr>
          <w:p w:rsidR="00117FBB" w:rsidRPr="008D1448" w:rsidP="00117FBB" w14:paraId="3EA2B2FD" w14:textId="6D2863AE">
            <w:pPr>
              <w:rPr>
                <w:rFonts w:cs="Times New Roman"/>
                <w:bCs/>
                <w:sz w:val="22"/>
              </w:rPr>
            </w:pPr>
            <w:r w:rsidRPr="008D1448">
              <w:rPr>
                <w:rFonts w:cs="Times New Roman"/>
                <w:bCs/>
                <w:sz w:val="22"/>
              </w:rPr>
              <w:t>Total Time (hr)</w:t>
            </w:r>
          </w:p>
        </w:tc>
        <w:tc>
          <w:tcPr>
            <w:tcW w:w="1350" w:type="dxa"/>
          </w:tcPr>
          <w:p w:rsidR="00117FBB" w:rsidRPr="008D1448" w:rsidP="00117FBB" w14:paraId="3984218F" w14:textId="5E5F3BFB">
            <w:pPr>
              <w:rPr>
                <w:rFonts w:cs="Times New Roman"/>
                <w:bCs/>
                <w:sz w:val="22"/>
              </w:rPr>
            </w:pPr>
            <w:r w:rsidRPr="008D1448">
              <w:rPr>
                <w:rFonts w:cs="Times New Roman"/>
                <w:bCs/>
                <w:sz w:val="22"/>
              </w:rPr>
              <w:t>Adjusted Hourly Wage ($/hr)</w:t>
            </w:r>
          </w:p>
        </w:tc>
        <w:tc>
          <w:tcPr>
            <w:tcW w:w="1350" w:type="dxa"/>
          </w:tcPr>
          <w:p w:rsidR="00117FBB" w:rsidRPr="008D1448" w:rsidP="00117FBB" w14:paraId="60359736" w14:textId="4042C67D">
            <w:pPr>
              <w:rPr>
                <w:rFonts w:cs="Times New Roman"/>
                <w:bCs/>
                <w:sz w:val="22"/>
              </w:rPr>
            </w:pPr>
            <w:r w:rsidRPr="008D1448">
              <w:rPr>
                <w:rFonts w:cs="Times New Roman"/>
                <w:bCs/>
                <w:sz w:val="22"/>
              </w:rPr>
              <w:t>Total Cost ($)</w:t>
            </w:r>
          </w:p>
        </w:tc>
      </w:tr>
      <w:tr w14:paraId="4A0ACD63" w14:textId="77777777" w:rsidTr="00045996">
        <w:tblPrEx>
          <w:tblW w:w="10440" w:type="dxa"/>
          <w:tblInd w:w="-5" w:type="dxa"/>
          <w:tblLayout w:type="fixed"/>
          <w:tblLook w:val="04A0"/>
        </w:tblPrEx>
        <w:tc>
          <w:tcPr>
            <w:tcW w:w="2340" w:type="dxa"/>
            <w:shd w:val="clear" w:color="auto" w:fill="auto"/>
          </w:tcPr>
          <w:p w:rsidR="00045996" w:rsidRPr="008D1448" w:rsidP="00045996" w14:paraId="518CF07C" w14:textId="77777777">
            <w:pPr>
              <w:rPr>
                <w:rFonts w:cs="Times New Roman"/>
                <w:sz w:val="22"/>
              </w:rPr>
            </w:pPr>
            <w:r w:rsidRPr="008D1448">
              <w:rPr>
                <w:rFonts w:cs="Times New Roman"/>
                <w:sz w:val="22"/>
              </w:rPr>
              <w:t>Financial Specialists,  All Other</w:t>
            </w:r>
          </w:p>
        </w:tc>
        <w:tc>
          <w:tcPr>
            <w:tcW w:w="1350" w:type="dxa"/>
          </w:tcPr>
          <w:p w:rsidR="00045996" w:rsidRPr="008D1448" w:rsidP="00045996" w14:paraId="79E55A51" w14:textId="65529FC2">
            <w:pPr>
              <w:rPr>
                <w:rFonts w:cs="Times New Roman"/>
                <w:sz w:val="22"/>
              </w:rPr>
            </w:pPr>
            <w:r w:rsidRPr="008D1448">
              <w:rPr>
                <w:rFonts w:cs="Times New Roman"/>
                <w:sz w:val="22"/>
              </w:rPr>
              <w:t>20</w:t>
            </w:r>
          </w:p>
        </w:tc>
        <w:tc>
          <w:tcPr>
            <w:tcW w:w="1350" w:type="dxa"/>
          </w:tcPr>
          <w:p w:rsidR="00045996" w:rsidRPr="008D1448" w:rsidP="00045996" w14:paraId="1F46E9AE" w14:textId="7510B084">
            <w:pPr>
              <w:rPr>
                <w:rFonts w:cs="Times New Roman"/>
                <w:sz w:val="22"/>
              </w:rPr>
            </w:pPr>
            <w:r w:rsidRPr="008D1448">
              <w:rPr>
                <w:rFonts w:cs="Times New Roman"/>
                <w:sz w:val="22"/>
              </w:rPr>
              <w:t>20</w:t>
            </w:r>
          </w:p>
        </w:tc>
        <w:tc>
          <w:tcPr>
            <w:tcW w:w="1350" w:type="dxa"/>
          </w:tcPr>
          <w:p w:rsidR="00045996" w:rsidRPr="008D1448" w:rsidP="00045996" w14:paraId="18A82185" w14:textId="6F477500">
            <w:pPr>
              <w:rPr>
                <w:rFonts w:cs="Times New Roman"/>
                <w:sz w:val="22"/>
              </w:rPr>
            </w:pPr>
            <w:r w:rsidRPr="008D1448">
              <w:rPr>
                <w:rFonts w:cs="Times New Roman"/>
                <w:sz w:val="22"/>
              </w:rPr>
              <w:t>8.5</w:t>
            </w:r>
          </w:p>
        </w:tc>
        <w:tc>
          <w:tcPr>
            <w:tcW w:w="1350" w:type="dxa"/>
            <w:shd w:val="clear" w:color="auto" w:fill="auto"/>
            <w:vAlign w:val="center"/>
          </w:tcPr>
          <w:p w:rsidR="00045996" w:rsidRPr="008D1448" w:rsidP="00045996" w14:paraId="20971AB3" w14:textId="5B4775B7">
            <w:pPr>
              <w:rPr>
                <w:rFonts w:cs="Times New Roman"/>
                <w:sz w:val="22"/>
              </w:rPr>
            </w:pPr>
            <w:r w:rsidRPr="008D1448">
              <w:rPr>
                <w:color w:val="000000"/>
                <w:sz w:val="22"/>
              </w:rPr>
              <w:t>170</w:t>
            </w:r>
          </w:p>
        </w:tc>
        <w:tc>
          <w:tcPr>
            <w:tcW w:w="1350" w:type="dxa"/>
          </w:tcPr>
          <w:p w:rsidR="00045996" w:rsidRPr="008D1448" w:rsidP="00045996" w14:paraId="3687A5A4" w14:textId="422236B0">
            <w:pPr>
              <w:rPr>
                <w:rFonts w:cs="Times New Roman"/>
                <w:sz w:val="22"/>
              </w:rPr>
            </w:pPr>
            <w:r w:rsidRPr="008D1448">
              <w:rPr>
                <w:rFonts w:cs="Times New Roman"/>
                <w:sz w:val="22"/>
              </w:rPr>
              <w:t>80.36</w:t>
            </w:r>
          </w:p>
        </w:tc>
        <w:tc>
          <w:tcPr>
            <w:tcW w:w="1350" w:type="dxa"/>
            <w:shd w:val="clear" w:color="auto" w:fill="auto"/>
            <w:vAlign w:val="center"/>
          </w:tcPr>
          <w:p w:rsidR="00045996" w:rsidRPr="008D1448" w:rsidP="00045996" w14:paraId="125B0CE8" w14:textId="545375CB">
            <w:pPr>
              <w:rPr>
                <w:rFonts w:cs="Times New Roman"/>
                <w:sz w:val="22"/>
              </w:rPr>
            </w:pPr>
            <w:r w:rsidRPr="008D1448">
              <w:rPr>
                <w:color w:val="000000"/>
                <w:sz w:val="22"/>
              </w:rPr>
              <w:t>13,661</w:t>
            </w:r>
          </w:p>
        </w:tc>
      </w:tr>
      <w:tr w14:paraId="271F6B9F" w14:textId="77777777" w:rsidTr="00045996">
        <w:tblPrEx>
          <w:tblW w:w="10440" w:type="dxa"/>
          <w:tblInd w:w="-5" w:type="dxa"/>
          <w:tblLayout w:type="fixed"/>
          <w:tblLook w:val="04A0"/>
        </w:tblPrEx>
        <w:tc>
          <w:tcPr>
            <w:tcW w:w="2340" w:type="dxa"/>
            <w:shd w:val="clear" w:color="auto" w:fill="auto"/>
          </w:tcPr>
          <w:p w:rsidR="00045996" w:rsidRPr="008D1448" w:rsidP="00045996" w14:paraId="1B763625" w14:textId="77777777">
            <w:pPr>
              <w:rPr>
                <w:rFonts w:cs="Times New Roman"/>
                <w:sz w:val="22"/>
              </w:rPr>
            </w:pPr>
            <w:r w:rsidRPr="008D1448">
              <w:rPr>
                <w:rFonts w:cs="Times New Roman"/>
                <w:sz w:val="22"/>
              </w:rPr>
              <w:t>Financial Manager</w:t>
            </w:r>
          </w:p>
        </w:tc>
        <w:tc>
          <w:tcPr>
            <w:tcW w:w="1350" w:type="dxa"/>
          </w:tcPr>
          <w:p w:rsidR="00045996" w:rsidRPr="008D1448" w:rsidP="00045996" w14:paraId="59A2D9D4" w14:textId="63C263E2">
            <w:pPr>
              <w:rPr>
                <w:rFonts w:cs="Times New Roman"/>
                <w:sz w:val="22"/>
              </w:rPr>
            </w:pPr>
            <w:r w:rsidRPr="008D1448">
              <w:rPr>
                <w:rFonts w:cs="Times New Roman"/>
                <w:sz w:val="22"/>
              </w:rPr>
              <w:t>20</w:t>
            </w:r>
          </w:p>
        </w:tc>
        <w:tc>
          <w:tcPr>
            <w:tcW w:w="1350" w:type="dxa"/>
          </w:tcPr>
          <w:p w:rsidR="00045996" w:rsidRPr="008D1448" w:rsidP="00045996" w14:paraId="7E357859" w14:textId="5F59AC6A">
            <w:pPr>
              <w:rPr>
                <w:rFonts w:cs="Times New Roman"/>
                <w:sz w:val="22"/>
              </w:rPr>
            </w:pPr>
            <w:r w:rsidRPr="008D1448">
              <w:rPr>
                <w:rFonts w:cs="Times New Roman"/>
                <w:sz w:val="22"/>
              </w:rPr>
              <w:t>20</w:t>
            </w:r>
          </w:p>
        </w:tc>
        <w:tc>
          <w:tcPr>
            <w:tcW w:w="1350" w:type="dxa"/>
          </w:tcPr>
          <w:p w:rsidR="00045996" w:rsidRPr="008D1448" w:rsidP="00045996" w14:paraId="6B52EC02" w14:textId="23606ED9">
            <w:pPr>
              <w:rPr>
                <w:rFonts w:cs="Times New Roman"/>
                <w:sz w:val="22"/>
              </w:rPr>
            </w:pPr>
            <w:r w:rsidRPr="008D1448">
              <w:rPr>
                <w:rFonts w:cs="Times New Roman"/>
                <w:sz w:val="22"/>
              </w:rPr>
              <w:t>6.5</w:t>
            </w:r>
          </w:p>
        </w:tc>
        <w:tc>
          <w:tcPr>
            <w:tcW w:w="1350" w:type="dxa"/>
            <w:shd w:val="clear" w:color="auto" w:fill="auto"/>
            <w:vAlign w:val="center"/>
          </w:tcPr>
          <w:p w:rsidR="00045996" w:rsidRPr="008D1448" w:rsidP="00045996" w14:paraId="60DF196B" w14:textId="03F9A818">
            <w:pPr>
              <w:rPr>
                <w:rFonts w:cs="Times New Roman"/>
                <w:sz w:val="22"/>
              </w:rPr>
            </w:pPr>
            <w:r w:rsidRPr="008D1448">
              <w:rPr>
                <w:color w:val="000000"/>
                <w:sz w:val="22"/>
              </w:rPr>
              <w:t>130</w:t>
            </w:r>
          </w:p>
        </w:tc>
        <w:tc>
          <w:tcPr>
            <w:tcW w:w="1350" w:type="dxa"/>
          </w:tcPr>
          <w:p w:rsidR="00045996" w:rsidRPr="008D1448" w:rsidP="00045996" w14:paraId="02CC4090" w14:textId="3598DC93">
            <w:pPr>
              <w:rPr>
                <w:rFonts w:cs="Times New Roman"/>
                <w:sz w:val="22"/>
              </w:rPr>
            </w:pPr>
            <w:r w:rsidRPr="008D1448">
              <w:rPr>
                <w:rFonts w:cs="Times New Roman"/>
                <w:sz w:val="22"/>
              </w:rPr>
              <w:t>159.66</w:t>
            </w:r>
          </w:p>
        </w:tc>
        <w:tc>
          <w:tcPr>
            <w:tcW w:w="1350" w:type="dxa"/>
            <w:shd w:val="clear" w:color="auto" w:fill="auto"/>
            <w:vAlign w:val="center"/>
          </w:tcPr>
          <w:p w:rsidR="00045996" w:rsidRPr="008D1448" w:rsidP="00045996" w14:paraId="4AF7FFDC" w14:textId="20DAD0C7">
            <w:pPr>
              <w:rPr>
                <w:rFonts w:cs="Times New Roman"/>
                <w:sz w:val="22"/>
              </w:rPr>
            </w:pPr>
            <w:r w:rsidRPr="008D1448">
              <w:rPr>
                <w:color w:val="000000"/>
                <w:sz w:val="22"/>
              </w:rPr>
              <w:t>20,756</w:t>
            </w:r>
          </w:p>
        </w:tc>
      </w:tr>
      <w:tr w14:paraId="7AE1DADA" w14:textId="77777777" w:rsidTr="00045996">
        <w:tblPrEx>
          <w:tblW w:w="10440" w:type="dxa"/>
          <w:tblInd w:w="-5" w:type="dxa"/>
          <w:tblLayout w:type="fixed"/>
          <w:tblLook w:val="04A0"/>
        </w:tblPrEx>
        <w:tc>
          <w:tcPr>
            <w:tcW w:w="2340" w:type="dxa"/>
            <w:shd w:val="clear" w:color="auto" w:fill="auto"/>
          </w:tcPr>
          <w:p w:rsidR="00045996" w:rsidRPr="008D1448" w:rsidP="00045996" w14:paraId="7B707E49" w14:textId="77777777">
            <w:pPr>
              <w:rPr>
                <w:rFonts w:cs="Times New Roman"/>
                <w:sz w:val="22"/>
              </w:rPr>
            </w:pPr>
            <w:r w:rsidRPr="008D1448">
              <w:rPr>
                <w:rFonts w:cs="Times New Roman"/>
                <w:sz w:val="22"/>
              </w:rPr>
              <w:t>General and Operations Manager</w:t>
            </w:r>
          </w:p>
        </w:tc>
        <w:tc>
          <w:tcPr>
            <w:tcW w:w="1350" w:type="dxa"/>
          </w:tcPr>
          <w:p w:rsidR="00045996" w:rsidRPr="008D1448" w:rsidP="00045996" w14:paraId="1C8962FE" w14:textId="2345A8F5">
            <w:pPr>
              <w:rPr>
                <w:rFonts w:cs="Times New Roman"/>
                <w:sz w:val="22"/>
              </w:rPr>
            </w:pPr>
            <w:r w:rsidRPr="008D1448">
              <w:rPr>
                <w:rFonts w:cs="Times New Roman"/>
                <w:sz w:val="22"/>
              </w:rPr>
              <w:t>20</w:t>
            </w:r>
          </w:p>
        </w:tc>
        <w:tc>
          <w:tcPr>
            <w:tcW w:w="1350" w:type="dxa"/>
          </w:tcPr>
          <w:p w:rsidR="00045996" w:rsidRPr="008D1448" w:rsidP="00045996" w14:paraId="778AFE2F" w14:textId="215477C9">
            <w:pPr>
              <w:rPr>
                <w:rFonts w:cs="Times New Roman"/>
                <w:sz w:val="22"/>
              </w:rPr>
            </w:pPr>
            <w:r w:rsidRPr="008D1448">
              <w:rPr>
                <w:rFonts w:cs="Times New Roman"/>
                <w:sz w:val="22"/>
              </w:rPr>
              <w:t>20</w:t>
            </w:r>
          </w:p>
        </w:tc>
        <w:tc>
          <w:tcPr>
            <w:tcW w:w="1350" w:type="dxa"/>
          </w:tcPr>
          <w:p w:rsidR="00045996" w:rsidRPr="008D1448" w:rsidP="00045996" w14:paraId="7606A26A" w14:textId="45893966">
            <w:pPr>
              <w:rPr>
                <w:rFonts w:cs="Times New Roman"/>
                <w:sz w:val="22"/>
              </w:rPr>
            </w:pPr>
            <w:r w:rsidRPr="008D1448">
              <w:rPr>
                <w:rFonts w:cs="Times New Roman"/>
                <w:sz w:val="22"/>
              </w:rPr>
              <w:t>61</w:t>
            </w:r>
          </w:p>
        </w:tc>
        <w:tc>
          <w:tcPr>
            <w:tcW w:w="1350" w:type="dxa"/>
            <w:shd w:val="clear" w:color="auto" w:fill="auto"/>
            <w:vAlign w:val="center"/>
          </w:tcPr>
          <w:p w:rsidR="00045996" w:rsidRPr="008D1448" w:rsidP="00045996" w14:paraId="29AC7479" w14:textId="7226D035">
            <w:pPr>
              <w:rPr>
                <w:rFonts w:cs="Times New Roman"/>
                <w:sz w:val="22"/>
              </w:rPr>
            </w:pPr>
            <w:r w:rsidRPr="008D1448">
              <w:rPr>
                <w:color w:val="000000"/>
                <w:sz w:val="22"/>
              </w:rPr>
              <w:t>1,220</w:t>
            </w:r>
          </w:p>
        </w:tc>
        <w:tc>
          <w:tcPr>
            <w:tcW w:w="1350" w:type="dxa"/>
          </w:tcPr>
          <w:p w:rsidR="00045996" w:rsidRPr="008D1448" w:rsidP="00045996" w14:paraId="7C4EC8FC" w14:textId="4452B6B0">
            <w:pPr>
              <w:rPr>
                <w:rFonts w:cs="Times New Roman"/>
                <w:sz w:val="22"/>
              </w:rPr>
            </w:pPr>
            <w:r w:rsidRPr="008D1448">
              <w:rPr>
                <w:rFonts w:cs="Times New Roman"/>
                <w:sz w:val="22"/>
              </w:rPr>
              <w:t>118.14</w:t>
            </w:r>
          </w:p>
        </w:tc>
        <w:tc>
          <w:tcPr>
            <w:tcW w:w="1350" w:type="dxa"/>
            <w:shd w:val="clear" w:color="auto" w:fill="auto"/>
            <w:vAlign w:val="center"/>
          </w:tcPr>
          <w:p w:rsidR="00045996" w:rsidRPr="008D1448" w:rsidP="00045996" w14:paraId="7EC23114" w14:textId="05882894">
            <w:pPr>
              <w:rPr>
                <w:rFonts w:cs="Times New Roman"/>
                <w:sz w:val="22"/>
              </w:rPr>
            </w:pPr>
            <w:r w:rsidRPr="008D1448">
              <w:rPr>
                <w:color w:val="000000"/>
                <w:sz w:val="22"/>
              </w:rPr>
              <w:t>144,131</w:t>
            </w:r>
          </w:p>
        </w:tc>
      </w:tr>
      <w:tr w14:paraId="641A6227" w14:textId="77777777" w:rsidTr="00045996">
        <w:tblPrEx>
          <w:tblW w:w="10440" w:type="dxa"/>
          <w:tblInd w:w="-5" w:type="dxa"/>
          <w:tblLayout w:type="fixed"/>
          <w:tblLook w:val="04A0"/>
        </w:tblPrEx>
        <w:tc>
          <w:tcPr>
            <w:tcW w:w="2340" w:type="dxa"/>
            <w:shd w:val="clear" w:color="auto" w:fill="F2F2F2" w:themeFill="background1" w:themeFillShade="F2"/>
          </w:tcPr>
          <w:p w:rsidR="00045996" w:rsidRPr="008D1448" w:rsidP="00045996" w14:paraId="4595D083" w14:textId="77777777">
            <w:pPr>
              <w:rPr>
                <w:rFonts w:cs="Times New Roman"/>
                <w:sz w:val="22"/>
              </w:rPr>
            </w:pPr>
            <w:r w:rsidRPr="008D1448">
              <w:rPr>
                <w:rFonts w:cs="Times New Roman"/>
                <w:sz w:val="22"/>
              </w:rPr>
              <w:t>Total</w:t>
            </w:r>
          </w:p>
        </w:tc>
        <w:tc>
          <w:tcPr>
            <w:tcW w:w="1350" w:type="dxa"/>
            <w:shd w:val="clear" w:color="auto" w:fill="F2F2F2" w:themeFill="background1" w:themeFillShade="F2"/>
          </w:tcPr>
          <w:p w:rsidR="00045996" w:rsidRPr="008D1448" w:rsidP="00045996" w14:paraId="789C223B" w14:textId="4DDFECCC">
            <w:pPr>
              <w:rPr>
                <w:rFonts w:cs="Times New Roman"/>
                <w:sz w:val="22"/>
              </w:rPr>
            </w:pPr>
            <w:r w:rsidRPr="008D1448">
              <w:rPr>
                <w:rFonts w:cs="Times New Roman"/>
                <w:sz w:val="22"/>
              </w:rPr>
              <w:t>20</w:t>
            </w:r>
          </w:p>
        </w:tc>
        <w:tc>
          <w:tcPr>
            <w:tcW w:w="1350" w:type="dxa"/>
            <w:shd w:val="clear" w:color="auto" w:fill="F2F2F2" w:themeFill="background1" w:themeFillShade="F2"/>
          </w:tcPr>
          <w:p w:rsidR="00045996" w:rsidRPr="008D1448" w:rsidP="00045996" w14:paraId="655E5156" w14:textId="285C4C67">
            <w:pPr>
              <w:rPr>
                <w:rFonts w:cs="Times New Roman"/>
                <w:sz w:val="22"/>
              </w:rPr>
            </w:pPr>
            <w:r w:rsidRPr="008D1448">
              <w:rPr>
                <w:rFonts w:cs="Times New Roman"/>
                <w:sz w:val="22"/>
              </w:rPr>
              <w:t>20</w:t>
            </w:r>
          </w:p>
        </w:tc>
        <w:tc>
          <w:tcPr>
            <w:tcW w:w="1350" w:type="dxa"/>
            <w:shd w:val="clear" w:color="auto" w:fill="F2F2F2" w:themeFill="background1" w:themeFillShade="F2"/>
          </w:tcPr>
          <w:p w:rsidR="00045996" w:rsidRPr="008D1448" w:rsidP="00045996" w14:paraId="29722CF0" w14:textId="2E4B1F9C">
            <w:pPr>
              <w:rPr>
                <w:rFonts w:cs="Times New Roman"/>
                <w:sz w:val="22"/>
              </w:rPr>
            </w:pPr>
            <w:r>
              <w:rPr>
                <w:rFonts w:cs="Times New Roman"/>
                <w:sz w:val="22"/>
              </w:rPr>
              <w:t>varies</w:t>
            </w:r>
          </w:p>
        </w:tc>
        <w:tc>
          <w:tcPr>
            <w:tcW w:w="1350" w:type="dxa"/>
            <w:shd w:val="clear" w:color="000000" w:fill="F2F2F2"/>
            <w:vAlign w:val="center"/>
          </w:tcPr>
          <w:p w:rsidR="00045996" w:rsidRPr="008D1448" w:rsidP="00045996" w14:paraId="21302F85" w14:textId="6E604D67">
            <w:pPr>
              <w:rPr>
                <w:rFonts w:cs="Times New Roman"/>
                <w:sz w:val="22"/>
              </w:rPr>
            </w:pPr>
            <w:r w:rsidRPr="008D1448">
              <w:rPr>
                <w:color w:val="000000"/>
                <w:sz w:val="22"/>
              </w:rPr>
              <w:t>1,520</w:t>
            </w:r>
          </w:p>
        </w:tc>
        <w:tc>
          <w:tcPr>
            <w:tcW w:w="1350" w:type="dxa"/>
            <w:shd w:val="clear" w:color="auto" w:fill="F2F2F2" w:themeFill="background1" w:themeFillShade="F2"/>
          </w:tcPr>
          <w:p w:rsidR="00045996" w:rsidRPr="008D1448" w:rsidP="00045996" w14:paraId="3ABDB5B5" w14:textId="1E06E585">
            <w:pPr>
              <w:rPr>
                <w:rFonts w:cs="Times New Roman"/>
                <w:sz w:val="22"/>
              </w:rPr>
            </w:pPr>
            <w:r w:rsidRPr="008D1448">
              <w:rPr>
                <w:rFonts w:cs="Times New Roman"/>
                <w:sz w:val="22"/>
              </w:rPr>
              <w:t>varies</w:t>
            </w:r>
          </w:p>
        </w:tc>
        <w:tc>
          <w:tcPr>
            <w:tcW w:w="1350" w:type="dxa"/>
            <w:shd w:val="clear" w:color="000000" w:fill="F2F2F2"/>
            <w:vAlign w:val="center"/>
          </w:tcPr>
          <w:p w:rsidR="00045996" w:rsidRPr="008D1448" w:rsidP="00045996" w14:paraId="1FCBAF8C" w14:textId="538977C7">
            <w:pPr>
              <w:rPr>
                <w:rFonts w:cs="Times New Roman"/>
                <w:sz w:val="22"/>
              </w:rPr>
            </w:pPr>
            <w:r w:rsidRPr="008D1448">
              <w:rPr>
                <w:color w:val="000000"/>
                <w:sz w:val="22"/>
              </w:rPr>
              <w:t>178,548</w:t>
            </w:r>
          </w:p>
        </w:tc>
      </w:tr>
    </w:tbl>
    <w:p w:rsidR="00EC7580" w:rsidP="0041080E" w14:paraId="4A04868E" w14:textId="77777777">
      <w:pPr>
        <w:rPr>
          <w:rFonts w:cs="Times New Roman"/>
          <w:szCs w:val="24"/>
        </w:rPr>
      </w:pPr>
    </w:p>
    <w:p w:rsidR="0070121E" w:rsidP="0012322C" w14:paraId="35EB048B" w14:textId="5BC57F51">
      <w:pPr>
        <w:rPr>
          <w:rFonts w:cs="Times New Roman"/>
        </w:rPr>
      </w:pPr>
      <w:bookmarkStart w:id="1" w:name="_Hlk149302536"/>
      <w:r w:rsidRPr="0070121E">
        <w:rPr>
          <w:iCs/>
          <w:u w:val="single"/>
        </w:rPr>
        <w:t xml:space="preserve">Additional CCBHC </w:t>
      </w:r>
      <w:r w:rsidRPr="0070121E" w:rsidR="0089456D">
        <w:rPr>
          <w:iCs/>
          <w:u w:val="single"/>
        </w:rPr>
        <w:t>Application</w:t>
      </w:r>
      <w:r w:rsidR="0089456D">
        <w:rPr>
          <w:i/>
        </w:rPr>
        <w:t xml:space="preserve"> </w:t>
      </w:r>
      <w:bookmarkEnd w:id="1"/>
      <w:r w:rsidRPr="2406EC0C" w:rsidR="7C632311">
        <w:rPr>
          <w:rFonts w:cs="Times New Roman"/>
        </w:rPr>
        <w:t xml:space="preserve">States </w:t>
      </w:r>
      <w:r w:rsidRPr="2333A784" w:rsidR="7C632311">
        <w:rPr>
          <w:rFonts w:cs="Times New Roman"/>
        </w:rPr>
        <w:t xml:space="preserve">have the option of </w:t>
      </w:r>
      <w:r w:rsidRPr="0D02AD94" w:rsidR="7C632311">
        <w:rPr>
          <w:rFonts w:cs="Times New Roman"/>
        </w:rPr>
        <w:t xml:space="preserve">applying to add </w:t>
      </w:r>
      <w:r w:rsidRPr="5722D9DB" w:rsidR="7C632311">
        <w:rPr>
          <w:rFonts w:cs="Times New Roman"/>
        </w:rPr>
        <w:t xml:space="preserve">additional </w:t>
      </w:r>
      <w:r w:rsidRPr="3301DF07" w:rsidR="7C632311">
        <w:rPr>
          <w:rFonts w:cs="Times New Roman"/>
        </w:rPr>
        <w:t>CCBHC</w:t>
      </w:r>
      <w:r w:rsidRPr="5722D9DB" w:rsidR="7C632311">
        <w:rPr>
          <w:rFonts w:cs="Times New Roman"/>
        </w:rPr>
        <w:t xml:space="preserve"> to their </w:t>
      </w:r>
      <w:r w:rsidRPr="71855DA3" w:rsidR="7C632311">
        <w:rPr>
          <w:rFonts w:cs="Times New Roman"/>
        </w:rPr>
        <w:t xml:space="preserve">demonstration </w:t>
      </w:r>
      <w:r w:rsidRPr="636E20B9" w:rsidR="7C632311">
        <w:rPr>
          <w:rFonts w:cs="Times New Roman"/>
        </w:rPr>
        <w:t xml:space="preserve">programs. </w:t>
      </w:r>
      <w:r w:rsidRPr="636E20B9" w:rsidR="0D676F8A">
        <w:rPr>
          <w:rFonts w:cs="Times New Roman"/>
        </w:rPr>
        <w:t>S</w:t>
      </w:r>
      <w:r w:rsidRPr="636E20B9" w:rsidR="29BCB678">
        <w:rPr>
          <w:rFonts w:cs="Times New Roman"/>
        </w:rPr>
        <w:t>tates</w:t>
      </w:r>
      <w:r w:rsidRPr="65E8AFF8" w:rsidR="009E2A55">
        <w:rPr>
          <w:rFonts w:cs="Times New Roman"/>
        </w:rPr>
        <w:t xml:space="preserve"> that apply for additional CCBHC sites after the initial Demonstration application</w:t>
      </w:r>
      <w:r w:rsidRPr="65E8AFF8" w:rsidR="00884CF1">
        <w:rPr>
          <w:rFonts w:cs="Times New Roman"/>
        </w:rPr>
        <w:t xml:space="preserve"> will </w:t>
      </w:r>
      <w:r w:rsidR="003719E0">
        <w:rPr>
          <w:rFonts w:cs="Times New Roman"/>
        </w:rPr>
        <w:t xml:space="preserve">incur </w:t>
      </w:r>
      <w:r w:rsidRPr="65E8AFF8" w:rsidR="00EC4384">
        <w:rPr>
          <w:rFonts w:cs="Times New Roman"/>
        </w:rPr>
        <w:t xml:space="preserve">additional burden.  </w:t>
      </w:r>
    </w:p>
    <w:p w:rsidR="0070121E" w:rsidP="0012322C" w14:paraId="4825C01D" w14:textId="77777777">
      <w:pPr>
        <w:rPr>
          <w:rFonts w:cs="Times New Roman"/>
        </w:rPr>
      </w:pPr>
    </w:p>
    <w:p w:rsidR="00AB5FDE" w:rsidP="00BE27F5" w14:paraId="5AAFA866" w14:textId="42B22369">
      <w:pPr>
        <w:rPr>
          <w:rFonts w:cs="Times New Roman"/>
        </w:rPr>
      </w:pPr>
      <w:r w:rsidRPr="00830424">
        <w:rPr>
          <w:rFonts w:cs="Times New Roman"/>
          <w:szCs w:val="24"/>
        </w:rPr>
        <w:t xml:space="preserve">To complete the application, we estimate it will take </w:t>
      </w:r>
      <w:r>
        <w:rPr>
          <w:rFonts w:cs="Times New Roman"/>
          <w:szCs w:val="24"/>
        </w:rPr>
        <w:t>4</w:t>
      </w:r>
      <w:r w:rsidRPr="00830424">
        <w:rPr>
          <w:rFonts w:cs="Times New Roman"/>
          <w:szCs w:val="24"/>
        </w:rPr>
        <w:t xml:space="preserve"> h</w:t>
      </w:r>
      <w:r>
        <w:rPr>
          <w:rFonts w:cs="Times New Roman"/>
          <w:szCs w:val="24"/>
        </w:rPr>
        <w:t xml:space="preserve">ours </w:t>
      </w:r>
      <w:r w:rsidRPr="00830424">
        <w:rPr>
          <w:rFonts w:cs="Times New Roman"/>
          <w:szCs w:val="24"/>
        </w:rPr>
        <w:t xml:space="preserve">at </w:t>
      </w:r>
      <w:r>
        <w:rPr>
          <w:rFonts w:cs="Times New Roman"/>
          <w:szCs w:val="24"/>
        </w:rPr>
        <w:t>$80.36/hr</w:t>
      </w:r>
      <w:r w:rsidRPr="00830424">
        <w:rPr>
          <w:rFonts w:cs="Times New Roman"/>
          <w:szCs w:val="24"/>
        </w:rPr>
        <w:t xml:space="preserve"> for a Financial Specialist to provide data underlying the proposal, </w:t>
      </w:r>
      <w:r w:rsidR="003871C3">
        <w:rPr>
          <w:rFonts w:cs="Times New Roman"/>
        </w:rPr>
        <w:t>3 hours at $</w:t>
      </w:r>
      <w:r w:rsidRPr="003871C3" w:rsidR="003871C3">
        <w:rPr>
          <w:rFonts w:cs="Times New Roman"/>
        </w:rPr>
        <w:t>123.06</w:t>
      </w:r>
      <w:r w:rsidR="003871C3">
        <w:rPr>
          <w:rFonts w:cs="Times New Roman"/>
        </w:rPr>
        <w:t>/hr for a</w:t>
      </w:r>
      <w:r w:rsidRPr="65E8AFF8" w:rsidR="003871C3">
        <w:rPr>
          <w:rFonts w:cs="Times New Roman"/>
        </w:rPr>
        <w:t xml:space="preserve"> </w:t>
      </w:r>
      <w:r w:rsidR="003871C3">
        <w:rPr>
          <w:rFonts w:cs="Times New Roman"/>
        </w:rPr>
        <w:t>Medical and Health Services Manager to assist in completing the CCBHC Compliance Checklist and the Application for Additional CCBHCs</w:t>
      </w:r>
      <w:r w:rsidRPr="00830424">
        <w:rPr>
          <w:rFonts w:cs="Times New Roman"/>
          <w:szCs w:val="24"/>
        </w:rPr>
        <w:t xml:space="preserve">, and </w:t>
      </w:r>
      <w:r w:rsidR="003871C3">
        <w:rPr>
          <w:rFonts w:cs="Times New Roman"/>
          <w:szCs w:val="24"/>
        </w:rPr>
        <w:t>20</w:t>
      </w:r>
      <w:r w:rsidRPr="00830424">
        <w:rPr>
          <w:rFonts w:cs="Times New Roman"/>
          <w:szCs w:val="24"/>
        </w:rPr>
        <w:t xml:space="preserve"> hours at </w:t>
      </w:r>
      <w:r>
        <w:rPr>
          <w:rFonts w:cs="Times New Roman"/>
          <w:szCs w:val="24"/>
        </w:rPr>
        <w:t>$</w:t>
      </w:r>
      <w:r w:rsidRPr="00FB3D12">
        <w:rPr>
          <w:rFonts w:cs="Times New Roman"/>
          <w:szCs w:val="24"/>
        </w:rPr>
        <w:t>118.14</w:t>
      </w:r>
      <w:r>
        <w:rPr>
          <w:rFonts w:cs="Times New Roman"/>
          <w:szCs w:val="24"/>
        </w:rPr>
        <w:t>/hr</w:t>
      </w:r>
      <w:r w:rsidRPr="00830424">
        <w:rPr>
          <w:rFonts w:cs="Times New Roman"/>
          <w:szCs w:val="24"/>
        </w:rPr>
        <w:t xml:space="preserve"> for a General and Operations Manager to oversee the collection of information and prepare most of the proposal.</w:t>
      </w:r>
      <w:r>
        <w:rPr>
          <w:rFonts w:cs="Times New Roman"/>
          <w:szCs w:val="24"/>
        </w:rPr>
        <w:t xml:space="preserve"> </w:t>
      </w:r>
      <w:r w:rsidRPr="6EC7D0AE" w:rsidR="00BE27F5">
        <w:rPr>
          <w:rFonts w:cs="Times New Roman"/>
        </w:rPr>
        <w:t xml:space="preserve">Consequently, the burden for states to complete the application </w:t>
      </w:r>
      <w:r w:rsidRPr="6EC7D0AE" w:rsidR="24867840">
        <w:rPr>
          <w:rFonts w:cs="Times New Roman"/>
        </w:rPr>
        <w:t xml:space="preserve">for additional CCBHCs </w:t>
      </w:r>
      <w:r w:rsidRPr="6EC7D0AE" w:rsidR="00BE27F5">
        <w:rPr>
          <w:rFonts w:cs="Times New Roman"/>
        </w:rPr>
        <w:t xml:space="preserve">is estimated to average </w:t>
      </w:r>
      <w:r w:rsidRPr="6EC7D0AE" w:rsidR="24867840">
        <w:rPr>
          <w:rFonts w:cs="Times New Roman"/>
        </w:rPr>
        <w:t>27</w:t>
      </w:r>
      <w:r w:rsidRPr="6EC7D0AE" w:rsidR="00BE27F5">
        <w:rPr>
          <w:rFonts w:cs="Times New Roman"/>
        </w:rPr>
        <w:t xml:space="preserve"> hours per response</w:t>
      </w:r>
      <w:r w:rsidR="009849E0">
        <w:rPr>
          <w:rFonts w:cs="Times New Roman"/>
        </w:rPr>
        <w:t xml:space="preserve">  (see Table 3)</w:t>
      </w:r>
      <w:r w:rsidRPr="6EC7D0AE" w:rsidR="00BE27F5">
        <w:rPr>
          <w:rFonts w:cs="Times New Roman"/>
        </w:rPr>
        <w:t xml:space="preserve">.  </w:t>
      </w:r>
    </w:p>
    <w:p w:rsidR="00AB5FDE" w:rsidP="00BE27F5" w14:paraId="60FB3019" w14:textId="77777777">
      <w:pPr>
        <w:rPr>
          <w:rFonts w:cs="Times New Roman"/>
        </w:rPr>
      </w:pPr>
    </w:p>
    <w:p w:rsidR="00BE27F5" w:rsidP="00BE27F5" w14:paraId="16EEB4A7" w14:textId="2C8EE04B">
      <w:pPr>
        <w:rPr>
          <w:rFonts w:cs="Times New Roman"/>
        </w:rPr>
      </w:pPr>
      <w:r w:rsidRPr="00195975">
        <w:rPr>
          <w:rFonts w:cs="Times New Roman"/>
        </w:rPr>
        <w:t xml:space="preserve">There is a potential of 1 response per State </w:t>
      </w:r>
      <w:r w:rsidRPr="00195975" w:rsidR="2523E15D">
        <w:rPr>
          <w:rFonts w:cs="Times New Roman"/>
        </w:rPr>
        <w:t>regardless of the amount of CCBHCs being added</w:t>
      </w:r>
      <w:r w:rsidRPr="00195975">
        <w:rPr>
          <w:rFonts w:cs="Times New Roman"/>
        </w:rPr>
        <w:t xml:space="preserve">.  We have a potential universe of </w:t>
      </w:r>
      <w:r w:rsidRPr="00195975" w:rsidR="0BD673C4">
        <w:rPr>
          <w:rFonts w:cs="Times New Roman"/>
        </w:rPr>
        <w:t>2</w:t>
      </w:r>
      <w:r w:rsidRPr="00195975" w:rsidR="192E598C">
        <w:rPr>
          <w:rFonts w:cs="Times New Roman"/>
        </w:rPr>
        <w:t>0</w:t>
      </w:r>
      <w:r w:rsidRPr="00195975">
        <w:rPr>
          <w:rFonts w:cs="Times New Roman"/>
        </w:rPr>
        <w:t xml:space="preserve"> respondents</w:t>
      </w:r>
      <w:r w:rsidRPr="00195975" w:rsidR="007D0D90">
        <w:rPr>
          <w:rFonts w:cs="Times New Roman"/>
        </w:rPr>
        <w:t xml:space="preserve"> currently with an additional 10 states entering the Demonstration in </w:t>
      </w:r>
      <w:r w:rsidRPr="00195975" w:rsidR="00AB5FDE">
        <w:rPr>
          <w:rFonts w:cs="Times New Roman"/>
        </w:rPr>
        <w:t xml:space="preserve">July </w:t>
      </w:r>
      <w:r w:rsidR="00AC70FE">
        <w:rPr>
          <w:rFonts w:cs="Times New Roman"/>
        </w:rPr>
        <w:t xml:space="preserve">1, </w:t>
      </w:r>
      <w:r w:rsidRPr="00195975" w:rsidR="007D0D90">
        <w:rPr>
          <w:rFonts w:cs="Times New Roman"/>
        </w:rPr>
        <w:t>2024, leaving the option of 2</w:t>
      </w:r>
      <w:r w:rsidRPr="00195975" w:rsidR="00D902F6">
        <w:rPr>
          <w:rFonts w:cs="Times New Roman"/>
        </w:rPr>
        <w:t>0</w:t>
      </w:r>
      <w:r w:rsidRPr="00195975" w:rsidR="007D0D90">
        <w:rPr>
          <w:rFonts w:cs="Times New Roman"/>
        </w:rPr>
        <w:t xml:space="preserve"> states to apply for additional CCBHCs</w:t>
      </w:r>
      <w:r w:rsidRPr="00195975">
        <w:rPr>
          <w:rFonts w:cs="Times New Roman"/>
        </w:rPr>
        <w:t xml:space="preserve">. </w:t>
      </w:r>
      <w:r w:rsidRPr="00195975" w:rsidR="00E25CDF">
        <w:rPr>
          <w:rFonts w:cs="Times New Roman"/>
        </w:rPr>
        <w:t xml:space="preserve">Assuming that half of those states will apply for additional sites in the near future, this would </w:t>
      </w:r>
      <w:r w:rsidRPr="00195975" w:rsidR="00A62DFC">
        <w:rPr>
          <w:rFonts w:cs="Times New Roman"/>
        </w:rPr>
        <w:t>estimate 1</w:t>
      </w:r>
      <w:r w:rsidRPr="00195975" w:rsidR="00D902F6">
        <w:rPr>
          <w:rFonts w:cs="Times New Roman"/>
        </w:rPr>
        <w:t>0</w:t>
      </w:r>
      <w:r w:rsidRPr="00195975" w:rsidR="00A62DFC">
        <w:rPr>
          <w:rFonts w:cs="Times New Roman"/>
        </w:rPr>
        <w:t xml:space="preserve"> respondents.</w:t>
      </w:r>
      <w:r w:rsidRPr="00195975">
        <w:rPr>
          <w:rFonts w:cs="Times New Roman"/>
        </w:rPr>
        <w:t xml:space="preserve"> In aggregate, we estimate </w:t>
      </w:r>
      <w:r w:rsidRPr="00195975" w:rsidR="00852D56">
        <w:rPr>
          <w:rFonts w:cs="Times New Roman"/>
        </w:rPr>
        <w:t>270</w:t>
      </w:r>
      <w:r w:rsidRPr="00195975">
        <w:rPr>
          <w:rFonts w:cs="Times New Roman"/>
        </w:rPr>
        <w:t xml:space="preserve"> h</w:t>
      </w:r>
      <w:r w:rsidRPr="0667AA31">
        <w:rPr>
          <w:rFonts w:cs="Times New Roman"/>
        </w:rPr>
        <w:t>ours (</w:t>
      </w:r>
      <w:r w:rsidRPr="0667AA31" w:rsidR="00A62DFC">
        <w:rPr>
          <w:rFonts w:cs="Times New Roman"/>
        </w:rPr>
        <w:t>1</w:t>
      </w:r>
      <w:r w:rsidRPr="0667AA31" w:rsidR="00D902F6">
        <w:rPr>
          <w:rFonts w:cs="Times New Roman"/>
        </w:rPr>
        <w:t>0</w:t>
      </w:r>
      <w:r w:rsidRPr="0667AA31">
        <w:rPr>
          <w:rFonts w:cs="Times New Roman"/>
        </w:rPr>
        <w:t xml:space="preserve"> responses x </w:t>
      </w:r>
      <w:r w:rsidRPr="0667AA31" w:rsidR="00A62DFC">
        <w:rPr>
          <w:rFonts w:cs="Times New Roman"/>
        </w:rPr>
        <w:t>27</w:t>
      </w:r>
      <w:r w:rsidRPr="0667AA31">
        <w:rPr>
          <w:rFonts w:cs="Times New Roman"/>
        </w:rPr>
        <w:t xml:space="preserve"> hours)</w:t>
      </w:r>
      <w:r w:rsidR="00AB5FDE">
        <w:rPr>
          <w:rFonts w:cs="Times New Roman"/>
        </w:rPr>
        <w:t xml:space="preserve"> at a cost of </w:t>
      </w:r>
      <w:r w:rsidRPr="0667AA31">
        <w:rPr>
          <w:rFonts w:cs="Times New Roman"/>
        </w:rPr>
        <w:t>$</w:t>
      </w:r>
      <w:r w:rsidR="00E00F94">
        <w:rPr>
          <w:rFonts w:cs="Times New Roman"/>
        </w:rPr>
        <w:t>30,534</w:t>
      </w:r>
      <w:r w:rsidRPr="0667AA31">
        <w:rPr>
          <w:rFonts w:cs="Times New Roman"/>
        </w:rPr>
        <w:t>.</w:t>
      </w:r>
    </w:p>
    <w:p w:rsidR="00B530B1" w:rsidP="005012D4" w14:paraId="463F2648" w14:textId="5BEAD0E9">
      <w:pPr>
        <w:rPr>
          <w:rFonts w:eastAsia="Calibri" w:cs="Times New Roman"/>
          <w:szCs w:val="24"/>
        </w:rPr>
      </w:pPr>
    </w:p>
    <w:p w:rsidR="00B0512B" w:rsidRPr="00CD42D6" w:rsidP="00CD42D6" w14:paraId="04B230E3" w14:textId="5C44336B">
      <w:pPr>
        <w:jc w:val="center"/>
        <w:rPr>
          <w:rFonts w:cs="Times New Roman"/>
          <w:iCs/>
          <w:szCs w:val="24"/>
        </w:rPr>
      </w:pPr>
      <w:r>
        <w:rPr>
          <w:iCs/>
        </w:rPr>
        <w:t xml:space="preserve">Table 3: </w:t>
      </w:r>
      <w:r w:rsidR="00D36E01">
        <w:rPr>
          <w:iCs/>
        </w:rPr>
        <w:t xml:space="preserve">State </w:t>
      </w:r>
      <w:r w:rsidRPr="00CD42D6" w:rsidR="00442DD7">
        <w:rPr>
          <w:iCs/>
        </w:rPr>
        <w:t>Additional CCBHC Application Burden</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0"/>
        <w:gridCol w:w="1406"/>
        <w:gridCol w:w="1406"/>
        <w:gridCol w:w="1406"/>
        <w:gridCol w:w="1406"/>
        <w:gridCol w:w="1244"/>
        <w:gridCol w:w="1162"/>
      </w:tblGrid>
      <w:tr w14:paraId="6695F1A6" w14:textId="7FF56A26" w:rsidTr="00D36E01">
        <w:tblPrEx>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blHeader/>
        </w:trPr>
        <w:tc>
          <w:tcPr>
            <w:tcW w:w="2340" w:type="dxa"/>
            <w:shd w:val="clear" w:color="auto" w:fill="auto"/>
          </w:tcPr>
          <w:p w:rsidR="00D36E01" w:rsidRPr="004E68C5" w:rsidP="00D36E01" w14:paraId="430A2192" w14:textId="77777777">
            <w:pPr>
              <w:rPr>
                <w:rFonts w:cs="Times New Roman"/>
                <w:bCs/>
                <w:sz w:val="22"/>
              </w:rPr>
            </w:pPr>
            <w:r w:rsidRPr="004E68C5">
              <w:rPr>
                <w:rFonts w:cs="Times New Roman"/>
                <w:bCs/>
                <w:sz w:val="22"/>
              </w:rPr>
              <w:t>Occupation Title</w:t>
            </w:r>
          </w:p>
        </w:tc>
        <w:tc>
          <w:tcPr>
            <w:tcW w:w="1530" w:type="dxa"/>
          </w:tcPr>
          <w:p w:rsidR="00D36E01" w:rsidRPr="004E68C5" w:rsidP="00D36E01" w14:paraId="571CCE89" w14:textId="62EE185C">
            <w:pPr>
              <w:rPr>
                <w:rFonts w:cs="Times New Roman"/>
                <w:bCs/>
                <w:sz w:val="22"/>
              </w:rPr>
            </w:pPr>
            <w:r w:rsidRPr="004E68C5">
              <w:rPr>
                <w:rFonts w:cs="Times New Roman"/>
                <w:bCs/>
                <w:sz w:val="22"/>
              </w:rPr>
              <w:t>Respondents</w:t>
            </w:r>
          </w:p>
        </w:tc>
        <w:tc>
          <w:tcPr>
            <w:tcW w:w="1530" w:type="dxa"/>
          </w:tcPr>
          <w:p w:rsidR="00D36E01" w:rsidRPr="004E68C5" w:rsidP="00D36E01" w14:paraId="40003486" w14:textId="4D4999B4">
            <w:pPr>
              <w:rPr>
                <w:rFonts w:cs="Times New Roman"/>
                <w:bCs/>
                <w:sz w:val="22"/>
              </w:rPr>
            </w:pPr>
            <w:r w:rsidRPr="004E68C5">
              <w:rPr>
                <w:rFonts w:cs="Times New Roman"/>
                <w:bCs/>
                <w:sz w:val="22"/>
              </w:rPr>
              <w:t>Responses</w:t>
            </w:r>
          </w:p>
        </w:tc>
        <w:tc>
          <w:tcPr>
            <w:tcW w:w="1530" w:type="dxa"/>
          </w:tcPr>
          <w:p w:rsidR="00D36E01" w:rsidRPr="004E68C5" w:rsidP="00D36E01" w14:paraId="289AF0DF" w14:textId="0FEB3934">
            <w:pPr>
              <w:rPr>
                <w:rFonts w:cs="Times New Roman"/>
                <w:bCs/>
                <w:sz w:val="22"/>
              </w:rPr>
            </w:pPr>
            <w:r w:rsidRPr="004E68C5">
              <w:rPr>
                <w:rFonts w:cs="Times New Roman"/>
                <w:bCs/>
                <w:sz w:val="22"/>
              </w:rPr>
              <w:t>Time per Response (hr)</w:t>
            </w:r>
          </w:p>
        </w:tc>
        <w:tc>
          <w:tcPr>
            <w:tcW w:w="1530" w:type="dxa"/>
          </w:tcPr>
          <w:p w:rsidR="00D36E01" w:rsidRPr="004E68C5" w:rsidP="00D36E01" w14:paraId="073984D6" w14:textId="185C8B94">
            <w:pPr>
              <w:rPr>
                <w:rFonts w:cs="Times New Roman"/>
                <w:bCs/>
                <w:sz w:val="22"/>
              </w:rPr>
            </w:pPr>
            <w:r w:rsidRPr="004E68C5">
              <w:rPr>
                <w:rFonts w:cs="Times New Roman"/>
                <w:bCs/>
                <w:sz w:val="22"/>
              </w:rPr>
              <w:t>Total Time (hr)</w:t>
            </w:r>
          </w:p>
        </w:tc>
        <w:tc>
          <w:tcPr>
            <w:tcW w:w="1350" w:type="dxa"/>
          </w:tcPr>
          <w:p w:rsidR="00D36E01" w:rsidRPr="004E68C5" w:rsidP="00D36E01" w14:paraId="4CE95F16" w14:textId="2D039CB7">
            <w:pPr>
              <w:rPr>
                <w:rFonts w:cs="Times New Roman"/>
                <w:bCs/>
                <w:sz w:val="22"/>
              </w:rPr>
            </w:pPr>
            <w:r w:rsidRPr="004E68C5">
              <w:rPr>
                <w:rFonts w:cs="Times New Roman"/>
                <w:bCs/>
                <w:sz w:val="22"/>
              </w:rPr>
              <w:t>Adjusted Hourly Wage ($/hr)</w:t>
            </w:r>
          </w:p>
        </w:tc>
        <w:tc>
          <w:tcPr>
            <w:tcW w:w="1260" w:type="dxa"/>
          </w:tcPr>
          <w:p w:rsidR="00D36E01" w:rsidRPr="004E68C5" w:rsidP="00D36E01" w14:paraId="04F633B6" w14:textId="229D7F8A">
            <w:pPr>
              <w:rPr>
                <w:rFonts w:cs="Times New Roman"/>
                <w:bCs/>
                <w:sz w:val="22"/>
              </w:rPr>
            </w:pPr>
            <w:r w:rsidRPr="004E68C5">
              <w:rPr>
                <w:rFonts w:cs="Times New Roman"/>
                <w:bCs/>
                <w:sz w:val="22"/>
              </w:rPr>
              <w:t>Total Cost ($)</w:t>
            </w:r>
          </w:p>
        </w:tc>
      </w:tr>
      <w:tr w14:paraId="3EF82FED" w14:textId="742A82FD" w:rsidTr="00083B90">
        <w:tblPrEx>
          <w:tblW w:w="10170" w:type="dxa"/>
          <w:tblInd w:w="-5" w:type="dxa"/>
          <w:tblLayout w:type="fixed"/>
          <w:tblLook w:val="04A0"/>
        </w:tblPrEx>
        <w:tc>
          <w:tcPr>
            <w:tcW w:w="2340" w:type="dxa"/>
            <w:shd w:val="clear" w:color="auto" w:fill="auto"/>
          </w:tcPr>
          <w:p w:rsidR="00083B90" w:rsidRPr="004E68C5" w:rsidP="00083B90" w14:paraId="216468B7" w14:textId="77777777">
            <w:pPr>
              <w:rPr>
                <w:rFonts w:cs="Times New Roman"/>
                <w:sz w:val="22"/>
              </w:rPr>
            </w:pPr>
            <w:r w:rsidRPr="004E68C5">
              <w:rPr>
                <w:rFonts w:cs="Times New Roman"/>
                <w:sz w:val="22"/>
              </w:rPr>
              <w:t>Financial Specialists,  All Other</w:t>
            </w:r>
          </w:p>
        </w:tc>
        <w:tc>
          <w:tcPr>
            <w:tcW w:w="1530" w:type="dxa"/>
          </w:tcPr>
          <w:p w:rsidR="00083B90" w:rsidRPr="004E68C5" w:rsidP="00083B90" w14:paraId="49356CA0" w14:textId="71EFCCB0">
            <w:pPr>
              <w:rPr>
                <w:rFonts w:cs="Times New Roman"/>
                <w:sz w:val="22"/>
              </w:rPr>
            </w:pPr>
            <w:r w:rsidRPr="004E68C5">
              <w:rPr>
                <w:rFonts w:cs="Times New Roman"/>
                <w:sz w:val="22"/>
              </w:rPr>
              <w:t>10</w:t>
            </w:r>
          </w:p>
        </w:tc>
        <w:tc>
          <w:tcPr>
            <w:tcW w:w="1530" w:type="dxa"/>
          </w:tcPr>
          <w:p w:rsidR="00083B90" w:rsidRPr="004E68C5" w:rsidP="00083B90" w14:paraId="0B429621" w14:textId="4A6896C2">
            <w:pPr>
              <w:rPr>
                <w:rFonts w:cs="Times New Roman"/>
                <w:sz w:val="22"/>
              </w:rPr>
            </w:pPr>
            <w:r w:rsidRPr="004E68C5">
              <w:rPr>
                <w:rFonts w:cs="Times New Roman"/>
                <w:sz w:val="22"/>
              </w:rPr>
              <w:t>10</w:t>
            </w:r>
          </w:p>
        </w:tc>
        <w:tc>
          <w:tcPr>
            <w:tcW w:w="1530" w:type="dxa"/>
          </w:tcPr>
          <w:p w:rsidR="00083B90" w:rsidRPr="004E68C5" w:rsidP="00083B90" w14:paraId="2CC28E30" w14:textId="62D86BA7">
            <w:pPr>
              <w:rPr>
                <w:rFonts w:cs="Times New Roman"/>
                <w:sz w:val="22"/>
              </w:rPr>
            </w:pPr>
            <w:r w:rsidRPr="004E68C5">
              <w:rPr>
                <w:rFonts w:cs="Times New Roman"/>
                <w:sz w:val="22"/>
              </w:rPr>
              <w:t>4</w:t>
            </w:r>
          </w:p>
        </w:tc>
        <w:tc>
          <w:tcPr>
            <w:tcW w:w="1530" w:type="dxa"/>
            <w:shd w:val="clear" w:color="auto" w:fill="auto"/>
            <w:vAlign w:val="center"/>
          </w:tcPr>
          <w:p w:rsidR="00083B90" w:rsidRPr="004E68C5" w:rsidP="00083B90" w14:paraId="3CA6BCDD" w14:textId="463638BC">
            <w:pPr>
              <w:rPr>
                <w:rFonts w:cs="Times New Roman"/>
                <w:sz w:val="22"/>
              </w:rPr>
            </w:pPr>
            <w:r w:rsidRPr="004E68C5">
              <w:rPr>
                <w:color w:val="000000"/>
                <w:sz w:val="22"/>
              </w:rPr>
              <w:t>40</w:t>
            </w:r>
          </w:p>
        </w:tc>
        <w:tc>
          <w:tcPr>
            <w:tcW w:w="1350" w:type="dxa"/>
          </w:tcPr>
          <w:p w:rsidR="00083B90" w:rsidRPr="004E68C5" w:rsidP="00083B90" w14:paraId="446B2C37" w14:textId="1971AA48">
            <w:pPr>
              <w:rPr>
                <w:rFonts w:cs="Times New Roman"/>
                <w:sz w:val="22"/>
              </w:rPr>
            </w:pPr>
            <w:r w:rsidRPr="004E68C5">
              <w:rPr>
                <w:rFonts w:cs="Times New Roman"/>
                <w:sz w:val="22"/>
              </w:rPr>
              <w:t>80.36</w:t>
            </w:r>
          </w:p>
        </w:tc>
        <w:tc>
          <w:tcPr>
            <w:tcW w:w="1260" w:type="dxa"/>
            <w:shd w:val="clear" w:color="auto" w:fill="auto"/>
            <w:vAlign w:val="center"/>
          </w:tcPr>
          <w:p w:rsidR="00083B90" w:rsidRPr="004E68C5" w:rsidP="00083B90" w14:paraId="1DF014C1" w14:textId="7E869C9E">
            <w:pPr>
              <w:rPr>
                <w:rFonts w:cs="Times New Roman"/>
                <w:sz w:val="22"/>
              </w:rPr>
            </w:pPr>
            <w:r w:rsidRPr="004E68C5">
              <w:rPr>
                <w:color w:val="000000"/>
                <w:sz w:val="22"/>
              </w:rPr>
              <w:t>3,214</w:t>
            </w:r>
          </w:p>
        </w:tc>
      </w:tr>
      <w:tr w14:paraId="06526DAA" w14:textId="1E58F8DF" w:rsidTr="00083B90">
        <w:tblPrEx>
          <w:tblW w:w="10170" w:type="dxa"/>
          <w:tblInd w:w="-5" w:type="dxa"/>
          <w:tblLayout w:type="fixed"/>
          <w:tblLook w:val="04A0"/>
        </w:tblPrEx>
        <w:tc>
          <w:tcPr>
            <w:tcW w:w="2340" w:type="dxa"/>
            <w:shd w:val="clear" w:color="auto" w:fill="auto"/>
          </w:tcPr>
          <w:p w:rsidR="00083B90" w:rsidRPr="004E68C5" w:rsidP="00083B90" w14:paraId="525375E2" w14:textId="7C375921">
            <w:pPr>
              <w:rPr>
                <w:rFonts w:cs="Times New Roman"/>
                <w:sz w:val="22"/>
              </w:rPr>
            </w:pPr>
            <w:r w:rsidRPr="004E68C5">
              <w:rPr>
                <w:rFonts w:cs="Times New Roman"/>
                <w:sz w:val="22"/>
              </w:rPr>
              <w:t>Medical and Health Services Manager</w:t>
            </w:r>
          </w:p>
        </w:tc>
        <w:tc>
          <w:tcPr>
            <w:tcW w:w="1530" w:type="dxa"/>
          </w:tcPr>
          <w:p w:rsidR="00083B90" w:rsidRPr="004E68C5" w:rsidP="00083B90" w14:paraId="6D7B74F2" w14:textId="020D93A4">
            <w:pPr>
              <w:rPr>
                <w:rFonts w:cs="Times New Roman"/>
                <w:sz w:val="22"/>
              </w:rPr>
            </w:pPr>
            <w:r w:rsidRPr="004E68C5">
              <w:rPr>
                <w:rFonts w:cs="Times New Roman"/>
                <w:sz w:val="22"/>
              </w:rPr>
              <w:t>10</w:t>
            </w:r>
          </w:p>
        </w:tc>
        <w:tc>
          <w:tcPr>
            <w:tcW w:w="1530" w:type="dxa"/>
          </w:tcPr>
          <w:p w:rsidR="00083B90" w:rsidRPr="004E68C5" w:rsidP="00083B90" w14:paraId="775391B0" w14:textId="41599E87">
            <w:pPr>
              <w:rPr>
                <w:rFonts w:cs="Times New Roman"/>
                <w:sz w:val="22"/>
              </w:rPr>
            </w:pPr>
            <w:r w:rsidRPr="004E68C5">
              <w:rPr>
                <w:rFonts w:cs="Times New Roman"/>
                <w:sz w:val="22"/>
              </w:rPr>
              <w:t>10</w:t>
            </w:r>
          </w:p>
        </w:tc>
        <w:tc>
          <w:tcPr>
            <w:tcW w:w="1530" w:type="dxa"/>
          </w:tcPr>
          <w:p w:rsidR="00083B90" w:rsidRPr="004E68C5" w:rsidP="00083B90" w14:paraId="24E68EFA" w14:textId="271C57B9">
            <w:pPr>
              <w:rPr>
                <w:rFonts w:cs="Times New Roman"/>
                <w:sz w:val="22"/>
              </w:rPr>
            </w:pPr>
            <w:r w:rsidRPr="004E68C5">
              <w:rPr>
                <w:rFonts w:cs="Times New Roman"/>
                <w:sz w:val="22"/>
              </w:rPr>
              <w:t>3</w:t>
            </w:r>
          </w:p>
        </w:tc>
        <w:tc>
          <w:tcPr>
            <w:tcW w:w="1530" w:type="dxa"/>
            <w:shd w:val="clear" w:color="auto" w:fill="auto"/>
            <w:vAlign w:val="center"/>
          </w:tcPr>
          <w:p w:rsidR="00083B90" w:rsidRPr="004E68C5" w:rsidP="00083B90" w14:paraId="48365DB6" w14:textId="00768E81">
            <w:pPr>
              <w:rPr>
                <w:rFonts w:cs="Times New Roman"/>
                <w:sz w:val="22"/>
              </w:rPr>
            </w:pPr>
            <w:r w:rsidRPr="004E68C5">
              <w:rPr>
                <w:color w:val="000000"/>
                <w:sz w:val="22"/>
              </w:rPr>
              <w:t>30</w:t>
            </w:r>
          </w:p>
        </w:tc>
        <w:tc>
          <w:tcPr>
            <w:tcW w:w="1350" w:type="dxa"/>
          </w:tcPr>
          <w:p w:rsidR="00083B90" w:rsidRPr="004E68C5" w:rsidP="00083B90" w14:paraId="345B9924" w14:textId="389E5D74">
            <w:pPr>
              <w:rPr>
                <w:rFonts w:cs="Times New Roman"/>
                <w:sz w:val="22"/>
              </w:rPr>
            </w:pPr>
            <w:r w:rsidRPr="004E68C5">
              <w:rPr>
                <w:rFonts w:cs="Times New Roman"/>
                <w:sz w:val="22"/>
              </w:rPr>
              <w:t>123.06</w:t>
            </w:r>
          </w:p>
        </w:tc>
        <w:tc>
          <w:tcPr>
            <w:tcW w:w="1260" w:type="dxa"/>
            <w:shd w:val="clear" w:color="auto" w:fill="auto"/>
            <w:vAlign w:val="center"/>
          </w:tcPr>
          <w:p w:rsidR="00083B90" w:rsidRPr="004E68C5" w:rsidP="00083B90" w14:paraId="565044CC" w14:textId="035DB903">
            <w:pPr>
              <w:rPr>
                <w:rFonts w:cs="Times New Roman"/>
                <w:sz w:val="22"/>
              </w:rPr>
            </w:pPr>
            <w:r w:rsidRPr="004E68C5">
              <w:rPr>
                <w:color w:val="000000"/>
                <w:sz w:val="22"/>
              </w:rPr>
              <w:t>3,692</w:t>
            </w:r>
          </w:p>
        </w:tc>
      </w:tr>
      <w:tr w14:paraId="29C5C384" w14:textId="606C3261" w:rsidTr="00083B90">
        <w:tblPrEx>
          <w:tblW w:w="10170" w:type="dxa"/>
          <w:tblInd w:w="-5" w:type="dxa"/>
          <w:tblLayout w:type="fixed"/>
          <w:tblLook w:val="04A0"/>
        </w:tblPrEx>
        <w:tc>
          <w:tcPr>
            <w:tcW w:w="2340" w:type="dxa"/>
            <w:shd w:val="clear" w:color="auto" w:fill="auto"/>
          </w:tcPr>
          <w:p w:rsidR="00083B90" w:rsidRPr="004E68C5" w:rsidP="00083B90" w14:paraId="2345B66D" w14:textId="77777777">
            <w:pPr>
              <w:rPr>
                <w:rFonts w:cs="Times New Roman"/>
                <w:sz w:val="22"/>
              </w:rPr>
            </w:pPr>
            <w:r w:rsidRPr="004E68C5">
              <w:rPr>
                <w:rFonts w:cs="Times New Roman"/>
                <w:sz w:val="22"/>
              </w:rPr>
              <w:t>General and Operations Manager</w:t>
            </w:r>
          </w:p>
        </w:tc>
        <w:tc>
          <w:tcPr>
            <w:tcW w:w="1530" w:type="dxa"/>
          </w:tcPr>
          <w:p w:rsidR="00083B90" w:rsidRPr="004E68C5" w:rsidP="00083B90" w14:paraId="6F3A1FC1" w14:textId="501977D6">
            <w:pPr>
              <w:rPr>
                <w:rFonts w:cs="Times New Roman"/>
                <w:sz w:val="22"/>
              </w:rPr>
            </w:pPr>
            <w:r w:rsidRPr="004E68C5">
              <w:rPr>
                <w:rFonts w:cs="Times New Roman"/>
                <w:sz w:val="22"/>
              </w:rPr>
              <w:t>10</w:t>
            </w:r>
          </w:p>
        </w:tc>
        <w:tc>
          <w:tcPr>
            <w:tcW w:w="1530" w:type="dxa"/>
          </w:tcPr>
          <w:p w:rsidR="00083B90" w:rsidRPr="004E68C5" w:rsidP="00083B90" w14:paraId="5EF9F5E6" w14:textId="37C11DB5">
            <w:pPr>
              <w:rPr>
                <w:rFonts w:cs="Times New Roman"/>
                <w:sz w:val="22"/>
              </w:rPr>
            </w:pPr>
            <w:r w:rsidRPr="004E68C5">
              <w:rPr>
                <w:rFonts w:cs="Times New Roman"/>
                <w:sz w:val="22"/>
              </w:rPr>
              <w:t>10</w:t>
            </w:r>
          </w:p>
        </w:tc>
        <w:tc>
          <w:tcPr>
            <w:tcW w:w="1530" w:type="dxa"/>
          </w:tcPr>
          <w:p w:rsidR="00083B90" w:rsidRPr="004E68C5" w:rsidP="00083B90" w14:paraId="10EA4F77" w14:textId="4149469C">
            <w:pPr>
              <w:rPr>
                <w:rFonts w:cs="Times New Roman"/>
                <w:sz w:val="22"/>
              </w:rPr>
            </w:pPr>
            <w:r w:rsidRPr="004E68C5">
              <w:rPr>
                <w:rFonts w:cs="Times New Roman"/>
                <w:sz w:val="22"/>
              </w:rPr>
              <w:t>20</w:t>
            </w:r>
          </w:p>
        </w:tc>
        <w:tc>
          <w:tcPr>
            <w:tcW w:w="1530" w:type="dxa"/>
            <w:shd w:val="clear" w:color="auto" w:fill="auto"/>
            <w:vAlign w:val="center"/>
          </w:tcPr>
          <w:p w:rsidR="00083B90" w:rsidRPr="004E68C5" w:rsidP="00083B90" w14:paraId="27717CC3" w14:textId="099986A8">
            <w:pPr>
              <w:rPr>
                <w:rFonts w:cs="Times New Roman"/>
                <w:sz w:val="22"/>
              </w:rPr>
            </w:pPr>
            <w:r w:rsidRPr="004E68C5">
              <w:rPr>
                <w:color w:val="000000"/>
                <w:sz w:val="22"/>
              </w:rPr>
              <w:t>200</w:t>
            </w:r>
          </w:p>
        </w:tc>
        <w:tc>
          <w:tcPr>
            <w:tcW w:w="1350" w:type="dxa"/>
          </w:tcPr>
          <w:p w:rsidR="00083B90" w:rsidRPr="004E68C5" w:rsidP="00083B90" w14:paraId="0DFBC6D4" w14:textId="2E74080E">
            <w:pPr>
              <w:rPr>
                <w:rFonts w:cs="Times New Roman"/>
                <w:sz w:val="22"/>
              </w:rPr>
            </w:pPr>
            <w:r w:rsidRPr="004E68C5">
              <w:rPr>
                <w:rFonts w:cs="Times New Roman"/>
                <w:sz w:val="22"/>
              </w:rPr>
              <w:t>118.14</w:t>
            </w:r>
          </w:p>
        </w:tc>
        <w:tc>
          <w:tcPr>
            <w:tcW w:w="1260" w:type="dxa"/>
            <w:shd w:val="clear" w:color="auto" w:fill="auto"/>
            <w:vAlign w:val="center"/>
          </w:tcPr>
          <w:p w:rsidR="00083B90" w:rsidRPr="004E68C5" w:rsidP="00083B90" w14:paraId="31D59F23" w14:textId="410EABF5">
            <w:pPr>
              <w:rPr>
                <w:rFonts w:cs="Times New Roman"/>
                <w:sz w:val="22"/>
              </w:rPr>
            </w:pPr>
            <w:r w:rsidRPr="004E68C5">
              <w:rPr>
                <w:color w:val="000000"/>
                <w:sz w:val="22"/>
              </w:rPr>
              <w:t>23,628</w:t>
            </w:r>
          </w:p>
        </w:tc>
      </w:tr>
      <w:tr w14:paraId="7E2C2CE6" w14:textId="6B46CAC5" w:rsidTr="00083B90">
        <w:tblPrEx>
          <w:tblW w:w="10170" w:type="dxa"/>
          <w:tblInd w:w="-5" w:type="dxa"/>
          <w:tblLayout w:type="fixed"/>
          <w:tblLook w:val="04A0"/>
        </w:tblPrEx>
        <w:tc>
          <w:tcPr>
            <w:tcW w:w="2340" w:type="dxa"/>
            <w:shd w:val="clear" w:color="auto" w:fill="auto"/>
          </w:tcPr>
          <w:p w:rsidR="00083B90" w:rsidRPr="004E68C5" w:rsidP="00083B90" w14:paraId="22EA6D8E" w14:textId="77777777">
            <w:pPr>
              <w:rPr>
                <w:rFonts w:cs="Times New Roman"/>
                <w:sz w:val="22"/>
              </w:rPr>
            </w:pPr>
            <w:r w:rsidRPr="004E68C5">
              <w:rPr>
                <w:rFonts w:cs="Times New Roman"/>
                <w:sz w:val="22"/>
              </w:rPr>
              <w:t>Total</w:t>
            </w:r>
          </w:p>
        </w:tc>
        <w:tc>
          <w:tcPr>
            <w:tcW w:w="1530" w:type="dxa"/>
          </w:tcPr>
          <w:p w:rsidR="00083B90" w:rsidRPr="004E68C5" w:rsidP="00083B90" w14:paraId="0E37C6E7" w14:textId="2032A82A">
            <w:pPr>
              <w:rPr>
                <w:rFonts w:cs="Times New Roman"/>
                <w:sz w:val="22"/>
              </w:rPr>
            </w:pPr>
            <w:r w:rsidRPr="004E68C5">
              <w:rPr>
                <w:rFonts w:cs="Times New Roman"/>
                <w:sz w:val="22"/>
              </w:rPr>
              <w:t>10</w:t>
            </w:r>
          </w:p>
        </w:tc>
        <w:tc>
          <w:tcPr>
            <w:tcW w:w="1530" w:type="dxa"/>
          </w:tcPr>
          <w:p w:rsidR="00083B90" w:rsidRPr="004E68C5" w:rsidP="00083B90" w14:paraId="6C5A317C" w14:textId="64C18637">
            <w:pPr>
              <w:rPr>
                <w:rFonts w:cs="Times New Roman"/>
                <w:sz w:val="22"/>
              </w:rPr>
            </w:pPr>
            <w:r w:rsidRPr="004E68C5">
              <w:rPr>
                <w:rFonts w:cs="Times New Roman"/>
                <w:sz w:val="22"/>
              </w:rPr>
              <w:t>10</w:t>
            </w:r>
          </w:p>
        </w:tc>
        <w:tc>
          <w:tcPr>
            <w:tcW w:w="1530" w:type="dxa"/>
          </w:tcPr>
          <w:p w:rsidR="00083B90" w:rsidRPr="004E68C5" w:rsidP="00083B90" w14:paraId="339D7636" w14:textId="13087DBD">
            <w:pPr>
              <w:rPr>
                <w:rFonts w:cs="Times New Roman"/>
                <w:sz w:val="22"/>
              </w:rPr>
            </w:pPr>
            <w:r>
              <w:rPr>
                <w:rFonts w:cs="Times New Roman"/>
                <w:sz w:val="22"/>
              </w:rPr>
              <w:t>varies</w:t>
            </w:r>
          </w:p>
        </w:tc>
        <w:tc>
          <w:tcPr>
            <w:tcW w:w="1530" w:type="dxa"/>
            <w:shd w:val="clear" w:color="auto" w:fill="auto"/>
            <w:vAlign w:val="center"/>
          </w:tcPr>
          <w:p w:rsidR="00083B90" w:rsidRPr="004E68C5" w:rsidP="00083B90" w14:paraId="79916F9C" w14:textId="74838CE9">
            <w:pPr>
              <w:rPr>
                <w:rFonts w:cs="Times New Roman"/>
                <w:sz w:val="22"/>
              </w:rPr>
            </w:pPr>
            <w:r w:rsidRPr="004E68C5">
              <w:rPr>
                <w:color w:val="000000"/>
                <w:sz w:val="22"/>
              </w:rPr>
              <w:t>270</w:t>
            </w:r>
          </w:p>
        </w:tc>
        <w:tc>
          <w:tcPr>
            <w:tcW w:w="1350" w:type="dxa"/>
          </w:tcPr>
          <w:p w:rsidR="00083B90" w:rsidRPr="004E68C5" w:rsidP="00083B90" w14:paraId="1CFC6815" w14:textId="3AA7D21B">
            <w:pPr>
              <w:rPr>
                <w:rFonts w:cs="Times New Roman"/>
                <w:sz w:val="22"/>
              </w:rPr>
            </w:pPr>
            <w:r w:rsidRPr="004E68C5">
              <w:rPr>
                <w:rFonts w:cs="Times New Roman"/>
                <w:sz w:val="22"/>
              </w:rPr>
              <w:t>varies</w:t>
            </w:r>
          </w:p>
        </w:tc>
        <w:tc>
          <w:tcPr>
            <w:tcW w:w="1260" w:type="dxa"/>
            <w:shd w:val="clear" w:color="auto" w:fill="auto"/>
            <w:vAlign w:val="center"/>
          </w:tcPr>
          <w:p w:rsidR="00083B90" w:rsidRPr="004E68C5" w:rsidP="00083B90" w14:paraId="15DDC53B" w14:textId="567F958F">
            <w:pPr>
              <w:rPr>
                <w:rFonts w:cs="Times New Roman"/>
                <w:sz w:val="22"/>
              </w:rPr>
            </w:pPr>
            <w:r w:rsidRPr="004E68C5">
              <w:rPr>
                <w:color w:val="000000"/>
                <w:sz w:val="22"/>
              </w:rPr>
              <w:t>30,534</w:t>
            </w:r>
          </w:p>
        </w:tc>
      </w:tr>
    </w:tbl>
    <w:p w:rsidR="00B0512B" w:rsidP="005012D4" w14:paraId="2998C564" w14:textId="77777777">
      <w:pPr>
        <w:rPr>
          <w:rFonts w:eastAsia="Calibri" w:cs="Times New Roman"/>
          <w:szCs w:val="24"/>
        </w:rPr>
      </w:pPr>
    </w:p>
    <w:p w:rsidR="004F7BE7" w:rsidRPr="003F2630" w:rsidP="004F7BE7" w14:paraId="611A6132" w14:textId="2F63A56E">
      <w:pPr>
        <w:rPr>
          <w:rFonts w:eastAsia="Calibri" w:cs="Times New Roman"/>
          <w:i/>
          <w:iCs/>
          <w:szCs w:val="24"/>
        </w:rPr>
      </w:pPr>
      <w:r w:rsidRPr="003F2630">
        <w:rPr>
          <w:rFonts w:eastAsia="Calibri" w:cs="Times New Roman"/>
          <w:i/>
          <w:iCs/>
          <w:szCs w:val="24"/>
        </w:rPr>
        <w:t>D.</w:t>
      </w:r>
      <w:r w:rsidRPr="003F2630" w:rsidR="004D01CB">
        <w:rPr>
          <w:rFonts w:eastAsia="Calibri" w:cs="Times New Roman"/>
          <w:i/>
          <w:iCs/>
          <w:szCs w:val="24"/>
        </w:rPr>
        <w:t>3</w:t>
      </w:r>
      <w:r w:rsidRPr="003F2630">
        <w:rPr>
          <w:rFonts w:eastAsia="Calibri" w:cs="Times New Roman"/>
          <w:i/>
          <w:iCs/>
          <w:szCs w:val="24"/>
        </w:rPr>
        <w:t xml:space="preserve"> </w:t>
      </w:r>
      <w:r w:rsidRPr="003F2630" w:rsidR="004D01CB">
        <w:rPr>
          <w:rFonts w:eastAsia="Calibri" w:cs="Times New Roman"/>
          <w:i/>
          <w:iCs/>
          <w:szCs w:val="24"/>
        </w:rPr>
        <w:t>Burden Summary</w:t>
      </w:r>
    </w:p>
    <w:p w:rsidR="004F7BE7" w:rsidP="004F7BE7" w14:paraId="4C0FB3E0" w14:textId="77777777">
      <w:pPr>
        <w:rPr>
          <w:rFonts w:eastAsia="Calibri" w:cs="Times New Roman"/>
          <w:szCs w:val="24"/>
        </w:rPr>
      </w:pPr>
    </w:p>
    <w:p w:rsidR="00DA616E" w:rsidP="00DA616E" w14:paraId="376A24C5" w14:textId="32967C17">
      <w:pPr>
        <w:jc w:val="center"/>
        <w:rPr>
          <w:rFonts w:eastAsia="Calibri" w:cs="Times New Roman"/>
          <w:szCs w:val="24"/>
        </w:rPr>
      </w:pPr>
      <w:r>
        <w:rPr>
          <w:rFonts w:eastAsia="Calibri" w:cs="Times New Roman"/>
          <w:szCs w:val="24"/>
        </w:rPr>
        <w:t>Table 4: Total Burden</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5"/>
        <w:gridCol w:w="1474"/>
        <w:gridCol w:w="1399"/>
        <w:gridCol w:w="1495"/>
        <w:gridCol w:w="876"/>
        <w:gridCol w:w="1250"/>
        <w:gridCol w:w="1856"/>
      </w:tblGrid>
      <w:tr w14:paraId="33D96C11" w14:textId="77777777" w:rsidTr="00DF09EC">
        <w:tblPrEx>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blHeader/>
          <w:jc w:val="center"/>
        </w:trPr>
        <w:tc>
          <w:tcPr>
            <w:tcW w:w="1905" w:type="dxa"/>
            <w:vAlign w:val="bottom"/>
          </w:tcPr>
          <w:p w:rsidR="004F7BE7" w:rsidRPr="00D30EC0" w:rsidP="007C74AD" w14:paraId="117463C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22"/>
              </w:rPr>
            </w:pPr>
            <w:r w:rsidRPr="00D30EC0">
              <w:rPr>
                <w:color w:val="000000"/>
                <w:sz w:val="22"/>
              </w:rPr>
              <w:t>Information Collection</w:t>
            </w:r>
          </w:p>
        </w:tc>
        <w:tc>
          <w:tcPr>
            <w:tcW w:w="1474" w:type="dxa"/>
            <w:vAlign w:val="bottom"/>
          </w:tcPr>
          <w:p w:rsidR="004F7BE7" w:rsidRPr="00D30EC0" w:rsidP="00DA616E" w14:paraId="3923B29D"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color w:val="000000"/>
                <w:sz w:val="22"/>
              </w:rPr>
              <w:t>Respondents</w:t>
            </w:r>
          </w:p>
        </w:tc>
        <w:tc>
          <w:tcPr>
            <w:tcW w:w="1399" w:type="dxa"/>
            <w:vAlign w:val="bottom"/>
          </w:tcPr>
          <w:p w:rsidR="004F7BE7" w:rsidRPr="00D30EC0" w:rsidP="00DA616E" w14:paraId="2988002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color w:val="000000"/>
                <w:sz w:val="22"/>
              </w:rPr>
              <w:t>Total Responses</w:t>
            </w:r>
          </w:p>
        </w:tc>
        <w:tc>
          <w:tcPr>
            <w:tcW w:w="1495" w:type="dxa"/>
            <w:vAlign w:val="bottom"/>
          </w:tcPr>
          <w:p w:rsidR="004F7BE7" w:rsidRPr="00D30EC0" w:rsidP="00DA616E" w14:paraId="617AF78A" w14:textId="323A05D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color w:val="000000"/>
                <w:sz w:val="22"/>
              </w:rPr>
              <w:t>Time</w:t>
            </w:r>
            <w:r w:rsidRPr="00D30EC0">
              <w:rPr>
                <w:color w:val="000000"/>
                <w:sz w:val="22"/>
              </w:rPr>
              <w:t xml:space="preserve"> per Response (h</w:t>
            </w:r>
            <w:r w:rsidRPr="00D30EC0">
              <w:rPr>
                <w:color w:val="000000"/>
                <w:sz w:val="22"/>
              </w:rPr>
              <w:t>r</w:t>
            </w:r>
            <w:r w:rsidRPr="00D30EC0">
              <w:rPr>
                <w:color w:val="000000"/>
                <w:sz w:val="22"/>
              </w:rPr>
              <w:t>)</w:t>
            </w:r>
          </w:p>
        </w:tc>
        <w:tc>
          <w:tcPr>
            <w:tcW w:w="876" w:type="dxa"/>
            <w:vAlign w:val="bottom"/>
          </w:tcPr>
          <w:p w:rsidR="004F7BE7" w:rsidRPr="00D30EC0" w:rsidP="00DA616E" w14:paraId="45775062" w14:textId="2C38AA39">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color w:val="000000"/>
                <w:sz w:val="22"/>
              </w:rPr>
              <w:t xml:space="preserve">Total </w:t>
            </w:r>
            <w:r w:rsidRPr="00D30EC0" w:rsidR="00FA28B0">
              <w:rPr>
                <w:color w:val="000000"/>
                <w:sz w:val="22"/>
              </w:rPr>
              <w:t xml:space="preserve">Time </w:t>
            </w:r>
            <w:r w:rsidRPr="00D30EC0">
              <w:rPr>
                <w:color w:val="000000"/>
                <w:sz w:val="22"/>
              </w:rPr>
              <w:t>(h</w:t>
            </w:r>
            <w:r w:rsidRPr="00D30EC0" w:rsidR="00FA28B0">
              <w:rPr>
                <w:color w:val="000000"/>
                <w:sz w:val="22"/>
              </w:rPr>
              <w:t>r</w:t>
            </w:r>
            <w:r w:rsidRPr="00D30EC0">
              <w:rPr>
                <w:color w:val="000000"/>
                <w:sz w:val="22"/>
              </w:rPr>
              <w:t>)</w:t>
            </w:r>
          </w:p>
        </w:tc>
        <w:tc>
          <w:tcPr>
            <w:tcW w:w="1250" w:type="dxa"/>
            <w:vAlign w:val="bottom"/>
          </w:tcPr>
          <w:p w:rsidR="004F7BE7" w:rsidRPr="00D30EC0" w:rsidP="00DA616E" w14:paraId="28BAC209" w14:textId="0AB90D68">
            <w:pPr>
              <w:jc w:val="center"/>
              <w:rPr>
                <w:sz w:val="22"/>
              </w:rPr>
            </w:pPr>
            <w:r w:rsidRPr="006F3541">
              <w:rPr>
                <w:sz w:val="22"/>
              </w:rPr>
              <w:t>Adjusted Hourly Wage ($/hr)</w:t>
            </w:r>
          </w:p>
        </w:tc>
        <w:tc>
          <w:tcPr>
            <w:tcW w:w="1856" w:type="dxa"/>
            <w:vAlign w:val="bottom"/>
          </w:tcPr>
          <w:p w:rsidR="004F7BE7" w:rsidRPr="00D30EC0" w:rsidP="00DA616E" w14:paraId="1FB299C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Total Cost</w:t>
            </w:r>
          </w:p>
          <w:p w:rsidR="004F7BE7" w:rsidRPr="00D30EC0" w:rsidP="00DA616E" w14:paraId="21C23E36"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w:t>
            </w:r>
          </w:p>
        </w:tc>
      </w:tr>
      <w:tr w14:paraId="42210B9B" w14:textId="77777777" w:rsidTr="00DF09EC">
        <w:tblPrEx>
          <w:tblW w:w="10255" w:type="dxa"/>
          <w:jc w:val="center"/>
          <w:tblLook w:val="00A0"/>
        </w:tblPrEx>
        <w:trPr>
          <w:jc w:val="center"/>
        </w:trPr>
        <w:tc>
          <w:tcPr>
            <w:tcW w:w="1905" w:type="dxa"/>
            <w:tcBorders>
              <w:bottom w:val="single" w:sz="4" w:space="0" w:color="auto"/>
            </w:tcBorders>
            <w:vAlign w:val="center"/>
          </w:tcPr>
          <w:p w:rsidR="004F7BE7" w:rsidRPr="00D30EC0" w:rsidP="007C74AD" w14:paraId="3713A8D6"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30EC0">
              <w:rPr>
                <w:sz w:val="22"/>
              </w:rPr>
              <w:t>Application</w:t>
            </w:r>
          </w:p>
        </w:tc>
        <w:tc>
          <w:tcPr>
            <w:tcW w:w="1474" w:type="dxa"/>
            <w:tcBorders>
              <w:bottom w:val="single" w:sz="4" w:space="0" w:color="auto"/>
            </w:tcBorders>
            <w:vAlign w:val="center"/>
          </w:tcPr>
          <w:p w:rsidR="004F7BE7" w:rsidRPr="00D30EC0" w:rsidP="00DA616E" w14:paraId="0840D95C"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20</w:t>
            </w:r>
          </w:p>
        </w:tc>
        <w:tc>
          <w:tcPr>
            <w:tcW w:w="1399" w:type="dxa"/>
            <w:tcBorders>
              <w:bottom w:val="single" w:sz="4" w:space="0" w:color="auto"/>
            </w:tcBorders>
            <w:vAlign w:val="center"/>
          </w:tcPr>
          <w:p w:rsidR="004F7BE7" w:rsidRPr="00D30EC0" w:rsidP="00DA616E" w14:paraId="3ADF5A1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20</w:t>
            </w:r>
          </w:p>
        </w:tc>
        <w:tc>
          <w:tcPr>
            <w:tcW w:w="1495" w:type="dxa"/>
            <w:tcBorders>
              <w:bottom w:val="single" w:sz="4" w:space="0" w:color="auto"/>
            </w:tcBorders>
            <w:vAlign w:val="center"/>
          </w:tcPr>
          <w:p w:rsidR="004F7BE7" w:rsidRPr="00D30EC0" w:rsidP="00DA616E" w14:paraId="258F082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76</w:t>
            </w:r>
          </w:p>
        </w:tc>
        <w:tc>
          <w:tcPr>
            <w:tcW w:w="876" w:type="dxa"/>
            <w:tcBorders>
              <w:bottom w:val="single" w:sz="4" w:space="0" w:color="auto"/>
            </w:tcBorders>
            <w:vAlign w:val="center"/>
          </w:tcPr>
          <w:p w:rsidR="004F7BE7" w:rsidRPr="00D30EC0" w:rsidP="00DA616E" w14:paraId="7B37BE8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sidRPr="00D30EC0">
              <w:rPr>
                <w:sz w:val="22"/>
              </w:rPr>
              <w:t>1,520</w:t>
            </w:r>
          </w:p>
        </w:tc>
        <w:tc>
          <w:tcPr>
            <w:tcW w:w="1250" w:type="dxa"/>
            <w:tcBorders>
              <w:bottom w:val="single" w:sz="4" w:space="0" w:color="auto"/>
            </w:tcBorders>
            <w:vAlign w:val="center"/>
          </w:tcPr>
          <w:p w:rsidR="004F7BE7" w:rsidRPr="00D30EC0" w:rsidP="00DA616E" w14:paraId="2495AB3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varies</w:t>
            </w:r>
          </w:p>
        </w:tc>
        <w:tc>
          <w:tcPr>
            <w:tcW w:w="1856" w:type="dxa"/>
            <w:tcBorders>
              <w:bottom w:val="single" w:sz="4" w:space="0" w:color="auto"/>
            </w:tcBorders>
            <w:vAlign w:val="center"/>
          </w:tcPr>
          <w:p w:rsidR="004F7BE7" w:rsidRPr="00D30EC0" w:rsidP="00DA616E" w14:paraId="1CD568C5" w14:textId="13DBA5C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178,54</w:t>
            </w:r>
            <w:r w:rsidRPr="00D30EC0" w:rsidR="00FA28B0">
              <w:rPr>
                <w:sz w:val="22"/>
              </w:rPr>
              <w:t>8</w:t>
            </w:r>
          </w:p>
        </w:tc>
      </w:tr>
      <w:tr w14:paraId="7AAB45D5" w14:textId="77777777" w:rsidTr="00DF09EC">
        <w:tblPrEx>
          <w:tblW w:w="10255" w:type="dxa"/>
          <w:jc w:val="center"/>
          <w:tblLook w:val="00A0"/>
        </w:tblPrEx>
        <w:trPr>
          <w:jc w:val="center"/>
        </w:trPr>
        <w:tc>
          <w:tcPr>
            <w:tcW w:w="1905" w:type="dxa"/>
            <w:shd w:val="clear" w:color="auto" w:fill="auto"/>
            <w:vAlign w:val="center"/>
          </w:tcPr>
          <w:p w:rsidR="004F7BE7" w:rsidRPr="00D30EC0" w:rsidP="007C74AD" w14:paraId="08C7227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30EC0">
              <w:rPr>
                <w:sz w:val="22"/>
              </w:rPr>
              <w:t>Additional Site Application</w:t>
            </w:r>
          </w:p>
        </w:tc>
        <w:tc>
          <w:tcPr>
            <w:tcW w:w="1474" w:type="dxa"/>
            <w:shd w:val="clear" w:color="auto" w:fill="auto"/>
            <w:vAlign w:val="center"/>
          </w:tcPr>
          <w:p w:rsidR="004F7BE7" w:rsidRPr="00D30EC0" w:rsidP="00DA616E" w14:paraId="5A80D01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10</w:t>
            </w:r>
          </w:p>
        </w:tc>
        <w:tc>
          <w:tcPr>
            <w:tcW w:w="1399" w:type="dxa"/>
            <w:shd w:val="clear" w:color="auto" w:fill="auto"/>
            <w:vAlign w:val="center"/>
          </w:tcPr>
          <w:p w:rsidR="004F7BE7" w:rsidRPr="00D30EC0" w:rsidP="00DA616E" w14:paraId="1ABC056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10</w:t>
            </w:r>
          </w:p>
        </w:tc>
        <w:tc>
          <w:tcPr>
            <w:tcW w:w="1495" w:type="dxa"/>
            <w:shd w:val="clear" w:color="auto" w:fill="auto"/>
            <w:vAlign w:val="center"/>
          </w:tcPr>
          <w:p w:rsidR="004F7BE7" w:rsidRPr="00D30EC0" w:rsidP="00DA616E" w14:paraId="3A2834B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27</w:t>
            </w:r>
          </w:p>
        </w:tc>
        <w:tc>
          <w:tcPr>
            <w:tcW w:w="876" w:type="dxa"/>
            <w:shd w:val="clear" w:color="auto" w:fill="auto"/>
            <w:vAlign w:val="center"/>
          </w:tcPr>
          <w:p w:rsidR="004F7BE7" w:rsidRPr="00D30EC0" w:rsidP="00DA616E" w14:paraId="337AD9F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sidRPr="00D30EC0">
              <w:rPr>
                <w:sz w:val="22"/>
              </w:rPr>
              <w:t>270</w:t>
            </w:r>
          </w:p>
        </w:tc>
        <w:tc>
          <w:tcPr>
            <w:tcW w:w="1250" w:type="dxa"/>
            <w:shd w:val="clear" w:color="auto" w:fill="auto"/>
            <w:vAlign w:val="center"/>
          </w:tcPr>
          <w:p w:rsidR="004F7BE7" w:rsidRPr="00D30EC0" w:rsidP="00DA616E" w14:paraId="0B09E81A"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varies</w:t>
            </w:r>
          </w:p>
        </w:tc>
        <w:tc>
          <w:tcPr>
            <w:tcW w:w="1856" w:type="dxa"/>
            <w:shd w:val="clear" w:color="auto" w:fill="auto"/>
            <w:vAlign w:val="center"/>
          </w:tcPr>
          <w:p w:rsidR="004F7BE7" w:rsidRPr="00D30EC0" w:rsidP="00DA616E" w14:paraId="1619E678" w14:textId="7DD23FA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30,534</w:t>
            </w:r>
          </w:p>
        </w:tc>
      </w:tr>
      <w:tr w14:paraId="160F233F" w14:textId="77777777" w:rsidTr="00D30EC0">
        <w:tblPrEx>
          <w:tblW w:w="10255" w:type="dxa"/>
          <w:jc w:val="center"/>
          <w:tblLook w:val="00A0"/>
        </w:tblPrEx>
        <w:trPr>
          <w:jc w:val="center"/>
        </w:trPr>
        <w:tc>
          <w:tcPr>
            <w:tcW w:w="1905" w:type="dxa"/>
            <w:shd w:val="clear" w:color="auto" w:fill="F2F2F2" w:themeFill="background1" w:themeFillShade="F2"/>
            <w:vAlign w:val="center"/>
          </w:tcPr>
          <w:p w:rsidR="004F7BE7" w:rsidRPr="00D30EC0" w:rsidP="007C74AD" w14:paraId="17A2FE15"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30EC0">
              <w:rPr>
                <w:sz w:val="22"/>
              </w:rPr>
              <w:t>Total</w:t>
            </w:r>
          </w:p>
        </w:tc>
        <w:tc>
          <w:tcPr>
            <w:tcW w:w="1474" w:type="dxa"/>
            <w:shd w:val="clear" w:color="auto" w:fill="F2F2F2" w:themeFill="background1" w:themeFillShade="F2"/>
            <w:vAlign w:val="center"/>
          </w:tcPr>
          <w:p w:rsidR="004F7BE7" w:rsidRPr="00D30EC0" w:rsidP="00DA616E" w14:paraId="62FA2F4A"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30</w:t>
            </w:r>
          </w:p>
        </w:tc>
        <w:tc>
          <w:tcPr>
            <w:tcW w:w="1399" w:type="dxa"/>
            <w:shd w:val="clear" w:color="auto" w:fill="F2F2F2" w:themeFill="background1" w:themeFillShade="F2"/>
            <w:vAlign w:val="center"/>
          </w:tcPr>
          <w:p w:rsidR="004F7BE7" w:rsidRPr="00D30EC0" w:rsidP="00DA616E" w14:paraId="32F5048C"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30</w:t>
            </w:r>
          </w:p>
        </w:tc>
        <w:tc>
          <w:tcPr>
            <w:tcW w:w="1495" w:type="dxa"/>
            <w:shd w:val="clear" w:color="auto" w:fill="F2F2F2" w:themeFill="background1" w:themeFillShade="F2"/>
            <w:vAlign w:val="center"/>
          </w:tcPr>
          <w:p w:rsidR="004F7BE7" w:rsidRPr="00D30EC0" w:rsidP="00DA616E" w14:paraId="7CBC4074" w14:textId="7843F7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Pr>
                <w:sz w:val="22"/>
              </w:rPr>
              <w:t>varies</w:t>
            </w:r>
          </w:p>
        </w:tc>
        <w:tc>
          <w:tcPr>
            <w:tcW w:w="876" w:type="dxa"/>
            <w:shd w:val="clear" w:color="auto" w:fill="F2F2F2" w:themeFill="background1" w:themeFillShade="F2"/>
            <w:vAlign w:val="center"/>
          </w:tcPr>
          <w:p w:rsidR="004F7BE7" w:rsidRPr="00D30EC0" w:rsidP="00DA616E" w14:paraId="5D019AE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sidRPr="00D30EC0">
              <w:rPr>
                <w:sz w:val="22"/>
              </w:rPr>
              <w:t>1,790</w:t>
            </w:r>
          </w:p>
        </w:tc>
        <w:tc>
          <w:tcPr>
            <w:tcW w:w="1250" w:type="dxa"/>
            <w:shd w:val="clear" w:color="auto" w:fill="F2F2F2" w:themeFill="background1" w:themeFillShade="F2"/>
            <w:vAlign w:val="center"/>
          </w:tcPr>
          <w:p w:rsidR="004F7BE7" w:rsidRPr="00D30EC0" w:rsidP="00DA616E" w14:paraId="21A14872" w14:textId="4D3A39A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varies</w:t>
            </w:r>
          </w:p>
        </w:tc>
        <w:tc>
          <w:tcPr>
            <w:tcW w:w="1856" w:type="dxa"/>
            <w:shd w:val="clear" w:color="auto" w:fill="F2F2F2" w:themeFill="background1" w:themeFillShade="F2"/>
            <w:vAlign w:val="center"/>
          </w:tcPr>
          <w:p w:rsidR="004F7BE7" w:rsidRPr="00D30EC0" w:rsidP="00DA616E" w14:paraId="436508CB" w14:textId="750D014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22"/>
              </w:rPr>
            </w:pPr>
            <w:r w:rsidRPr="00D30EC0">
              <w:rPr>
                <w:sz w:val="22"/>
              </w:rPr>
              <w:t>209,082</w:t>
            </w:r>
          </w:p>
        </w:tc>
      </w:tr>
    </w:tbl>
    <w:p w:rsidR="006158F2" w:rsidRPr="00801B88" w:rsidP="005012D4" w14:paraId="406C0CF3" w14:textId="77777777">
      <w:pPr>
        <w:rPr>
          <w:rFonts w:eastAsia="Calibri" w:cs="Times New Roman"/>
          <w:szCs w:val="24"/>
        </w:rPr>
      </w:pPr>
    </w:p>
    <w:p w:rsidR="004D01CB" w:rsidRPr="005C7709" w:rsidP="004D01CB" w14:paraId="79C91CC7" w14:textId="2C66B6C0">
      <w:pPr>
        <w:rPr>
          <w:rFonts w:eastAsia="Calibri" w:cs="Times New Roman"/>
          <w:i/>
          <w:iCs/>
          <w:szCs w:val="24"/>
        </w:rPr>
      </w:pPr>
      <w:r w:rsidRPr="005C7709">
        <w:rPr>
          <w:rFonts w:eastAsia="Calibri" w:cs="Times New Roman"/>
          <w:i/>
          <w:iCs/>
          <w:szCs w:val="24"/>
        </w:rPr>
        <w:t>D.4</w:t>
      </w:r>
      <w:r w:rsidRPr="005C7709" w:rsidR="00644973">
        <w:rPr>
          <w:rFonts w:eastAsia="Calibri" w:cs="Times New Roman"/>
          <w:i/>
          <w:iCs/>
          <w:szCs w:val="24"/>
        </w:rPr>
        <w:t xml:space="preserve"> Collection of Information Instruments and Instructions</w:t>
      </w:r>
    </w:p>
    <w:p w:rsidR="008748D3" w:rsidRPr="005C7709" w:rsidP="0034793C" w14:paraId="252C1E1A" w14:textId="77777777">
      <w:pPr>
        <w:rPr>
          <w:rFonts w:eastAsia="Calibri" w:cs="Times New Roman"/>
          <w:szCs w:val="24"/>
        </w:rPr>
      </w:pPr>
    </w:p>
    <w:p w:rsidR="0034793C" w:rsidRPr="005C7709" w:rsidP="0034793C" w14:paraId="684CC174" w14:textId="628501C1">
      <w:pPr>
        <w:pStyle w:val="ListParagraph"/>
        <w:numPr>
          <w:ilvl w:val="0"/>
          <w:numId w:val="19"/>
        </w:numPr>
        <w:contextualSpacing w:val="0"/>
        <w:rPr>
          <w:rFonts w:ascii="Times New Roman" w:hAnsi="Times New Roman"/>
          <w:sz w:val="24"/>
          <w:szCs w:val="24"/>
        </w:rPr>
      </w:pPr>
      <w:r w:rsidRPr="005C7709">
        <w:rPr>
          <w:rFonts w:ascii="Times New Roman" w:hAnsi="Times New Roman"/>
          <w:sz w:val="24"/>
          <w:szCs w:val="24"/>
        </w:rPr>
        <w:t xml:space="preserve">Application and </w:t>
      </w:r>
      <w:r w:rsidRPr="005C7709">
        <w:rPr>
          <w:rFonts w:ascii="Times New Roman" w:hAnsi="Times New Roman"/>
          <w:sz w:val="24"/>
          <w:szCs w:val="24"/>
        </w:rPr>
        <w:t>Guidance to Participate in the Section 223 CCBHC Demonstration Program</w:t>
      </w:r>
      <w:r w:rsidRPr="005C7709" w:rsidR="00833194">
        <w:rPr>
          <w:rFonts w:ascii="Times New Roman" w:hAnsi="Times New Roman"/>
          <w:sz w:val="24"/>
          <w:szCs w:val="24"/>
        </w:rPr>
        <w:t xml:space="preserve"> (Revised)</w:t>
      </w:r>
    </w:p>
    <w:p w:rsidR="0034793C" w:rsidRPr="005C7709" w:rsidP="0034793C" w14:paraId="762A70FF" w14:textId="77777777">
      <w:pPr>
        <w:rPr>
          <w:rFonts w:eastAsia="Calibri" w:cs="Times New Roman"/>
          <w:szCs w:val="24"/>
        </w:rPr>
      </w:pPr>
    </w:p>
    <w:p w:rsidR="00620F9C" w:rsidRPr="005C7709" w:rsidP="0034793C" w14:paraId="56038C4A" w14:textId="2D0E752F">
      <w:pPr>
        <w:rPr>
          <w:rFonts w:eastAsia="Calibri" w:cs="Times New Roman"/>
          <w:szCs w:val="24"/>
        </w:rPr>
      </w:pPr>
      <w:r w:rsidRPr="005C7709">
        <w:rPr>
          <w:rFonts w:eastAsia="Calibri" w:cs="Times New Roman"/>
          <w:szCs w:val="24"/>
        </w:rPr>
        <w:t>The Application to Add Additional Clinics uses a subset of the same questions in the full Section 223 State Demonstration Application that states must submit for consideration to be selected for participation in the demonstration.</w:t>
      </w:r>
    </w:p>
    <w:p w:rsidR="00620F9C" w:rsidRPr="005C7709" w:rsidP="0034793C" w14:paraId="1E152A8F" w14:textId="77777777">
      <w:pPr>
        <w:rPr>
          <w:rFonts w:eastAsia="Calibri" w:cs="Times New Roman"/>
          <w:szCs w:val="24"/>
        </w:rPr>
      </w:pPr>
    </w:p>
    <w:p w:rsidR="008748D3" w:rsidRPr="005C7709" w:rsidP="0034793C" w14:paraId="0E48819B" w14:textId="707374C0">
      <w:pPr>
        <w:pStyle w:val="ListParagraph"/>
        <w:numPr>
          <w:ilvl w:val="0"/>
          <w:numId w:val="19"/>
        </w:numPr>
        <w:contextualSpacing w:val="0"/>
        <w:rPr>
          <w:rFonts w:ascii="Times New Roman" w:hAnsi="Times New Roman"/>
          <w:sz w:val="24"/>
          <w:szCs w:val="24"/>
        </w:rPr>
      </w:pPr>
      <w:r w:rsidRPr="005C7709">
        <w:rPr>
          <w:rFonts w:ascii="Times New Roman" w:hAnsi="Times New Roman"/>
          <w:sz w:val="24"/>
          <w:szCs w:val="24"/>
        </w:rPr>
        <w:t>Guidance on Addition of CCBHCs to Section 223 State Demonstration Programs</w:t>
      </w:r>
      <w:r w:rsidRPr="005C7709" w:rsidR="00CA38CC">
        <w:rPr>
          <w:rFonts w:ascii="Times New Roman" w:hAnsi="Times New Roman"/>
          <w:sz w:val="24"/>
          <w:szCs w:val="24"/>
        </w:rPr>
        <w:t xml:space="preserve"> (New)</w:t>
      </w:r>
    </w:p>
    <w:p w:rsidR="008748D3" w:rsidRPr="005C7709" w:rsidP="005012D4" w14:paraId="33B07AC4" w14:textId="77777777">
      <w:pPr>
        <w:rPr>
          <w:rFonts w:eastAsia="Calibri" w:cs="Times New Roman"/>
          <w:szCs w:val="24"/>
        </w:rPr>
      </w:pPr>
    </w:p>
    <w:p w:rsidR="00620F9C" w:rsidRPr="005C7709" w:rsidP="005012D4" w14:paraId="6C73FDBD" w14:textId="39E6C1CD">
      <w:pPr>
        <w:rPr>
          <w:rFonts w:eastAsia="Calibri" w:cs="Times New Roman"/>
          <w:szCs w:val="24"/>
        </w:rPr>
      </w:pPr>
      <w:r w:rsidRPr="005C7709">
        <w:rPr>
          <w:rFonts w:eastAsia="Calibri" w:cs="Times New Roman"/>
          <w:szCs w:val="24"/>
        </w:rPr>
        <w:t>Using the Application to Add Additional Clinics, states can add clinics throughout the lifetime of the state’s program.</w:t>
      </w:r>
    </w:p>
    <w:p w:rsidR="00620F9C" w:rsidRPr="005C7709" w:rsidP="005012D4" w14:paraId="25D00F46" w14:textId="77777777">
      <w:pPr>
        <w:rPr>
          <w:rFonts w:eastAsia="Calibri" w:cs="Times New Roman"/>
          <w:szCs w:val="24"/>
        </w:rPr>
      </w:pPr>
    </w:p>
    <w:p w:rsidR="0020256A" w:rsidRPr="005C7709" w:rsidP="005012D4" w14:paraId="476C11BE" w14:textId="64A5B95A">
      <w:pPr>
        <w:rPr>
          <w:rFonts w:eastAsia="Calibri" w:cs="Times New Roman"/>
          <w:szCs w:val="24"/>
        </w:rPr>
      </w:pPr>
      <w:r w:rsidRPr="005C7709">
        <w:rPr>
          <w:rFonts w:eastAsia="Calibri" w:cs="Times New Roman"/>
          <w:szCs w:val="24"/>
        </w:rPr>
        <w:t>To apply, states must complete the application and use the Adding Clinics Guidance to identify any future clinics to be added that were not included at the point the state became a new selectee. State</w:t>
      </w:r>
      <w:r w:rsidRPr="005C7709" w:rsidR="00EE1666">
        <w:rPr>
          <w:rFonts w:eastAsia="Calibri" w:cs="Times New Roman"/>
          <w:szCs w:val="24"/>
        </w:rPr>
        <w:t>s</w:t>
      </w:r>
      <w:r w:rsidRPr="005C7709">
        <w:rPr>
          <w:rFonts w:eastAsia="Calibri" w:cs="Times New Roman"/>
          <w:szCs w:val="24"/>
        </w:rPr>
        <w:t xml:space="preserve"> can add clinics at the start of each demonstration year following </w:t>
      </w:r>
      <w:r w:rsidRPr="005C7709" w:rsidR="00EE1666">
        <w:rPr>
          <w:rFonts w:eastAsia="Calibri" w:cs="Times New Roman"/>
          <w:szCs w:val="24"/>
        </w:rPr>
        <w:t xml:space="preserve">their </w:t>
      </w:r>
      <w:r w:rsidRPr="005C7709">
        <w:rPr>
          <w:rFonts w:eastAsia="Calibri" w:cs="Times New Roman"/>
          <w:szCs w:val="24"/>
        </w:rPr>
        <w:t>admission to the CCBHC demonstration program.</w:t>
      </w:r>
    </w:p>
    <w:p w:rsidR="0020256A" w:rsidRPr="005C7709" w:rsidP="005012D4" w14:paraId="3CA78C88" w14:textId="77777777">
      <w:pPr>
        <w:rPr>
          <w:rFonts w:eastAsia="Calibri" w:cs="Times New Roman"/>
          <w:szCs w:val="24"/>
        </w:rPr>
      </w:pPr>
    </w:p>
    <w:p w:rsidR="005C7709" w:rsidRPr="005C7709" w:rsidP="005C7709" w14:paraId="1367046F" w14:textId="77777777">
      <w:pPr>
        <w:pStyle w:val="ListParagraph"/>
        <w:numPr>
          <w:ilvl w:val="0"/>
          <w:numId w:val="19"/>
        </w:numPr>
        <w:contextualSpacing w:val="0"/>
        <w:rPr>
          <w:rFonts w:ascii="Times New Roman" w:hAnsi="Times New Roman"/>
          <w:sz w:val="24"/>
          <w:szCs w:val="24"/>
        </w:rPr>
      </w:pPr>
      <w:r w:rsidRPr="005C7709">
        <w:rPr>
          <w:rFonts w:ascii="Times New Roman" w:hAnsi="Times New Roman"/>
          <w:sz w:val="24"/>
          <w:szCs w:val="24"/>
        </w:rPr>
        <w:t>Criteria Compliance Checklist (Revised)</w:t>
      </w:r>
    </w:p>
    <w:p w:rsidR="005C7709" w:rsidP="005012D4" w14:paraId="7D8FDEE5" w14:textId="77777777">
      <w:pPr>
        <w:rPr>
          <w:rFonts w:eastAsia="Calibri" w:cs="Times New Roman"/>
          <w:szCs w:val="24"/>
        </w:rPr>
      </w:pPr>
    </w:p>
    <w:p w:rsidR="00B22862" w:rsidP="005012D4" w14:paraId="25D959E6" w14:textId="4C4655E1">
      <w:pPr>
        <w:rPr>
          <w:rFonts w:eastAsia="Calibri" w:cs="Times New Roman"/>
          <w:szCs w:val="24"/>
        </w:rPr>
      </w:pPr>
      <w:r w:rsidRPr="00B22862">
        <w:rPr>
          <w:rFonts w:eastAsia="Calibri" w:cs="Times New Roman"/>
          <w:szCs w:val="24"/>
        </w:rPr>
        <w:t>The checklist was revised to meet the updated criteria.</w:t>
      </w:r>
    </w:p>
    <w:p w:rsidR="00B22862" w:rsidRPr="00801B88" w:rsidP="005012D4" w14:paraId="1338EA33" w14:textId="77777777">
      <w:pPr>
        <w:rPr>
          <w:rFonts w:eastAsia="Calibri" w:cs="Times New Roman"/>
          <w:szCs w:val="24"/>
        </w:rPr>
      </w:pPr>
    </w:p>
    <w:p w:rsidR="007D6E75" w:rsidP="00342E67" w14:paraId="0C39AA16" w14:textId="77777777">
      <w:pPr>
        <w:pStyle w:val="Heading1"/>
      </w:pPr>
      <w:r w:rsidRPr="00DF4E05">
        <w:t>E. Timeline</w:t>
      </w:r>
    </w:p>
    <w:p w:rsidR="002E6E4F" w:rsidP="002E6E4F" w14:paraId="195A37AA" w14:textId="27D9E12E"/>
    <w:p w:rsidR="004E13C2" w:rsidRPr="00C939D8" w:rsidP="004E13C2" w14:paraId="6CAEB5A8" w14:textId="2477F662">
      <w:pPr>
        <w:rPr>
          <w:rFonts w:cs="Times New Roman"/>
          <w:szCs w:val="24"/>
        </w:rPr>
      </w:pPr>
      <w:r w:rsidRPr="00C939D8">
        <w:rPr>
          <w:rFonts w:cs="Times New Roman"/>
          <w:szCs w:val="24"/>
        </w:rPr>
        <w:t xml:space="preserve">We would like to make the </w:t>
      </w:r>
      <w:r w:rsidRPr="00300AFE">
        <w:rPr>
          <w:szCs w:val="24"/>
        </w:rPr>
        <w:t xml:space="preserve">revised Demonstration Application and </w:t>
      </w:r>
      <w:r>
        <w:rPr>
          <w:szCs w:val="24"/>
        </w:rPr>
        <w:t xml:space="preserve">the new </w:t>
      </w:r>
      <w:r w:rsidRPr="00300AFE">
        <w:rPr>
          <w:szCs w:val="24"/>
        </w:rPr>
        <w:t>Adding Clinics Guidance</w:t>
      </w:r>
      <w:r>
        <w:rPr>
          <w:szCs w:val="24"/>
        </w:rPr>
        <w:t xml:space="preserve"> </w:t>
      </w:r>
      <w:r w:rsidRPr="00C939D8">
        <w:rPr>
          <w:rFonts w:cs="Times New Roman"/>
          <w:szCs w:val="24"/>
        </w:rPr>
        <w:t>available for state use as soon as possible but no later than February 9.</w:t>
      </w:r>
    </w:p>
    <w:p w:rsidR="004E13C2" w:rsidRPr="00C939D8" w:rsidP="004E13C2" w14:paraId="057BDA4E" w14:textId="77777777">
      <w:pPr>
        <w:rPr>
          <w:rFonts w:cs="Times New Roman"/>
          <w:szCs w:val="24"/>
        </w:rPr>
      </w:pPr>
    </w:p>
    <w:p w:rsidR="004E13C2" w:rsidP="002E6E4F" w14:paraId="766AE8C0" w14:textId="4B095D5B">
      <w:r w:rsidRPr="00C939D8">
        <w:rPr>
          <w:rFonts w:cs="Times New Roman"/>
          <w:szCs w:val="24"/>
        </w:rPr>
        <w:t xml:space="preserve">Our 14-day notice published in the Federal Register on January 9, 2024 (89 FR 1095). </w:t>
      </w:r>
      <w:r>
        <w:rPr>
          <w:rFonts w:cs="Times New Roman"/>
          <w:szCs w:val="24"/>
        </w:rPr>
        <w:t>C</w:t>
      </w:r>
      <w:r w:rsidRPr="00C939D8">
        <w:rPr>
          <w:rFonts w:cs="Times New Roman"/>
          <w:szCs w:val="24"/>
        </w:rPr>
        <w:t xml:space="preserve">omments were </w:t>
      </w:r>
      <w:r>
        <w:rPr>
          <w:rFonts w:cs="Times New Roman"/>
          <w:szCs w:val="24"/>
        </w:rPr>
        <w:t>received and are attached to this collection of information request along with our response.</w:t>
      </w:r>
    </w:p>
    <w:p w:rsidR="00691EDD" w:rsidRPr="00F47E70" w:rsidP="00EB1A8A" w14:paraId="5D77FF66" w14:textId="77777777">
      <w:pPr>
        <w:rPr>
          <w:rFonts w:cs="Times New Roman"/>
          <w:szCs w:val="24"/>
        </w:rPr>
      </w:pPr>
    </w:p>
    <w:sectPr w:rsidSect="007D6E75">
      <w:headerReference w:type="default" r:id="rId12"/>
      <w:footerReference w:type="defaul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8277771"/>
      <w:docPartObj>
        <w:docPartGallery w:val="Page Numbers (Bottom of Page)"/>
        <w:docPartUnique/>
      </w:docPartObj>
    </w:sdtPr>
    <w:sdtEndPr>
      <w:rPr>
        <w:noProof/>
      </w:rPr>
    </w:sdtEndPr>
    <w:sdtContent>
      <w:p w:rsidR="000D4B08" w:rsidP="007D5D74" w14:paraId="5FA49E88" w14:textId="2F9B39C9">
        <w:pPr>
          <w:pStyle w:val="Footer"/>
          <w:jc w:val="center"/>
        </w:pPr>
        <w:r>
          <w:fldChar w:fldCharType="begin"/>
        </w:r>
        <w:r>
          <w:instrText xml:space="preserve"> PAGE   \* MERGEFORMAT </w:instrText>
        </w:r>
        <w:r>
          <w:fldChar w:fldCharType="separate"/>
        </w:r>
        <w:r w:rsidR="00222595">
          <w:rPr>
            <w:noProof/>
          </w:rPr>
          <w:t>7</w:t>
        </w:r>
        <w:r>
          <w:rPr>
            <w:noProof/>
          </w:rPr>
          <w:fldChar w:fldCharType="end"/>
        </w:r>
      </w:p>
    </w:sdtContent>
  </w:sdt>
  <w:p w:rsidR="000D4B08" w14:paraId="4962A4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3DAB" w:rsidP="008111D2" w14:paraId="7B203F77" w14:textId="77777777">
      <w:r>
        <w:separator/>
      </w:r>
    </w:p>
  </w:footnote>
  <w:footnote w:type="continuationSeparator" w:id="1">
    <w:p w:rsidR="00303DAB" w:rsidP="008111D2" w14:paraId="05616509" w14:textId="77777777">
      <w:r>
        <w:continuationSeparator/>
      </w:r>
    </w:p>
  </w:footnote>
  <w:footnote w:type="continuationNotice" w:id="2">
    <w:p w:rsidR="00303DAB" w14:paraId="03A19CB5" w14:textId="77777777"/>
  </w:footnote>
  <w:footnote w:id="3">
    <w:p w:rsidR="00E421DE" w14:paraId="2CDC6BF9" w14:textId="428CA687">
      <w:pPr>
        <w:pStyle w:val="FootnoteText"/>
      </w:pPr>
      <w:r>
        <w:rPr>
          <w:rStyle w:val="FootnoteReference"/>
        </w:rPr>
        <w:footnoteRef/>
      </w:r>
      <w:r>
        <w:t xml:space="preserve"> </w:t>
      </w:r>
      <w:hyperlink r:id="rId1" w:history="1">
        <w:r>
          <w:rPr>
            <w:rStyle w:val="Hyperlink"/>
          </w:rPr>
          <w:t xml:space="preserve">Bipartisan Safer Communities Act </w:t>
        </w:r>
      </w:hyperlink>
    </w:p>
  </w:footnote>
  <w:footnote w:id="4">
    <w:p w:rsidR="00E421DE" w14:paraId="7F95E281" w14:textId="05B173C6">
      <w:pPr>
        <w:pStyle w:val="FootnoteText"/>
      </w:pPr>
      <w:r>
        <w:rPr>
          <w:rStyle w:val="FootnoteReference"/>
        </w:rPr>
        <w:footnoteRef/>
      </w:r>
      <w:r>
        <w:t xml:space="preserve"> </w:t>
      </w:r>
      <w:hyperlink r:id="rId2" w:history="1">
        <w:r>
          <w:rPr>
            <w:rStyle w:val="Hyperlink"/>
          </w:rPr>
          <w:t>Protecting Access to Medicare Act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76D" w14:paraId="7A0980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565388"/>
    <w:multiLevelType w:val="hybridMultilevel"/>
    <w:tmpl w:val="7B70DC4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35408F9"/>
    <w:multiLevelType w:val="hybridMultilevel"/>
    <w:tmpl w:val="3C1ED5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B4E2AC5"/>
    <w:multiLevelType w:val="hybridMultilevel"/>
    <w:tmpl w:val="A1581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7646728"/>
    <w:multiLevelType w:val="hybridMultilevel"/>
    <w:tmpl w:val="6F08F7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F093080"/>
    <w:multiLevelType w:val="hybridMultilevel"/>
    <w:tmpl w:val="DC962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4E3F94"/>
    <w:multiLevelType w:val="hybridMultilevel"/>
    <w:tmpl w:val="CB74BB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20C2136"/>
    <w:multiLevelType w:val="hybridMultilevel"/>
    <w:tmpl w:val="ACA02C70"/>
    <w:lvl w:ilvl="0">
      <w:start w:val="1"/>
      <w:numFmt w:val="bullet"/>
      <w:lvlText w:val=""/>
      <w:lvlJc w:val="left"/>
      <w:pPr>
        <w:ind w:left="-1365" w:hanging="360"/>
      </w:pPr>
      <w:rPr>
        <w:rFonts w:ascii="Symbol" w:hAnsi="Symbol" w:hint="default"/>
      </w:rPr>
    </w:lvl>
    <w:lvl w:ilvl="1" w:tentative="1">
      <w:start w:val="1"/>
      <w:numFmt w:val="bullet"/>
      <w:lvlText w:val="o"/>
      <w:lvlJc w:val="left"/>
      <w:pPr>
        <w:ind w:left="-645" w:hanging="360"/>
      </w:pPr>
      <w:rPr>
        <w:rFonts w:ascii="Courier New" w:hAnsi="Courier New" w:cs="Courier New" w:hint="default"/>
      </w:rPr>
    </w:lvl>
    <w:lvl w:ilvl="2" w:tentative="1">
      <w:start w:val="1"/>
      <w:numFmt w:val="bullet"/>
      <w:lvlText w:val=""/>
      <w:lvlJc w:val="left"/>
      <w:pPr>
        <w:ind w:left="75" w:hanging="360"/>
      </w:pPr>
      <w:rPr>
        <w:rFonts w:ascii="Wingdings" w:hAnsi="Wingdings" w:hint="default"/>
      </w:rPr>
    </w:lvl>
    <w:lvl w:ilvl="3" w:tentative="1">
      <w:start w:val="1"/>
      <w:numFmt w:val="bullet"/>
      <w:lvlText w:val=""/>
      <w:lvlJc w:val="left"/>
      <w:pPr>
        <w:ind w:left="795" w:hanging="360"/>
      </w:pPr>
      <w:rPr>
        <w:rFonts w:ascii="Symbol" w:hAnsi="Symbol" w:hint="default"/>
      </w:rPr>
    </w:lvl>
    <w:lvl w:ilvl="4" w:tentative="1">
      <w:start w:val="1"/>
      <w:numFmt w:val="bullet"/>
      <w:lvlText w:val="o"/>
      <w:lvlJc w:val="left"/>
      <w:pPr>
        <w:ind w:left="1515" w:hanging="360"/>
      </w:pPr>
      <w:rPr>
        <w:rFonts w:ascii="Courier New" w:hAnsi="Courier New" w:cs="Courier New" w:hint="default"/>
      </w:rPr>
    </w:lvl>
    <w:lvl w:ilvl="5" w:tentative="1">
      <w:start w:val="1"/>
      <w:numFmt w:val="bullet"/>
      <w:lvlText w:val=""/>
      <w:lvlJc w:val="left"/>
      <w:pPr>
        <w:ind w:left="2235" w:hanging="360"/>
      </w:pPr>
      <w:rPr>
        <w:rFonts w:ascii="Wingdings" w:hAnsi="Wingdings" w:hint="default"/>
      </w:rPr>
    </w:lvl>
    <w:lvl w:ilvl="6" w:tentative="1">
      <w:start w:val="1"/>
      <w:numFmt w:val="bullet"/>
      <w:lvlText w:val=""/>
      <w:lvlJc w:val="left"/>
      <w:pPr>
        <w:ind w:left="2955" w:hanging="360"/>
      </w:pPr>
      <w:rPr>
        <w:rFonts w:ascii="Symbol" w:hAnsi="Symbol" w:hint="default"/>
      </w:rPr>
    </w:lvl>
    <w:lvl w:ilvl="7" w:tentative="1">
      <w:start w:val="1"/>
      <w:numFmt w:val="bullet"/>
      <w:lvlText w:val="o"/>
      <w:lvlJc w:val="left"/>
      <w:pPr>
        <w:ind w:left="3675" w:hanging="360"/>
      </w:pPr>
      <w:rPr>
        <w:rFonts w:ascii="Courier New" w:hAnsi="Courier New" w:cs="Courier New" w:hint="default"/>
      </w:rPr>
    </w:lvl>
    <w:lvl w:ilvl="8" w:tentative="1">
      <w:start w:val="1"/>
      <w:numFmt w:val="bullet"/>
      <w:lvlText w:val=""/>
      <w:lvlJc w:val="left"/>
      <w:pPr>
        <w:ind w:left="4395" w:hanging="360"/>
      </w:pPr>
      <w:rPr>
        <w:rFonts w:ascii="Wingdings" w:hAnsi="Wingdings" w:hint="default"/>
      </w:rPr>
    </w:lvl>
  </w:abstractNum>
  <w:abstractNum w:abstractNumId="16">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D673E0B"/>
    <w:multiLevelType w:val="hybridMultilevel"/>
    <w:tmpl w:val="D924F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8102028">
    <w:abstractNumId w:val="12"/>
  </w:num>
  <w:num w:numId="2" w16cid:durableId="1362051755">
    <w:abstractNumId w:val="7"/>
  </w:num>
  <w:num w:numId="3" w16cid:durableId="782193974">
    <w:abstractNumId w:val="8"/>
  </w:num>
  <w:num w:numId="4" w16cid:durableId="179585999">
    <w:abstractNumId w:val="16"/>
  </w:num>
  <w:num w:numId="5" w16cid:durableId="1198933310">
    <w:abstractNumId w:val="2"/>
  </w:num>
  <w:num w:numId="6" w16cid:durableId="529799756">
    <w:abstractNumId w:val="4"/>
  </w:num>
  <w:num w:numId="7" w16cid:durableId="2128230237">
    <w:abstractNumId w:val="6"/>
  </w:num>
  <w:num w:numId="8" w16cid:durableId="172036391">
    <w:abstractNumId w:val="11"/>
  </w:num>
  <w:num w:numId="9" w16cid:durableId="1543008468">
    <w:abstractNumId w:val="0"/>
  </w:num>
  <w:num w:numId="10" w16cid:durableId="1314718151">
    <w:abstractNumId w:val="17"/>
  </w:num>
  <w:num w:numId="11" w16cid:durableId="804389350">
    <w:abstractNumId w:val="1"/>
  </w:num>
  <w:num w:numId="12" w16cid:durableId="85465179">
    <w:abstractNumId w:val="3"/>
  </w:num>
  <w:num w:numId="13" w16cid:durableId="1867063302">
    <w:abstractNumId w:val="14"/>
  </w:num>
  <w:num w:numId="14" w16cid:durableId="1932472573">
    <w:abstractNumId w:val="15"/>
  </w:num>
  <w:num w:numId="15" w16cid:durableId="1495295921">
    <w:abstractNumId w:val="18"/>
  </w:num>
  <w:num w:numId="16" w16cid:durableId="65491673">
    <w:abstractNumId w:val="10"/>
  </w:num>
  <w:num w:numId="17" w16cid:durableId="980381801">
    <w:abstractNumId w:val="13"/>
  </w:num>
  <w:num w:numId="18" w16cid:durableId="1340035660">
    <w:abstractNumId w:val="9"/>
  </w:num>
  <w:num w:numId="19" w16cid:durableId="1116485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75"/>
    <w:rsid w:val="0000387F"/>
    <w:rsid w:val="00011357"/>
    <w:rsid w:val="00011FEE"/>
    <w:rsid w:val="00012D74"/>
    <w:rsid w:val="000134F3"/>
    <w:rsid w:val="00016E13"/>
    <w:rsid w:val="0002350F"/>
    <w:rsid w:val="0002397D"/>
    <w:rsid w:val="00026976"/>
    <w:rsid w:val="00032B57"/>
    <w:rsid w:val="000355AA"/>
    <w:rsid w:val="000362BD"/>
    <w:rsid w:val="00037BF2"/>
    <w:rsid w:val="00043D0E"/>
    <w:rsid w:val="00045494"/>
    <w:rsid w:val="00045996"/>
    <w:rsid w:val="00045ADF"/>
    <w:rsid w:val="00046B5A"/>
    <w:rsid w:val="00047BAA"/>
    <w:rsid w:val="00050430"/>
    <w:rsid w:val="000537D3"/>
    <w:rsid w:val="000560A3"/>
    <w:rsid w:val="00056234"/>
    <w:rsid w:val="000573BD"/>
    <w:rsid w:val="00060295"/>
    <w:rsid w:val="00061115"/>
    <w:rsid w:val="00062D7F"/>
    <w:rsid w:val="00064319"/>
    <w:rsid w:val="000666CD"/>
    <w:rsid w:val="0007088F"/>
    <w:rsid w:val="000712B4"/>
    <w:rsid w:val="00073D6D"/>
    <w:rsid w:val="00074961"/>
    <w:rsid w:val="00075863"/>
    <w:rsid w:val="00076172"/>
    <w:rsid w:val="00076F30"/>
    <w:rsid w:val="00081EDD"/>
    <w:rsid w:val="00083B90"/>
    <w:rsid w:val="00084152"/>
    <w:rsid w:val="00084402"/>
    <w:rsid w:val="00087CC2"/>
    <w:rsid w:val="00087F8A"/>
    <w:rsid w:val="00091087"/>
    <w:rsid w:val="000B0BDD"/>
    <w:rsid w:val="000B1042"/>
    <w:rsid w:val="000B74D6"/>
    <w:rsid w:val="000C3073"/>
    <w:rsid w:val="000D1CFD"/>
    <w:rsid w:val="000D334F"/>
    <w:rsid w:val="000D3EE0"/>
    <w:rsid w:val="000D4B08"/>
    <w:rsid w:val="000D4F26"/>
    <w:rsid w:val="000D627F"/>
    <w:rsid w:val="000E432F"/>
    <w:rsid w:val="000E4EE6"/>
    <w:rsid w:val="000E55DA"/>
    <w:rsid w:val="000E62E0"/>
    <w:rsid w:val="000E694A"/>
    <w:rsid w:val="000E69FA"/>
    <w:rsid w:val="001045F9"/>
    <w:rsid w:val="0011154A"/>
    <w:rsid w:val="00111672"/>
    <w:rsid w:val="0011737A"/>
    <w:rsid w:val="00117DBE"/>
    <w:rsid w:val="00117FBB"/>
    <w:rsid w:val="00120F9C"/>
    <w:rsid w:val="001213D3"/>
    <w:rsid w:val="001214E6"/>
    <w:rsid w:val="00121EE3"/>
    <w:rsid w:val="00122C0E"/>
    <w:rsid w:val="0012322C"/>
    <w:rsid w:val="00130B49"/>
    <w:rsid w:val="0013389C"/>
    <w:rsid w:val="00137047"/>
    <w:rsid w:val="0013B903"/>
    <w:rsid w:val="00141081"/>
    <w:rsid w:val="00141527"/>
    <w:rsid w:val="001455FE"/>
    <w:rsid w:val="00154B09"/>
    <w:rsid w:val="00156D1C"/>
    <w:rsid w:val="00157C79"/>
    <w:rsid w:val="0016102F"/>
    <w:rsid w:val="00163AA6"/>
    <w:rsid w:val="001731F3"/>
    <w:rsid w:val="00175A39"/>
    <w:rsid w:val="00185CB4"/>
    <w:rsid w:val="00195975"/>
    <w:rsid w:val="001A1FC6"/>
    <w:rsid w:val="001A3888"/>
    <w:rsid w:val="001A39A5"/>
    <w:rsid w:val="001B2806"/>
    <w:rsid w:val="001B4FF4"/>
    <w:rsid w:val="001C2005"/>
    <w:rsid w:val="001C450D"/>
    <w:rsid w:val="001C7D38"/>
    <w:rsid w:val="001D197A"/>
    <w:rsid w:val="001E0C5B"/>
    <w:rsid w:val="001E1FA0"/>
    <w:rsid w:val="001E4E08"/>
    <w:rsid w:val="001E5F3A"/>
    <w:rsid w:val="001E66B6"/>
    <w:rsid w:val="001E7139"/>
    <w:rsid w:val="001F1450"/>
    <w:rsid w:val="001F2628"/>
    <w:rsid w:val="001F6033"/>
    <w:rsid w:val="0020026D"/>
    <w:rsid w:val="0020163A"/>
    <w:rsid w:val="0020256A"/>
    <w:rsid w:val="00204F9F"/>
    <w:rsid w:val="00205D04"/>
    <w:rsid w:val="00214CDD"/>
    <w:rsid w:val="00214DAF"/>
    <w:rsid w:val="00220232"/>
    <w:rsid w:val="002213BF"/>
    <w:rsid w:val="00222595"/>
    <w:rsid w:val="00222B4F"/>
    <w:rsid w:val="00225298"/>
    <w:rsid w:val="002341F7"/>
    <w:rsid w:val="002441B6"/>
    <w:rsid w:val="00244D07"/>
    <w:rsid w:val="00250343"/>
    <w:rsid w:val="00251400"/>
    <w:rsid w:val="00252D20"/>
    <w:rsid w:val="00262B47"/>
    <w:rsid w:val="00270765"/>
    <w:rsid w:val="0027114C"/>
    <w:rsid w:val="00271EDD"/>
    <w:rsid w:val="00274C91"/>
    <w:rsid w:val="00275784"/>
    <w:rsid w:val="002801DB"/>
    <w:rsid w:val="00285A86"/>
    <w:rsid w:val="002928B6"/>
    <w:rsid w:val="00296A7E"/>
    <w:rsid w:val="002A1F70"/>
    <w:rsid w:val="002A60DF"/>
    <w:rsid w:val="002B0E30"/>
    <w:rsid w:val="002B594F"/>
    <w:rsid w:val="002C0A3E"/>
    <w:rsid w:val="002C1F7B"/>
    <w:rsid w:val="002C3B40"/>
    <w:rsid w:val="002C3C26"/>
    <w:rsid w:val="002C58D2"/>
    <w:rsid w:val="002D161F"/>
    <w:rsid w:val="002D1AF9"/>
    <w:rsid w:val="002D2061"/>
    <w:rsid w:val="002D5D44"/>
    <w:rsid w:val="002D7087"/>
    <w:rsid w:val="002E2118"/>
    <w:rsid w:val="002E60BE"/>
    <w:rsid w:val="002E6E4F"/>
    <w:rsid w:val="002F332D"/>
    <w:rsid w:val="002F55A3"/>
    <w:rsid w:val="002F6846"/>
    <w:rsid w:val="00300AFE"/>
    <w:rsid w:val="00302F54"/>
    <w:rsid w:val="00303DAB"/>
    <w:rsid w:val="00310BF8"/>
    <w:rsid w:val="0031137B"/>
    <w:rsid w:val="00311392"/>
    <w:rsid w:val="003123E5"/>
    <w:rsid w:val="00312AFC"/>
    <w:rsid w:val="00315427"/>
    <w:rsid w:val="00320FAA"/>
    <w:rsid w:val="003225B1"/>
    <w:rsid w:val="00322C0B"/>
    <w:rsid w:val="003248D0"/>
    <w:rsid w:val="00325F87"/>
    <w:rsid w:val="00326A78"/>
    <w:rsid w:val="0032745D"/>
    <w:rsid w:val="00333547"/>
    <w:rsid w:val="00335313"/>
    <w:rsid w:val="00342E67"/>
    <w:rsid w:val="00344514"/>
    <w:rsid w:val="0034793C"/>
    <w:rsid w:val="003516F2"/>
    <w:rsid w:val="00357218"/>
    <w:rsid w:val="003627C8"/>
    <w:rsid w:val="003644B6"/>
    <w:rsid w:val="003719E0"/>
    <w:rsid w:val="00374460"/>
    <w:rsid w:val="0037518A"/>
    <w:rsid w:val="00380806"/>
    <w:rsid w:val="00381939"/>
    <w:rsid w:val="003828A7"/>
    <w:rsid w:val="00385DBE"/>
    <w:rsid w:val="003871C3"/>
    <w:rsid w:val="003918B4"/>
    <w:rsid w:val="00391D80"/>
    <w:rsid w:val="00391FAA"/>
    <w:rsid w:val="00394D32"/>
    <w:rsid w:val="0039615F"/>
    <w:rsid w:val="0039623D"/>
    <w:rsid w:val="003A3043"/>
    <w:rsid w:val="003A52B0"/>
    <w:rsid w:val="003B2F11"/>
    <w:rsid w:val="003C0901"/>
    <w:rsid w:val="003C157D"/>
    <w:rsid w:val="003C3446"/>
    <w:rsid w:val="003C53A4"/>
    <w:rsid w:val="003C58A3"/>
    <w:rsid w:val="003D0924"/>
    <w:rsid w:val="003D326F"/>
    <w:rsid w:val="003D3280"/>
    <w:rsid w:val="003D3FC9"/>
    <w:rsid w:val="003D5217"/>
    <w:rsid w:val="003E2F86"/>
    <w:rsid w:val="003E36B0"/>
    <w:rsid w:val="003E54B3"/>
    <w:rsid w:val="003E6067"/>
    <w:rsid w:val="003F2630"/>
    <w:rsid w:val="003F2E18"/>
    <w:rsid w:val="003F4D04"/>
    <w:rsid w:val="003F628E"/>
    <w:rsid w:val="003F7460"/>
    <w:rsid w:val="00405CF9"/>
    <w:rsid w:val="00405CFC"/>
    <w:rsid w:val="0041008F"/>
    <w:rsid w:val="0041080E"/>
    <w:rsid w:val="00414F09"/>
    <w:rsid w:val="00423F1D"/>
    <w:rsid w:val="00432C17"/>
    <w:rsid w:val="00442ADA"/>
    <w:rsid w:val="00442DD7"/>
    <w:rsid w:val="00444D41"/>
    <w:rsid w:val="004466D3"/>
    <w:rsid w:val="00447D0E"/>
    <w:rsid w:val="004522D2"/>
    <w:rsid w:val="004613BE"/>
    <w:rsid w:val="00462C62"/>
    <w:rsid w:val="004640C2"/>
    <w:rsid w:val="00465B2D"/>
    <w:rsid w:val="004667C7"/>
    <w:rsid w:val="00467308"/>
    <w:rsid w:val="00467E98"/>
    <w:rsid w:val="00474257"/>
    <w:rsid w:val="00475EF8"/>
    <w:rsid w:val="004774EA"/>
    <w:rsid w:val="0048155E"/>
    <w:rsid w:val="00481E60"/>
    <w:rsid w:val="00482B40"/>
    <w:rsid w:val="00483058"/>
    <w:rsid w:val="00483442"/>
    <w:rsid w:val="004840E1"/>
    <w:rsid w:val="00484EC1"/>
    <w:rsid w:val="0049484C"/>
    <w:rsid w:val="004951F1"/>
    <w:rsid w:val="004A0A30"/>
    <w:rsid w:val="004A1D3A"/>
    <w:rsid w:val="004B13E8"/>
    <w:rsid w:val="004B1EF7"/>
    <w:rsid w:val="004B3BFF"/>
    <w:rsid w:val="004B5943"/>
    <w:rsid w:val="004C7701"/>
    <w:rsid w:val="004D01CB"/>
    <w:rsid w:val="004D1B5F"/>
    <w:rsid w:val="004D2154"/>
    <w:rsid w:val="004D21C7"/>
    <w:rsid w:val="004D2E9C"/>
    <w:rsid w:val="004D5B5B"/>
    <w:rsid w:val="004D60A3"/>
    <w:rsid w:val="004D72AA"/>
    <w:rsid w:val="004E13C2"/>
    <w:rsid w:val="004E68C5"/>
    <w:rsid w:val="004E7689"/>
    <w:rsid w:val="004F00B4"/>
    <w:rsid w:val="004F1A86"/>
    <w:rsid w:val="004F4A06"/>
    <w:rsid w:val="004F76EF"/>
    <w:rsid w:val="004F7BE7"/>
    <w:rsid w:val="00500371"/>
    <w:rsid w:val="005012D4"/>
    <w:rsid w:val="00505473"/>
    <w:rsid w:val="00512039"/>
    <w:rsid w:val="00512697"/>
    <w:rsid w:val="00512723"/>
    <w:rsid w:val="005143D7"/>
    <w:rsid w:val="00522DC7"/>
    <w:rsid w:val="0052333E"/>
    <w:rsid w:val="005248D9"/>
    <w:rsid w:val="0052552A"/>
    <w:rsid w:val="00536CA4"/>
    <w:rsid w:val="00540110"/>
    <w:rsid w:val="005425B1"/>
    <w:rsid w:val="0054375F"/>
    <w:rsid w:val="00546E01"/>
    <w:rsid w:val="0055302E"/>
    <w:rsid w:val="00553BBB"/>
    <w:rsid w:val="00566677"/>
    <w:rsid w:val="0056678A"/>
    <w:rsid w:val="005716E8"/>
    <w:rsid w:val="00582989"/>
    <w:rsid w:val="005854DF"/>
    <w:rsid w:val="0059001D"/>
    <w:rsid w:val="0059180D"/>
    <w:rsid w:val="005938D0"/>
    <w:rsid w:val="005941AE"/>
    <w:rsid w:val="00596180"/>
    <w:rsid w:val="00596FB5"/>
    <w:rsid w:val="00597229"/>
    <w:rsid w:val="0059722D"/>
    <w:rsid w:val="00597D67"/>
    <w:rsid w:val="005A1C9D"/>
    <w:rsid w:val="005A318E"/>
    <w:rsid w:val="005A4CF3"/>
    <w:rsid w:val="005A7C7C"/>
    <w:rsid w:val="005B07F3"/>
    <w:rsid w:val="005B55B5"/>
    <w:rsid w:val="005B6A37"/>
    <w:rsid w:val="005C580D"/>
    <w:rsid w:val="005C7709"/>
    <w:rsid w:val="005C7B9D"/>
    <w:rsid w:val="005D001F"/>
    <w:rsid w:val="005D04F8"/>
    <w:rsid w:val="005D59C0"/>
    <w:rsid w:val="005E3B79"/>
    <w:rsid w:val="005E4375"/>
    <w:rsid w:val="005E52BE"/>
    <w:rsid w:val="005F18B1"/>
    <w:rsid w:val="005F2BB5"/>
    <w:rsid w:val="005F465F"/>
    <w:rsid w:val="006018C1"/>
    <w:rsid w:val="006026DA"/>
    <w:rsid w:val="006046CC"/>
    <w:rsid w:val="0060631C"/>
    <w:rsid w:val="00611530"/>
    <w:rsid w:val="006158F2"/>
    <w:rsid w:val="006158F8"/>
    <w:rsid w:val="0061696B"/>
    <w:rsid w:val="00620F9C"/>
    <w:rsid w:val="00625921"/>
    <w:rsid w:val="00627F16"/>
    <w:rsid w:val="00630142"/>
    <w:rsid w:val="00633871"/>
    <w:rsid w:val="00642DC5"/>
    <w:rsid w:val="00644973"/>
    <w:rsid w:val="006449F5"/>
    <w:rsid w:val="006470BF"/>
    <w:rsid w:val="00647812"/>
    <w:rsid w:val="00650035"/>
    <w:rsid w:val="006507F4"/>
    <w:rsid w:val="00654A02"/>
    <w:rsid w:val="00654E02"/>
    <w:rsid w:val="006563D8"/>
    <w:rsid w:val="0065647A"/>
    <w:rsid w:val="0066010C"/>
    <w:rsid w:val="0068533B"/>
    <w:rsid w:val="00685368"/>
    <w:rsid w:val="00691EDD"/>
    <w:rsid w:val="006A3020"/>
    <w:rsid w:val="006A554A"/>
    <w:rsid w:val="006A73DA"/>
    <w:rsid w:val="006B0BD6"/>
    <w:rsid w:val="006B1AD4"/>
    <w:rsid w:val="006B20C6"/>
    <w:rsid w:val="006B5DD0"/>
    <w:rsid w:val="006C0B96"/>
    <w:rsid w:val="006C4626"/>
    <w:rsid w:val="006C4937"/>
    <w:rsid w:val="006C5247"/>
    <w:rsid w:val="006D640F"/>
    <w:rsid w:val="006D6A5D"/>
    <w:rsid w:val="006E1953"/>
    <w:rsid w:val="006E1FA5"/>
    <w:rsid w:val="006E58AB"/>
    <w:rsid w:val="006F0517"/>
    <w:rsid w:val="006F12BF"/>
    <w:rsid w:val="006F3541"/>
    <w:rsid w:val="006F357A"/>
    <w:rsid w:val="006F3ACD"/>
    <w:rsid w:val="006F3DFA"/>
    <w:rsid w:val="006F4FF9"/>
    <w:rsid w:val="006F6580"/>
    <w:rsid w:val="006F66FD"/>
    <w:rsid w:val="0070049C"/>
    <w:rsid w:val="00700BB0"/>
    <w:rsid w:val="0070121E"/>
    <w:rsid w:val="007046ED"/>
    <w:rsid w:val="00704D2E"/>
    <w:rsid w:val="007063D7"/>
    <w:rsid w:val="00707666"/>
    <w:rsid w:val="007115BC"/>
    <w:rsid w:val="007123BC"/>
    <w:rsid w:val="0071285D"/>
    <w:rsid w:val="007145E0"/>
    <w:rsid w:val="0071650B"/>
    <w:rsid w:val="00716824"/>
    <w:rsid w:val="00716F32"/>
    <w:rsid w:val="00717A65"/>
    <w:rsid w:val="0072201C"/>
    <w:rsid w:val="00723A9E"/>
    <w:rsid w:val="0072439F"/>
    <w:rsid w:val="00740118"/>
    <w:rsid w:val="00741A53"/>
    <w:rsid w:val="00754E94"/>
    <w:rsid w:val="00770426"/>
    <w:rsid w:val="00774377"/>
    <w:rsid w:val="00784C7C"/>
    <w:rsid w:val="007863B1"/>
    <w:rsid w:val="007907F3"/>
    <w:rsid w:val="00791C96"/>
    <w:rsid w:val="00792B10"/>
    <w:rsid w:val="0079372E"/>
    <w:rsid w:val="00797D23"/>
    <w:rsid w:val="007A127C"/>
    <w:rsid w:val="007A5B12"/>
    <w:rsid w:val="007A6AD1"/>
    <w:rsid w:val="007B297E"/>
    <w:rsid w:val="007B47F2"/>
    <w:rsid w:val="007C0200"/>
    <w:rsid w:val="007C0A01"/>
    <w:rsid w:val="007C18CC"/>
    <w:rsid w:val="007C28AE"/>
    <w:rsid w:val="007C2B59"/>
    <w:rsid w:val="007C3B87"/>
    <w:rsid w:val="007C6B22"/>
    <w:rsid w:val="007C74AD"/>
    <w:rsid w:val="007D0D90"/>
    <w:rsid w:val="007D0FEE"/>
    <w:rsid w:val="007D438D"/>
    <w:rsid w:val="007D53D6"/>
    <w:rsid w:val="007D5D74"/>
    <w:rsid w:val="007D6208"/>
    <w:rsid w:val="007D6A9F"/>
    <w:rsid w:val="007D6D23"/>
    <w:rsid w:val="007D6E75"/>
    <w:rsid w:val="007E4D26"/>
    <w:rsid w:val="007F1711"/>
    <w:rsid w:val="007F24F7"/>
    <w:rsid w:val="007F2D7A"/>
    <w:rsid w:val="0080146E"/>
    <w:rsid w:val="00801B88"/>
    <w:rsid w:val="008024AE"/>
    <w:rsid w:val="00802598"/>
    <w:rsid w:val="00802786"/>
    <w:rsid w:val="0080360A"/>
    <w:rsid w:val="0080419B"/>
    <w:rsid w:val="008111D2"/>
    <w:rsid w:val="00815AA5"/>
    <w:rsid w:val="00820329"/>
    <w:rsid w:val="00821D23"/>
    <w:rsid w:val="008244D2"/>
    <w:rsid w:val="00827EA3"/>
    <w:rsid w:val="00830424"/>
    <w:rsid w:val="00833194"/>
    <w:rsid w:val="0083331A"/>
    <w:rsid w:val="00834933"/>
    <w:rsid w:val="00836087"/>
    <w:rsid w:val="00836E8F"/>
    <w:rsid w:val="00852D56"/>
    <w:rsid w:val="00854B3F"/>
    <w:rsid w:val="00855F37"/>
    <w:rsid w:val="00860658"/>
    <w:rsid w:val="0086608B"/>
    <w:rsid w:val="00866CBE"/>
    <w:rsid w:val="00867C3D"/>
    <w:rsid w:val="008723C0"/>
    <w:rsid w:val="00872A95"/>
    <w:rsid w:val="00873459"/>
    <w:rsid w:val="008748D3"/>
    <w:rsid w:val="0088206C"/>
    <w:rsid w:val="00883490"/>
    <w:rsid w:val="00883B7F"/>
    <w:rsid w:val="00884CF1"/>
    <w:rsid w:val="0088756F"/>
    <w:rsid w:val="008875BC"/>
    <w:rsid w:val="00891E59"/>
    <w:rsid w:val="00891EE3"/>
    <w:rsid w:val="00893273"/>
    <w:rsid w:val="0089456D"/>
    <w:rsid w:val="008975BD"/>
    <w:rsid w:val="008A7543"/>
    <w:rsid w:val="008B1099"/>
    <w:rsid w:val="008B708E"/>
    <w:rsid w:val="008B7FE1"/>
    <w:rsid w:val="008C004D"/>
    <w:rsid w:val="008C11BC"/>
    <w:rsid w:val="008C52F8"/>
    <w:rsid w:val="008D1448"/>
    <w:rsid w:val="008D52D1"/>
    <w:rsid w:val="008D5603"/>
    <w:rsid w:val="008D6E4D"/>
    <w:rsid w:val="008D7D02"/>
    <w:rsid w:val="008E0022"/>
    <w:rsid w:val="008E275D"/>
    <w:rsid w:val="008E4DC6"/>
    <w:rsid w:val="008E5542"/>
    <w:rsid w:val="008E5E5D"/>
    <w:rsid w:val="008E6143"/>
    <w:rsid w:val="008E6E34"/>
    <w:rsid w:val="008F2AED"/>
    <w:rsid w:val="008F448C"/>
    <w:rsid w:val="008F676D"/>
    <w:rsid w:val="008F73E3"/>
    <w:rsid w:val="009004E1"/>
    <w:rsid w:val="0091392C"/>
    <w:rsid w:val="009219EB"/>
    <w:rsid w:val="009275FB"/>
    <w:rsid w:val="00927705"/>
    <w:rsid w:val="0093207C"/>
    <w:rsid w:val="00933099"/>
    <w:rsid w:val="00933E99"/>
    <w:rsid w:val="00940267"/>
    <w:rsid w:val="00940BD8"/>
    <w:rsid w:val="009462B5"/>
    <w:rsid w:val="0095112F"/>
    <w:rsid w:val="0095297C"/>
    <w:rsid w:val="00963673"/>
    <w:rsid w:val="009645A4"/>
    <w:rsid w:val="00965DE7"/>
    <w:rsid w:val="00970DC6"/>
    <w:rsid w:val="00972D7C"/>
    <w:rsid w:val="00973748"/>
    <w:rsid w:val="009825CC"/>
    <w:rsid w:val="00982BC3"/>
    <w:rsid w:val="009833FB"/>
    <w:rsid w:val="009849E0"/>
    <w:rsid w:val="00985B07"/>
    <w:rsid w:val="009903AB"/>
    <w:rsid w:val="0099112F"/>
    <w:rsid w:val="00993F59"/>
    <w:rsid w:val="00995FAA"/>
    <w:rsid w:val="009964AC"/>
    <w:rsid w:val="00997B62"/>
    <w:rsid w:val="009A2B0A"/>
    <w:rsid w:val="009A2BB7"/>
    <w:rsid w:val="009A2D49"/>
    <w:rsid w:val="009A4BC8"/>
    <w:rsid w:val="009B19E8"/>
    <w:rsid w:val="009B563A"/>
    <w:rsid w:val="009C01E2"/>
    <w:rsid w:val="009C2D0B"/>
    <w:rsid w:val="009C2F36"/>
    <w:rsid w:val="009C6528"/>
    <w:rsid w:val="009D216D"/>
    <w:rsid w:val="009D368F"/>
    <w:rsid w:val="009D434E"/>
    <w:rsid w:val="009D43B1"/>
    <w:rsid w:val="009D7385"/>
    <w:rsid w:val="009E1ABA"/>
    <w:rsid w:val="009E2A55"/>
    <w:rsid w:val="009E3FAC"/>
    <w:rsid w:val="009E6579"/>
    <w:rsid w:val="009E6719"/>
    <w:rsid w:val="009F1B85"/>
    <w:rsid w:val="009F3DC3"/>
    <w:rsid w:val="009F50DA"/>
    <w:rsid w:val="009F53E6"/>
    <w:rsid w:val="00A02AE3"/>
    <w:rsid w:val="00A044D3"/>
    <w:rsid w:val="00A068F3"/>
    <w:rsid w:val="00A12068"/>
    <w:rsid w:val="00A12D05"/>
    <w:rsid w:val="00A138F7"/>
    <w:rsid w:val="00A14E8D"/>
    <w:rsid w:val="00A211F4"/>
    <w:rsid w:val="00A2225A"/>
    <w:rsid w:val="00A22E2B"/>
    <w:rsid w:val="00A234CB"/>
    <w:rsid w:val="00A23C80"/>
    <w:rsid w:val="00A33C4B"/>
    <w:rsid w:val="00A344A8"/>
    <w:rsid w:val="00A437E3"/>
    <w:rsid w:val="00A44692"/>
    <w:rsid w:val="00A47143"/>
    <w:rsid w:val="00A50861"/>
    <w:rsid w:val="00A532D7"/>
    <w:rsid w:val="00A57913"/>
    <w:rsid w:val="00A62DFC"/>
    <w:rsid w:val="00A65D9D"/>
    <w:rsid w:val="00A669A3"/>
    <w:rsid w:val="00A70A55"/>
    <w:rsid w:val="00A718B4"/>
    <w:rsid w:val="00A7365D"/>
    <w:rsid w:val="00A737FD"/>
    <w:rsid w:val="00A84AD5"/>
    <w:rsid w:val="00A91E2F"/>
    <w:rsid w:val="00A93504"/>
    <w:rsid w:val="00A9434D"/>
    <w:rsid w:val="00A94F97"/>
    <w:rsid w:val="00A950E3"/>
    <w:rsid w:val="00AA14E0"/>
    <w:rsid w:val="00AA32C0"/>
    <w:rsid w:val="00AA37EC"/>
    <w:rsid w:val="00AA3D1E"/>
    <w:rsid w:val="00AA3ECF"/>
    <w:rsid w:val="00AA3F91"/>
    <w:rsid w:val="00AA6B80"/>
    <w:rsid w:val="00AA734A"/>
    <w:rsid w:val="00AB01BC"/>
    <w:rsid w:val="00AB5FDE"/>
    <w:rsid w:val="00AC0331"/>
    <w:rsid w:val="00AC70FE"/>
    <w:rsid w:val="00AD2FCD"/>
    <w:rsid w:val="00AD3B1C"/>
    <w:rsid w:val="00AD3BA8"/>
    <w:rsid w:val="00AD51CC"/>
    <w:rsid w:val="00AE0105"/>
    <w:rsid w:val="00AE0500"/>
    <w:rsid w:val="00AE1BD8"/>
    <w:rsid w:val="00AE30B3"/>
    <w:rsid w:val="00AF4C46"/>
    <w:rsid w:val="00B0223E"/>
    <w:rsid w:val="00B0512B"/>
    <w:rsid w:val="00B0778A"/>
    <w:rsid w:val="00B07B3A"/>
    <w:rsid w:val="00B12D73"/>
    <w:rsid w:val="00B13226"/>
    <w:rsid w:val="00B136FD"/>
    <w:rsid w:val="00B151B4"/>
    <w:rsid w:val="00B222CE"/>
    <w:rsid w:val="00B22862"/>
    <w:rsid w:val="00B235A4"/>
    <w:rsid w:val="00B2723B"/>
    <w:rsid w:val="00B27DA4"/>
    <w:rsid w:val="00B307F4"/>
    <w:rsid w:val="00B3224E"/>
    <w:rsid w:val="00B32A60"/>
    <w:rsid w:val="00B33B71"/>
    <w:rsid w:val="00B34B2F"/>
    <w:rsid w:val="00B43BBD"/>
    <w:rsid w:val="00B514A9"/>
    <w:rsid w:val="00B530B1"/>
    <w:rsid w:val="00B532F3"/>
    <w:rsid w:val="00B5356C"/>
    <w:rsid w:val="00B77606"/>
    <w:rsid w:val="00B82815"/>
    <w:rsid w:val="00B87957"/>
    <w:rsid w:val="00B87C30"/>
    <w:rsid w:val="00B930C1"/>
    <w:rsid w:val="00B95214"/>
    <w:rsid w:val="00BA4147"/>
    <w:rsid w:val="00BA4538"/>
    <w:rsid w:val="00BA5DDF"/>
    <w:rsid w:val="00BA7D9E"/>
    <w:rsid w:val="00BB109D"/>
    <w:rsid w:val="00BC15EE"/>
    <w:rsid w:val="00BC2AFF"/>
    <w:rsid w:val="00BC6C25"/>
    <w:rsid w:val="00BD025A"/>
    <w:rsid w:val="00BD32FA"/>
    <w:rsid w:val="00BD4E94"/>
    <w:rsid w:val="00BD5829"/>
    <w:rsid w:val="00BD6925"/>
    <w:rsid w:val="00BD696C"/>
    <w:rsid w:val="00BD7612"/>
    <w:rsid w:val="00BE20A2"/>
    <w:rsid w:val="00BE27F5"/>
    <w:rsid w:val="00BE2E07"/>
    <w:rsid w:val="00BF504D"/>
    <w:rsid w:val="00BF7509"/>
    <w:rsid w:val="00C064B8"/>
    <w:rsid w:val="00C12448"/>
    <w:rsid w:val="00C1526B"/>
    <w:rsid w:val="00C2142E"/>
    <w:rsid w:val="00C27346"/>
    <w:rsid w:val="00C30531"/>
    <w:rsid w:val="00C30AD7"/>
    <w:rsid w:val="00C30C04"/>
    <w:rsid w:val="00C3238D"/>
    <w:rsid w:val="00C409B6"/>
    <w:rsid w:val="00C46616"/>
    <w:rsid w:val="00C52247"/>
    <w:rsid w:val="00C56710"/>
    <w:rsid w:val="00C61231"/>
    <w:rsid w:val="00C62EB1"/>
    <w:rsid w:val="00C62F33"/>
    <w:rsid w:val="00C648EE"/>
    <w:rsid w:val="00C740E2"/>
    <w:rsid w:val="00C77B6E"/>
    <w:rsid w:val="00C84904"/>
    <w:rsid w:val="00C939D8"/>
    <w:rsid w:val="00C94676"/>
    <w:rsid w:val="00C94C5E"/>
    <w:rsid w:val="00CA00CA"/>
    <w:rsid w:val="00CA0C12"/>
    <w:rsid w:val="00CA0EE5"/>
    <w:rsid w:val="00CA3569"/>
    <w:rsid w:val="00CA38CC"/>
    <w:rsid w:val="00CA4E47"/>
    <w:rsid w:val="00CA7366"/>
    <w:rsid w:val="00CB0FAD"/>
    <w:rsid w:val="00CB241F"/>
    <w:rsid w:val="00CB37E5"/>
    <w:rsid w:val="00CB4FD4"/>
    <w:rsid w:val="00CB50B2"/>
    <w:rsid w:val="00CB646D"/>
    <w:rsid w:val="00CD0C82"/>
    <w:rsid w:val="00CD2B52"/>
    <w:rsid w:val="00CD42D6"/>
    <w:rsid w:val="00CD71E3"/>
    <w:rsid w:val="00CE0707"/>
    <w:rsid w:val="00CE19D5"/>
    <w:rsid w:val="00CE1B02"/>
    <w:rsid w:val="00CE336F"/>
    <w:rsid w:val="00CE42CD"/>
    <w:rsid w:val="00CE62B7"/>
    <w:rsid w:val="00CE69F2"/>
    <w:rsid w:val="00CF07C7"/>
    <w:rsid w:val="00CF4488"/>
    <w:rsid w:val="00CF6C1D"/>
    <w:rsid w:val="00D00B42"/>
    <w:rsid w:val="00D01F06"/>
    <w:rsid w:val="00D06866"/>
    <w:rsid w:val="00D11AA4"/>
    <w:rsid w:val="00D12ABB"/>
    <w:rsid w:val="00D17137"/>
    <w:rsid w:val="00D204BB"/>
    <w:rsid w:val="00D215B4"/>
    <w:rsid w:val="00D26E8E"/>
    <w:rsid w:val="00D27567"/>
    <w:rsid w:val="00D30EC0"/>
    <w:rsid w:val="00D36E01"/>
    <w:rsid w:val="00D36F7B"/>
    <w:rsid w:val="00D3716E"/>
    <w:rsid w:val="00D3734E"/>
    <w:rsid w:val="00D41931"/>
    <w:rsid w:val="00D41BC0"/>
    <w:rsid w:val="00D42323"/>
    <w:rsid w:val="00D4240C"/>
    <w:rsid w:val="00D42E31"/>
    <w:rsid w:val="00D43134"/>
    <w:rsid w:val="00D4551E"/>
    <w:rsid w:val="00D46C38"/>
    <w:rsid w:val="00D4736A"/>
    <w:rsid w:val="00D4764B"/>
    <w:rsid w:val="00D47896"/>
    <w:rsid w:val="00D51661"/>
    <w:rsid w:val="00D52756"/>
    <w:rsid w:val="00D5328E"/>
    <w:rsid w:val="00D75453"/>
    <w:rsid w:val="00D77085"/>
    <w:rsid w:val="00D83C5A"/>
    <w:rsid w:val="00D87F42"/>
    <w:rsid w:val="00D902F6"/>
    <w:rsid w:val="00D92F7D"/>
    <w:rsid w:val="00DA1813"/>
    <w:rsid w:val="00DA32C8"/>
    <w:rsid w:val="00DA616E"/>
    <w:rsid w:val="00DB0042"/>
    <w:rsid w:val="00DB2237"/>
    <w:rsid w:val="00DC05EB"/>
    <w:rsid w:val="00DC0C0E"/>
    <w:rsid w:val="00DC6551"/>
    <w:rsid w:val="00DD0D90"/>
    <w:rsid w:val="00DD5C48"/>
    <w:rsid w:val="00DD76C3"/>
    <w:rsid w:val="00DD794C"/>
    <w:rsid w:val="00DE2592"/>
    <w:rsid w:val="00DE73A2"/>
    <w:rsid w:val="00DF03B4"/>
    <w:rsid w:val="00DF098E"/>
    <w:rsid w:val="00DF09EC"/>
    <w:rsid w:val="00DF4E05"/>
    <w:rsid w:val="00E00F94"/>
    <w:rsid w:val="00E045F1"/>
    <w:rsid w:val="00E100DE"/>
    <w:rsid w:val="00E10916"/>
    <w:rsid w:val="00E13A7B"/>
    <w:rsid w:val="00E160A3"/>
    <w:rsid w:val="00E1694C"/>
    <w:rsid w:val="00E20E24"/>
    <w:rsid w:val="00E22413"/>
    <w:rsid w:val="00E239CE"/>
    <w:rsid w:val="00E2436A"/>
    <w:rsid w:val="00E2502B"/>
    <w:rsid w:val="00E25CDF"/>
    <w:rsid w:val="00E272B3"/>
    <w:rsid w:val="00E310A3"/>
    <w:rsid w:val="00E421DE"/>
    <w:rsid w:val="00E449E5"/>
    <w:rsid w:val="00E45D20"/>
    <w:rsid w:val="00E47B65"/>
    <w:rsid w:val="00E501AD"/>
    <w:rsid w:val="00E50AC7"/>
    <w:rsid w:val="00E5197C"/>
    <w:rsid w:val="00E551D7"/>
    <w:rsid w:val="00E57856"/>
    <w:rsid w:val="00E57EF1"/>
    <w:rsid w:val="00E73F53"/>
    <w:rsid w:val="00E769DC"/>
    <w:rsid w:val="00E8321F"/>
    <w:rsid w:val="00E83C3E"/>
    <w:rsid w:val="00E84D79"/>
    <w:rsid w:val="00E90D74"/>
    <w:rsid w:val="00E913EE"/>
    <w:rsid w:val="00E91B89"/>
    <w:rsid w:val="00E93F3F"/>
    <w:rsid w:val="00EA20BE"/>
    <w:rsid w:val="00EA3330"/>
    <w:rsid w:val="00EA4AB1"/>
    <w:rsid w:val="00EB1115"/>
    <w:rsid w:val="00EB1A8A"/>
    <w:rsid w:val="00EB3FE7"/>
    <w:rsid w:val="00EC4104"/>
    <w:rsid w:val="00EC4384"/>
    <w:rsid w:val="00EC6499"/>
    <w:rsid w:val="00EC7580"/>
    <w:rsid w:val="00EC7726"/>
    <w:rsid w:val="00ED722E"/>
    <w:rsid w:val="00EE1666"/>
    <w:rsid w:val="00EE1AD1"/>
    <w:rsid w:val="00EF3841"/>
    <w:rsid w:val="00EF3A74"/>
    <w:rsid w:val="00EF482C"/>
    <w:rsid w:val="00EF59ED"/>
    <w:rsid w:val="00F01D40"/>
    <w:rsid w:val="00F0298D"/>
    <w:rsid w:val="00F02F7E"/>
    <w:rsid w:val="00F0463D"/>
    <w:rsid w:val="00F04F6D"/>
    <w:rsid w:val="00F06C5E"/>
    <w:rsid w:val="00F10894"/>
    <w:rsid w:val="00F1459A"/>
    <w:rsid w:val="00F164C2"/>
    <w:rsid w:val="00F2020B"/>
    <w:rsid w:val="00F20797"/>
    <w:rsid w:val="00F21C5B"/>
    <w:rsid w:val="00F2233C"/>
    <w:rsid w:val="00F22E88"/>
    <w:rsid w:val="00F24338"/>
    <w:rsid w:val="00F3002D"/>
    <w:rsid w:val="00F303E4"/>
    <w:rsid w:val="00F3097A"/>
    <w:rsid w:val="00F30F8C"/>
    <w:rsid w:val="00F3165E"/>
    <w:rsid w:val="00F3378F"/>
    <w:rsid w:val="00F34393"/>
    <w:rsid w:val="00F4120E"/>
    <w:rsid w:val="00F44131"/>
    <w:rsid w:val="00F4423B"/>
    <w:rsid w:val="00F47E70"/>
    <w:rsid w:val="00F54374"/>
    <w:rsid w:val="00F60740"/>
    <w:rsid w:val="00F64B1C"/>
    <w:rsid w:val="00F714EF"/>
    <w:rsid w:val="00F721BB"/>
    <w:rsid w:val="00F73E61"/>
    <w:rsid w:val="00F76BC7"/>
    <w:rsid w:val="00F878F0"/>
    <w:rsid w:val="00F94A38"/>
    <w:rsid w:val="00F9671E"/>
    <w:rsid w:val="00FA1B4E"/>
    <w:rsid w:val="00FA28B0"/>
    <w:rsid w:val="00FA3A94"/>
    <w:rsid w:val="00FB31CE"/>
    <w:rsid w:val="00FB39E6"/>
    <w:rsid w:val="00FB3D12"/>
    <w:rsid w:val="00FB3D21"/>
    <w:rsid w:val="00FC34E3"/>
    <w:rsid w:val="00FC42BB"/>
    <w:rsid w:val="00FD1019"/>
    <w:rsid w:val="00FD12FD"/>
    <w:rsid w:val="00FD3BB9"/>
    <w:rsid w:val="00FE0D9C"/>
    <w:rsid w:val="00FE644A"/>
    <w:rsid w:val="00FE7463"/>
    <w:rsid w:val="00FF2A15"/>
    <w:rsid w:val="00FF65FA"/>
    <w:rsid w:val="020BCF9E"/>
    <w:rsid w:val="06170894"/>
    <w:rsid w:val="0667AA31"/>
    <w:rsid w:val="07891135"/>
    <w:rsid w:val="0B394839"/>
    <w:rsid w:val="0BD673C4"/>
    <w:rsid w:val="0D02AD94"/>
    <w:rsid w:val="0D676F8A"/>
    <w:rsid w:val="0F715DD6"/>
    <w:rsid w:val="0F9C3BB2"/>
    <w:rsid w:val="10286051"/>
    <w:rsid w:val="10755F81"/>
    <w:rsid w:val="166BEEF9"/>
    <w:rsid w:val="186D2455"/>
    <w:rsid w:val="18AA8A3D"/>
    <w:rsid w:val="192E598C"/>
    <w:rsid w:val="1951FAEF"/>
    <w:rsid w:val="1A616B87"/>
    <w:rsid w:val="1E5E6FF9"/>
    <w:rsid w:val="1FE2DE65"/>
    <w:rsid w:val="204E79E2"/>
    <w:rsid w:val="22EF480D"/>
    <w:rsid w:val="2333A784"/>
    <w:rsid w:val="2406EC0C"/>
    <w:rsid w:val="2455E79E"/>
    <w:rsid w:val="24867840"/>
    <w:rsid w:val="2523E15D"/>
    <w:rsid w:val="25F17B55"/>
    <w:rsid w:val="25FBDBFF"/>
    <w:rsid w:val="27F98526"/>
    <w:rsid w:val="29BCB678"/>
    <w:rsid w:val="2B1E3BF9"/>
    <w:rsid w:val="2D5DB7AF"/>
    <w:rsid w:val="2D99DB62"/>
    <w:rsid w:val="2FFA1354"/>
    <w:rsid w:val="30B02060"/>
    <w:rsid w:val="3301DF07"/>
    <w:rsid w:val="3542D2E7"/>
    <w:rsid w:val="37453C29"/>
    <w:rsid w:val="39513A93"/>
    <w:rsid w:val="3ED7E2DE"/>
    <w:rsid w:val="42C93153"/>
    <w:rsid w:val="43EC7744"/>
    <w:rsid w:val="441CE3CB"/>
    <w:rsid w:val="45054A33"/>
    <w:rsid w:val="4788E3B7"/>
    <w:rsid w:val="47B4F650"/>
    <w:rsid w:val="480832BE"/>
    <w:rsid w:val="4A53996C"/>
    <w:rsid w:val="4CBC1CDC"/>
    <w:rsid w:val="51114A36"/>
    <w:rsid w:val="5242FDAC"/>
    <w:rsid w:val="52832F3E"/>
    <w:rsid w:val="5722D9DB"/>
    <w:rsid w:val="6030BE7B"/>
    <w:rsid w:val="6339BDC1"/>
    <w:rsid w:val="635FDB3A"/>
    <w:rsid w:val="636E20B9"/>
    <w:rsid w:val="65E8AFF8"/>
    <w:rsid w:val="66C91678"/>
    <w:rsid w:val="67A1D69B"/>
    <w:rsid w:val="67C5D093"/>
    <w:rsid w:val="680AE167"/>
    <w:rsid w:val="69A05425"/>
    <w:rsid w:val="6B070C57"/>
    <w:rsid w:val="6B33DF4C"/>
    <w:rsid w:val="6C2F21DF"/>
    <w:rsid w:val="6EC7D0AE"/>
    <w:rsid w:val="6F8ED2A7"/>
    <w:rsid w:val="6FA4C924"/>
    <w:rsid w:val="71855DA3"/>
    <w:rsid w:val="75C6F45D"/>
    <w:rsid w:val="77BE862A"/>
    <w:rsid w:val="77FD2BB6"/>
    <w:rsid w:val="782790F6"/>
    <w:rsid w:val="7C632311"/>
    <w:rsid w:val="7CDA03E4"/>
    <w:rsid w:val="7F9D3205"/>
    <w:rsid w:val="7FEE763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993123"/>
  <w15:docId w15:val="{7790DD49-9A84-4097-A393-67D6876C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342E67"/>
    <w:pPr>
      <w:keepNext/>
      <w:keepLines/>
      <w:outlineLvl w:val="0"/>
    </w:pPr>
    <w:rPr>
      <w:rFonts w:eastAsiaTheme="majorEastAsia" w:cs="Times New Roman"/>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E67"/>
    <w:rPr>
      <w:rFonts w:ascii="Times New Roman" w:hAnsi="Times New Roman" w:eastAsiaTheme="majorEastAsia" w:cs="Times New Roman"/>
      <w:b/>
      <w:bCs/>
      <w:color w:val="000000" w:themeColor="text1"/>
      <w:sz w:val="24"/>
      <w:szCs w:val="24"/>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5012D4"/>
    <w:rPr>
      <w:sz w:val="16"/>
      <w:szCs w:val="16"/>
    </w:rPr>
  </w:style>
  <w:style w:type="paragraph" w:customStyle="1" w:styleId="CommentText1">
    <w:name w:val="Comment Text1"/>
    <w:basedOn w:val="Normal"/>
    <w:next w:val="CommentText"/>
    <w:link w:val="CommentTextChar"/>
    <w:uiPriority w:val="99"/>
    <w:semiHidden/>
    <w:unhideWhenUsed/>
    <w:rsid w:val="005012D4"/>
    <w:rPr>
      <w:sz w:val="20"/>
      <w:szCs w:val="20"/>
    </w:rPr>
  </w:style>
  <w:style w:type="character" w:customStyle="1" w:styleId="CommentTextChar">
    <w:name w:val="Comment Text Char"/>
    <w:basedOn w:val="DefaultParagraphFont"/>
    <w:link w:val="CommentText1"/>
    <w:uiPriority w:val="99"/>
    <w:semiHidden/>
    <w:rsid w:val="005012D4"/>
    <w:rPr>
      <w:rFonts w:ascii="Times New Roman" w:hAnsi="Times New Roman"/>
      <w:sz w:val="20"/>
      <w:szCs w:val="20"/>
    </w:rPr>
  </w:style>
  <w:style w:type="paragraph" w:styleId="CommentText">
    <w:name w:val="annotation text"/>
    <w:basedOn w:val="Normal"/>
    <w:link w:val="CommentTextChar1"/>
    <w:uiPriority w:val="99"/>
    <w:unhideWhenUsed/>
    <w:rsid w:val="005012D4"/>
    <w:rPr>
      <w:sz w:val="20"/>
      <w:szCs w:val="20"/>
    </w:rPr>
  </w:style>
  <w:style w:type="character" w:customStyle="1" w:styleId="CommentTextChar1">
    <w:name w:val="Comment Text Char1"/>
    <w:basedOn w:val="DefaultParagraphFont"/>
    <w:link w:val="CommentText"/>
    <w:uiPriority w:val="99"/>
    <w:rsid w:val="005012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78F0"/>
    <w:rPr>
      <w:b/>
      <w:bCs/>
    </w:rPr>
  </w:style>
  <w:style w:type="character" w:customStyle="1" w:styleId="CommentSubjectChar">
    <w:name w:val="Comment Subject Char"/>
    <w:basedOn w:val="CommentTextChar1"/>
    <w:link w:val="CommentSubject"/>
    <w:uiPriority w:val="99"/>
    <w:semiHidden/>
    <w:rsid w:val="00F878F0"/>
    <w:rPr>
      <w:rFonts w:ascii="Times New Roman" w:hAnsi="Times New Roman"/>
      <w:b/>
      <w:bCs/>
      <w:sz w:val="20"/>
      <w:szCs w:val="20"/>
    </w:rPr>
  </w:style>
  <w:style w:type="paragraph" w:styleId="Revision">
    <w:name w:val="Revision"/>
    <w:hidden/>
    <w:uiPriority w:val="99"/>
    <w:semiHidden/>
    <w:rsid w:val="00D5328E"/>
    <w:rPr>
      <w:rFonts w:ascii="Times New Roman" w:hAnsi="Times New Roman"/>
      <w:sz w:val="24"/>
    </w:rPr>
  </w:style>
  <w:style w:type="paragraph" w:customStyle="1" w:styleId="xmsonormal">
    <w:name w:val="x_msonormal"/>
    <w:basedOn w:val="Normal"/>
    <w:rsid w:val="003A3043"/>
    <w:rPr>
      <w:rFonts w:ascii="Calibri" w:hAnsi="Calibri" w:cs="Calibri"/>
      <w:sz w:val="22"/>
    </w:rPr>
  </w:style>
  <w:style w:type="character" w:styleId="UnresolvedMention">
    <w:name w:val="Unresolved Mention"/>
    <w:basedOn w:val="DefaultParagraphFont"/>
    <w:uiPriority w:val="99"/>
    <w:semiHidden/>
    <w:unhideWhenUsed/>
    <w:rsid w:val="00442DD7"/>
    <w:rPr>
      <w:color w:val="605E5C"/>
      <w:shd w:val="clear" w:color="auto" w:fill="E1DFDD"/>
    </w:rPr>
  </w:style>
  <w:style w:type="paragraph" w:customStyle="1" w:styleId="Normal21">
    <w:name w:val="Normal_21"/>
    <w:uiPriority w:val="99"/>
    <w:rsid w:val="008B7FE1"/>
    <w:rPr>
      <w:rFonts w:ascii="Times New Roman" w:eastAsia="Times New Roman" w:hAnsi="Times New Roman" w:cs="Times New Roman"/>
      <w:sz w:val="24"/>
      <w:szCs w:val="24"/>
    </w:rPr>
  </w:style>
  <w:style w:type="paragraph" w:customStyle="1" w:styleId="pf0">
    <w:name w:val="pf0"/>
    <w:basedOn w:val="Normal"/>
    <w:rsid w:val="00DF09EC"/>
    <w:pPr>
      <w:spacing w:before="100" w:beforeAutospacing="1" w:after="100" w:afterAutospacing="1"/>
    </w:pPr>
    <w:rPr>
      <w:rFonts w:eastAsia="Times New Roman" w:cs="Times New Roman"/>
      <w:szCs w:val="24"/>
    </w:rPr>
  </w:style>
  <w:style w:type="character" w:customStyle="1" w:styleId="cf01">
    <w:name w:val="cf01"/>
    <w:basedOn w:val="DefaultParagraphFont"/>
    <w:rsid w:val="00DF09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samhsa.gov/sites/default/files/guidance-addition-of-ccbhcs-existing-state-demonstration-programs.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117/bills/s2938/BILLS-117s2938enr.pdf" TargetMode="External" /><Relationship Id="rId2" Type="http://schemas.openxmlformats.org/officeDocument/2006/relationships/hyperlink" Target="https://www.govinfo.gov/link/plaw/113/public/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CMCS-965263950-1970</_dlc_DocId>
    <_dlc_DocIdUrl xmlns="144ea41b-304c-4c03-99c4-debb02094f92">
      <Url>https://share.cms.gov/center/CMCS/FMG/DSRF/CCBHCPPS/_layouts/15/DocIdRedir.aspx?ID=CMCS-965263950-1970</Url>
      <Description>CMCS-965263950-1970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05A141BA02C7F40BADECCF9FCC4F8D3" ma:contentTypeVersion="21" ma:contentTypeDescription="Create a new document." ma:contentTypeScope="" ma:versionID="8d18f6b5644b2d68331f821bbf781fc4">
  <xsd:schema xmlns:xsd="http://www.w3.org/2001/XMLSchema" xmlns:xs="http://www.w3.org/2001/XMLSchema" xmlns:p="http://schemas.microsoft.com/office/2006/metadata/properties" xmlns:ns2="144ea41b-304c-4c03-99c4-debb02094f92" targetNamespace="http://schemas.microsoft.com/office/2006/metadata/properties" ma:root="true" ma:fieldsID="89afa3c289cd08f75dd1ce58481a3855"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C9F1B383-CD68-4625-8C2D-38B524F96254}">
  <ds:schemaRefs>
    <ds:schemaRef ds:uri="http://schemas.microsoft.com/office/2006/metadata/properties"/>
    <ds:schemaRef ds:uri="http://schemas.microsoft.com/office/infopath/2007/PartnerControls"/>
    <ds:schemaRef ds:uri="144ea41b-304c-4c03-99c4-debb02094f92"/>
  </ds:schemaRefs>
</ds:datastoreItem>
</file>

<file path=customXml/itemProps2.xml><?xml version="1.0" encoding="utf-8"?>
<ds:datastoreItem xmlns:ds="http://schemas.openxmlformats.org/officeDocument/2006/customXml" ds:itemID="{19230861-26D6-44A7-B8C8-A4AD0AABECA0}">
  <ds:schemaRefs>
    <ds:schemaRef ds:uri="http://schemas.microsoft.com/sharepoint/v3/contenttype/forms"/>
  </ds:schemaRefs>
</ds:datastoreItem>
</file>

<file path=customXml/itemProps3.xml><?xml version="1.0" encoding="utf-8"?>
<ds:datastoreItem xmlns:ds="http://schemas.openxmlformats.org/officeDocument/2006/customXml" ds:itemID="{CCB67A0D-EF65-44F4-A550-5AB87A21E26D}">
  <ds:schemaRefs>
    <ds:schemaRef ds:uri="http://schemas.microsoft.com/sharepoint/events"/>
  </ds:schemaRefs>
</ds:datastoreItem>
</file>

<file path=customXml/itemProps4.xml><?xml version="1.0" encoding="utf-8"?>
<ds:datastoreItem xmlns:ds="http://schemas.openxmlformats.org/officeDocument/2006/customXml" ds:itemID="{770348FE-C354-46FF-AFF8-35E016392A40}">
  <ds:schemaRefs>
    <ds:schemaRef ds:uri="http://schemas.openxmlformats.org/officeDocument/2006/bibliography"/>
  </ds:schemaRefs>
</ds:datastoreItem>
</file>

<file path=customXml/itemProps5.xml><?xml version="1.0" encoding="utf-8"?>
<ds:datastoreItem xmlns:ds="http://schemas.openxmlformats.org/officeDocument/2006/customXml" ds:itemID="{B3931975-6C8D-4F78-8C98-034761FA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19D54B-CE7E-4E16-9E7B-BD3C48C051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2305</Words>
  <Characters>12655</Characters>
  <Application>Microsoft Office Word</Application>
  <DocSecurity>0</DocSecurity>
  <Lines>275</Lines>
  <Paragraphs>101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4</cp:revision>
  <cp:lastPrinted>2015-11-19T13:43:00Z</cp:lastPrinted>
  <dcterms:created xsi:type="dcterms:W3CDTF">2024-01-09T22:55:00Z</dcterms:created>
  <dcterms:modified xsi:type="dcterms:W3CDTF">2024-02-01T15:38:00Z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0x010100C05A141BA02C7F40BADECCF9FCC4F8D3</vt:lpwstr>
  </property>
  <property fmtid="{D5CDD505-2E9C-101B-9397-08002B2CF9AE}" pid="3" name="MediaServiceImageTags">
    <vt:lpwstr/>
  </property>
  <property fmtid="{D5CDD505-2E9C-101B-9397-08002B2CF9AE}" pid="4" name="URL">
    <vt:lpwstr/>
  </property>
  <property fmtid="{D5CDD505-2E9C-101B-9397-08002B2CF9AE}" pid="5" name="_dlc_DocIdItemGuid">
    <vt:lpwstr>273b4cad-1af6-4a3d-ad8c-53ccd27b3059</vt:lpwstr>
  </property>
  <property fmtid="{D5CDD505-2E9C-101B-9397-08002B2CF9AE}" pid="6" name="_NewReviewCycle">
    <vt:lpwstr/>
  </property>
</Properties>
</file>