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373C34" w:rsidP="00224635">
      <w:pPr>
        <w:spacing w:line="276" w:lineRule="auto"/>
      </w:pPr>
      <w:bookmarkStart w:id="0" w:name="_GoBack"/>
      <w:bookmarkEnd w:id="0"/>
      <w:r w:rsidRPr="00224635">
        <w:rPr>
          <w:rStyle w:val="Strong"/>
        </w:rPr>
        <w:t>Statute:</w:t>
      </w:r>
      <w:r w:rsidR="00F55C9C">
        <w:t xml:space="preserve">  </w:t>
      </w:r>
      <w:r w:rsidR="0061726F">
        <w:t>Section</w:t>
      </w:r>
      <w:r w:rsidR="00BB6A5A">
        <w:t xml:space="preserve"> </w:t>
      </w:r>
      <w:r w:rsidRPr="00BB6A5A" w:rsidR="00BB6A5A">
        <w:t xml:space="preserve">2102(b)(3)(C) </w:t>
      </w:r>
      <w:r w:rsidRPr="00F55C9C" w:rsidR="00F55C9C">
        <w:t>of the SSA</w:t>
      </w:r>
    </w:p>
    <w:p w:rsidR="00373C34" w:rsidRPr="00373C34" w:rsidP="00224635">
      <w:pPr>
        <w:spacing w:line="276" w:lineRule="auto"/>
      </w:pPr>
      <w:r w:rsidRPr="00224635">
        <w:rPr>
          <w:rStyle w:val="Strong"/>
        </w:rPr>
        <w:t>Regulation:</w:t>
      </w:r>
      <w:r w:rsidR="0061726F">
        <w:t xml:space="preserve">  42 CFR </w:t>
      </w:r>
      <w:r w:rsidR="00055920">
        <w:t xml:space="preserve">457.340(d)(3), 457.350(i), and </w:t>
      </w:r>
      <w:r w:rsidR="004B3B45">
        <w:t>457.805</w:t>
      </w:r>
    </w:p>
    <w:p w:rsidR="00D33BBC" w:rsidRPr="008873FB" w:rsidP="00224635">
      <w:pPr>
        <w:tabs>
          <w:tab w:val="left" w:pos="3444"/>
        </w:tabs>
        <w:spacing w:line="276" w:lineRule="auto"/>
        <w:rPr>
          <w:b/>
        </w:rPr>
      </w:pPr>
      <w:r>
        <w:rPr>
          <w:b/>
        </w:rPr>
        <w:tab/>
      </w:r>
    </w:p>
    <w:p w:rsidR="004F63C0" w:rsidRPr="00224635" w:rsidP="00224635">
      <w:pPr>
        <w:pStyle w:val="Heading1"/>
        <w:spacing w:before="0" w:line="276" w:lineRule="auto"/>
      </w:pPr>
      <w:r w:rsidRPr="00224635">
        <w:t>INTRODUCTION</w:t>
      </w:r>
    </w:p>
    <w:p w:rsidR="0061726F" w:rsidRPr="00562938" w:rsidP="00224635">
      <w:pPr>
        <w:spacing w:line="276" w:lineRule="auto"/>
      </w:pPr>
      <w:r w:rsidRPr="003D186C">
        <w:t xml:space="preserve">This state plan page (fillable PDF) must </w:t>
      </w:r>
      <w:r w:rsidRPr="003D186C">
        <w:t xml:space="preserve">be completed by </w:t>
      </w:r>
      <w:r w:rsidRPr="003D186C" w:rsidR="00426F0B">
        <w:t>state</w:t>
      </w:r>
      <w:r w:rsidRPr="003D186C">
        <w:t xml:space="preserve">s with separate child health </w:t>
      </w:r>
      <w:r w:rsidRPr="00C87E63">
        <w:t xml:space="preserve">assistance programs. </w:t>
      </w:r>
    </w:p>
    <w:p w:rsidR="004F63C0" w:rsidRPr="006227FA" w:rsidP="00224635">
      <w:pPr>
        <w:spacing w:line="276" w:lineRule="auto"/>
      </w:pPr>
    </w:p>
    <w:p w:rsidR="00542671" w:rsidP="00224635">
      <w:pPr>
        <w:spacing w:line="276" w:lineRule="auto"/>
      </w:pPr>
      <w:r w:rsidRPr="00C87E63">
        <w:t xml:space="preserve">In </w:t>
      </w:r>
      <w:r w:rsidR="00E84897">
        <w:t>state plan page</w:t>
      </w:r>
      <w:r w:rsidR="008F719B">
        <w:t xml:space="preserve"> CS20</w:t>
      </w:r>
      <w:r w:rsidRPr="00C87E63">
        <w:t xml:space="preserve">, </w:t>
      </w:r>
      <w:r w:rsidR="00A364A6">
        <w:t>s</w:t>
      </w:r>
      <w:r w:rsidRPr="00C87E63">
        <w:t xml:space="preserve">tates provide information </w:t>
      </w:r>
      <w:r>
        <w:t xml:space="preserve">about their </w:t>
      </w:r>
      <w:r w:rsidR="000B39C1">
        <w:t xml:space="preserve">policies and procedures </w:t>
      </w:r>
      <w:r>
        <w:t xml:space="preserve">to </w:t>
      </w:r>
      <w:r w:rsidRPr="0061726F">
        <w:t>prevent the substitution of group health coverage or other commercial health insurance with public funded coverage</w:t>
      </w:r>
      <w:r>
        <w:t>.</w:t>
      </w:r>
      <w:r w:rsidR="00562938">
        <w:t xml:space="preserve"> </w:t>
      </w:r>
    </w:p>
    <w:p w:rsidR="00562938" w:rsidP="00224635">
      <w:pPr>
        <w:spacing w:line="276" w:lineRule="auto"/>
      </w:pPr>
    </w:p>
    <w:p w:rsidR="00562938" w:rsidRPr="0061726F" w:rsidP="00224635">
      <w:pPr>
        <w:spacing w:line="276" w:lineRule="auto"/>
      </w:pPr>
      <w:r>
        <w:t xml:space="preserve">States must use this state plan page if they are making changes to their waiting period policies effective January 1, 2014.  Those states that do not currently have a waiting period need not complete this state plan </w:t>
      </w:r>
      <w:r>
        <w:t>page, unless</w:t>
      </w:r>
      <w:r>
        <w:t xml:space="preserve"> they are making changes to other substitution of coverage prevention strategies. </w:t>
      </w:r>
    </w:p>
    <w:p w:rsidR="00E34CCF" w:rsidRPr="008873FB" w:rsidP="00224635">
      <w:pPr>
        <w:spacing w:line="276" w:lineRule="auto"/>
      </w:pPr>
    </w:p>
    <w:p w:rsidR="00542671" w:rsidRPr="006227FA" w:rsidP="00224635">
      <w:pPr>
        <w:pStyle w:val="Heading1"/>
        <w:spacing w:before="0" w:line="276" w:lineRule="auto"/>
      </w:pPr>
      <w:r w:rsidRPr="006227FA">
        <w:t>BACKGROUND</w:t>
      </w:r>
    </w:p>
    <w:p w:rsidR="00E34CCF" w:rsidRPr="00055920" w:rsidP="00224635">
      <w:pPr>
        <w:spacing w:line="276" w:lineRule="auto"/>
      </w:pPr>
      <w:r w:rsidRPr="006227FA">
        <w:t xml:space="preserve">Children who are eligible </w:t>
      </w:r>
      <w:r w:rsidRPr="006227FA" w:rsidR="00BB6A5A">
        <w:t xml:space="preserve">or potentially eligible </w:t>
      </w:r>
      <w:r w:rsidRPr="006227FA">
        <w:t>for Medicaid or covered under a group health plan or under health insurance coverage</w:t>
      </w:r>
      <w:r w:rsidRPr="00055920" w:rsidR="00055920">
        <w:t>,</w:t>
      </w:r>
      <w:r w:rsidRPr="006227FA">
        <w:t xml:space="preserve"> as defined in section 2791 of the Public Health Service Act, are not </w:t>
      </w:r>
      <w:r w:rsidRPr="006227FA" w:rsidR="00BB6A5A">
        <w:t xml:space="preserve">included in the definition of targeted low-income child and therefore are not eligible for CHIP. </w:t>
      </w:r>
    </w:p>
    <w:p w:rsidR="0061726F" w:rsidRPr="00574B70" w:rsidP="00224635">
      <w:pPr>
        <w:spacing w:line="276" w:lineRule="auto"/>
        <w:rPr>
          <w:b/>
        </w:rPr>
      </w:pPr>
    </w:p>
    <w:p w:rsidR="00BB6A5A" w:rsidRPr="00A01011" w:rsidP="00224635">
      <w:pPr>
        <w:spacing w:line="276" w:lineRule="auto"/>
      </w:pPr>
      <w:r w:rsidRPr="00574B70">
        <w:t>Section 2102(b)(3)(C) of the Social Security Act</w:t>
      </w:r>
      <w:r w:rsidRPr="006923EA">
        <w:t xml:space="preserve"> requires</w:t>
      </w:r>
      <w:r w:rsidRPr="006923EA" w:rsidR="000B39C1">
        <w:t xml:space="preserve"> </w:t>
      </w:r>
      <w:r w:rsidRPr="006923EA" w:rsidR="00A364A6">
        <w:t>s</w:t>
      </w:r>
      <w:r w:rsidRPr="006923EA">
        <w:t>tates to include</w:t>
      </w:r>
      <w:r w:rsidRPr="007221BD">
        <w:t xml:space="preserve"> </w:t>
      </w:r>
      <w:r w:rsidRPr="007221BD" w:rsidR="000B39C1">
        <w:t xml:space="preserve">in their </w:t>
      </w:r>
      <w:r w:rsidRPr="007221BD" w:rsidR="00426F0B">
        <w:t>state</w:t>
      </w:r>
      <w:r w:rsidRPr="00A21055" w:rsidR="000B39C1">
        <w:t xml:space="preserve"> plan </w:t>
      </w:r>
      <w:r w:rsidRPr="00A21055">
        <w:t xml:space="preserve">a description of procedures the </w:t>
      </w:r>
      <w:r w:rsidRPr="00A21055" w:rsidR="00A364A6">
        <w:t>s</w:t>
      </w:r>
      <w:r w:rsidRPr="00A21055">
        <w:t xml:space="preserve">tate uses to ensure that </w:t>
      </w:r>
      <w:r w:rsidRPr="00A21055" w:rsidR="000B39C1">
        <w:t>CHIP coverage</w:t>
      </w:r>
      <w:r w:rsidRPr="00A21055">
        <w:t xml:space="preserve"> does not</w:t>
      </w:r>
      <w:r w:rsidRPr="00A21055" w:rsidR="00DA0769">
        <w:t xml:space="preserve"> </w:t>
      </w:r>
      <w:r w:rsidRPr="00A21055">
        <w:t xml:space="preserve"> </w:t>
      </w:r>
      <w:r w:rsidRPr="000648E3" w:rsidR="00DA0769">
        <w:t>s</w:t>
      </w:r>
      <w:r w:rsidRPr="00A01011">
        <w:t>ubstitute for coverage under group health plans.</w:t>
      </w:r>
    </w:p>
    <w:p w:rsidR="00A42929" w:rsidRPr="00574B70" w:rsidP="00224635">
      <w:pPr>
        <w:spacing w:line="276" w:lineRule="auto"/>
        <w:rPr>
          <w:color w:val="000000"/>
        </w:rPr>
      </w:pPr>
    </w:p>
    <w:p w:rsidR="00A42929" w:rsidRPr="006923EA" w:rsidP="00224635">
      <w:pPr>
        <w:spacing w:line="276" w:lineRule="auto"/>
        <w:rPr>
          <w:color w:val="000000"/>
        </w:rPr>
      </w:pPr>
      <w:r>
        <w:rPr>
          <w:color w:val="000000"/>
        </w:rPr>
        <w:t>T</w:t>
      </w:r>
      <w:r w:rsidRPr="00C763DD">
        <w:rPr>
          <w:color w:val="000000"/>
        </w:rPr>
        <w:t xml:space="preserve">his </w:t>
      </w:r>
      <w:r w:rsidR="00BA310D">
        <w:rPr>
          <w:color w:val="000000"/>
        </w:rPr>
        <w:t>state plan page</w:t>
      </w:r>
      <w:r w:rsidRPr="00BA310D" w:rsidR="00BA310D">
        <w:rPr>
          <w:color w:val="000000"/>
        </w:rPr>
        <w:t xml:space="preserve"> </w:t>
      </w:r>
      <w:r w:rsidRPr="00BA310D">
        <w:rPr>
          <w:color w:val="000000"/>
        </w:rPr>
        <w:t>address</w:t>
      </w:r>
      <w:r w:rsidRPr="00BA310D" w:rsidR="00523CD7">
        <w:rPr>
          <w:color w:val="000000"/>
        </w:rPr>
        <w:t>es</w:t>
      </w:r>
      <w:r w:rsidRPr="00BA310D">
        <w:rPr>
          <w:color w:val="000000"/>
        </w:rPr>
        <w:t xml:space="preserve"> only subst</w:t>
      </w:r>
      <w:r w:rsidRPr="00BA310D" w:rsidR="007F0EE2">
        <w:rPr>
          <w:color w:val="000000"/>
        </w:rPr>
        <w:t>itu</w:t>
      </w:r>
      <w:r w:rsidRPr="00BA310D">
        <w:rPr>
          <w:color w:val="000000"/>
        </w:rPr>
        <w:t xml:space="preserve">tion related to enrollment in coverage provided directly through CHIP. Substitution of coverage for </w:t>
      </w:r>
      <w:r w:rsidRPr="00574B70" w:rsidR="00426F0B">
        <w:rPr>
          <w:color w:val="000000"/>
        </w:rPr>
        <w:t>state</w:t>
      </w:r>
      <w:r w:rsidRPr="00574B70">
        <w:rPr>
          <w:color w:val="000000"/>
        </w:rPr>
        <w:t>s offering premium assistance or family coverage is addressed in those sections</w:t>
      </w:r>
      <w:r w:rsidRPr="00574B70" w:rsidR="00426F0B">
        <w:rPr>
          <w:color w:val="000000"/>
        </w:rPr>
        <w:t xml:space="preserve"> of the state plan</w:t>
      </w:r>
      <w:r w:rsidRPr="006923EA">
        <w:rPr>
          <w:color w:val="000000"/>
        </w:rPr>
        <w:t xml:space="preserve">. </w:t>
      </w:r>
    </w:p>
    <w:p w:rsidR="00A42929" w:rsidRPr="006923EA" w:rsidP="00224635">
      <w:pPr>
        <w:spacing w:line="276" w:lineRule="auto"/>
        <w:rPr>
          <w:color w:val="000000"/>
        </w:rPr>
      </w:pPr>
    </w:p>
    <w:p w:rsidR="007F0EE2" w:rsidRPr="006227FA" w:rsidP="00224635">
      <w:pPr>
        <w:spacing w:line="276" w:lineRule="auto"/>
      </w:pPr>
      <w:r>
        <w:rPr>
          <w:color w:val="000000"/>
        </w:rPr>
        <w:t xml:space="preserve">States use various procedures to prevent substitution of coverage, including monitoring through </w:t>
      </w:r>
      <w:r w:rsidR="003F2E30">
        <w:rPr>
          <w:color w:val="000000"/>
        </w:rPr>
        <w:t>survey data</w:t>
      </w:r>
      <w:r>
        <w:rPr>
          <w:color w:val="000000"/>
        </w:rPr>
        <w:t xml:space="preserve">, private insurance database checks, </w:t>
      </w:r>
      <w:r w:rsidR="0065583D">
        <w:rPr>
          <w:color w:val="000000"/>
        </w:rPr>
        <w:t xml:space="preserve">and strategies that encourage or support affordable </w:t>
      </w:r>
      <w:r w:rsidR="00577520">
        <w:rPr>
          <w:color w:val="000000"/>
        </w:rPr>
        <w:t>employer-sponsored health</w:t>
      </w:r>
      <w:r w:rsidR="0065583D">
        <w:rPr>
          <w:color w:val="000000"/>
        </w:rPr>
        <w:t xml:space="preserve"> insurance coverage for children.</w:t>
      </w:r>
      <w:r>
        <w:rPr>
          <w:color w:val="000000"/>
        </w:rPr>
        <w:t xml:space="preserve"> Another </w:t>
      </w:r>
      <w:r w:rsidR="0065583D">
        <w:rPr>
          <w:color w:val="000000"/>
        </w:rPr>
        <w:t xml:space="preserve">common </w:t>
      </w:r>
      <w:r w:rsidRPr="00BA310D">
        <w:rPr>
          <w:color w:val="000000"/>
        </w:rPr>
        <w:t xml:space="preserve">mechanism </w:t>
      </w:r>
      <w:r w:rsidRPr="00BA310D" w:rsidR="00A364A6">
        <w:rPr>
          <w:color w:val="000000"/>
        </w:rPr>
        <w:t>s</w:t>
      </w:r>
      <w:r w:rsidRPr="00BA310D">
        <w:rPr>
          <w:color w:val="000000"/>
        </w:rPr>
        <w:t xml:space="preserve">tates </w:t>
      </w:r>
      <w:r w:rsidRPr="00BA310D" w:rsidR="008D7191">
        <w:rPr>
          <w:color w:val="000000"/>
        </w:rPr>
        <w:t xml:space="preserve">use </w:t>
      </w:r>
      <w:r w:rsidRPr="00BA310D">
        <w:rPr>
          <w:color w:val="000000"/>
        </w:rPr>
        <w:t>to discourage substitution is the imposition of a minimum period of</w:t>
      </w:r>
      <w:r w:rsidR="003849E0">
        <w:rPr>
          <w:color w:val="000000"/>
        </w:rPr>
        <w:t xml:space="preserve"> </w:t>
      </w:r>
      <w:r w:rsidRPr="00BA310D">
        <w:rPr>
          <w:color w:val="000000"/>
        </w:rPr>
        <w:t xml:space="preserve">uninsurance (waiting period) for individuals who drop private coverage. </w:t>
      </w:r>
    </w:p>
    <w:p w:rsidR="00E863F2" w:rsidRPr="006227FA" w:rsidP="00224635">
      <w:pPr>
        <w:spacing w:line="276" w:lineRule="auto"/>
      </w:pPr>
    </w:p>
    <w:p w:rsidR="00F76C3C" w:rsidRPr="006227FA" w:rsidP="00224635">
      <w:pPr>
        <w:autoSpaceDE w:val="0"/>
        <w:autoSpaceDN w:val="0"/>
        <w:adjustRightInd w:val="0"/>
        <w:spacing w:line="276" w:lineRule="auto"/>
      </w:pPr>
      <w:r w:rsidRPr="006227FA">
        <w:t xml:space="preserve">Due to concerns that waiting periods in CHIP may cause </w:t>
      </w:r>
      <w:r w:rsidRPr="006227FA" w:rsidR="00F1358C">
        <w:t>disruptions</w:t>
      </w:r>
      <w:r w:rsidRPr="006227FA" w:rsidR="007F5F6D">
        <w:t xml:space="preserve"> in coverage, 42 CFR 4</w:t>
      </w:r>
      <w:r w:rsidRPr="006227FA" w:rsidR="00F1358C">
        <w:t>57.340 was amended to require</w:t>
      </w:r>
      <w:r w:rsidRPr="006227FA" w:rsidR="007F5F6D">
        <w:t xml:space="preserve"> states to </w:t>
      </w:r>
      <w:r w:rsidRPr="006227FA" w:rsidR="00F1358C">
        <w:t>implement</w:t>
      </w:r>
      <w:r w:rsidRPr="006227FA" w:rsidR="007F5F6D">
        <w:t xml:space="preserve"> processes to facilitate  the enrollment of a </w:t>
      </w:r>
      <w:r w:rsidRPr="006227FA" w:rsidR="007F5F6D">
        <w:t xml:space="preserve">CHIP eligible child, following the completion of the waiting period, without requiring a new application or information already provided by the family. </w:t>
      </w:r>
      <w:r w:rsidRPr="006227FA" w:rsidR="00F1358C">
        <w:rPr>
          <w:rFonts w:hint="eastAsia"/>
        </w:rPr>
        <w:t>The</w:t>
      </w:r>
      <w:r w:rsidRPr="006227FA">
        <w:t xml:space="preserve"> processes </w:t>
      </w:r>
      <w:r w:rsidRPr="006227FA" w:rsidR="007F5F6D">
        <w:t>must</w:t>
      </w:r>
      <w:r w:rsidRPr="006227FA">
        <w:t xml:space="preserve"> ensure a smooth transition for</w:t>
      </w:r>
      <w:r w:rsidRPr="006227FA" w:rsidR="007F5F6D">
        <w:t xml:space="preserve"> </w:t>
      </w:r>
      <w:r w:rsidRPr="006227FA">
        <w:t xml:space="preserve">children from coverage through the Exchange </w:t>
      </w:r>
      <w:r w:rsidRPr="006227FA" w:rsidR="007F5F6D">
        <w:t xml:space="preserve">or other insurance affordability program </w:t>
      </w:r>
      <w:r w:rsidRPr="006227FA">
        <w:t>to CHIP</w:t>
      </w:r>
      <w:r w:rsidRPr="006227FA" w:rsidR="00505760">
        <w:t>, and enrollment of otherwise CHIP-eligible children</w:t>
      </w:r>
      <w:r w:rsidRPr="006227FA">
        <w:t xml:space="preserve"> </w:t>
      </w:r>
      <w:r w:rsidRPr="006227FA" w:rsidR="00505760">
        <w:t>at the end of a waiting period.</w:t>
      </w:r>
      <w:r w:rsidRPr="006227FA" w:rsidR="002F0C5E">
        <w:t xml:space="preserve"> </w:t>
      </w:r>
    </w:p>
    <w:p w:rsidR="002F0C5E" w:rsidRPr="006227FA" w:rsidP="00224635">
      <w:pPr>
        <w:autoSpaceDE w:val="0"/>
        <w:autoSpaceDN w:val="0"/>
        <w:adjustRightInd w:val="0"/>
        <w:spacing w:line="276" w:lineRule="auto"/>
      </w:pPr>
    </w:p>
    <w:p w:rsidR="00574B70" w:rsidP="00224635">
      <w:pPr>
        <w:autoSpaceDE w:val="0"/>
        <w:autoSpaceDN w:val="0"/>
        <w:adjustRightInd w:val="0"/>
        <w:spacing w:line="276" w:lineRule="auto"/>
      </w:pPr>
      <w:r>
        <w:t>F</w:t>
      </w:r>
      <w:r w:rsidRPr="006227FA" w:rsidR="00A323D4">
        <w:t xml:space="preserve">or individuals enrolled in another insurance affordability program during the waiting period, the state must notify the other insurance affordability program of the date on which the waiting period </w:t>
      </w:r>
      <w:r w:rsidRPr="006227FA" w:rsidR="00A323D4">
        <w:t>ends</w:t>
      </w:r>
      <w:r w:rsidRPr="006227FA" w:rsidR="00A323D4">
        <w:t xml:space="preserve"> and the individual is eligible to enroll in CHIP (42 CFR 457.350(i)(3)</w:t>
      </w:r>
      <w:r>
        <w:t>)</w:t>
      </w:r>
      <w:r w:rsidRPr="006227FA" w:rsidR="00A323D4">
        <w:t>.</w:t>
      </w:r>
      <w:r w:rsidR="006E20F9">
        <w:t xml:space="preserve"> These provisions were made final in rulemaking published on July 15, 2013 (78 FR 42160). </w:t>
      </w:r>
    </w:p>
    <w:p w:rsidR="00A323D4" w:rsidRPr="006227FA" w:rsidP="00224635">
      <w:pPr>
        <w:autoSpaceDE w:val="0"/>
        <w:autoSpaceDN w:val="0"/>
        <w:adjustRightInd w:val="0"/>
        <w:spacing w:line="276" w:lineRule="auto"/>
      </w:pPr>
    </w:p>
    <w:p w:rsidR="00F41D41" w:rsidRPr="003D186C" w:rsidP="00224635">
      <w:pPr>
        <w:spacing w:line="276" w:lineRule="auto"/>
        <w:rPr>
          <w:color w:val="000000"/>
        </w:rPr>
      </w:pPr>
      <w:r>
        <w:rPr>
          <w:color w:val="000000"/>
        </w:rPr>
        <w:t xml:space="preserve">In addition, pursuant to the July 15, </w:t>
      </w:r>
      <w:r>
        <w:rPr>
          <w:color w:val="000000"/>
        </w:rPr>
        <w:t>2013</w:t>
      </w:r>
      <w:r>
        <w:rPr>
          <w:color w:val="000000"/>
        </w:rPr>
        <w:t xml:space="preserve"> final rule, s</w:t>
      </w:r>
      <w:r w:rsidRPr="003D186C" w:rsidR="00E863F2">
        <w:rPr>
          <w:color w:val="000000"/>
        </w:rPr>
        <w:t>tates with waiting periods</w:t>
      </w:r>
      <w:r w:rsidRPr="003D186C" w:rsidR="00DF602E">
        <w:rPr>
          <w:color w:val="000000"/>
        </w:rPr>
        <w:t xml:space="preserve"> must apply the following exceptions from the waiting period:</w:t>
      </w:r>
    </w:p>
    <w:p w:rsidR="00E863F2" w:rsidP="00224635">
      <w:pPr>
        <w:spacing w:line="276" w:lineRule="auto"/>
        <w:rPr>
          <w:color w:val="000000"/>
        </w:rPr>
      </w:pPr>
    </w:p>
    <w:p w:rsidR="00567A07" w:rsidRPr="006227FA" w:rsidP="00224635">
      <w:pPr>
        <w:pStyle w:val="ListParagraph"/>
        <w:numPr>
          <w:ilvl w:val="0"/>
          <w:numId w:val="5"/>
        </w:numPr>
        <w:spacing w:line="276" w:lineRule="auto"/>
        <w:rPr>
          <w:color w:val="000000"/>
        </w:rPr>
      </w:pPr>
      <w:r w:rsidRPr="00DC73DF">
        <w:rPr>
          <w:color w:val="000000"/>
        </w:rPr>
        <w:t>The premium paid by the family for coverage of the child under the group health plan exceeded 5 percent of household income;</w:t>
      </w:r>
    </w:p>
    <w:p w:rsidR="00DF602E" w:rsidRPr="006227FA" w:rsidP="00224635">
      <w:pPr>
        <w:pStyle w:val="ListParagraph"/>
        <w:numPr>
          <w:ilvl w:val="0"/>
          <w:numId w:val="5"/>
        </w:numPr>
        <w:spacing w:line="276" w:lineRule="auto"/>
        <w:rPr>
          <w:color w:val="000000"/>
        </w:rPr>
      </w:pPr>
      <w:r w:rsidRPr="00DC73DF">
        <w:rPr>
          <w:color w:val="000000"/>
        </w:rPr>
        <w:t>The child’s parent is determined eligible for advance payment of the premium tax credit for enrollment in a QHP through the Marketplace because the ESI in which the family was enrolled is determined unaffordable in accordance with 26 CFR 1.36B–2(c)(3)(v);</w:t>
      </w:r>
    </w:p>
    <w:p w:rsidR="00DF602E" w:rsidRPr="006227FA" w:rsidP="00224635">
      <w:pPr>
        <w:pStyle w:val="ListParagraph"/>
        <w:numPr>
          <w:ilvl w:val="0"/>
          <w:numId w:val="5"/>
        </w:numPr>
        <w:spacing w:line="276" w:lineRule="auto"/>
        <w:rPr>
          <w:color w:val="000000"/>
        </w:rPr>
      </w:pPr>
      <w:r w:rsidRPr="00DC73DF">
        <w:rPr>
          <w:color w:val="000000"/>
        </w:rPr>
        <w:t>The cost of family coverage that includes the child exceeded 9.5 percent of the household income;</w:t>
      </w:r>
    </w:p>
    <w:p w:rsidR="00DF602E" w:rsidRPr="006227FA" w:rsidP="00224635">
      <w:pPr>
        <w:pStyle w:val="ListParagraph"/>
        <w:numPr>
          <w:ilvl w:val="0"/>
          <w:numId w:val="5"/>
        </w:numPr>
        <w:spacing w:line="276" w:lineRule="auto"/>
        <w:rPr>
          <w:color w:val="000000"/>
        </w:rPr>
      </w:pPr>
      <w:r w:rsidRPr="00DC73DF">
        <w:rPr>
          <w:color w:val="000000"/>
        </w:rPr>
        <w:t>The employer stopped offering coverage of dependents (or any coverage) under an employer-sponsored health insurance plan;</w:t>
      </w:r>
    </w:p>
    <w:p w:rsidR="00DF602E" w:rsidRPr="006227FA" w:rsidP="00224635">
      <w:pPr>
        <w:pStyle w:val="ListParagraph"/>
        <w:numPr>
          <w:ilvl w:val="0"/>
          <w:numId w:val="5"/>
        </w:numPr>
        <w:spacing w:line="276" w:lineRule="auto"/>
        <w:rPr>
          <w:color w:val="000000"/>
        </w:rPr>
      </w:pPr>
      <w:r w:rsidRPr="00DC73DF">
        <w:rPr>
          <w:color w:val="000000"/>
        </w:rPr>
        <w:t>A change in employment, including involuntary separation, resulted in the child’s loss of employer-sponsored insurance (other than through full payment of the premium by the parent under COBRA);</w:t>
      </w:r>
    </w:p>
    <w:p w:rsidR="00DF602E" w:rsidRPr="006227FA" w:rsidP="00224635">
      <w:pPr>
        <w:pStyle w:val="ListParagraph"/>
        <w:numPr>
          <w:ilvl w:val="0"/>
          <w:numId w:val="5"/>
        </w:numPr>
        <w:spacing w:line="276" w:lineRule="auto"/>
        <w:rPr>
          <w:color w:val="000000"/>
        </w:rPr>
      </w:pPr>
      <w:r w:rsidRPr="00DC73DF">
        <w:rPr>
          <w:color w:val="000000"/>
        </w:rPr>
        <w:t>The child has special health care needs; and</w:t>
      </w:r>
    </w:p>
    <w:p w:rsidR="00DF602E" w:rsidRPr="00DC73DF" w:rsidP="00224635">
      <w:pPr>
        <w:pStyle w:val="ListParagraph"/>
        <w:numPr>
          <w:ilvl w:val="0"/>
          <w:numId w:val="5"/>
        </w:numPr>
        <w:spacing w:line="276" w:lineRule="auto"/>
        <w:rPr>
          <w:color w:val="000000"/>
        </w:rPr>
      </w:pPr>
      <w:r w:rsidRPr="00DC73DF">
        <w:rPr>
          <w:color w:val="000000"/>
        </w:rPr>
        <w:t>The child lost coverage due to the death or divorce of a parent.</w:t>
      </w:r>
    </w:p>
    <w:p w:rsidR="00DF602E" w:rsidP="00224635">
      <w:pPr>
        <w:spacing w:line="276" w:lineRule="auto"/>
        <w:rPr>
          <w:color w:val="000000"/>
        </w:rPr>
      </w:pPr>
    </w:p>
    <w:p w:rsidR="00DF602E" w:rsidP="00224635">
      <w:pPr>
        <w:spacing w:line="276" w:lineRule="auto"/>
        <w:rPr>
          <w:color w:val="000000"/>
        </w:rPr>
      </w:pPr>
      <w:r>
        <w:rPr>
          <w:color w:val="000000"/>
        </w:rPr>
        <w:t xml:space="preserve">States </w:t>
      </w:r>
      <w:r w:rsidR="00DC73DF">
        <w:rPr>
          <w:color w:val="000000"/>
        </w:rPr>
        <w:t xml:space="preserve">have the flexibility to allow additional exceptions. </w:t>
      </w:r>
    </w:p>
    <w:p w:rsidR="00F73986" w:rsidRPr="006227FA" w:rsidP="00F73986">
      <w:pPr>
        <w:autoSpaceDE w:val="0"/>
        <w:autoSpaceDN w:val="0"/>
        <w:adjustRightInd w:val="0"/>
        <w:spacing w:line="276" w:lineRule="auto"/>
      </w:pPr>
    </w:p>
    <w:p w:rsidR="00F73986" w:rsidRPr="00577520" w:rsidP="00F73986">
      <w:pPr>
        <w:spacing w:line="276" w:lineRule="auto"/>
      </w:pPr>
      <w:r w:rsidRPr="003D186C">
        <w:t>Note: waiting periods may not be applied to ch</w:t>
      </w:r>
      <w:r w:rsidRPr="00055920">
        <w:t>ildren losing eligibility for Medicaid or other insurance affordability programs.</w:t>
      </w:r>
    </w:p>
    <w:p w:rsidR="00563A58" w:rsidP="00224635">
      <w:pPr>
        <w:spacing w:line="276" w:lineRule="auto"/>
        <w:rPr>
          <w:color w:val="000000"/>
        </w:rPr>
      </w:pPr>
    </w:p>
    <w:p w:rsidR="00563A58" w:rsidP="00224635">
      <w:pPr>
        <w:spacing w:line="276" w:lineRule="auto"/>
        <w:rPr>
          <w:color w:val="000000"/>
        </w:rPr>
      </w:pPr>
      <w:r w:rsidRPr="006227FA">
        <w:rPr>
          <w:b/>
          <w:color w:val="000000"/>
        </w:rPr>
        <w:t>Effective Date</w:t>
      </w:r>
      <w:r w:rsidR="00224635">
        <w:rPr>
          <w:b/>
          <w:color w:val="000000"/>
        </w:rPr>
        <w:t xml:space="preserve">: </w:t>
      </w:r>
      <w:r>
        <w:rPr>
          <w:color w:val="000000"/>
        </w:rPr>
        <w:t xml:space="preserve">The waiting period provisions in the July 15, </w:t>
      </w:r>
      <w:r>
        <w:rPr>
          <w:color w:val="000000"/>
        </w:rPr>
        <w:t>2013</w:t>
      </w:r>
      <w:r>
        <w:rPr>
          <w:color w:val="000000"/>
        </w:rPr>
        <w:t xml:space="preserve"> final rule are effective on January 1, 2014</w:t>
      </w:r>
      <w:r w:rsidR="00022BA7">
        <w:rPr>
          <w:color w:val="000000"/>
        </w:rPr>
        <w:t>, unless a change in state law is needed for a state to comply with this provision</w:t>
      </w:r>
      <w:r>
        <w:rPr>
          <w:color w:val="000000"/>
        </w:rPr>
        <w:t xml:space="preserve">. </w:t>
      </w:r>
      <w:r w:rsidR="00022BA7">
        <w:rPr>
          <w:color w:val="000000"/>
        </w:rPr>
        <w:t xml:space="preserve">States that need a change in state law must notify CMS in writing with an explanation, and those states will not be required to submit this state plan page in 2013. For states with annual </w:t>
      </w:r>
      <w:r w:rsidR="00022BA7">
        <w:rPr>
          <w:color w:val="000000"/>
        </w:rPr>
        <w:t>legislative sessions, the effective date for the application of the 90-day maximum waiting period and required exemptions must be no later than the first day of the next fiscal year beginning after the close of the first regular session of the 2014 state legislature. F</w:t>
      </w:r>
      <w:r w:rsidR="00FF3E06">
        <w:rPr>
          <w:color w:val="000000"/>
        </w:rPr>
        <w:t xml:space="preserve">or </w:t>
      </w:r>
      <w:r w:rsidR="00022BA7">
        <w:rPr>
          <w:color w:val="000000"/>
        </w:rPr>
        <w:t>states that have a two-</w:t>
      </w:r>
      <w:r w:rsidR="00FF3E06">
        <w:rPr>
          <w:color w:val="000000"/>
        </w:rPr>
        <w:t>year legislative session</w:t>
      </w:r>
      <w:r w:rsidR="00022BA7">
        <w:rPr>
          <w:color w:val="000000"/>
        </w:rPr>
        <w:t>, each year of the session is considered a separate regular session for this purpose</w:t>
      </w:r>
      <w:r w:rsidR="00FF3E06">
        <w:rPr>
          <w:color w:val="000000"/>
        </w:rPr>
        <w:t xml:space="preserve">. </w:t>
      </w:r>
    </w:p>
    <w:p w:rsidR="00DF602E" w:rsidP="00224635">
      <w:pPr>
        <w:spacing w:line="276" w:lineRule="auto"/>
        <w:rPr>
          <w:color w:val="000000"/>
        </w:rPr>
      </w:pPr>
    </w:p>
    <w:p w:rsidR="001C6DFB" w:rsidRPr="006227FA" w:rsidP="00224635">
      <w:pPr>
        <w:pStyle w:val="Heading1"/>
        <w:spacing w:before="0" w:line="276" w:lineRule="auto"/>
      </w:pPr>
      <w:r w:rsidRPr="006227FA">
        <w:t>TECHNICAL GUIDANCE</w:t>
      </w:r>
    </w:p>
    <w:p w:rsidR="00CD2F7F" w:rsidP="00224635">
      <w:pPr>
        <w:spacing w:line="276" w:lineRule="auto"/>
        <w:rPr>
          <w:color w:val="000000"/>
        </w:rPr>
      </w:pPr>
    </w:p>
    <w:p w:rsidR="00CD2F7F" w:rsidP="00224635">
      <w:pPr>
        <w:spacing w:line="276" w:lineRule="auto"/>
        <w:ind w:left="2070" w:hanging="2070"/>
        <w:rPr>
          <w:b/>
        </w:rPr>
      </w:pPr>
      <w:r w:rsidRPr="0099456C">
        <w:rPr>
          <w:b/>
        </w:rPr>
        <w:t>PREREQUISITES:</w:t>
      </w:r>
    </w:p>
    <w:p w:rsidR="00CD2F7F" w:rsidP="00224635">
      <w:pPr>
        <w:spacing w:line="276" w:lineRule="auto"/>
        <w:ind w:left="2070" w:hanging="2070"/>
        <w:rPr>
          <w:color w:val="000000"/>
        </w:rPr>
      </w:pPr>
      <w:r>
        <w:rPr>
          <w:color w:val="000000"/>
        </w:rPr>
        <w:t xml:space="preserve"> </w:t>
      </w:r>
    </w:p>
    <w:p w:rsidR="00CD2F7F" w:rsidP="00224635">
      <w:pPr>
        <w:spacing w:line="276" w:lineRule="auto"/>
        <w:ind w:left="2070" w:hanging="2070"/>
        <w:rPr>
          <w:color w:val="000000"/>
        </w:rPr>
      </w:pPr>
      <w:r>
        <w:rPr>
          <w:color w:val="000000"/>
        </w:rPr>
        <w:t>None</w:t>
      </w:r>
    </w:p>
    <w:p w:rsidR="00CD2F7F" w:rsidP="00224635">
      <w:pPr>
        <w:spacing w:line="276" w:lineRule="auto"/>
        <w:ind w:left="2070" w:hanging="2070"/>
        <w:rPr>
          <w:color w:val="000000"/>
        </w:rPr>
      </w:pPr>
    </w:p>
    <w:p w:rsidR="000B39C1" w:rsidP="00224635">
      <w:pPr>
        <w:spacing w:line="276" w:lineRule="auto"/>
      </w:pPr>
      <w:r w:rsidRPr="00C87E63">
        <w:t xml:space="preserve">This </w:t>
      </w:r>
      <w:r w:rsidR="00E84897">
        <w:t>state plan page</w:t>
      </w:r>
      <w:r w:rsidRPr="00C87E63">
        <w:t xml:space="preserve"> is broken down into the following sections:</w:t>
      </w:r>
    </w:p>
    <w:p w:rsidR="0059599F" w:rsidRPr="000B39C1" w:rsidP="00224635">
      <w:pPr>
        <w:spacing w:line="276" w:lineRule="auto"/>
      </w:pPr>
    </w:p>
    <w:p w:rsidR="000B39C1" w:rsidRPr="00DA0769" w:rsidP="00224635">
      <w:pPr>
        <w:pStyle w:val="ListParagraph"/>
        <w:numPr>
          <w:ilvl w:val="0"/>
          <w:numId w:val="4"/>
        </w:numPr>
        <w:spacing w:line="276" w:lineRule="auto"/>
      </w:pPr>
      <w:r w:rsidRPr="00DA0769">
        <w:rPr>
          <w:color w:val="000000"/>
        </w:rPr>
        <w:t xml:space="preserve">Substitution of Coverage </w:t>
      </w:r>
      <w:r w:rsidRPr="00DA0769">
        <w:t>Assurance</w:t>
      </w:r>
    </w:p>
    <w:p w:rsidR="0059599F" w:rsidP="00224635">
      <w:pPr>
        <w:pStyle w:val="ListParagraph"/>
        <w:numPr>
          <w:ilvl w:val="0"/>
          <w:numId w:val="4"/>
        </w:numPr>
        <w:spacing w:line="276" w:lineRule="auto"/>
      </w:pPr>
      <w:r w:rsidRPr="00162CC5">
        <w:t>Substitution of Coverage Prevention Strategy</w:t>
      </w:r>
    </w:p>
    <w:p w:rsidR="000B39C1" w:rsidRPr="00DA0769" w:rsidP="00224635">
      <w:pPr>
        <w:pStyle w:val="ListParagraph"/>
        <w:numPr>
          <w:ilvl w:val="0"/>
          <w:numId w:val="4"/>
        </w:numPr>
        <w:spacing w:line="276" w:lineRule="auto"/>
      </w:pPr>
      <w:r w:rsidRPr="00DA0769">
        <w:t>Waiting Period</w:t>
      </w:r>
    </w:p>
    <w:p w:rsidR="008F24CE" w:rsidRPr="00162CC5" w:rsidP="00224635">
      <w:pPr>
        <w:pStyle w:val="ListParagraph"/>
        <w:numPr>
          <w:ilvl w:val="0"/>
          <w:numId w:val="4"/>
        </w:numPr>
        <w:spacing w:line="276" w:lineRule="auto"/>
      </w:pPr>
      <w:r>
        <w:t>Additional Assurances</w:t>
      </w:r>
    </w:p>
    <w:p w:rsidR="000B39C1" w:rsidRPr="00C87E63" w:rsidP="00224635">
      <w:pPr>
        <w:spacing w:line="276" w:lineRule="auto"/>
        <w:rPr>
          <w:b/>
        </w:rPr>
      </w:pPr>
    </w:p>
    <w:p w:rsidR="000B39C1" w:rsidRPr="00B6575F" w:rsidP="00224635">
      <w:pPr>
        <w:pStyle w:val="Heading2"/>
        <w:spacing w:before="0" w:line="276" w:lineRule="auto"/>
      </w:pPr>
      <w:r w:rsidRPr="00B6575F">
        <w:t>Substitution of Coverage Assurance</w:t>
      </w:r>
    </w:p>
    <w:p w:rsidR="000B39C1" w:rsidRPr="00162CC5" w:rsidP="00224635">
      <w:pPr>
        <w:spacing w:line="276" w:lineRule="auto"/>
        <w:rPr>
          <w:color w:val="000000"/>
        </w:rPr>
      </w:pPr>
      <w:r>
        <w:rPr>
          <w:color w:val="000000"/>
        </w:rPr>
        <w:t>State plan page</w:t>
      </w:r>
      <w:r w:rsidRPr="00162CC5">
        <w:rPr>
          <w:color w:val="000000"/>
        </w:rPr>
        <w:t xml:space="preserve"> CS20 begins with the </w:t>
      </w:r>
      <w:r w:rsidRPr="00162CC5" w:rsidR="00B6575F">
        <w:rPr>
          <w:color w:val="000000"/>
        </w:rPr>
        <w:t>state</w:t>
      </w:r>
      <w:r w:rsidRPr="00162CC5">
        <w:rPr>
          <w:color w:val="000000"/>
        </w:rPr>
        <w:t xml:space="preserve"> being asked to provide assurance that it has methods and policies in place to prevent the substitution of </w:t>
      </w:r>
      <w:r w:rsidRPr="00162CC5">
        <w:rPr>
          <w:color w:val="000000"/>
        </w:rPr>
        <w:t>coverage</w:t>
      </w:r>
      <w:r w:rsidRPr="00162CC5">
        <w:rPr>
          <w:color w:val="000000"/>
        </w:rPr>
        <w:t xml:space="preserve"> </w:t>
      </w:r>
    </w:p>
    <w:p w:rsidR="000B39C1" w:rsidRPr="00C87E63" w:rsidP="00224635">
      <w:pPr>
        <w:spacing w:line="276" w:lineRule="auto"/>
      </w:pPr>
    </w:p>
    <w:p w:rsidR="00402942" w:rsidP="00402942">
      <w:pPr>
        <w:spacing w:line="276" w:lineRule="auto"/>
      </w:pPr>
      <w:r w:rsidRPr="00C87E63">
        <w:t xml:space="preserve">The </w:t>
      </w:r>
      <w:r w:rsidR="00A364A6">
        <w:t>s</w:t>
      </w:r>
      <w:r w:rsidRPr="00C87E63">
        <w:t>tate provides this affirmative assurance by checking the box next to the assurance statement.</w:t>
      </w:r>
    </w:p>
    <w:p w:rsidR="0059599F" w:rsidP="00402942">
      <w:pPr>
        <w:spacing w:line="276" w:lineRule="auto"/>
      </w:pPr>
      <w:r>
        <w:t xml:space="preserve"> </w:t>
      </w:r>
    </w:p>
    <w:p w:rsidR="0059599F" w:rsidRPr="0064228A" w:rsidP="00224635">
      <w:pPr>
        <w:pStyle w:val="Heading2"/>
        <w:spacing w:before="0" w:line="276" w:lineRule="auto"/>
      </w:pPr>
      <w:r w:rsidRPr="0064228A">
        <w:t xml:space="preserve">Substitution </w:t>
      </w:r>
      <w:r w:rsidRPr="006567F6">
        <w:t xml:space="preserve">of </w:t>
      </w:r>
      <w:r>
        <w:t>C</w:t>
      </w:r>
      <w:r w:rsidRPr="006567F6">
        <w:t xml:space="preserve">overage </w:t>
      </w:r>
      <w:r>
        <w:t>P</w:t>
      </w:r>
      <w:r w:rsidRPr="006567F6">
        <w:t xml:space="preserve">revention </w:t>
      </w:r>
      <w:r w:rsidRPr="0064228A">
        <w:t>Strategy</w:t>
      </w:r>
    </w:p>
    <w:p w:rsidR="006A39F9" w:rsidP="00224635">
      <w:pPr>
        <w:spacing w:line="276" w:lineRule="auto"/>
      </w:pPr>
      <w:r>
        <w:t>In this section, t</w:t>
      </w:r>
      <w:r w:rsidR="0059599F">
        <w:t>he</w:t>
      </w:r>
      <w:r>
        <w:t xml:space="preserve"> state </w:t>
      </w:r>
      <w:r w:rsidR="00D41F8C">
        <w:t xml:space="preserve">enters </w:t>
      </w:r>
      <w:r w:rsidR="007221BD">
        <w:t>its</w:t>
      </w:r>
      <w:r w:rsidR="0059599F">
        <w:t xml:space="preserve"> substitution of coverage prevention strategy or policy</w:t>
      </w:r>
      <w:r>
        <w:t>,</w:t>
      </w:r>
      <w:r w:rsidR="0059599F">
        <w:t xml:space="preserve"> other than a waiting period. </w:t>
      </w:r>
      <w:r>
        <w:t>If t</w:t>
      </w:r>
      <w:r w:rsidR="003F2E30">
        <w:t>he state</w:t>
      </w:r>
      <w:r>
        <w:t xml:space="preserve"> does not</w:t>
      </w:r>
      <w:r w:rsidR="003F2E30">
        <w:t xml:space="preserve"> </w:t>
      </w:r>
      <w:r>
        <w:t xml:space="preserve">impose a waiting period, it </w:t>
      </w:r>
      <w:r w:rsidR="003F2E30">
        <w:t xml:space="preserve">must enter at least one strategy. </w:t>
      </w:r>
      <w:r>
        <w:t>If the state imposes a waiting period, it enter</w:t>
      </w:r>
      <w:r w:rsidR="00F73986">
        <w:t>s</w:t>
      </w:r>
      <w:r>
        <w:t xml:space="preserve"> </w:t>
      </w:r>
      <w:r w:rsidR="00F73986">
        <w:t xml:space="preserve">any </w:t>
      </w:r>
      <w:r>
        <w:t xml:space="preserve">other substitution prevention strategies </w:t>
      </w:r>
      <w:r w:rsidR="006704E6">
        <w:t xml:space="preserve">it has </w:t>
      </w:r>
      <w:r>
        <w:t xml:space="preserve">here. </w:t>
      </w:r>
    </w:p>
    <w:p w:rsidR="0059599F" w:rsidP="00224635">
      <w:pPr>
        <w:spacing w:line="276" w:lineRule="auto"/>
      </w:pPr>
    </w:p>
    <w:p w:rsidR="0059599F" w:rsidP="00224635">
      <w:pPr>
        <w:spacing w:line="276" w:lineRule="auto"/>
      </w:pPr>
      <w:r>
        <w:t xml:space="preserve">For each strategy/policy, the state must </w:t>
      </w:r>
      <w:r w:rsidR="00C712A3">
        <w:t>provide</w:t>
      </w:r>
      <w:r>
        <w:t xml:space="preserve"> the name and </w:t>
      </w:r>
      <w:r w:rsidRPr="00355830">
        <w:t>description</w:t>
      </w:r>
      <w:r>
        <w:t xml:space="preserve"> of the policy</w:t>
      </w:r>
      <w:r w:rsidR="008F719B">
        <w:t>.</w:t>
      </w:r>
      <w:r>
        <w:t xml:space="preserve"> </w:t>
      </w:r>
      <w:r w:rsidR="006A39F9">
        <w:t>If there is more than one strategy, the state reselects the button to the left of the name/description grid and repeats the process until all have been entered.</w:t>
      </w:r>
    </w:p>
    <w:p w:rsidR="0059599F" w:rsidP="00224635">
      <w:pPr>
        <w:spacing w:line="276" w:lineRule="auto"/>
      </w:pPr>
    </w:p>
    <w:p w:rsidR="0059599F" w:rsidP="00224635">
      <w:pPr>
        <w:spacing w:line="276" w:lineRule="auto"/>
        <w:jc w:val="center"/>
        <w:rPr>
          <w:b/>
          <w:bCs/>
          <w:i/>
          <w:iCs/>
          <w:u w:val="single"/>
        </w:rPr>
      </w:pPr>
      <w:r w:rsidRPr="00CC66F2">
        <w:rPr>
          <w:b/>
          <w:bCs/>
          <w:i/>
          <w:iCs/>
          <w:u w:val="single"/>
        </w:rPr>
        <w:t>Review Criteria</w:t>
      </w:r>
    </w:p>
    <w:p w:rsidR="0059599F" w:rsidRPr="00CC66F2" w:rsidP="00224635">
      <w:pPr>
        <w:spacing w:line="276" w:lineRule="auto"/>
        <w:jc w:val="center"/>
        <w:rPr>
          <w:b/>
          <w:bCs/>
          <w:i/>
          <w:iCs/>
          <w:u w:val="single"/>
        </w:rPr>
      </w:pPr>
    </w:p>
    <w:p w:rsidR="0059599F" w:rsidP="00224635">
      <w:pPr>
        <w:spacing w:line="276" w:lineRule="auto"/>
        <w:rPr>
          <w:b/>
          <w:bCs/>
          <w:i/>
          <w:iCs/>
        </w:rPr>
      </w:pPr>
      <w:r>
        <w:rPr>
          <w:b/>
          <w:i/>
        </w:rPr>
        <w:t>If the state answers “No” to the waiting period (below the substitution prevention strategy name/description grid), t</w:t>
      </w:r>
      <w:r w:rsidRPr="006A22BC">
        <w:rPr>
          <w:b/>
          <w:i/>
        </w:rPr>
        <w:t xml:space="preserve">he state must </w:t>
      </w:r>
      <w:r>
        <w:rPr>
          <w:b/>
          <w:i/>
        </w:rPr>
        <w:t xml:space="preserve">enter at least one substitution of coverage prevention </w:t>
      </w:r>
      <w:r>
        <w:rPr>
          <w:b/>
          <w:i/>
        </w:rPr>
        <w:t>strategy</w:t>
      </w:r>
      <w:r>
        <w:rPr>
          <w:b/>
          <w:i/>
        </w:rPr>
        <w:t xml:space="preserve"> </w:t>
      </w:r>
      <w:r w:rsidRPr="006A22BC">
        <w:rPr>
          <w:b/>
          <w:i/>
        </w:rPr>
        <w:t xml:space="preserve">or this state plan page </w:t>
      </w:r>
      <w:r>
        <w:rPr>
          <w:b/>
          <w:i/>
        </w:rPr>
        <w:t>cannot</w:t>
      </w:r>
      <w:r w:rsidRPr="006A22BC">
        <w:rPr>
          <w:b/>
          <w:i/>
        </w:rPr>
        <w:t xml:space="preserve"> be approved.</w:t>
      </w:r>
      <w:r>
        <w:rPr>
          <w:b/>
          <w:i/>
        </w:rPr>
        <w:t xml:space="preserve"> </w:t>
      </w: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Pr>
          <w:b/>
          <w:bCs/>
          <w:i/>
          <w:iCs/>
        </w:rPr>
        <w:t>state</w:t>
      </w:r>
      <w:r w:rsidRPr="00CC66F2">
        <w:rPr>
          <w:b/>
          <w:bCs/>
          <w:i/>
          <w:iCs/>
        </w:rPr>
        <w:t>’s election meets applicable federal statutory, regulatory and policy</w:t>
      </w:r>
      <w:r w:rsidRPr="00CC66F2">
        <w:t xml:space="preserve"> </w:t>
      </w:r>
      <w:r>
        <w:rPr>
          <w:b/>
          <w:bCs/>
          <w:i/>
          <w:iCs/>
        </w:rPr>
        <w:t>requirements.</w:t>
      </w:r>
    </w:p>
    <w:p w:rsidR="0059599F" w:rsidP="00224635">
      <w:pPr>
        <w:pStyle w:val="NoSpacing"/>
      </w:pPr>
    </w:p>
    <w:p w:rsidR="00B078DA" w:rsidP="00224635">
      <w:pPr>
        <w:spacing w:line="276" w:lineRule="auto"/>
        <w:rPr>
          <w:b/>
          <w:bCs/>
          <w:i/>
          <w:iCs/>
        </w:rPr>
      </w:pPr>
      <w:r>
        <w:rPr>
          <w:b/>
          <w:i/>
        </w:rPr>
        <w:t>If the state has other substitution of coverage prevention strategies in addition to a waiting period, it must enter the other substitution of coverage prevention strategies</w:t>
      </w:r>
      <w:r w:rsidR="00195265">
        <w:rPr>
          <w:b/>
          <w:i/>
        </w:rPr>
        <w:t xml:space="preserve"> in addition to selecting “Yes” to the waiting period question</w:t>
      </w:r>
      <w:r w:rsidRPr="006A22BC">
        <w:rPr>
          <w:b/>
          <w:i/>
        </w:rPr>
        <w:t>.</w:t>
      </w:r>
      <w:r>
        <w:rPr>
          <w:b/>
          <w:i/>
        </w:rPr>
        <w:t xml:space="preserve"> </w:t>
      </w: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Pr>
          <w:b/>
          <w:bCs/>
          <w:i/>
          <w:iCs/>
        </w:rPr>
        <w:t>state</w:t>
      </w:r>
      <w:r w:rsidRPr="00CC66F2">
        <w:rPr>
          <w:b/>
          <w:bCs/>
          <w:i/>
          <w:iCs/>
        </w:rPr>
        <w:t>’s election meets applicable federal statutory, regulatory and policy</w:t>
      </w:r>
      <w:r w:rsidRPr="00CC66F2">
        <w:t xml:space="preserve"> </w:t>
      </w:r>
      <w:r>
        <w:rPr>
          <w:b/>
          <w:bCs/>
          <w:i/>
          <w:iCs/>
        </w:rPr>
        <w:t>requirements.</w:t>
      </w:r>
    </w:p>
    <w:p w:rsidR="00B078DA" w:rsidRPr="00B078DA" w:rsidP="00224635">
      <w:pPr>
        <w:spacing w:line="276" w:lineRule="auto"/>
      </w:pPr>
    </w:p>
    <w:p w:rsidR="00F41D41" w:rsidRPr="00F41D41" w:rsidP="00224635">
      <w:pPr>
        <w:pStyle w:val="Heading2"/>
        <w:spacing w:before="0" w:line="276" w:lineRule="auto"/>
      </w:pPr>
      <w:r w:rsidRPr="00F41D41">
        <w:t>Waiting Period</w:t>
      </w:r>
    </w:p>
    <w:p w:rsidR="00F41D41" w:rsidP="00224635">
      <w:pPr>
        <w:spacing w:line="276" w:lineRule="auto"/>
      </w:pPr>
      <w:r>
        <w:t xml:space="preserve">This section begins with a </w:t>
      </w:r>
      <w:r w:rsidR="00426F0B">
        <w:t>Yes/No</w:t>
      </w:r>
      <w:r>
        <w:t xml:space="preserve"> question as to whether the </w:t>
      </w:r>
      <w:r w:rsidR="00A364A6">
        <w:t>s</w:t>
      </w:r>
      <w:r>
        <w:t>tate has a</w:t>
      </w:r>
      <w:r w:rsidRPr="00F41D41">
        <w:t xml:space="preserve"> waiting period during which an individual is ineligible due to having dropped group health coverage</w:t>
      </w:r>
      <w:r w:rsidR="00140A26">
        <w:t>.</w:t>
      </w:r>
    </w:p>
    <w:p w:rsidR="00140A26" w:rsidP="00224635">
      <w:pPr>
        <w:spacing w:line="276" w:lineRule="auto"/>
      </w:pPr>
    </w:p>
    <w:p w:rsidR="00CC5743" w:rsidP="00224635">
      <w:pPr>
        <w:spacing w:line="276" w:lineRule="auto"/>
      </w:pPr>
      <w:r>
        <w:t xml:space="preserve">If the answer is no, the state continues to the additional assurances, described below. </w:t>
      </w:r>
    </w:p>
    <w:p w:rsidR="00CC5743" w:rsidP="00224635">
      <w:pPr>
        <w:spacing w:line="276" w:lineRule="auto"/>
      </w:pPr>
    </w:p>
    <w:p w:rsidR="00140A26" w:rsidP="00224635">
      <w:pPr>
        <w:spacing w:line="276" w:lineRule="auto"/>
      </w:pPr>
      <w:r>
        <w:t xml:space="preserve">If the answer is yes, </w:t>
      </w:r>
      <w:r w:rsidR="00B078DA">
        <w:t xml:space="preserve">the </w:t>
      </w:r>
      <w:r w:rsidR="00426F0B">
        <w:t>state</w:t>
      </w:r>
      <w:r>
        <w:t xml:space="preserve"> </w:t>
      </w:r>
      <w:r w:rsidR="00F73986">
        <w:t>then enters</w:t>
      </w:r>
      <w:r>
        <w:t xml:space="preserve"> the length of the </w:t>
      </w:r>
      <w:r w:rsidRPr="00140A26">
        <w:t>waiting period</w:t>
      </w:r>
      <w:r>
        <w:t xml:space="preserve"> from the displayed </w:t>
      </w:r>
      <w:r w:rsidR="00F73986">
        <w:t>options</w:t>
      </w:r>
      <w:r w:rsidR="0059599F">
        <w:t>.</w:t>
      </w:r>
      <w:r w:rsidR="0008304B">
        <w:t xml:space="preserve"> </w:t>
      </w:r>
    </w:p>
    <w:p w:rsidR="0008304B" w:rsidP="00224635">
      <w:pPr>
        <w:spacing w:line="276" w:lineRule="auto"/>
      </w:pPr>
    </w:p>
    <w:p w:rsidR="0008304B" w:rsidP="00224635">
      <w:pPr>
        <w:spacing w:line="276" w:lineRule="auto"/>
      </w:pPr>
      <w:r>
        <w:t>If the state selects “</w:t>
      </w:r>
      <w:r w:rsidR="007E0EB2">
        <w:t>O</w:t>
      </w:r>
      <w:r w:rsidRPr="00355830">
        <w:t>ther</w:t>
      </w:r>
      <w:r>
        <w:t>”</w:t>
      </w:r>
      <w:r w:rsidRPr="00355830">
        <w:t>,</w:t>
      </w:r>
      <w:r>
        <w:t xml:space="preserve"> the state must select the</w:t>
      </w:r>
      <w:r w:rsidRPr="00355830">
        <w:t xml:space="preserve"> number </w:t>
      </w:r>
      <w:r>
        <w:t>of days from the list provided.</w:t>
      </w:r>
    </w:p>
    <w:p w:rsidR="0059599F" w:rsidP="00224635">
      <w:pPr>
        <w:pStyle w:val="NoSpacing"/>
      </w:pPr>
    </w:p>
    <w:p w:rsidR="00B078DA" w:rsidRPr="002253A4" w:rsidP="00224635">
      <w:pPr>
        <w:spacing w:line="276" w:lineRule="auto"/>
        <w:jc w:val="center"/>
        <w:rPr>
          <w:b/>
          <w:i/>
          <w:u w:val="single"/>
        </w:rPr>
      </w:pPr>
      <w:r w:rsidRPr="002253A4">
        <w:rPr>
          <w:b/>
          <w:i/>
          <w:u w:val="single"/>
        </w:rPr>
        <w:t>Review Criteria</w:t>
      </w:r>
    </w:p>
    <w:p w:rsidR="00B078DA" w:rsidRPr="002253A4" w:rsidP="00224635">
      <w:pPr>
        <w:spacing w:line="276" w:lineRule="auto"/>
        <w:jc w:val="center"/>
        <w:rPr>
          <w:b/>
          <w:i/>
          <w:u w:val="single"/>
        </w:rPr>
      </w:pPr>
    </w:p>
    <w:p w:rsidR="00B078DA" w:rsidRPr="002253A4" w:rsidP="00224635">
      <w:pPr>
        <w:spacing w:line="276" w:lineRule="auto"/>
        <w:rPr>
          <w:b/>
          <w:i/>
        </w:rPr>
      </w:pPr>
      <w:r w:rsidRPr="002253A4">
        <w:rPr>
          <w:b/>
          <w:i/>
        </w:rPr>
        <w:t xml:space="preserve">The state must check the </w:t>
      </w:r>
      <w:r>
        <w:rPr>
          <w:b/>
          <w:i/>
        </w:rPr>
        <w:t xml:space="preserve">assurance </w:t>
      </w:r>
      <w:r w:rsidRPr="002253A4">
        <w:rPr>
          <w:b/>
          <w:i/>
        </w:rPr>
        <w:t>box</w:t>
      </w:r>
      <w:r>
        <w:rPr>
          <w:b/>
          <w:i/>
        </w:rPr>
        <w:t xml:space="preserve"> or </w:t>
      </w:r>
      <w:r w:rsidRPr="002253A4">
        <w:rPr>
          <w:b/>
          <w:i/>
        </w:rPr>
        <w:t>this state plan page</w:t>
      </w:r>
      <w:r>
        <w:rPr>
          <w:b/>
          <w:i/>
        </w:rPr>
        <w:t xml:space="preserve"> cannot be approved.</w:t>
      </w:r>
    </w:p>
    <w:p w:rsidR="00B078DA" w:rsidRPr="00B078DA" w:rsidP="00224635">
      <w:pPr>
        <w:spacing w:line="276" w:lineRule="auto"/>
      </w:pPr>
    </w:p>
    <w:p w:rsidR="007E18DD" w:rsidP="00224635">
      <w:pPr>
        <w:pStyle w:val="Heading3"/>
        <w:spacing w:before="0" w:line="276" w:lineRule="auto"/>
        <w:ind w:left="432"/>
      </w:pPr>
      <w:r>
        <w:t>Exceptions to the Waiting Period</w:t>
      </w:r>
    </w:p>
    <w:p w:rsidR="0008674D" w:rsidP="00224635">
      <w:pPr>
        <w:spacing w:line="276" w:lineRule="auto"/>
        <w:ind w:left="432"/>
      </w:pPr>
      <w:r w:rsidRPr="0059599F">
        <w:t xml:space="preserve">This section </w:t>
      </w:r>
      <w:r w:rsidRPr="0059599F" w:rsidR="0059599F">
        <w:t xml:space="preserve">begins with </w:t>
      </w:r>
      <w:r w:rsidR="0059599F">
        <w:t xml:space="preserve">the following </w:t>
      </w:r>
      <w:r w:rsidRPr="0059599F" w:rsidR="0059599F">
        <w:t>statement</w:t>
      </w:r>
      <w:r w:rsidR="0059599F">
        <w:t>: “</w:t>
      </w:r>
      <w:r w:rsidRPr="0059599F" w:rsidR="0059599F">
        <w:t>The state allows exemptions from the waiting period for the following reasons:</w:t>
      </w:r>
      <w:r w:rsidR="0059599F">
        <w:t xml:space="preserve">” </w:t>
      </w:r>
      <w:r>
        <w:t xml:space="preserve">followed by a list of </w:t>
      </w:r>
      <w:r>
        <w:t xml:space="preserve">seven </w:t>
      </w:r>
      <w:r>
        <w:t xml:space="preserve">pre-selected </w:t>
      </w:r>
      <w:r w:rsidR="001425B2">
        <w:t>ex</w:t>
      </w:r>
      <w:r>
        <w:t>e</w:t>
      </w:r>
      <w:r w:rsidR="001425B2">
        <w:t>m</w:t>
      </w:r>
      <w:r>
        <w:t xml:space="preserve">ptions </w:t>
      </w:r>
      <w:r>
        <w:t xml:space="preserve">which </w:t>
      </w:r>
      <w:r>
        <w:t xml:space="preserve">are required of all states with waiting periods. </w:t>
      </w:r>
    </w:p>
    <w:p w:rsidR="0008674D" w:rsidP="00224635">
      <w:pPr>
        <w:spacing w:line="276" w:lineRule="auto"/>
        <w:ind w:left="432"/>
      </w:pPr>
    </w:p>
    <w:p w:rsidR="0008674D" w:rsidP="00224635">
      <w:pPr>
        <w:spacing w:line="276" w:lineRule="auto"/>
        <w:ind w:left="432"/>
      </w:pPr>
      <w:r>
        <w:t xml:space="preserve">The </w:t>
      </w:r>
      <w:r w:rsidR="001425B2">
        <w:t xml:space="preserve">exemption </w:t>
      </w:r>
      <w:r>
        <w:t xml:space="preserve">list is followed by a Y/N question for the state to indicate if it allows other exemptions. </w:t>
      </w:r>
    </w:p>
    <w:p w:rsidR="0008674D" w:rsidP="00224635">
      <w:pPr>
        <w:spacing w:line="276" w:lineRule="auto"/>
        <w:ind w:left="432"/>
      </w:pPr>
    </w:p>
    <w:p w:rsidR="0008304B" w:rsidRPr="00355830" w:rsidP="00224635">
      <w:pPr>
        <w:spacing w:line="276" w:lineRule="auto"/>
        <w:ind w:left="432"/>
      </w:pPr>
      <w:r>
        <w:t xml:space="preserve">If the </w:t>
      </w:r>
      <w:r w:rsidR="0008674D">
        <w:t>answer is yes, the state must</w:t>
      </w:r>
      <w:r>
        <w:t xml:space="preserve"> </w:t>
      </w:r>
      <w:r w:rsidR="00C712A3">
        <w:t xml:space="preserve">provide a </w:t>
      </w:r>
      <w:r>
        <w:t>descri</w:t>
      </w:r>
      <w:r w:rsidR="00C712A3">
        <w:t>ption of</w:t>
      </w:r>
      <w:r>
        <w:t xml:space="preserve"> </w:t>
      </w:r>
      <w:r w:rsidR="00FB56AA">
        <w:t>each additional</w:t>
      </w:r>
      <w:r>
        <w:t xml:space="preserve"> ex</w:t>
      </w:r>
      <w:r w:rsidR="0008674D">
        <w:t>empti</w:t>
      </w:r>
      <w:r>
        <w:t>on</w:t>
      </w:r>
      <w:r w:rsidR="0008674D">
        <w:t>(</w:t>
      </w:r>
      <w:r>
        <w:t>s</w:t>
      </w:r>
      <w:r w:rsidR="0008674D">
        <w:t>)</w:t>
      </w:r>
      <w:r w:rsidR="00C712A3">
        <w:t xml:space="preserve">. </w:t>
      </w:r>
      <w:r w:rsidR="00FB56AA">
        <w:t>If there is more than one additional exemption, the state reselects the button to the left of the description box and repeats the process until all have been entered.</w:t>
      </w:r>
    </w:p>
    <w:p w:rsidR="006D0815" w:rsidP="00224635">
      <w:pPr>
        <w:spacing w:line="276" w:lineRule="auto"/>
        <w:ind w:left="720"/>
      </w:pPr>
    </w:p>
    <w:p w:rsidR="00355830" w:rsidP="00224635">
      <w:pPr>
        <w:spacing w:line="276" w:lineRule="auto"/>
        <w:jc w:val="center"/>
        <w:rPr>
          <w:b/>
          <w:bCs/>
          <w:i/>
          <w:iCs/>
          <w:u w:val="single"/>
        </w:rPr>
      </w:pPr>
      <w:r w:rsidRPr="00CC66F2">
        <w:rPr>
          <w:b/>
          <w:bCs/>
          <w:i/>
          <w:iCs/>
          <w:u w:val="single"/>
        </w:rPr>
        <w:t>Review Criteria</w:t>
      </w:r>
    </w:p>
    <w:p w:rsidR="0072088F" w:rsidRPr="00CC66F2" w:rsidP="00224635">
      <w:pPr>
        <w:spacing w:line="276" w:lineRule="auto"/>
        <w:jc w:val="center"/>
        <w:rPr>
          <w:b/>
          <w:bCs/>
          <w:i/>
          <w:iCs/>
          <w:u w:val="single"/>
        </w:rPr>
      </w:pPr>
    </w:p>
    <w:p w:rsidR="00355830" w:rsidRPr="00CC66F2" w:rsidP="00224635">
      <w:pPr>
        <w:spacing w:line="276" w:lineRule="auto"/>
        <w:ind w:left="432"/>
        <w:rPr>
          <w:b/>
          <w:bCs/>
          <w:i/>
          <w:iCs/>
        </w:rPr>
      </w:pP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sidR="00426F0B">
        <w:rPr>
          <w:b/>
          <w:bCs/>
          <w:i/>
          <w:iCs/>
        </w:rPr>
        <w:t>state</w:t>
      </w:r>
      <w:r w:rsidRPr="00CC66F2">
        <w:rPr>
          <w:b/>
          <w:bCs/>
          <w:i/>
          <w:iCs/>
        </w:rPr>
        <w:t>’s election meets applicable federal statutory, regulatory and policy</w:t>
      </w:r>
      <w:r w:rsidRPr="00CC66F2">
        <w:t xml:space="preserve"> </w:t>
      </w:r>
      <w:r>
        <w:rPr>
          <w:b/>
          <w:bCs/>
          <w:i/>
          <w:iCs/>
        </w:rPr>
        <w:t>requirements.</w:t>
      </w:r>
    </w:p>
    <w:p w:rsidR="00355830" w:rsidP="00224635">
      <w:pPr>
        <w:spacing w:line="276" w:lineRule="auto"/>
      </w:pPr>
    </w:p>
    <w:p w:rsidR="006E20F9" w:rsidP="00224635">
      <w:pPr>
        <w:spacing w:line="276" w:lineRule="auto"/>
      </w:pPr>
      <w:r w:rsidRPr="004D2717">
        <w:rPr>
          <w:b/>
        </w:rPr>
        <w:t>Note:</w:t>
      </w:r>
      <w:r>
        <w:t xml:space="preserve"> </w:t>
      </w:r>
      <w:r w:rsidR="000648E3">
        <w:t>While they</w:t>
      </w:r>
      <w:r w:rsidR="00A01011">
        <w:t xml:space="preserve"> currently do</w:t>
      </w:r>
      <w:r>
        <w:t xml:space="preserve"> not appear on the state plan page, </w:t>
      </w:r>
      <w:r w:rsidR="000648E3">
        <w:t xml:space="preserve">CMS is implementing the waiting period provisions of the July 15, </w:t>
      </w:r>
      <w:r w:rsidR="000648E3">
        <w:t>2013</w:t>
      </w:r>
      <w:r w:rsidR="000648E3">
        <w:t xml:space="preserve"> final rule. As a result, CMS CHIP state plan reviewers will ask states electing to implement or continue a waiting period in 2014 questions in the following areas: </w:t>
      </w:r>
    </w:p>
    <w:p w:rsidR="000648E3" w:rsidP="00224635">
      <w:pPr>
        <w:spacing w:line="276" w:lineRule="auto"/>
      </w:pPr>
    </w:p>
    <w:p w:rsidR="000648E3" w:rsidP="00224635">
      <w:pPr>
        <w:pStyle w:val="ListParagraph"/>
        <w:numPr>
          <w:ilvl w:val="0"/>
          <w:numId w:val="7"/>
        </w:numPr>
        <w:spacing w:line="276" w:lineRule="auto"/>
      </w:pPr>
      <w:r>
        <w:t>State processes</w:t>
      </w:r>
      <w:r w:rsidRPr="00B823C0">
        <w:t xml:space="preserve"> to facilitate enrollment of CHIP-eligible children </w:t>
      </w:r>
      <w:r>
        <w:t>at the end of a</w:t>
      </w:r>
      <w:r w:rsidRPr="00B823C0">
        <w:t xml:space="preserve"> waiting period</w:t>
      </w:r>
      <w:r>
        <w:t xml:space="preserve">, </w:t>
      </w:r>
      <w:r w:rsidRPr="00456E0D">
        <w:t>without requiring a new application or information already provided by the family</w:t>
      </w:r>
      <w:r>
        <w:t xml:space="preserve">; </w:t>
      </w:r>
    </w:p>
    <w:p w:rsidR="00A01011" w:rsidP="00224635">
      <w:pPr>
        <w:pStyle w:val="ListParagraph"/>
        <w:numPr>
          <w:ilvl w:val="0"/>
          <w:numId w:val="7"/>
        </w:numPr>
        <w:spacing w:line="276" w:lineRule="auto"/>
      </w:pPr>
      <w:r>
        <w:t xml:space="preserve">State </w:t>
      </w:r>
      <w:r w:rsidRPr="00B823C0">
        <w:t xml:space="preserve">processes to coordinate coverage of children subject to a waiting period with other insurance affordability programs, including safeguards to prevent </w:t>
      </w:r>
      <w:r>
        <w:t>gaps</w:t>
      </w:r>
      <w:r w:rsidRPr="00B823C0">
        <w:t xml:space="preserve"> in coverage for childre</w:t>
      </w:r>
      <w:r>
        <w:t>n transitioning from</w:t>
      </w:r>
      <w:r w:rsidRPr="00B823C0">
        <w:t xml:space="preserve"> another insurance affordability program to CHIP a</w:t>
      </w:r>
      <w:r>
        <w:t xml:space="preserve">t the end of a </w:t>
      </w:r>
      <w:r w:rsidRPr="00B823C0">
        <w:t>waiting period</w:t>
      </w:r>
      <w:r>
        <w:t>; and</w:t>
      </w:r>
    </w:p>
    <w:p w:rsidR="00A01011" w:rsidRPr="006227FA" w:rsidP="00224635">
      <w:pPr>
        <w:pStyle w:val="ListParagraph"/>
        <w:numPr>
          <w:ilvl w:val="0"/>
          <w:numId w:val="7"/>
        </w:numPr>
        <w:spacing w:line="276" w:lineRule="auto"/>
      </w:pPr>
      <w:r>
        <w:t xml:space="preserve">State notification of </w:t>
      </w:r>
      <w:r w:rsidRPr="00456E0D">
        <w:t>the other insurance affordability program of the date on which the waiting period ends and the individual is eligible to enroll in CHIP</w:t>
      </w:r>
      <w:r>
        <w:t>.</w:t>
      </w:r>
    </w:p>
    <w:p w:rsidR="006E20F9" w:rsidP="00224635">
      <w:pPr>
        <w:spacing w:line="276" w:lineRule="auto"/>
      </w:pPr>
    </w:p>
    <w:p w:rsidR="008F24CE" w:rsidP="00224635">
      <w:pPr>
        <w:pStyle w:val="Heading2"/>
        <w:spacing w:before="0" w:line="276" w:lineRule="auto"/>
      </w:pPr>
      <w:r>
        <w:t>Additional Assurances</w:t>
      </w:r>
    </w:p>
    <w:p w:rsidR="00E03049" w:rsidRPr="00E03049" w:rsidP="006B1A46">
      <w:pPr>
        <w:pStyle w:val="Heading3"/>
        <w:spacing w:before="0" w:line="276" w:lineRule="auto"/>
        <w:ind w:left="432"/>
      </w:pPr>
      <w:r w:rsidRPr="00E03049">
        <w:t>Pregnant Women Assurance</w:t>
      </w:r>
    </w:p>
    <w:p w:rsidR="00E03049" w:rsidP="00224635">
      <w:pPr>
        <w:spacing w:line="276" w:lineRule="auto"/>
        <w:ind w:left="432"/>
      </w:pPr>
      <w:r>
        <w:t>I</w:t>
      </w:r>
      <w:r w:rsidRPr="00E03049">
        <w:t xml:space="preserve">f the </w:t>
      </w:r>
      <w:r w:rsidR="00426F0B">
        <w:t>state</w:t>
      </w:r>
      <w:r w:rsidRPr="00E03049">
        <w:t xml:space="preserve"> </w:t>
      </w:r>
      <w:r>
        <w:t xml:space="preserve">provides coverage to targeted low-income pregnant women, the </w:t>
      </w:r>
      <w:r w:rsidR="00426F0B">
        <w:t>state</w:t>
      </w:r>
      <w:r>
        <w:t xml:space="preserve"> must provide assurance that </w:t>
      </w:r>
      <w:r w:rsidR="00CC5743">
        <w:t xml:space="preserve">any </w:t>
      </w:r>
      <w:r>
        <w:t>waiting period does not apply to pregnant women</w:t>
      </w:r>
      <w:r w:rsidR="00CB55AE">
        <w:t>.</w:t>
      </w:r>
      <w:r w:rsidR="00CC5743">
        <w:t xml:space="preserve"> </w:t>
      </w:r>
    </w:p>
    <w:p w:rsidR="0008304B" w:rsidP="00224635">
      <w:pPr>
        <w:spacing w:line="276" w:lineRule="auto"/>
        <w:ind w:left="432"/>
      </w:pPr>
    </w:p>
    <w:p w:rsidR="00CC7657" w:rsidP="00224635">
      <w:pPr>
        <w:spacing w:line="276" w:lineRule="auto"/>
        <w:ind w:left="432"/>
      </w:pPr>
      <w:r w:rsidRPr="00C87E63">
        <w:t xml:space="preserve">The </w:t>
      </w:r>
      <w:r w:rsidR="00A364A6">
        <w:t>s</w:t>
      </w:r>
      <w:r w:rsidRPr="00C87E63">
        <w:t>tate provides this affirmative assurance by checking the box next to the assurance statement.</w:t>
      </w:r>
      <w:r w:rsidR="0095798B">
        <w:t xml:space="preserve"> </w:t>
      </w:r>
    </w:p>
    <w:p w:rsidR="0059599F" w:rsidP="00224635">
      <w:pPr>
        <w:pStyle w:val="NoSpacing"/>
      </w:pPr>
    </w:p>
    <w:p w:rsidR="00C24793" w:rsidRPr="002253A4" w:rsidP="00224635">
      <w:pPr>
        <w:spacing w:line="276" w:lineRule="auto"/>
        <w:ind w:left="450"/>
        <w:jc w:val="center"/>
        <w:rPr>
          <w:b/>
          <w:i/>
          <w:u w:val="single"/>
        </w:rPr>
      </w:pPr>
      <w:r w:rsidRPr="002253A4">
        <w:rPr>
          <w:b/>
          <w:i/>
          <w:u w:val="single"/>
        </w:rPr>
        <w:t>Review Criteria</w:t>
      </w:r>
    </w:p>
    <w:p w:rsidR="00C24793" w:rsidRPr="002253A4" w:rsidP="00224635">
      <w:pPr>
        <w:spacing w:line="276" w:lineRule="auto"/>
        <w:ind w:left="450"/>
        <w:jc w:val="center"/>
        <w:rPr>
          <w:b/>
          <w:i/>
          <w:u w:val="single"/>
        </w:rPr>
      </w:pPr>
    </w:p>
    <w:p w:rsidR="00C24793" w:rsidRPr="002253A4" w:rsidP="00224635">
      <w:pPr>
        <w:spacing w:line="276" w:lineRule="auto"/>
        <w:ind w:left="450"/>
        <w:rPr>
          <w:b/>
          <w:i/>
        </w:rPr>
      </w:pPr>
      <w:r>
        <w:rPr>
          <w:b/>
          <w:i/>
        </w:rPr>
        <w:t>If the state provides coverage to pregnant women, it</w:t>
      </w:r>
      <w:r w:rsidRPr="002253A4">
        <w:rPr>
          <w:b/>
          <w:i/>
        </w:rPr>
        <w:t xml:space="preserve"> must check the </w:t>
      </w:r>
      <w:r>
        <w:rPr>
          <w:b/>
          <w:i/>
        </w:rPr>
        <w:t xml:space="preserve">assurance </w:t>
      </w:r>
      <w:r w:rsidRPr="002253A4">
        <w:rPr>
          <w:b/>
          <w:i/>
        </w:rPr>
        <w:t>box</w:t>
      </w:r>
      <w:r>
        <w:rPr>
          <w:b/>
          <w:i/>
        </w:rPr>
        <w:t xml:space="preserve"> or </w:t>
      </w:r>
      <w:r w:rsidRPr="002253A4">
        <w:rPr>
          <w:b/>
          <w:i/>
        </w:rPr>
        <w:t>this state plan page</w:t>
      </w:r>
      <w:r>
        <w:rPr>
          <w:b/>
          <w:i/>
        </w:rPr>
        <w:t xml:space="preserve"> cannot be approved.</w:t>
      </w:r>
    </w:p>
    <w:p w:rsidR="00C24793" w:rsidRPr="00C24793" w:rsidP="00224635">
      <w:pPr>
        <w:spacing w:line="276" w:lineRule="auto"/>
      </w:pPr>
    </w:p>
    <w:p w:rsidR="00E03049" w:rsidRPr="00E03049" w:rsidP="006B1A46">
      <w:pPr>
        <w:pStyle w:val="Heading3"/>
        <w:spacing w:before="0" w:line="276" w:lineRule="auto"/>
        <w:ind w:left="432"/>
      </w:pPr>
      <w:r w:rsidRPr="00E03049">
        <w:t>Dental Only Supplemental Coverage</w:t>
      </w:r>
    </w:p>
    <w:p w:rsidR="00CC7657" w:rsidP="00224635">
      <w:pPr>
        <w:spacing w:line="276" w:lineRule="auto"/>
        <w:ind w:left="432"/>
      </w:pPr>
      <w:r w:rsidRPr="00E03049">
        <w:t xml:space="preserve">States that </w:t>
      </w:r>
      <w:r>
        <w:t>provide</w:t>
      </w:r>
      <w:r w:rsidRPr="00E03049">
        <w:t xml:space="preserve"> </w:t>
      </w:r>
      <w:r w:rsidR="006227FA">
        <w:t>d</w:t>
      </w:r>
      <w:r w:rsidRPr="00E03049">
        <w:t>ental only supplemental coverage</w:t>
      </w:r>
      <w:r>
        <w:t xml:space="preserve"> must provide </w:t>
      </w:r>
      <w:r w:rsidR="0008674D">
        <w:t xml:space="preserve">the following </w:t>
      </w:r>
      <w:r>
        <w:t>assurance</w:t>
      </w:r>
      <w:r w:rsidR="0008674D">
        <w:t>s</w:t>
      </w:r>
      <w:r>
        <w:t>:</w:t>
      </w:r>
    </w:p>
    <w:p w:rsidR="00CC7657" w:rsidP="00224635">
      <w:pPr>
        <w:spacing w:line="276" w:lineRule="auto"/>
        <w:ind w:left="432"/>
      </w:pPr>
    </w:p>
    <w:p w:rsidR="00CC7657" w:rsidRPr="00E1631D" w:rsidP="004D2717">
      <w:pPr>
        <w:pStyle w:val="ListParagraph"/>
        <w:numPr>
          <w:ilvl w:val="0"/>
          <w:numId w:val="6"/>
        </w:numPr>
        <w:spacing w:line="276" w:lineRule="auto"/>
      </w:pPr>
      <w:r w:rsidRPr="00F8018D">
        <w:t>That the other coverage exclusion (</w:t>
      </w:r>
      <w:r w:rsidRPr="00F8018D">
        <w:t>i.e.</w:t>
      </w:r>
      <w:r w:rsidRPr="00F8018D">
        <w:t xml:space="preserve"> substitution of coverage) does not apply to children who are otherwise eligible for </w:t>
      </w:r>
      <w:r w:rsidR="00CC5743">
        <w:t>d</w:t>
      </w:r>
      <w:r w:rsidRPr="00F8018D">
        <w:t>ental only supplemental coverage as provided in section 2110(b)(5) of the SSA</w:t>
      </w:r>
      <w:r w:rsidR="00E1631D">
        <w:t>;</w:t>
      </w:r>
      <w:r w:rsidRPr="00F8018D">
        <w:t xml:space="preserve"> and</w:t>
      </w:r>
    </w:p>
    <w:p w:rsidR="00CC7657" w:rsidRPr="00F8018D" w:rsidP="00224635">
      <w:pPr>
        <w:pStyle w:val="ListParagraph"/>
        <w:numPr>
          <w:ilvl w:val="0"/>
          <w:numId w:val="6"/>
        </w:numPr>
        <w:spacing w:line="276" w:lineRule="auto"/>
      </w:pPr>
      <w:r w:rsidRPr="00F8018D">
        <w:t>That the waiting period does not apply to children eligible for dental only supplemental coverage.</w:t>
      </w:r>
    </w:p>
    <w:p w:rsidR="00CC7657" w:rsidP="00224635">
      <w:pPr>
        <w:spacing w:line="276" w:lineRule="auto"/>
        <w:ind w:left="432"/>
      </w:pPr>
    </w:p>
    <w:p w:rsidR="00E03049" w:rsidRPr="00C87E63" w:rsidP="00224635">
      <w:pPr>
        <w:spacing w:line="276" w:lineRule="auto"/>
        <w:ind w:left="432"/>
      </w:pPr>
      <w:r>
        <w:t xml:space="preserve">The </w:t>
      </w:r>
      <w:r w:rsidR="00A364A6">
        <w:t>s</w:t>
      </w:r>
      <w:r>
        <w:t>tate provides the</w:t>
      </w:r>
      <w:r w:rsidRPr="00C87E63">
        <w:t>s</w:t>
      </w:r>
      <w:r>
        <w:t>e a</w:t>
      </w:r>
      <w:r w:rsidRPr="00C87E63">
        <w:t>ffirmative assurance</w:t>
      </w:r>
      <w:r>
        <w:t>s</w:t>
      </w:r>
      <w:r w:rsidRPr="00C87E63">
        <w:t xml:space="preserve"> by checking the box</w:t>
      </w:r>
      <w:r>
        <w:t>es</w:t>
      </w:r>
      <w:r w:rsidRPr="00C87E63">
        <w:t xml:space="preserve"> next to the assurance statement</w:t>
      </w:r>
      <w:r>
        <w:t>s</w:t>
      </w:r>
      <w:r w:rsidRPr="00C87E63">
        <w:t xml:space="preserve">. </w:t>
      </w:r>
    </w:p>
    <w:p w:rsidR="00E03049" w:rsidP="00224635">
      <w:pPr>
        <w:spacing w:line="276" w:lineRule="auto"/>
      </w:pPr>
    </w:p>
    <w:p w:rsidR="00C24793" w:rsidRPr="002253A4" w:rsidP="00224635">
      <w:pPr>
        <w:spacing w:line="276" w:lineRule="auto"/>
        <w:ind w:left="450"/>
        <w:jc w:val="center"/>
        <w:rPr>
          <w:b/>
          <w:i/>
          <w:u w:val="single"/>
        </w:rPr>
      </w:pPr>
      <w:r w:rsidRPr="002253A4">
        <w:rPr>
          <w:b/>
          <w:i/>
          <w:u w:val="single"/>
        </w:rPr>
        <w:t>Review Criteria</w:t>
      </w:r>
    </w:p>
    <w:p w:rsidR="00C24793" w:rsidRPr="002253A4" w:rsidP="00224635">
      <w:pPr>
        <w:spacing w:line="276" w:lineRule="auto"/>
        <w:ind w:left="450"/>
        <w:jc w:val="center"/>
        <w:rPr>
          <w:b/>
          <w:i/>
          <w:u w:val="single"/>
        </w:rPr>
      </w:pPr>
    </w:p>
    <w:p w:rsidR="00C24793" w:rsidRPr="002253A4" w:rsidP="00224635">
      <w:pPr>
        <w:spacing w:line="276" w:lineRule="auto"/>
        <w:ind w:left="450"/>
        <w:rPr>
          <w:b/>
          <w:i/>
        </w:rPr>
      </w:pPr>
      <w:r>
        <w:rPr>
          <w:b/>
          <w:i/>
        </w:rPr>
        <w:t>If the state provides</w:t>
      </w:r>
      <w:r w:rsidRPr="002253A4">
        <w:rPr>
          <w:b/>
          <w:i/>
        </w:rPr>
        <w:t xml:space="preserve"> </w:t>
      </w:r>
      <w:r>
        <w:rPr>
          <w:b/>
          <w:i/>
        </w:rPr>
        <w:t>dental only supplemental coverage, it</w:t>
      </w:r>
      <w:r w:rsidRPr="002253A4">
        <w:rPr>
          <w:b/>
          <w:i/>
        </w:rPr>
        <w:t xml:space="preserve"> must check </w:t>
      </w:r>
      <w:r>
        <w:rPr>
          <w:b/>
          <w:i/>
        </w:rPr>
        <w:t>both</w:t>
      </w:r>
      <w:r w:rsidRPr="002253A4">
        <w:rPr>
          <w:b/>
          <w:i/>
        </w:rPr>
        <w:t xml:space="preserve"> </w:t>
      </w:r>
      <w:r>
        <w:rPr>
          <w:b/>
          <w:i/>
        </w:rPr>
        <w:t xml:space="preserve">assurance </w:t>
      </w:r>
      <w:r w:rsidRPr="002253A4">
        <w:rPr>
          <w:b/>
          <w:i/>
        </w:rPr>
        <w:t>box</w:t>
      </w:r>
      <w:r>
        <w:rPr>
          <w:b/>
          <w:i/>
        </w:rPr>
        <w:t xml:space="preserve">es, </w:t>
      </w:r>
      <w:r>
        <w:rPr>
          <w:b/>
          <w:i/>
        </w:rPr>
        <w:t>or</w:t>
      </w:r>
      <w:r>
        <w:rPr>
          <w:b/>
          <w:i/>
        </w:rPr>
        <w:t xml:space="preserve"> </w:t>
      </w:r>
      <w:r w:rsidRPr="002253A4">
        <w:rPr>
          <w:b/>
          <w:i/>
        </w:rPr>
        <w:t>this state plan page</w:t>
      </w:r>
      <w:r>
        <w:rPr>
          <w:b/>
          <w:i/>
        </w:rPr>
        <w:t xml:space="preserve"> cannot be approved.</w:t>
      </w:r>
    </w:p>
    <w:p w:rsidR="00C24793" w:rsidP="00224635">
      <w:pPr>
        <w:spacing w:line="276" w:lineRule="auto"/>
      </w:pPr>
    </w:p>
    <w:sectPr w:rsidSect="00E20E59">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92A">
    <w:pPr>
      <w:pStyle w:val="Footer"/>
      <w:jc w:val="center"/>
    </w:pPr>
    <w:r>
      <w:fldChar w:fldCharType="begin"/>
    </w:r>
    <w:r>
      <w:instrText xml:space="preserve"> PAGE   \* MERGEFORMAT </w:instrText>
    </w:r>
    <w:r>
      <w:fldChar w:fldCharType="separate"/>
    </w:r>
    <w:r w:rsidR="00A80C9D">
      <w:rPr>
        <w:noProof/>
      </w:rPr>
      <w:t>1</w:t>
    </w:r>
    <w:r>
      <w:rPr>
        <w:noProof/>
      </w:rPr>
      <w:fldChar w:fldCharType="end"/>
    </w:r>
  </w:p>
  <w:p w:rsidR="008269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75F" w:rsidRPr="006227FA" w:rsidP="003E7583">
    <w:pPr>
      <w:tabs>
        <w:tab w:val="left" w:pos="7200"/>
      </w:tabs>
      <w:rPr>
        <w:rFonts w:ascii="Arial" w:hAnsi="Arial" w:cs="Arial"/>
        <w:sz w:val="28"/>
        <w:szCs w:val="28"/>
      </w:rPr>
    </w:pPr>
    <w:r w:rsidRPr="006227FA">
      <w:rPr>
        <w:rFonts w:ascii="Arial" w:hAnsi="Arial" w:cs="Arial"/>
        <w:sz w:val="28"/>
        <w:szCs w:val="28"/>
      </w:rPr>
      <w:t>CS20 –Non-Financial Requirements –</w:t>
    </w:r>
    <w:r w:rsidR="003E7583">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r w:rsidR="003E7583">
      <w:rPr>
        <w:rFonts w:ascii="Arial" w:hAnsi="Arial" w:cs="Arial"/>
        <w:sz w:val="28"/>
        <w:szCs w:val="28"/>
      </w:rPr>
      <w:br/>
    </w:r>
    <w:r w:rsidRPr="006227FA">
      <w:rPr>
        <w:rFonts w:ascii="Arial" w:hAnsi="Arial" w:cs="Arial"/>
        <w:sz w:val="28"/>
        <w:szCs w:val="28"/>
      </w:rPr>
      <w:t xml:space="preserve">Substitution of Coverage </w:t>
    </w:r>
  </w:p>
  <w:p w:rsidR="00B6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30AE7"/>
    <w:multiLevelType w:val="hybridMultilevel"/>
    <w:tmpl w:val="DEEC94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803F60"/>
    <w:multiLevelType w:val="hybridMultilevel"/>
    <w:tmpl w:val="94C02FD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5AC80067"/>
    <w:multiLevelType w:val="hybridMultilevel"/>
    <w:tmpl w:val="00A63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3C26BC"/>
    <w:multiLevelType w:val="hybridMultilevel"/>
    <w:tmpl w:val="77FED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5">
    <w:nsid w:val="7B1B1880"/>
    <w:multiLevelType w:val="hybridMultilevel"/>
    <w:tmpl w:val="E93E7E62"/>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6">
    <w:nsid w:val="7EDC1EA9"/>
    <w:multiLevelType w:val="hybridMultilevel"/>
    <w:tmpl w:val="E3027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3300468">
    <w:abstractNumId w:val="4"/>
  </w:num>
  <w:num w:numId="2" w16cid:durableId="712853681">
    <w:abstractNumId w:val="5"/>
  </w:num>
  <w:num w:numId="3" w16cid:durableId="1761289395">
    <w:abstractNumId w:val="0"/>
  </w:num>
  <w:num w:numId="4" w16cid:durableId="252512742">
    <w:abstractNumId w:val="3"/>
  </w:num>
  <w:num w:numId="5" w16cid:durableId="1902060541">
    <w:abstractNumId w:val="2"/>
  </w:num>
  <w:num w:numId="6" w16cid:durableId="1227450310">
    <w:abstractNumId w:val="1"/>
  </w:num>
  <w:num w:numId="7" w16cid:durableId="1422674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20CD6"/>
    <w:rsid w:val="00022BA7"/>
    <w:rsid w:val="00023178"/>
    <w:rsid w:val="000245F0"/>
    <w:rsid w:val="00036D5D"/>
    <w:rsid w:val="00055920"/>
    <w:rsid w:val="00062C26"/>
    <w:rsid w:val="000648E3"/>
    <w:rsid w:val="0008304B"/>
    <w:rsid w:val="0008674D"/>
    <w:rsid w:val="000A0112"/>
    <w:rsid w:val="000A40E0"/>
    <w:rsid w:val="000B39C1"/>
    <w:rsid w:val="000D12B9"/>
    <w:rsid w:val="000D31E9"/>
    <w:rsid w:val="00107C30"/>
    <w:rsid w:val="001160BA"/>
    <w:rsid w:val="0012590F"/>
    <w:rsid w:val="001306B3"/>
    <w:rsid w:val="00140A26"/>
    <w:rsid w:val="001425B2"/>
    <w:rsid w:val="00162CC5"/>
    <w:rsid w:val="00172F6C"/>
    <w:rsid w:val="00194E18"/>
    <w:rsid w:val="00195265"/>
    <w:rsid w:val="001C6DFB"/>
    <w:rsid w:val="001D462A"/>
    <w:rsid w:val="00224635"/>
    <w:rsid w:val="002253A4"/>
    <w:rsid w:val="00284786"/>
    <w:rsid w:val="002C5539"/>
    <w:rsid w:val="002F0C5E"/>
    <w:rsid w:val="002F2BB4"/>
    <w:rsid w:val="002F6829"/>
    <w:rsid w:val="00342DAF"/>
    <w:rsid w:val="00355830"/>
    <w:rsid w:val="00373C34"/>
    <w:rsid w:val="003849E0"/>
    <w:rsid w:val="00393F7B"/>
    <w:rsid w:val="003A1269"/>
    <w:rsid w:val="003B5AFF"/>
    <w:rsid w:val="003B71E8"/>
    <w:rsid w:val="003D186C"/>
    <w:rsid w:val="003D3E8F"/>
    <w:rsid w:val="003E0478"/>
    <w:rsid w:val="003E7583"/>
    <w:rsid w:val="003F2E30"/>
    <w:rsid w:val="00402942"/>
    <w:rsid w:val="00426F0B"/>
    <w:rsid w:val="00431747"/>
    <w:rsid w:val="00456E0D"/>
    <w:rsid w:val="00461EB8"/>
    <w:rsid w:val="00475776"/>
    <w:rsid w:val="004826EA"/>
    <w:rsid w:val="00494C3A"/>
    <w:rsid w:val="004A6E95"/>
    <w:rsid w:val="004B3B45"/>
    <w:rsid w:val="004D2717"/>
    <w:rsid w:val="004E668C"/>
    <w:rsid w:val="004F63C0"/>
    <w:rsid w:val="004F73BD"/>
    <w:rsid w:val="00505760"/>
    <w:rsid w:val="00511C61"/>
    <w:rsid w:val="00523CD7"/>
    <w:rsid w:val="00542671"/>
    <w:rsid w:val="0055145B"/>
    <w:rsid w:val="00554A46"/>
    <w:rsid w:val="00557F9F"/>
    <w:rsid w:val="00562938"/>
    <w:rsid w:val="0056384C"/>
    <w:rsid w:val="00563A58"/>
    <w:rsid w:val="00567A07"/>
    <w:rsid w:val="00574B70"/>
    <w:rsid w:val="00577520"/>
    <w:rsid w:val="0059599F"/>
    <w:rsid w:val="005A4A65"/>
    <w:rsid w:val="00607110"/>
    <w:rsid w:val="006168E0"/>
    <w:rsid w:val="0061726F"/>
    <w:rsid w:val="006227FA"/>
    <w:rsid w:val="00631A33"/>
    <w:rsid w:val="0064228A"/>
    <w:rsid w:val="006475E9"/>
    <w:rsid w:val="0065583D"/>
    <w:rsid w:val="006567F6"/>
    <w:rsid w:val="006704E6"/>
    <w:rsid w:val="006774C4"/>
    <w:rsid w:val="00681D73"/>
    <w:rsid w:val="0069158F"/>
    <w:rsid w:val="006923EA"/>
    <w:rsid w:val="006A22BC"/>
    <w:rsid w:val="006A39F9"/>
    <w:rsid w:val="006B1A46"/>
    <w:rsid w:val="006C19A1"/>
    <w:rsid w:val="006D0815"/>
    <w:rsid w:val="006D513E"/>
    <w:rsid w:val="006E20F9"/>
    <w:rsid w:val="0072088F"/>
    <w:rsid w:val="007221BD"/>
    <w:rsid w:val="00724810"/>
    <w:rsid w:val="00744A4A"/>
    <w:rsid w:val="007C11E4"/>
    <w:rsid w:val="007E0EB2"/>
    <w:rsid w:val="007E18DD"/>
    <w:rsid w:val="007E4F28"/>
    <w:rsid w:val="007F0EE2"/>
    <w:rsid w:val="007F5F6D"/>
    <w:rsid w:val="008071C7"/>
    <w:rsid w:val="0082551C"/>
    <w:rsid w:val="0082692A"/>
    <w:rsid w:val="00846099"/>
    <w:rsid w:val="00866C3B"/>
    <w:rsid w:val="0088153C"/>
    <w:rsid w:val="008873FB"/>
    <w:rsid w:val="008B20EB"/>
    <w:rsid w:val="008D2C27"/>
    <w:rsid w:val="008D7191"/>
    <w:rsid w:val="008F24CE"/>
    <w:rsid w:val="008F5465"/>
    <w:rsid w:val="008F719B"/>
    <w:rsid w:val="00913628"/>
    <w:rsid w:val="00917EC2"/>
    <w:rsid w:val="00930D00"/>
    <w:rsid w:val="0095549A"/>
    <w:rsid w:val="0095798B"/>
    <w:rsid w:val="00974358"/>
    <w:rsid w:val="0099456C"/>
    <w:rsid w:val="009B2282"/>
    <w:rsid w:val="009D2148"/>
    <w:rsid w:val="009E6C36"/>
    <w:rsid w:val="00A01011"/>
    <w:rsid w:val="00A21055"/>
    <w:rsid w:val="00A27D69"/>
    <w:rsid w:val="00A323D4"/>
    <w:rsid w:val="00A364A6"/>
    <w:rsid w:val="00A42929"/>
    <w:rsid w:val="00A80C9D"/>
    <w:rsid w:val="00AA5A63"/>
    <w:rsid w:val="00AA6325"/>
    <w:rsid w:val="00AB18C9"/>
    <w:rsid w:val="00AC64AD"/>
    <w:rsid w:val="00B078DA"/>
    <w:rsid w:val="00B313B4"/>
    <w:rsid w:val="00B3288F"/>
    <w:rsid w:val="00B60422"/>
    <w:rsid w:val="00B60E05"/>
    <w:rsid w:val="00B63366"/>
    <w:rsid w:val="00B6575F"/>
    <w:rsid w:val="00B71116"/>
    <w:rsid w:val="00B823C0"/>
    <w:rsid w:val="00BA310D"/>
    <w:rsid w:val="00BB6A5A"/>
    <w:rsid w:val="00BD78F2"/>
    <w:rsid w:val="00BF0C08"/>
    <w:rsid w:val="00BF3422"/>
    <w:rsid w:val="00C07446"/>
    <w:rsid w:val="00C24793"/>
    <w:rsid w:val="00C2657F"/>
    <w:rsid w:val="00C33EF0"/>
    <w:rsid w:val="00C35D38"/>
    <w:rsid w:val="00C712A3"/>
    <w:rsid w:val="00C763DD"/>
    <w:rsid w:val="00C87E63"/>
    <w:rsid w:val="00C92C4E"/>
    <w:rsid w:val="00CA7CCA"/>
    <w:rsid w:val="00CB55AE"/>
    <w:rsid w:val="00CC5743"/>
    <w:rsid w:val="00CC66F2"/>
    <w:rsid w:val="00CC7657"/>
    <w:rsid w:val="00CD1870"/>
    <w:rsid w:val="00CD2F7F"/>
    <w:rsid w:val="00D11197"/>
    <w:rsid w:val="00D14AD7"/>
    <w:rsid w:val="00D17CD1"/>
    <w:rsid w:val="00D26B01"/>
    <w:rsid w:val="00D33BBC"/>
    <w:rsid w:val="00D41F8C"/>
    <w:rsid w:val="00D70EAF"/>
    <w:rsid w:val="00D71941"/>
    <w:rsid w:val="00D74D0B"/>
    <w:rsid w:val="00DA0769"/>
    <w:rsid w:val="00DC509F"/>
    <w:rsid w:val="00DC73DF"/>
    <w:rsid w:val="00DF602E"/>
    <w:rsid w:val="00E03049"/>
    <w:rsid w:val="00E05806"/>
    <w:rsid w:val="00E1631D"/>
    <w:rsid w:val="00E20E59"/>
    <w:rsid w:val="00E34CCF"/>
    <w:rsid w:val="00E574CB"/>
    <w:rsid w:val="00E84897"/>
    <w:rsid w:val="00E863F2"/>
    <w:rsid w:val="00F1358C"/>
    <w:rsid w:val="00F41D41"/>
    <w:rsid w:val="00F5193F"/>
    <w:rsid w:val="00F5469C"/>
    <w:rsid w:val="00F55C9C"/>
    <w:rsid w:val="00F73986"/>
    <w:rsid w:val="00F76C3C"/>
    <w:rsid w:val="00F8018D"/>
    <w:rsid w:val="00FA16FA"/>
    <w:rsid w:val="00FB440E"/>
    <w:rsid w:val="00FB56AA"/>
    <w:rsid w:val="00FF3E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635"/>
    <w:rPr>
      <w:rFonts w:ascii="Times New Roman" w:hAnsi="Times New Roman"/>
      <w:sz w:val="24"/>
      <w:szCs w:val="24"/>
    </w:rPr>
  </w:style>
  <w:style w:type="paragraph" w:styleId="Heading1">
    <w:name w:val="heading 1"/>
    <w:basedOn w:val="Normal"/>
    <w:next w:val="Normal"/>
    <w:link w:val="Heading1Char"/>
    <w:uiPriority w:val="9"/>
    <w:qFormat/>
    <w:rsid w:val="00224635"/>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224635"/>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224635"/>
    <w:pPr>
      <w:keepNext/>
      <w:keepLines/>
      <w:spacing w:before="200"/>
      <w:outlineLvl w:val="2"/>
    </w:pPr>
    <w:rPr>
      <w:rFonts w:eastAsia="MS Gothic"/>
      <w:b/>
      <w:bCs/>
      <w:i/>
    </w:rPr>
  </w:style>
  <w:style w:type="paragraph" w:styleId="Heading4">
    <w:name w:val="heading 4"/>
    <w:basedOn w:val="Normal"/>
    <w:next w:val="Normal"/>
    <w:link w:val="Heading4Char"/>
    <w:uiPriority w:val="9"/>
    <w:unhideWhenUsed/>
    <w:qFormat/>
    <w:rsid w:val="007E18DD"/>
    <w:pPr>
      <w:keepNext/>
      <w:keepLines/>
      <w:spacing w:before="200"/>
      <w:outlineLvl w:val="3"/>
    </w:pPr>
    <w:rPr>
      <w:rFonts w:eastAsia="MS Gothic"/>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509F"/>
    <w:pPr>
      <w:ind w:left="720"/>
      <w:contextualSpacing/>
    </w:pPr>
  </w:style>
  <w:style w:type="character" w:styleId="Hyperlink">
    <w:name w:val="Hyperlink"/>
    <w:basedOn w:val="DefaultParagraphFont"/>
    <w:uiPriority w:val="99"/>
    <w:semiHidden/>
    <w:unhideWhenUsed/>
    <w:rsid w:val="0061726F"/>
    <w:rPr>
      <w:color w:val="0000FF"/>
      <w:u w:val="single"/>
    </w:rPr>
  </w:style>
  <w:style w:type="character" w:styleId="CommentReference">
    <w:name w:val="annotation reference"/>
    <w:basedOn w:val="DefaultParagraphFont"/>
    <w:uiPriority w:val="99"/>
    <w:semiHidden/>
    <w:unhideWhenUsed/>
    <w:rsid w:val="00172F6C"/>
    <w:rPr>
      <w:sz w:val="16"/>
      <w:szCs w:val="16"/>
    </w:rPr>
  </w:style>
  <w:style w:type="paragraph" w:styleId="CommentText">
    <w:name w:val="annotation text"/>
    <w:basedOn w:val="Normal"/>
    <w:link w:val="CommentTextChar"/>
    <w:uiPriority w:val="99"/>
    <w:semiHidden/>
    <w:unhideWhenUsed/>
    <w:rsid w:val="00172F6C"/>
    <w:rPr>
      <w:sz w:val="20"/>
      <w:szCs w:val="20"/>
    </w:rPr>
  </w:style>
  <w:style w:type="character" w:customStyle="1" w:styleId="CommentTextChar">
    <w:name w:val="Comment Text Char"/>
    <w:basedOn w:val="DefaultParagraphFont"/>
    <w:link w:val="CommentText"/>
    <w:uiPriority w:val="99"/>
    <w:semiHidden/>
    <w:rsid w:val="00172F6C"/>
    <w:rPr>
      <w:sz w:val="20"/>
      <w:szCs w:val="20"/>
    </w:rPr>
  </w:style>
  <w:style w:type="paragraph" w:styleId="CommentSubject">
    <w:name w:val="annotation subject"/>
    <w:basedOn w:val="CommentText"/>
    <w:next w:val="CommentText"/>
    <w:link w:val="CommentSubjectChar"/>
    <w:uiPriority w:val="99"/>
    <w:semiHidden/>
    <w:unhideWhenUsed/>
    <w:rsid w:val="00172F6C"/>
    <w:rPr>
      <w:b/>
      <w:bCs/>
    </w:rPr>
  </w:style>
  <w:style w:type="character" w:customStyle="1" w:styleId="CommentSubjectChar">
    <w:name w:val="Comment Subject Char"/>
    <w:basedOn w:val="CommentTextChar"/>
    <w:link w:val="CommentSubject"/>
    <w:uiPriority w:val="99"/>
    <w:semiHidden/>
    <w:rsid w:val="00172F6C"/>
    <w:rPr>
      <w:b/>
      <w:bCs/>
      <w:sz w:val="20"/>
      <w:szCs w:val="20"/>
    </w:rPr>
  </w:style>
  <w:style w:type="paragraph" w:styleId="BalloonText">
    <w:name w:val="Balloon Text"/>
    <w:basedOn w:val="Normal"/>
    <w:link w:val="BalloonTextChar"/>
    <w:uiPriority w:val="99"/>
    <w:semiHidden/>
    <w:unhideWhenUsed/>
    <w:rsid w:val="00172F6C"/>
    <w:rPr>
      <w:rFonts w:ascii="Tahoma" w:hAnsi="Tahoma" w:cs="Tahoma"/>
      <w:sz w:val="16"/>
      <w:szCs w:val="16"/>
    </w:rPr>
  </w:style>
  <w:style w:type="character" w:customStyle="1" w:styleId="BalloonTextChar">
    <w:name w:val="Balloon Text Char"/>
    <w:basedOn w:val="DefaultParagraphFont"/>
    <w:link w:val="BalloonText"/>
    <w:uiPriority w:val="99"/>
    <w:semiHidden/>
    <w:rsid w:val="00172F6C"/>
    <w:rPr>
      <w:rFonts w:ascii="Tahoma" w:hAnsi="Tahoma" w:cs="Tahoma"/>
      <w:sz w:val="16"/>
      <w:szCs w:val="16"/>
    </w:rPr>
  </w:style>
  <w:style w:type="paragraph" w:styleId="Header">
    <w:name w:val="header"/>
    <w:basedOn w:val="Normal"/>
    <w:link w:val="HeaderChar"/>
    <w:uiPriority w:val="99"/>
    <w:unhideWhenUsed/>
    <w:rsid w:val="0082692A"/>
    <w:pPr>
      <w:tabs>
        <w:tab w:val="center" w:pos="4680"/>
        <w:tab w:val="right" w:pos="9360"/>
      </w:tabs>
    </w:pPr>
  </w:style>
  <w:style w:type="character" w:customStyle="1" w:styleId="HeaderChar">
    <w:name w:val="Header Char"/>
    <w:basedOn w:val="DefaultParagraphFont"/>
    <w:link w:val="Header"/>
    <w:uiPriority w:val="99"/>
    <w:rsid w:val="0082692A"/>
  </w:style>
  <w:style w:type="paragraph" w:styleId="Footer">
    <w:name w:val="footer"/>
    <w:basedOn w:val="Normal"/>
    <w:link w:val="FooterChar"/>
    <w:uiPriority w:val="99"/>
    <w:unhideWhenUsed/>
    <w:rsid w:val="0082692A"/>
    <w:pPr>
      <w:tabs>
        <w:tab w:val="center" w:pos="4680"/>
        <w:tab w:val="right" w:pos="9360"/>
      </w:tabs>
    </w:pPr>
  </w:style>
  <w:style w:type="character" w:customStyle="1" w:styleId="FooterChar">
    <w:name w:val="Footer Char"/>
    <w:basedOn w:val="DefaultParagraphFont"/>
    <w:link w:val="Footer"/>
    <w:uiPriority w:val="99"/>
    <w:rsid w:val="0082692A"/>
  </w:style>
  <w:style w:type="character" w:customStyle="1" w:styleId="Heading1Char">
    <w:name w:val="Heading 1 Char"/>
    <w:basedOn w:val="DefaultParagraphFont"/>
    <w:link w:val="Heading1"/>
    <w:uiPriority w:val="9"/>
    <w:rsid w:val="00224635"/>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224635"/>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224635"/>
    <w:rPr>
      <w:rFonts w:ascii="Times New Roman" w:eastAsia="MS Gothic" w:hAnsi="Times New Roman" w:cs="Times New Roman"/>
      <w:b/>
      <w:bCs/>
      <w:i/>
    </w:rPr>
  </w:style>
  <w:style w:type="character" w:customStyle="1" w:styleId="Heading4Char">
    <w:name w:val="Heading 4 Char"/>
    <w:basedOn w:val="DefaultParagraphFont"/>
    <w:link w:val="Heading4"/>
    <w:uiPriority w:val="9"/>
    <w:rsid w:val="007E18DD"/>
    <w:rPr>
      <w:rFonts w:ascii="Times New Roman" w:eastAsia="MS Gothic" w:hAnsi="Times New Roman" w:cs="Times New Roman"/>
      <w:b/>
      <w:bCs/>
      <w:i/>
      <w:iCs/>
    </w:rPr>
  </w:style>
  <w:style w:type="character" w:styleId="Strong">
    <w:name w:val="Strong"/>
    <w:aliases w:val="Statute and Regulation"/>
    <w:basedOn w:val="DefaultParagraphFont"/>
    <w:uiPriority w:val="22"/>
    <w:qFormat/>
    <w:rsid w:val="00224635"/>
    <w:rPr>
      <w:rFonts w:ascii="Times New Roman" w:hAnsi="Times New Roman"/>
      <w:b/>
      <w:bCs/>
      <w:sz w:val="24"/>
    </w:rPr>
  </w:style>
  <w:style w:type="paragraph" w:styleId="NoSpacing">
    <w:name w:val="No Spacing"/>
    <w:uiPriority w:val="1"/>
    <w:qFormat/>
    <w:rsid w:val="002246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89DFB-EDC4-4545-AC08-335EBB13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2023-11-14T21:34:00Z</dcterms:created>
  <dcterms:modified xsi:type="dcterms:W3CDTF">2023-11-14T21:34:00Z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