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2ECF" w:rsidRPr="00832E8C" w:rsidP="00832E8C" w14:paraId="4514369E" w14:textId="7D5C1E13">
      <w:pPr>
        <w:spacing w:after="0"/>
        <w:rPr>
          <w:rFonts w:ascii="Times New Roman" w:hAnsi="Times New Roman" w:cs="Times New Roman"/>
          <w:b/>
          <w:sz w:val="24"/>
          <w:szCs w:val="24"/>
        </w:rPr>
      </w:pPr>
      <w:r w:rsidRPr="00832E8C">
        <w:rPr>
          <w:rFonts w:ascii="Times New Roman" w:hAnsi="Times New Roman" w:cs="Times New Roman"/>
          <w:b/>
          <w:sz w:val="24"/>
          <w:szCs w:val="24"/>
        </w:rPr>
        <w:t>Response to comments submitted to OIRA</w:t>
      </w:r>
    </w:p>
    <w:p w:rsidR="00AF5B11" w:rsidP="00AF5B11" w14:paraId="5EEED346" w14:textId="77777777">
      <w:pPr>
        <w:spacing w:after="0" w:line="240" w:lineRule="auto"/>
        <w:rPr>
          <w:rFonts w:ascii="Times New Roman" w:eastAsia="Calibri" w:hAnsi="Times New Roman" w:cs="Times New Roman"/>
          <w:sz w:val="24"/>
          <w:szCs w:val="24"/>
        </w:rPr>
      </w:pPr>
    </w:p>
    <w:p w:rsidR="00AF5B11" w:rsidRPr="00AF5B11" w:rsidP="00AF5B11" w14:paraId="58360287" w14:textId="6070B579">
      <w:pPr>
        <w:spacing w:after="0" w:line="240" w:lineRule="auto"/>
        <w:rPr>
          <w:rFonts w:ascii="Times New Roman" w:eastAsia="Calibri" w:hAnsi="Times New Roman" w:cs="Times New Roman"/>
          <w:sz w:val="24"/>
          <w:szCs w:val="24"/>
        </w:rPr>
      </w:pPr>
      <w:r w:rsidRPr="00AF5B11">
        <w:rPr>
          <w:rFonts w:ascii="Times New Roman" w:eastAsia="Calibri" w:hAnsi="Times New Roman" w:cs="Times New Roman"/>
          <w:sz w:val="24"/>
          <w:szCs w:val="24"/>
        </w:rPr>
        <w:t xml:space="preserve">A Federal Register notice inviting public comment was published on March 2, 2022 (87 FR 11738). Comments were not received. </w:t>
      </w:r>
    </w:p>
    <w:p w:rsidR="00AF5B11" w:rsidRPr="00AF5B11" w:rsidP="00AF5B11" w14:paraId="2B0BE5D0" w14:textId="77777777">
      <w:pPr>
        <w:spacing w:after="0" w:line="240" w:lineRule="auto"/>
        <w:rPr>
          <w:rFonts w:ascii="Times New Roman" w:eastAsia="Calibri" w:hAnsi="Times New Roman" w:cs="Times New Roman"/>
          <w:sz w:val="24"/>
          <w:szCs w:val="24"/>
        </w:rPr>
      </w:pPr>
    </w:p>
    <w:p w:rsidR="00AF5B11" w:rsidRPr="00AF5B11" w:rsidP="00AF5B11" w14:paraId="027C1E34" w14:textId="77777777">
      <w:pPr>
        <w:spacing w:after="0" w:line="240" w:lineRule="auto"/>
        <w:rPr>
          <w:rFonts w:ascii="TimesNewRomanPSMT" w:eastAsia="Times New Roman" w:hAnsi="TimesNewRomanPSMT" w:cs="TimesNewRomanPSMT"/>
          <w:sz w:val="24"/>
          <w:szCs w:val="24"/>
        </w:rPr>
      </w:pPr>
      <w:r w:rsidRPr="00AF5B11">
        <w:rPr>
          <w:rFonts w:ascii="Times New Roman" w:eastAsia="Calibri" w:hAnsi="Times New Roman" w:cs="Times New Roman"/>
          <w:sz w:val="24"/>
          <w:szCs w:val="24"/>
        </w:rPr>
        <w:t xml:space="preserve">A second Federal Register notice inviting public comment was published on July 11, 2022 (87 FR 41146). OMB received one comment from </w:t>
      </w:r>
      <w:r w:rsidRPr="00AF5B11">
        <w:rPr>
          <w:rFonts w:ascii="TimesNewRomanPSMT" w:eastAsia="Times New Roman" w:hAnsi="TimesNewRomanPSMT" w:cs="TimesNewRomanPSMT"/>
          <w:sz w:val="24"/>
          <w:szCs w:val="24"/>
        </w:rPr>
        <w:t>SunCoke</w:t>
      </w:r>
      <w:r w:rsidRPr="00AF5B11">
        <w:rPr>
          <w:rFonts w:ascii="TimesNewRomanPSMT" w:eastAsia="Times New Roman" w:hAnsi="TimesNewRomanPSMT" w:cs="TimesNewRomanPSMT"/>
          <w:sz w:val="24"/>
          <w:szCs w:val="24"/>
        </w:rPr>
        <w:t xml:space="preserve"> Energy, Inc. (“</w:t>
      </w:r>
      <w:r w:rsidRPr="00AF5B11">
        <w:rPr>
          <w:rFonts w:ascii="TimesNewRomanPSMT" w:eastAsia="Times New Roman" w:hAnsi="TimesNewRomanPSMT" w:cs="TimesNewRomanPSMT"/>
          <w:sz w:val="24"/>
          <w:szCs w:val="24"/>
        </w:rPr>
        <w:t>SunCoke</w:t>
      </w:r>
      <w:r w:rsidRPr="00AF5B11">
        <w:rPr>
          <w:rFonts w:ascii="TimesNewRomanPSMT" w:eastAsia="Times New Roman" w:hAnsi="TimesNewRomanPSMT" w:cs="TimesNewRomanPSMT"/>
          <w:sz w:val="24"/>
          <w:szCs w:val="24"/>
        </w:rPr>
        <w:t xml:space="preserve">”). </w:t>
      </w:r>
      <w:r w:rsidRPr="00AF5B11">
        <w:rPr>
          <w:rFonts w:ascii="TimesNewRomanPSMT" w:eastAsia="Times New Roman" w:hAnsi="TimesNewRomanPSMT" w:cs="TimesNewRomanPSMT"/>
          <w:sz w:val="24"/>
          <w:szCs w:val="24"/>
        </w:rPr>
        <w:t>SunCoke</w:t>
      </w:r>
      <w:r w:rsidRPr="00AF5B11">
        <w:rPr>
          <w:rFonts w:ascii="TimesNewRomanPSMT" w:eastAsia="Times New Roman" w:hAnsi="TimesNewRomanPSMT" w:cs="TimesNewRomanPSMT"/>
          <w:sz w:val="24"/>
          <w:szCs w:val="24"/>
        </w:rPr>
        <w:t xml:space="preserve"> alleges that the information collection is not necessary because it takes issue with OWCP’s process for determining the amount necessary for a self-insured operator to secure the payment of benefits for which it is liable. OWCP’s regulations set forth the procedures for approving a self-insurance application and determining the amount of the security. </w:t>
      </w:r>
      <w:r w:rsidRPr="00AF5B11">
        <w:rPr>
          <w:rFonts w:ascii="TimesNewRomanPSMT" w:eastAsia="Times New Roman" w:hAnsi="TimesNewRomanPSMT" w:cs="TimesNewRomanPSMT"/>
          <w:i/>
          <w:iCs/>
          <w:sz w:val="24"/>
          <w:szCs w:val="24"/>
        </w:rPr>
        <w:t>See</w:t>
      </w:r>
      <w:r w:rsidRPr="00AF5B11">
        <w:rPr>
          <w:rFonts w:ascii="TimesNewRomanPSMT" w:eastAsia="Times New Roman" w:hAnsi="TimesNewRomanPSMT" w:cs="TimesNewRomanPSMT"/>
          <w:sz w:val="24"/>
          <w:szCs w:val="24"/>
        </w:rPr>
        <w:t xml:space="preserve"> 20 CFR Part 726 Subpart B. Specifically, the regulations broadly authorize OWCP to collect “such further information or such evidence as [OWCP] may deem necessary.”  20 CFR 726.102(b). </w:t>
      </w:r>
    </w:p>
    <w:p w:rsidR="00AF5B11" w:rsidRPr="00AF5B11" w:rsidP="00AF5B11" w14:paraId="6E9F68DC" w14:textId="77777777">
      <w:pPr>
        <w:spacing w:after="0" w:line="240" w:lineRule="auto"/>
        <w:rPr>
          <w:rFonts w:ascii="TimesNewRomanPSMT" w:eastAsia="Times New Roman" w:hAnsi="TimesNewRomanPSMT" w:cs="TimesNewRomanPSMT"/>
          <w:sz w:val="24"/>
          <w:szCs w:val="24"/>
        </w:rPr>
      </w:pPr>
    </w:p>
    <w:p w:rsidR="00AF5B11" w:rsidRPr="00AF5B11" w:rsidP="00AF5B11" w14:paraId="7486B40F" w14:textId="77777777">
      <w:pPr>
        <w:spacing w:after="0" w:line="240" w:lineRule="auto"/>
        <w:rPr>
          <w:rFonts w:ascii="Times New Roman" w:eastAsia="Calibri" w:hAnsi="Times New Roman" w:cs="Times New Roman"/>
          <w:sz w:val="24"/>
          <w:szCs w:val="24"/>
        </w:rPr>
      </w:pPr>
      <w:r w:rsidRPr="00AF5B11">
        <w:rPr>
          <w:rFonts w:ascii="TimesNewRomanPSMT" w:eastAsia="Times New Roman" w:hAnsi="TimesNewRomanPSMT" w:cs="TimesNewRomanPSMT"/>
          <w:sz w:val="24"/>
          <w:szCs w:val="24"/>
        </w:rPr>
        <w:t xml:space="preserve">As acknowledged in the comment, in 2019, OWCP implemented a process that considers the operator’s current and future liability for benefits based on an actuarial assessment, as well as the operator’s risk of insolvency. OMB approved the collection of information for this self-insurance process at that time. OWCP sets the required security as a percentage of the total current and projected future liability based on the operator’s financial risk rating. </w:t>
      </w:r>
      <w:r w:rsidRPr="00AF5B11">
        <w:rPr>
          <w:rFonts w:ascii="TimesNewRomanPSMT" w:eastAsia="Times New Roman" w:hAnsi="TimesNewRomanPSMT" w:cs="TimesNewRomanPSMT"/>
          <w:sz w:val="24"/>
          <w:szCs w:val="24"/>
        </w:rPr>
        <w:t>SunCoke</w:t>
      </w:r>
      <w:r w:rsidRPr="00AF5B11">
        <w:rPr>
          <w:rFonts w:ascii="TimesNewRomanPSMT" w:eastAsia="Times New Roman" w:hAnsi="TimesNewRomanPSMT" w:cs="TimesNewRomanPSMT"/>
          <w:sz w:val="24"/>
          <w:szCs w:val="24"/>
        </w:rPr>
        <w:t xml:space="preserve"> objects to OWCP’s process for determining the amount of this percentage. The information that self-insurance applicants must submit to OWCP, however, has not changed since this Information Collection Request (ICR) was initially approved in 2019. The agency process for determining current and future liability and calculating a financial risk rating also has not changed since then. OWCP addressed comments and concerns about the necessity of this information in its supporting statement for the initial ICR in 2019. OWCP therefore declines to make any changes to the ICR in response to this comment.</w:t>
      </w:r>
    </w:p>
    <w:p w:rsidR="00874B9A" w:rsidRPr="00832E8C" w:rsidP="00832E8C" w14:paraId="51FAB391" w14:textId="7E0BF44E">
      <w:pPr>
        <w:spacing w:after="0"/>
        <w:rPr>
          <w:rFonts w:ascii="Times New Roman" w:hAnsi="Times New Roman" w:cs="Times New Roman"/>
          <w:b/>
          <w:sz w:val="24"/>
          <w:szCs w:val="24"/>
        </w:rPr>
      </w:pPr>
    </w:p>
    <w:sectPr w:rsidSect="00064420">
      <w:headerReference w:type="default" r:id="rId5"/>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4289959"/>
      <w:docPartObj>
        <w:docPartGallery w:val="Page Numbers (Bottom of Page)"/>
        <w:docPartUnique/>
      </w:docPartObj>
    </w:sdtPr>
    <w:sdtEndPr>
      <w:rPr>
        <w:rFonts w:ascii="Times New Roman" w:hAnsi="Times New Roman" w:cs="Times New Roman"/>
        <w:noProof/>
        <w:sz w:val="24"/>
        <w:szCs w:val="24"/>
      </w:rPr>
    </w:sdtEndPr>
    <w:sdtContent>
      <w:p w:rsidR="00013545" w:rsidRPr="000C6072" w14:paraId="0DB91349" w14:textId="227DDCAE">
        <w:pPr>
          <w:pStyle w:val="Footer"/>
          <w:jc w:val="center"/>
        </w:pPr>
        <w:r w:rsidRPr="0097472C">
          <w:rPr>
            <w:rFonts w:ascii="Times New Roman" w:hAnsi="Times New Roman" w:cs="Times New Roman"/>
            <w:sz w:val="24"/>
            <w:szCs w:val="24"/>
          </w:rPr>
          <w:fldChar w:fldCharType="begin"/>
        </w:r>
        <w:r w:rsidRPr="0097472C">
          <w:rPr>
            <w:rFonts w:ascii="Times New Roman" w:hAnsi="Times New Roman" w:cs="Times New Roman"/>
          </w:rPr>
          <w:instrText xml:space="preserve"> PAGE   \* MERGEFORMAT </w:instrText>
        </w:r>
        <w:r w:rsidRPr="0097472C">
          <w:rPr>
            <w:rFonts w:ascii="Times New Roman" w:hAnsi="Times New Roman" w:cs="Times New Roman"/>
            <w:sz w:val="24"/>
            <w:szCs w:val="24"/>
          </w:rPr>
          <w:fldChar w:fldCharType="separate"/>
        </w:r>
        <w:r w:rsidRPr="00214C0F" w:rsidR="00214C0F">
          <w:rPr>
            <w:rFonts w:ascii="Times New Roman" w:hAnsi="Times New Roman" w:cs="Times New Roman"/>
            <w:noProof/>
            <w:sz w:val="24"/>
            <w:szCs w:val="24"/>
          </w:rPr>
          <w:t>2</w:t>
        </w:r>
        <w:r w:rsidRPr="0097472C">
          <w:rPr>
            <w:rFonts w:ascii="Times New Roman" w:hAnsi="Times New Roman" w:cs="Times New Roman"/>
            <w:noProof/>
            <w:sz w:val="24"/>
            <w:szCs w:val="24"/>
          </w:rPr>
          <w:fldChar w:fldCharType="end"/>
        </w:r>
      </w:p>
    </w:sdtContent>
  </w:sdt>
  <w:p w:rsidR="00013545" w14:paraId="102586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545" w:rsidRPr="00746F6C" w14:paraId="54AAECCE" w14:textId="2A69D372">
    <w:pPr>
      <w:pStyle w:val="Footer"/>
      <w:jc w:val="center"/>
      <w:rPr>
        <w:rFonts w:ascii="Times New Roman" w:hAnsi="Times New Roman" w:cs="Times New Roman"/>
        <w:sz w:val="24"/>
        <w:szCs w:val="24"/>
      </w:rPr>
    </w:pPr>
    <w:r w:rsidRPr="000B2C35">
      <w:rPr>
        <w:rFonts w:ascii="Times New Roman" w:hAnsi="Times New Roman" w:cs="Times New Roman"/>
        <w:sz w:val="24"/>
        <w:szCs w:val="24"/>
      </w:rPr>
      <w:t xml:space="preserve">- </w:t>
    </w:r>
    <w:sdt>
      <w:sdtPr>
        <w:rPr>
          <w:rFonts w:ascii="Times New Roman" w:hAnsi="Times New Roman" w:cs="Times New Roman"/>
          <w:sz w:val="24"/>
          <w:szCs w:val="24"/>
        </w:rPr>
        <w:id w:val="-1792118556"/>
        <w:docPartObj>
          <w:docPartGallery w:val="Page Numbers (Bottom of Page)"/>
          <w:docPartUnique/>
        </w:docPartObj>
      </w:sdtPr>
      <w:sdtEndPr>
        <w:rPr>
          <w:noProof/>
        </w:rPr>
      </w:sdtEndPr>
      <w:sdtContent>
        <w:r w:rsidRPr="00746F6C">
          <w:rPr>
            <w:rFonts w:ascii="Times New Roman" w:hAnsi="Times New Roman" w:cs="Times New Roman"/>
            <w:sz w:val="24"/>
            <w:szCs w:val="24"/>
          </w:rPr>
          <w:fldChar w:fldCharType="begin"/>
        </w:r>
        <w:r w:rsidRPr="00746F6C">
          <w:rPr>
            <w:rFonts w:ascii="Times New Roman" w:hAnsi="Times New Roman" w:cs="Times New Roman"/>
            <w:sz w:val="24"/>
            <w:szCs w:val="24"/>
          </w:rPr>
          <w:instrText xml:space="preserve"> PAGE   \* MERGEFORMAT </w:instrText>
        </w:r>
        <w:r w:rsidRPr="00746F6C">
          <w:rPr>
            <w:rFonts w:ascii="Times New Roman" w:hAnsi="Times New Roman" w:cs="Times New Roman"/>
            <w:sz w:val="24"/>
            <w:szCs w:val="24"/>
          </w:rPr>
          <w:fldChar w:fldCharType="separate"/>
        </w:r>
        <w:r w:rsidR="000B7EE5">
          <w:rPr>
            <w:rFonts w:ascii="Times New Roman" w:hAnsi="Times New Roman" w:cs="Times New Roman"/>
            <w:noProof/>
            <w:sz w:val="24"/>
            <w:szCs w:val="24"/>
          </w:rPr>
          <w:t>1</w:t>
        </w:r>
        <w:r w:rsidRPr="00746F6C">
          <w:rPr>
            <w:rFonts w:ascii="Times New Roman" w:hAnsi="Times New Roman" w:cs="Times New Roman"/>
            <w:noProof/>
            <w:sz w:val="24"/>
            <w:szCs w:val="24"/>
          </w:rPr>
          <w:fldChar w:fldCharType="end"/>
        </w:r>
        <w:r w:rsidRPr="00746F6C">
          <w:rPr>
            <w:rFonts w:ascii="Times New Roman" w:hAnsi="Times New Roman" w:cs="Times New Roman"/>
            <w:noProof/>
            <w:sz w:val="24"/>
            <w:szCs w:val="24"/>
          </w:rPr>
          <w:t xml:space="preserve"> -</w:t>
        </w:r>
      </w:sdtContent>
    </w:sdt>
  </w:p>
  <w:p w:rsidR="00013545" w:rsidRPr="00746F6C" w14:paraId="16C4F049" w14:textId="77777777">
    <w:pPr>
      <w:pStyle w:val="Footer"/>
      <w:rPr>
        <w:rFonts w:ascii="Times New Roman" w:hAnsi="Times New Roman" w:cs="Times New Roman"/>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545" w:rsidRPr="000B2C35" w:rsidP="00E57557" w14:paraId="77006A8B" w14:textId="77777777">
    <w:pPr>
      <w:pStyle w:val="Header"/>
      <w:rPr>
        <w:rFonts w:ascii="Times New Roman" w:hAnsi="Times New Roman" w:cs="Times New Roman"/>
        <w:color w:val="000000"/>
      </w:rPr>
    </w:pPr>
    <w:r w:rsidRPr="000B2C35">
      <w:rPr>
        <w:rFonts w:ascii="Times New Roman" w:hAnsi="Times New Roman" w:cs="Times New Roman"/>
        <w:color w:val="000000"/>
      </w:rPr>
      <w:t>Application For Self-Insurance Under the Black Lung Benefits Act</w:t>
    </w:r>
  </w:p>
  <w:p w:rsidR="00013545" w:rsidRPr="000B2C35" w:rsidP="00E57557" w14:paraId="660454D3" w14:textId="77777777">
    <w:pPr>
      <w:pStyle w:val="Header"/>
      <w:rPr>
        <w:rFonts w:ascii="Times New Roman" w:hAnsi="Times New Roman" w:cs="Times New Roman"/>
        <w:color w:val="000000"/>
      </w:rPr>
    </w:pPr>
    <w:r w:rsidRPr="000B2C35">
      <w:rPr>
        <w:rFonts w:ascii="Times New Roman" w:hAnsi="Times New Roman" w:cs="Times New Roman"/>
        <w:color w:val="000000"/>
      </w:rPr>
      <w:t>Agency Response to 30 Day FRN Comments</w:t>
    </w:r>
  </w:p>
  <w:p w:rsidR="00013545" w:rsidRPr="000B2C35" w:rsidP="00E57557" w14:paraId="4F370615" w14:textId="77777777">
    <w:pPr>
      <w:pStyle w:val="Header"/>
      <w:rPr>
        <w:rFonts w:ascii="Times New Roman" w:hAnsi="Times New Roman" w:cs="Times New Roman"/>
        <w:color w:val="000000"/>
      </w:rPr>
    </w:pPr>
    <w:r w:rsidRPr="000B2C35">
      <w:rPr>
        <w:rFonts w:ascii="Times New Roman" w:hAnsi="Times New Roman" w:cs="Times New Roman"/>
        <w:color w:val="000000"/>
      </w:rPr>
      <w:t>ICR Reference Number 201901-1240-008</w:t>
    </w:r>
  </w:p>
  <w:p w:rsidR="00013545" w:rsidRPr="000B2C35" w:rsidP="00E57557" w14:paraId="0CF12EE5" w14:textId="77777777">
    <w:pPr>
      <w:pStyle w:val="Header"/>
      <w:rPr>
        <w:rFonts w:ascii="Times New Roman" w:hAnsi="Times New Roman" w:cs="Times New Roman"/>
        <w:color w:val="000000"/>
      </w:rPr>
    </w:pPr>
    <w:r w:rsidRPr="000B2C35">
      <w:rPr>
        <w:rFonts w:ascii="Times New Roman" w:hAnsi="Times New Roman" w:cs="Times New Roman"/>
        <w:color w:val="000000"/>
      </w:rPr>
      <w:t>May 2019</w:t>
    </w:r>
  </w:p>
  <w:p w:rsidR="00013545" w14:paraId="2700DF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545" w:rsidRPr="000B2C35" w:rsidP="00746F6C" w14:paraId="4DA2F3D4" w14:textId="77777777">
    <w:pPr>
      <w:pStyle w:val="Header"/>
      <w:rPr>
        <w:rFonts w:ascii="Times New Roman" w:hAnsi="Times New Roman" w:cs="Times New Roman"/>
        <w:color w:val="000000"/>
      </w:rPr>
    </w:pPr>
    <w:r w:rsidRPr="000B2C35">
      <w:rPr>
        <w:rFonts w:ascii="Times New Roman" w:hAnsi="Times New Roman" w:cs="Times New Roman"/>
        <w:color w:val="000000"/>
      </w:rPr>
      <w:t>Application For Self-Insurance Under the Black Lung Benefits Act</w:t>
    </w:r>
  </w:p>
  <w:p w:rsidR="00013545" w:rsidRPr="000B2C35" w:rsidP="00746F6C" w14:paraId="7F70E5B4" w14:textId="77777777">
    <w:pPr>
      <w:pStyle w:val="Header"/>
      <w:rPr>
        <w:rFonts w:ascii="Times New Roman" w:hAnsi="Times New Roman" w:cs="Times New Roman"/>
        <w:color w:val="000000"/>
      </w:rPr>
    </w:pPr>
    <w:r w:rsidRPr="000B2C35">
      <w:rPr>
        <w:rFonts w:ascii="Times New Roman" w:hAnsi="Times New Roman" w:cs="Times New Roman"/>
        <w:color w:val="000000"/>
      </w:rPr>
      <w:t>Agency Response to 30 Day FRN Comments</w:t>
    </w:r>
  </w:p>
  <w:p w:rsidR="00013545" w:rsidRPr="000B2C35" w:rsidP="00746F6C" w14:paraId="2929147E" w14:textId="77777777">
    <w:pPr>
      <w:pStyle w:val="Header"/>
      <w:rPr>
        <w:rFonts w:ascii="Times New Roman" w:hAnsi="Times New Roman" w:cs="Times New Roman"/>
        <w:color w:val="000000"/>
      </w:rPr>
    </w:pPr>
    <w:r w:rsidRPr="000B2C35">
      <w:rPr>
        <w:rFonts w:ascii="Times New Roman" w:hAnsi="Times New Roman" w:cs="Times New Roman"/>
        <w:color w:val="000000"/>
      </w:rPr>
      <w:t>ICR Reference Number 201901-1240-008</w:t>
    </w:r>
  </w:p>
  <w:p w:rsidR="00013545" w:rsidRPr="000B2C35" w:rsidP="00746F6C" w14:paraId="2803E10B" w14:textId="794F8CAF">
    <w:pPr>
      <w:pStyle w:val="Header"/>
      <w:rPr>
        <w:rFonts w:ascii="Times New Roman" w:hAnsi="Times New Roman" w:cs="Times New Roman"/>
        <w:color w:val="000000"/>
      </w:rPr>
    </w:pPr>
    <w:r>
      <w:rPr>
        <w:rFonts w:ascii="Times New Roman" w:hAnsi="Times New Roman" w:cs="Times New Roman"/>
        <w:color w:val="000000"/>
      </w:rPr>
      <w:t>July 2022</w:t>
    </w:r>
  </w:p>
  <w:p w:rsidR="00013545" w:rsidRPr="00746F6C" w:rsidP="00746F6C" w14:paraId="67141542" w14:textId="6F36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264B26"/>
    <w:multiLevelType w:val="hybridMultilevel"/>
    <w:tmpl w:val="90F8E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387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CF"/>
    <w:rsid w:val="00006CF0"/>
    <w:rsid w:val="00013545"/>
    <w:rsid w:val="000159FF"/>
    <w:rsid w:val="00024710"/>
    <w:rsid w:val="000257A3"/>
    <w:rsid w:val="00064420"/>
    <w:rsid w:val="00067F08"/>
    <w:rsid w:val="000752F9"/>
    <w:rsid w:val="000900CB"/>
    <w:rsid w:val="000A725A"/>
    <w:rsid w:val="000B2C35"/>
    <w:rsid w:val="000B7EE5"/>
    <w:rsid w:val="000C6072"/>
    <w:rsid w:val="000F4B19"/>
    <w:rsid w:val="000F6062"/>
    <w:rsid w:val="00140A70"/>
    <w:rsid w:val="001531C3"/>
    <w:rsid w:val="00165D5D"/>
    <w:rsid w:val="00176408"/>
    <w:rsid w:val="0019276C"/>
    <w:rsid w:val="0019337F"/>
    <w:rsid w:val="00196D84"/>
    <w:rsid w:val="00196FCD"/>
    <w:rsid w:val="001E3039"/>
    <w:rsid w:val="001F2590"/>
    <w:rsid w:val="001F722E"/>
    <w:rsid w:val="00214C0F"/>
    <w:rsid w:val="002151A5"/>
    <w:rsid w:val="00224199"/>
    <w:rsid w:val="00246396"/>
    <w:rsid w:val="00266B25"/>
    <w:rsid w:val="002952BE"/>
    <w:rsid w:val="002A06D6"/>
    <w:rsid w:val="002C3750"/>
    <w:rsid w:val="002C664E"/>
    <w:rsid w:val="002D4BE9"/>
    <w:rsid w:val="002E6B72"/>
    <w:rsid w:val="003102BA"/>
    <w:rsid w:val="00324ED2"/>
    <w:rsid w:val="003411CD"/>
    <w:rsid w:val="003622DA"/>
    <w:rsid w:val="00363B40"/>
    <w:rsid w:val="00375284"/>
    <w:rsid w:val="0038598D"/>
    <w:rsid w:val="00397D76"/>
    <w:rsid w:val="003D3E36"/>
    <w:rsid w:val="00421EC8"/>
    <w:rsid w:val="004246A7"/>
    <w:rsid w:val="00445776"/>
    <w:rsid w:val="004521D3"/>
    <w:rsid w:val="004D459F"/>
    <w:rsid w:val="004E470C"/>
    <w:rsid w:val="00523FC3"/>
    <w:rsid w:val="005369CB"/>
    <w:rsid w:val="0057435E"/>
    <w:rsid w:val="00591F2F"/>
    <w:rsid w:val="005A17DA"/>
    <w:rsid w:val="005C335A"/>
    <w:rsid w:val="005E716A"/>
    <w:rsid w:val="005F0C86"/>
    <w:rsid w:val="00616800"/>
    <w:rsid w:val="0066218A"/>
    <w:rsid w:val="00662E9A"/>
    <w:rsid w:val="006D4DAA"/>
    <w:rsid w:val="006D581F"/>
    <w:rsid w:val="007011D6"/>
    <w:rsid w:val="00746F6C"/>
    <w:rsid w:val="007474D7"/>
    <w:rsid w:val="00755250"/>
    <w:rsid w:val="00756930"/>
    <w:rsid w:val="007633D7"/>
    <w:rsid w:val="007731ED"/>
    <w:rsid w:val="00783101"/>
    <w:rsid w:val="007E5297"/>
    <w:rsid w:val="00812E0D"/>
    <w:rsid w:val="008325E3"/>
    <w:rsid w:val="00832E8C"/>
    <w:rsid w:val="008749EF"/>
    <w:rsid w:val="00874B9A"/>
    <w:rsid w:val="008768EF"/>
    <w:rsid w:val="00880771"/>
    <w:rsid w:val="008B58E7"/>
    <w:rsid w:val="008D0337"/>
    <w:rsid w:val="009104A0"/>
    <w:rsid w:val="0092018F"/>
    <w:rsid w:val="009627FA"/>
    <w:rsid w:val="0097472C"/>
    <w:rsid w:val="00995F90"/>
    <w:rsid w:val="009A1B22"/>
    <w:rsid w:val="009B5045"/>
    <w:rsid w:val="009E29E4"/>
    <w:rsid w:val="009F01C8"/>
    <w:rsid w:val="00A34DE4"/>
    <w:rsid w:val="00A41BC3"/>
    <w:rsid w:val="00A427BB"/>
    <w:rsid w:val="00A56A3A"/>
    <w:rsid w:val="00AB32DE"/>
    <w:rsid w:val="00AC39C1"/>
    <w:rsid w:val="00AF4911"/>
    <w:rsid w:val="00AF5B11"/>
    <w:rsid w:val="00B174BF"/>
    <w:rsid w:val="00B415F7"/>
    <w:rsid w:val="00B83A30"/>
    <w:rsid w:val="00BC0BE2"/>
    <w:rsid w:val="00BF4C8F"/>
    <w:rsid w:val="00C003A4"/>
    <w:rsid w:val="00C2483D"/>
    <w:rsid w:val="00C6245D"/>
    <w:rsid w:val="00C851E0"/>
    <w:rsid w:val="00CB0382"/>
    <w:rsid w:val="00CD7920"/>
    <w:rsid w:val="00CE00DC"/>
    <w:rsid w:val="00CE4084"/>
    <w:rsid w:val="00D027E8"/>
    <w:rsid w:val="00D11512"/>
    <w:rsid w:val="00D21978"/>
    <w:rsid w:val="00D904F9"/>
    <w:rsid w:val="00D96DBA"/>
    <w:rsid w:val="00DA354A"/>
    <w:rsid w:val="00DA3BA6"/>
    <w:rsid w:val="00DF7956"/>
    <w:rsid w:val="00E15E3B"/>
    <w:rsid w:val="00E32E37"/>
    <w:rsid w:val="00E32ECF"/>
    <w:rsid w:val="00E40A9B"/>
    <w:rsid w:val="00E57557"/>
    <w:rsid w:val="00EA66B8"/>
    <w:rsid w:val="00EF6C79"/>
    <w:rsid w:val="00F0708D"/>
    <w:rsid w:val="00F362F7"/>
    <w:rsid w:val="00F57317"/>
    <w:rsid w:val="00F81F60"/>
    <w:rsid w:val="00FC6894"/>
    <w:rsid w:val="00FE4FB6"/>
    <w:rsid w:val="00FF2CC1"/>
    <w:rsid w:val="00FF7D5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B59F3F5"/>
  <w15:docId w15:val="{CE255AC9-61DD-462D-9A4C-5C27E6C0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76C"/>
    <w:pPr>
      <w:ind w:left="720"/>
      <w:contextualSpacing/>
    </w:pPr>
  </w:style>
  <w:style w:type="character" w:styleId="CommentReference">
    <w:name w:val="annotation reference"/>
    <w:basedOn w:val="DefaultParagraphFont"/>
    <w:uiPriority w:val="99"/>
    <w:semiHidden/>
    <w:unhideWhenUsed/>
    <w:rsid w:val="002A06D6"/>
    <w:rPr>
      <w:sz w:val="16"/>
      <w:szCs w:val="16"/>
    </w:rPr>
  </w:style>
  <w:style w:type="paragraph" w:styleId="CommentText">
    <w:name w:val="annotation text"/>
    <w:basedOn w:val="Normal"/>
    <w:link w:val="CommentTextChar"/>
    <w:uiPriority w:val="99"/>
    <w:semiHidden/>
    <w:unhideWhenUsed/>
    <w:rsid w:val="002A06D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A06D6"/>
    <w:rPr>
      <w:sz w:val="20"/>
      <w:szCs w:val="20"/>
    </w:rPr>
  </w:style>
  <w:style w:type="paragraph" w:styleId="BalloonText">
    <w:name w:val="Balloon Text"/>
    <w:basedOn w:val="Normal"/>
    <w:link w:val="BalloonTextChar"/>
    <w:uiPriority w:val="99"/>
    <w:semiHidden/>
    <w:unhideWhenUsed/>
    <w:rsid w:val="002A0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6D6"/>
    <w:rPr>
      <w:rFonts w:ascii="Segoe UI" w:hAnsi="Segoe UI" w:cs="Segoe UI"/>
      <w:sz w:val="18"/>
      <w:szCs w:val="18"/>
    </w:rPr>
  </w:style>
  <w:style w:type="paragraph" w:styleId="Header">
    <w:name w:val="header"/>
    <w:basedOn w:val="Normal"/>
    <w:link w:val="HeaderChar"/>
    <w:uiPriority w:val="99"/>
    <w:unhideWhenUsed/>
    <w:rsid w:val="00F36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2F7"/>
  </w:style>
  <w:style w:type="paragraph" w:styleId="Footer">
    <w:name w:val="footer"/>
    <w:basedOn w:val="Normal"/>
    <w:link w:val="FooterChar"/>
    <w:uiPriority w:val="99"/>
    <w:unhideWhenUsed/>
    <w:rsid w:val="00F36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2F7"/>
  </w:style>
  <w:style w:type="character" w:styleId="Hyperlink">
    <w:name w:val="Hyperlink"/>
    <w:basedOn w:val="DefaultParagraphFont"/>
    <w:uiPriority w:val="99"/>
    <w:unhideWhenUsed/>
    <w:rsid w:val="00A41BC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16800"/>
    <w:pPr>
      <w:spacing w:after="160"/>
    </w:pPr>
    <w:rPr>
      <w:b/>
      <w:bCs/>
    </w:rPr>
  </w:style>
  <w:style w:type="character" w:customStyle="1" w:styleId="CommentSubjectChar">
    <w:name w:val="Comment Subject Char"/>
    <w:basedOn w:val="CommentTextChar"/>
    <w:link w:val="CommentSubject"/>
    <w:uiPriority w:val="99"/>
    <w:semiHidden/>
    <w:rsid w:val="006168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87EC-D811-4A56-B898-59A31D13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Nece, Patricia - SOL</dc:creator>
  <cp:lastModifiedBy>Meneses, Marcela - OWCP</cp:lastModifiedBy>
  <cp:revision>2</cp:revision>
  <cp:lastPrinted>2019-05-06T20:49:00Z</cp:lastPrinted>
  <dcterms:created xsi:type="dcterms:W3CDTF">2022-09-07T14:14:00Z</dcterms:created>
  <dcterms:modified xsi:type="dcterms:W3CDTF">2022-09-07T14:14:00Z</dcterms:modified>
</cp:coreProperties>
</file>