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8D" w:rsidRDefault="00DF798D" w:rsidP="00DF798D">
      <w:pPr>
        <w:pStyle w:val="Heading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§725.404   Development of evidence—general.</w:t>
      </w:r>
    </w:p>
    <w:p w:rsidR="00DF798D" w:rsidRDefault="00DF798D" w:rsidP="00DF798D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>
        <w:rPr>
          <w:rFonts w:ascii="Arial" w:hAnsi="Arial" w:cs="Arial"/>
          <w:i/>
          <w:iCs/>
          <w:sz w:val="20"/>
          <w:szCs w:val="20"/>
        </w:rPr>
        <w:t>Employment history.</w:t>
      </w:r>
      <w:r>
        <w:rPr>
          <w:rFonts w:ascii="Arial" w:hAnsi="Arial" w:cs="Arial"/>
          <w:sz w:val="20"/>
          <w:szCs w:val="20"/>
        </w:rPr>
        <w:t xml:space="preserve"> Each claimant shall furnish the district director with a complete and detailed history of the coal miner's employment and, upon request, supporting documentation.</w:t>
      </w:r>
    </w:p>
    <w:p w:rsidR="00DF798D" w:rsidRDefault="00DF798D" w:rsidP="00DF798D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</w:t>
      </w:r>
      <w:r>
        <w:rPr>
          <w:rFonts w:ascii="Arial" w:hAnsi="Arial" w:cs="Arial"/>
          <w:i/>
          <w:iCs/>
          <w:sz w:val="20"/>
          <w:szCs w:val="20"/>
        </w:rPr>
        <w:t>Matters of record.</w:t>
      </w:r>
      <w:r>
        <w:rPr>
          <w:rFonts w:ascii="Arial" w:hAnsi="Arial" w:cs="Arial"/>
          <w:sz w:val="20"/>
          <w:szCs w:val="20"/>
        </w:rPr>
        <w:t xml:space="preserve"> Where it is necessary to obtain proof of age, marriage or termination of marriage, death, family relationship, dependency (see subpart B of this part), or any other fact which may be proven as a matter of public record, the claimant shall furnish such proof to the district director upon request. </w:t>
      </w:r>
    </w:p>
    <w:p w:rsidR="00DF798D" w:rsidRDefault="00DF798D" w:rsidP="00DF798D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</w:t>
      </w:r>
      <w:r>
        <w:rPr>
          <w:rFonts w:ascii="Arial" w:hAnsi="Arial" w:cs="Arial"/>
          <w:i/>
          <w:iCs/>
          <w:sz w:val="20"/>
          <w:szCs w:val="20"/>
        </w:rPr>
        <w:t>Documentary evidence.</w:t>
      </w:r>
      <w:r>
        <w:rPr>
          <w:rFonts w:ascii="Arial" w:hAnsi="Arial" w:cs="Arial"/>
          <w:sz w:val="20"/>
          <w:szCs w:val="20"/>
        </w:rPr>
        <w:t xml:space="preserve"> If a claimant is required to submit documents to the district director, the claimant shall submit either the original, a certified copy or a clear readable copy thereof. The district director or administrative law judge may require the submission of an original document or certified copy thereof, if necessary. </w:t>
      </w:r>
    </w:p>
    <w:p w:rsidR="00DB0C68" w:rsidRDefault="00DF798D" w:rsidP="00DF798D">
      <w:r>
        <w:rPr>
          <w:rFonts w:ascii="Arial" w:hAnsi="Arial" w:cs="Arial"/>
          <w:sz w:val="20"/>
          <w:szCs w:val="20"/>
        </w:rPr>
        <w:t xml:space="preserve">(d) </w:t>
      </w:r>
      <w:r>
        <w:rPr>
          <w:rFonts w:ascii="Arial" w:hAnsi="Arial" w:cs="Arial"/>
          <w:i/>
          <w:iCs/>
          <w:sz w:val="20"/>
          <w:szCs w:val="20"/>
        </w:rPr>
        <w:t>Submission of insufficient evidence.</w:t>
      </w:r>
      <w:r>
        <w:rPr>
          <w:rFonts w:ascii="Arial" w:hAnsi="Arial" w:cs="Arial"/>
          <w:sz w:val="20"/>
          <w:szCs w:val="20"/>
        </w:rPr>
        <w:t xml:space="preserve"> In the event a claimant submits insufficient evidence regarding any matter, the district director shall inform the claimant of what further evidence is necessary and request that such evidence be submitted within a specified reasonable time which may, upon request, be extended for good cause.</w:t>
      </w:r>
    </w:p>
    <w:sectPr w:rsidR="00DB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8D"/>
    <w:rsid w:val="00AF32FC"/>
    <w:rsid w:val="00DB0C68"/>
    <w:rsid w:val="00D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9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F79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F798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9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F79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F79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Thurston, Debra - OWCP</dc:creator>
  <cp:keywords/>
  <dc:description/>
  <cp:lastModifiedBy>SYSTEM</cp:lastModifiedBy>
  <cp:revision>2</cp:revision>
  <dcterms:created xsi:type="dcterms:W3CDTF">2018-04-10T12:37:00Z</dcterms:created>
  <dcterms:modified xsi:type="dcterms:W3CDTF">2018-04-10T12:37:00Z</dcterms:modified>
</cp:coreProperties>
</file>