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B8C" w:rsidRDefault="00C56B8C" w:rsidP="00C56B8C">
      <w:bookmarkStart w:id="0" w:name="_GoBack"/>
      <w:bookmarkEnd w:id="0"/>
    </w:p>
    <w:p w:rsidR="00C56B8C" w:rsidRPr="00C56B8C" w:rsidRDefault="00C56B8C" w:rsidP="00C56B8C">
      <w:pPr>
        <w:rPr>
          <w:b/>
        </w:rPr>
      </w:pPr>
      <w:r>
        <w:rPr>
          <w:b/>
        </w:rPr>
        <w:t xml:space="preserve">Sec. </w:t>
      </w:r>
      <w:r w:rsidRPr="00C56B8C">
        <w:rPr>
          <w:b/>
        </w:rPr>
        <w:t>214.2 (h)</w:t>
      </w:r>
    </w:p>
    <w:p w:rsidR="00C56B8C" w:rsidRDefault="00C56B8C" w:rsidP="00C56B8C"/>
    <w:p w:rsidR="00C56B8C" w:rsidRDefault="00C56B8C" w:rsidP="00C56B8C">
      <w:r>
        <w:t>(2) Petitions--</w:t>
      </w:r>
    </w:p>
    <w:p w:rsidR="00C56B8C" w:rsidRDefault="00C56B8C" w:rsidP="00C56B8C"/>
    <w:p w:rsidR="00C56B8C" w:rsidRDefault="00C56B8C" w:rsidP="00C56B8C">
      <w:r>
        <w:t>(i) Filing of petitions--</w:t>
      </w:r>
    </w:p>
    <w:p w:rsidR="00C56B8C" w:rsidRDefault="00C56B8C" w:rsidP="00C56B8C"/>
    <w:p w:rsidR="00C56B8C" w:rsidRDefault="00C56B8C" w:rsidP="00BC7112">
      <w:pPr>
        <w:pBdr>
          <w:bottom w:val="single" w:sz="4" w:space="1" w:color="auto"/>
        </w:pBdr>
      </w:pPr>
      <w:r>
        <w:t>(A) General. A United States employer seeking to classify an alien as an H-1B, H-2A, H-2B, or H-3, temporary employee shall file a petition on Form I-129, Petition for Nonimmigrant Worker, only with the USCIS Service Center which has jurisdiction in the area where the alien will perform services, or receive training, even in emergent situations, except as provided in this section or as specifically designated by USCIS via notice in the Federal Register.</w:t>
      </w:r>
    </w:p>
    <w:p w:rsidR="00BC7112" w:rsidRDefault="00BC7112" w:rsidP="00BC7112">
      <w:pPr>
        <w:pBdr>
          <w:bottom w:val="single" w:sz="4" w:space="1" w:color="auto"/>
        </w:pBdr>
      </w:pPr>
    </w:p>
    <w:p w:rsidR="00BC7112" w:rsidRPr="00BC7112" w:rsidRDefault="00BC7112" w:rsidP="00BC7112">
      <w:r w:rsidRPr="00BC7112">
        <w:t xml:space="preserve"> </w:t>
      </w:r>
      <w:r w:rsidRPr="00BC7112">
        <w:cr/>
        <w:t xml:space="preserve"> Sec. 101. [8 U.S.C. 1101] </w:t>
      </w:r>
      <w:r w:rsidRPr="00BC7112">
        <w:cr/>
        <w:t xml:space="preserve"> </w:t>
      </w:r>
      <w:r w:rsidRPr="00BC7112">
        <w:cr/>
        <w:t xml:space="preserve"> (a) As used in this Act-</w:t>
      </w:r>
      <w:r w:rsidRPr="00BC7112">
        <w:cr/>
      </w:r>
    </w:p>
    <w:p w:rsidR="00C56B8C" w:rsidRDefault="00BC7112" w:rsidP="00C56B8C">
      <w:pPr>
        <w:rPr>
          <w:rFonts w:ascii="Arial" w:hAnsi="Arial" w:cs="Arial"/>
          <w:color w:val="000000"/>
          <w:sz w:val="22"/>
          <w:szCs w:val="22"/>
          <w:shd w:val="clear" w:color="auto" w:fill="FFFFFF"/>
        </w:rPr>
      </w:pPr>
      <w:r>
        <w:rPr>
          <w:rFonts w:ascii="Arial" w:hAnsi="Arial" w:cs="Arial"/>
          <w:color w:val="000000"/>
          <w:sz w:val="22"/>
          <w:szCs w:val="22"/>
          <w:shd w:val="clear" w:color="auto" w:fill="FFFFFF"/>
        </w:rPr>
        <w:t>(15) The term "immigrant" means every alien except an alien who is within one of the following classes of nonimmigrant aliens</w:t>
      </w:r>
    </w:p>
    <w:p w:rsidR="00BC7112" w:rsidRDefault="00BC7112" w:rsidP="00BC7112">
      <w:pPr>
        <w:pBdr>
          <w:bottom w:val="single" w:sz="4" w:space="1" w:color="auto"/>
        </w:pBdr>
        <w:rPr>
          <w:rFonts w:ascii="Arial" w:hAnsi="Arial" w:cs="Arial"/>
          <w:color w:val="000000"/>
          <w:sz w:val="22"/>
          <w:szCs w:val="22"/>
          <w:shd w:val="clear" w:color="auto" w:fill="FFFFFF"/>
        </w:rPr>
      </w:pPr>
    </w:p>
    <w:p w:rsidR="00BC7112" w:rsidRDefault="00BC7112" w:rsidP="00C56B8C">
      <w:pPr>
        <w:rPr>
          <w:rFonts w:ascii="Arial" w:hAnsi="Arial" w:cs="Arial"/>
          <w:color w:val="000000"/>
          <w:sz w:val="22"/>
          <w:szCs w:val="22"/>
          <w:shd w:val="clear" w:color="auto" w:fill="FFFFFF"/>
        </w:rPr>
      </w:pPr>
    </w:p>
    <w:p w:rsidR="00BC7112" w:rsidRDefault="00BC7112" w:rsidP="00BC7112">
      <w:r w:rsidRPr="00BC7112">
        <w:t>INA: ACT 214 - ADMISSION OF NONIMMIGRANTS</w:t>
      </w:r>
    </w:p>
    <w:p w:rsidR="00BC7112" w:rsidRDefault="00BC7112" w:rsidP="00BC7112">
      <w:pPr>
        <w:rPr>
          <w:rFonts w:ascii="Arial" w:hAnsi="Arial" w:cs="Arial"/>
          <w:color w:val="000000"/>
          <w:sz w:val="22"/>
          <w:szCs w:val="22"/>
          <w:shd w:val="clear" w:color="auto" w:fill="FFFFFF"/>
        </w:rPr>
      </w:pPr>
      <w:r>
        <w:rPr>
          <w:rFonts w:ascii="Arial" w:hAnsi="Arial" w:cs="Arial"/>
          <w:color w:val="000000"/>
          <w:sz w:val="22"/>
          <w:szCs w:val="22"/>
          <w:shd w:val="clear" w:color="auto" w:fill="FFFFFF"/>
        </w:rPr>
        <w:t>(c) </w:t>
      </w:r>
      <w:bookmarkStart w:id="1" w:name="0-0-0-2961"/>
      <w:bookmarkEnd w:id="1"/>
      <w:r>
        <w:rPr>
          <w:rFonts w:ascii="Arial" w:hAnsi="Arial" w:cs="Arial"/>
          <w:color w:val="000000"/>
          <w:sz w:val="22"/>
          <w:szCs w:val="22"/>
          <w:shd w:val="clear" w:color="auto" w:fill="FFFFFF"/>
        </w:rPr>
        <w:t>(1) The question of importing any alien as a nonimmigrant under </w:t>
      </w:r>
      <w:hyperlink r:id="rId7" w:anchor="0-0-0-3133" w:history="1">
        <w:r>
          <w:rPr>
            <w:rStyle w:val="Hyperlink"/>
            <w:rFonts w:ascii="Arial" w:hAnsi="Arial" w:cs="Arial"/>
            <w:b/>
            <w:bCs/>
            <w:color w:val="990066"/>
            <w:sz w:val="22"/>
            <w:szCs w:val="22"/>
            <w:shd w:val="clear" w:color="auto" w:fill="FFFFFF"/>
          </w:rPr>
          <w:t>10a/ </w:t>
        </w:r>
      </w:hyperlink>
      <w:r>
        <w:rPr>
          <w:rFonts w:ascii="Arial" w:hAnsi="Arial" w:cs="Arial"/>
          <w:color w:val="000000"/>
          <w:sz w:val="22"/>
          <w:szCs w:val="22"/>
          <w:shd w:val="clear" w:color="auto" w:fill="FFFFFF"/>
        </w:rPr>
        <w:t>subparagraph </w:t>
      </w:r>
      <w:hyperlink r:id="rId8" w:anchor="0-0-0-643" w:history="1">
        <w:r>
          <w:rPr>
            <w:rStyle w:val="Hyperlink"/>
            <w:rFonts w:ascii="Arial" w:hAnsi="Arial" w:cs="Arial"/>
            <w:b/>
            <w:bCs/>
            <w:color w:val="990066"/>
            <w:sz w:val="22"/>
            <w:szCs w:val="22"/>
            <w:shd w:val="clear" w:color="auto" w:fill="FFFFFF"/>
          </w:rPr>
          <w:t>(H) </w:t>
        </w:r>
      </w:hyperlink>
      <w:r>
        <w:rPr>
          <w:rFonts w:ascii="Arial" w:hAnsi="Arial" w:cs="Arial"/>
          <w:color w:val="000000"/>
          <w:sz w:val="22"/>
          <w:szCs w:val="22"/>
          <w:shd w:val="clear" w:color="auto" w:fill="FFFFFF"/>
        </w:rPr>
        <w:t>, </w:t>
      </w:r>
      <w:hyperlink r:id="rId9" w:anchor="0-0-0-703" w:history="1">
        <w:r>
          <w:rPr>
            <w:rStyle w:val="Hyperlink"/>
            <w:rFonts w:ascii="Arial" w:hAnsi="Arial" w:cs="Arial"/>
            <w:b/>
            <w:bCs/>
            <w:color w:val="990066"/>
            <w:sz w:val="22"/>
            <w:szCs w:val="22"/>
            <w:shd w:val="clear" w:color="auto" w:fill="FFFFFF"/>
          </w:rPr>
          <w:t>(L) </w:t>
        </w:r>
      </w:hyperlink>
      <w:r>
        <w:rPr>
          <w:rFonts w:ascii="Arial" w:hAnsi="Arial" w:cs="Arial"/>
          <w:color w:val="000000"/>
          <w:sz w:val="22"/>
          <w:szCs w:val="22"/>
          <w:shd w:val="clear" w:color="auto" w:fill="FFFFFF"/>
        </w:rPr>
        <w:t>, </w:t>
      </w:r>
      <w:hyperlink r:id="rId10" w:anchor="0-0-0-723" w:history="1">
        <w:r>
          <w:rPr>
            <w:rStyle w:val="Hyperlink"/>
            <w:rFonts w:ascii="Arial" w:hAnsi="Arial" w:cs="Arial"/>
            <w:b/>
            <w:bCs/>
            <w:color w:val="990066"/>
            <w:sz w:val="22"/>
            <w:szCs w:val="22"/>
            <w:shd w:val="clear" w:color="auto" w:fill="FFFFFF"/>
          </w:rPr>
          <w:t>(O) </w:t>
        </w:r>
      </w:hyperlink>
      <w:r>
        <w:rPr>
          <w:rFonts w:ascii="Arial" w:hAnsi="Arial" w:cs="Arial"/>
          <w:color w:val="000000"/>
          <w:sz w:val="22"/>
          <w:szCs w:val="22"/>
          <w:shd w:val="clear" w:color="auto" w:fill="FFFFFF"/>
        </w:rPr>
        <w:t>, or </w:t>
      </w:r>
      <w:hyperlink r:id="rId11" w:anchor="0-0-0-733" w:history="1">
        <w:r>
          <w:rPr>
            <w:rStyle w:val="Hyperlink"/>
            <w:rFonts w:ascii="Arial" w:hAnsi="Arial" w:cs="Arial"/>
            <w:b/>
            <w:bCs/>
            <w:color w:val="990066"/>
            <w:sz w:val="22"/>
            <w:szCs w:val="22"/>
            <w:shd w:val="clear" w:color="auto" w:fill="FFFFFF"/>
          </w:rPr>
          <w:t>(P)(i) </w:t>
        </w:r>
      </w:hyperlink>
      <w:r>
        <w:rPr>
          <w:rFonts w:ascii="Arial" w:hAnsi="Arial" w:cs="Arial"/>
          <w:color w:val="000000"/>
          <w:sz w:val="22"/>
          <w:szCs w:val="22"/>
          <w:shd w:val="clear" w:color="auto" w:fill="FFFFFF"/>
        </w:rPr>
        <w:t>of section 101(a)(15) (excluding nonimmigrants under section </w:t>
      </w:r>
      <w:hyperlink r:id="rId12" w:anchor="0-0-0-661" w:history="1">
        <w:r>
          <w:rPr>
            <w:rStyle w:val="Hyperlink"/>
            <w:rFonts w:ascii="Arial" w:hAnsi="Arial" w:cs="Arial"/>
            <w:b/>
            <w:bCs/>
            <w:color w:val="990066"/>
            <w:sz w:val="22"/>
            <w:szCs w:val="22"/>
            <w:shd w:val="clear" w:color="auto" w:fill="FFFFFF"/>
          </w:rPr>
          <w:t>101(a)(15)(H)(i)(b1) </w:t>
        </w:r>
      </w:hyperlink>
      <w:r>
        <w:rPr>
          <w:rFonts w:ascii="Arial" w:hAnsi="Arial" w:cs="Arial"/>
          <w:color w:val="000000"/>
          <w:sz w:val="22"/>
          <w:szCs w:val="22"/>
          <w:shd w:val="clear" w:color="auto" w:fill="FFFFFF"/>
        </w:rPr>
        <w:t>) in any specific case or specific cases shall be determined by the Attorney General, after consultation with appropriate agencies of the Government, upon petition of the importing employer. Such petition shall be made and approved before the visa is granted. The petition shall be in such form and contain such information as the Attorney General shall prescribe. The approval of such a petition shall not, of itself, be construed as establishing that the alien is a nonimmigrant. For purposes of this subsectio n with respect to nonimmigrants described in section </w:t>
      </w:r>
      <w:hyperlink r:id="rId13" w:anchor="0-0-0-677" w:history="1">
        <w:r>
          <w:rPr>
            <w:rStyle w:val="Hyperlink"/>
            <w:rFonts w:ascii="Arial" w:hAnsi="Arial" w:cs="Arial"/>
            <w:b/>
            <w:bCs/>
            <w:color w:val="990066"/>
            <w:sz w:val="22"/>
            <w:szCs w:val="22"/>
            <w:shd w:val="clear" w:color="auto" w:fill="FFFFFF"/>
          </w:rPr>
          <w:t>101(a)(15)(H)(ii)(a) </w:t>
        </w:r>
      </w:hyperlink>
      <w:r>
        <w:rPr>
          <w:rFonts w:ascii="Arial" w:hAnsi="Arial" w:cs="Arial"/>
          <w:color w:val="000000"/>
          <w:sz w:val="22"/>
          <w:szCs w:val="22"/>
          <w:shd w:val="clear" w:color="auto" w:fill="FFFFFF"/>
        </w:rPr>
        <w:t>, the term "appropriate agencies of Government" means the Department of Labor and includes the Department of Agriculture. The provisions of section </w:t>
      </w:r>
      <w:hyperlink r:id="rId14" w:anchor="0-0-0-218" w:history="1">
        <w:r>
          <w:rPr>
            <w:rStyle w:val="Hyperlink"/>
            <w:rFonts w:ascii="Arial" w:hAnsi="Arial" w:cs="Arial"/>
            <w:b/>
            <w:bCs/>
            <w:color w:val="990066"/>
            <w:sz w:val="22"/>
            <w:szCs w:val="22"/>
            <w:shd w:val="clear" w:color="auto" w:fill="FFFFFF"/>
          </w:rPr>
          <w:t>218 </w:t>
        </w:r>
      </w:hyperlink>
      <w:r>
        <w:rPr>
          <w:rFonts w:ascii="Arial" w:hAnsi="Arial" w:cs="Arial"/>
          <w:color w:val="000000"/>
          <w:sz w:val="22"/>
          <w:szCs w:val="22"/>
          <w:shd w:val="clear" w:color="auto" w:fill="FFFFFF"/>
        </w:rPr>
        <w:t>shall apply to the question of importing any alien as a nonimmigrant under section </w:t>
      </w:r>
      <w:hyperlink r:id="rId15" w:anchor="0-0-0-677" w:history="1">
        <w:r>
          <w:rPr>
            <w:rStyle w:val="Hyperlink"/>
            <w:rFonts w:ascii="Arial" w:hAnsi="Arial" w:cs="Arial"/>
            <w:b/>
            <w:bCs/>
            <w:color w:val="990066"/>
            <w:sz w:val="22"/>
            <w:szCs w:val="22"/>
            <w:shd w:val="clear" w:color="auto" w:fill="FFFFFF"/>
          </w:rPr>
          <w:t>101(a)(15)(H)(ii)(a) </w:t>
        </w:r>
      </w:hyperlink>
      <w:r>
        <w:rPr>
          <w:rFonts w:ascii="Arial" w:hAnsi="Arial" w:cs="Arial"/>
          <w:color w:val="000000"/>
          <w:sz w:val="22"/>
          <w:szCs w:val="22"/>
          <w:shd w:val="clear" w:color="auto" w:fill="FFFFFF"/>
        </w:rPr>
        <w:t>.</w:t>
      </w:r>
    </w:p>
    <w:p w:rsidR="00BC7112" w:rsidRPr="00BC7112" w:rsidRDefault="00BC7112" w:rsidP="00BC7112">
      <w:pPr>
        <w:pBdr>
          <w:bottom w:val="single" w:sz="4" w:space="1" w:color="auto"/>
        </w:pBdr>
      </w:pPr>
    </w:p>
    <w:sectPr w:rsidR="00BC7112" w:rsidRPr="00BC7112">
      <w:footerReference w:type="even" r:id="rId16"/>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D1E" w:rsidRDefault="00FA2D1E">
      <w:r>
        <w:separator/>
      </w:r>
    </w:p>
  </w:endnote>
  <w:endnote w:type="continuationSeparator" w:id="0">
    <w:p w:rsidR="00FA2D1E" w:rsidRDefault="00FA2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B8C" w:rsidRDefault="00C56B8C" w:rsidP="00FA2D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56B8C" w:rsidRDefault="00C56B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B8C" w:rsidRDefault="00C56B8C" w:rsidP="00FA2D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187B">
      <w:rPr>
        <w:rStyle w:val="PageNumber"/>
        <w:noProof/>
      </w:rPr>
      <w:t>1</w:t>
    </w:r>
    <w:r>
      <w:rPr>
        <w:rStyle w:val="PageNumber"/>
      </w:rPr>
      <w:fldChar w:fldCharType="end"/>
    </w:r>
  </w:p>
  <w:p w:rsidR="00C56B8C" w:rsidRDefault="00C56B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D1E" w:rsidRDefault="00FA2D1E">
      <w:r>
        <w:separator/>
      </w:r>
    </w:p>
  </w:footnote>
  <w:footnote w:type="continuationSeparator" w:id="0">
    <w:p w:rsidR="00FA2D1E" w:rsidRDefault="00FA2D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B8C"/>
    <w:rsid w:val="00914DF5"/>
    <w:rsid w:val="009A187B"/>
    <w:rsid w:val="00BC7112"/>
    <w:rsid w:val="00C56B8C"/>
    <w:rsid w:val="00FA2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56B8C"/>
    <w:pPr>
      <w:tabs>
        <w:tab w:val="center" w:pos="4320"/>
        <w:tab w:val="right" w:pos="8640"/>
      </w:tabs>
    </w:pPr>
  </w:style>
  <w:style w:type="character" w:styleId="PageNumber">
    <w:name w:val="page number"/>
    <w:basedOn w:val="DefaultParagraphFont"/>
    <w:rsid w:val="00C56B8C"/>
  </w:style>
  <w:style w:type="character" w:styleId="Hyperlink">
    <w:name w:val="Hyperlink"/>
    <w:uiPriority w:val="99"/>
    <w:unhideWhenUsed/>
    <w:rsid w:val="00BC711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56B8C"/>
    <w:pPr>
      <w:tabs>
        <w:tab w:val="center" w:pos="4320"/>
        <w:tab w:val="right" w:pos="8640"/>
      </w:tabs>
    </w:pPr>
  </w:style>
  <w:style w:type="character" w:styleId="PageNumber">
    <w:name w:val="page number"/>
    <w:basedOn w:val="DefaultParagraphFont"/>
    <w:rsid w:val="00C56B8C"/>
  </w:style>
  <w:style w:type="character" w:styleId="Hyperlink">
    <w:name w:val="Hyperlink"/>
    <w:uiPriority w:val="99"/>
    <w:unhideWhenUsed/>
    <w:rsid w:val="00BC71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cis.gov/ilink/docView/SLB/HTML/SLB/0-0-0-1/0-0-0-29/0-0-0-101.html" TargetMode="External"/><Relationship Id="rId13" Type="http://schemas.openxmlformats.org/officeDocument/2006/relationships/hyperlink" Target="https://www.uscis.gov/ilink/docView/SLB/HTML/SLB/0-0-0-1/0-0-0-29/0-0-0-101.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scis.gov/ilink/docView/SLB/HTML/SLB/0-0-0-1/0-0-0-29/0-0-0-3422/0-0-0-3932.html" TargetMode="External"/><Relationship Id="rId12" Type="http://schemas.openxmlformats.org/officeDocument/2006/relationships/hyperlink" Target="https://www.uscis.gov/ilink/docView/SLB/HTML/SLB/0-0-0-1/0-0-0-29/0-0-0-101.html" TargetMode="External"/><Relationship Id="rId17"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uscis.gov/ilink/docView/SLB/HTML/SLB/0-0-0-1/0-0-0-29/0-0-0-101/0-0-0-195.html" TargetMode="External"/><Relationship Id="rId5" Type="http://schemas.openxmlformats.org/officeDocument/2006/relationships/footnotes" Target="footnotes.xml"/><Relationship Id="rId15" Type="http://schemas.openxmlformats.org/officeDocument/2006/relationships/hyperlink" Target="https://www.uscis.gov/ilink/docView/SLB/HTML/SLB/0-0-0-1/0-0-0-29/0-0-0-101.html" TargetMode="External"/><Relationship Id="rId10" Type="http://schemas.openxmlformats.org/officeDocument/2006/relationships/hyperlink" Target="https://www.uscis.gov/ilink/docView/SLB/HTML/SLB/0-0-0-1/0-0-0-29/0-0-0-101.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scis.gov/ilink/docView/SLB/HTML/SLB/0-0-0-1/0-0-0-29/0-0-0-101.html" TargetMode="External"/><Relationship Id="rId14" Type="http://schemas.openxmlformats.org/officeDocument/2006/relationships/hyperlink" Target="https://www.uscis.gov/ilink/docView/SLB/HTML/SLB/0-0-0-1/0-0-0-29/0-0-0-494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vt:lpstr>
    </vt:vector>
  </TitlesOfParts>
  <Company>USCIS</Company>
  <LinksUpToDate>false</LinksUpToDate>
  <CharactersWithSpaces>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subject/>
  <dc:creator>S. Tarragon</dc:creator>
  <cp:keywords/>
  <dc:description/>
  <cp:lastModifiedBy>SYSTEM</cp:lastModifiedBy>
  <cp:revision>2</cp:revision>
  <dcterms:created xsi:type="dcterms:W3CDTF">2018-11-30T22:50:00Z</dcterms:created>
  <dcterms:modified xsi:type="dcterms:W3CDTF">2018-11-30T22:50:00Z</dcterms:modified>
</cp:coreProperties>
</file>