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3696" w:rsidRPr="00D679F1" w:rsidP="00A43696" w14:paraId="5DDBAAE7" w14:textId="0EDA3386">
      <w:pPr>
        <w:tabs>
          <w:tab w:val="right" w:pos="10440"/>
        </w:tabs>
        <w:rPr>
          <w:rFonts w:ascii="Arial" w:eastAsia="Arial" w:hAnsi="Arial" w:cs="Arial"/>
          <w:sz w:val="16"/>
          <w:szCs w:val="16"/>
        </w:rPr>
      </w:pPr>
      <w:r w:rsidRPr="00D679F1">
        <w:rPr>
          <w:b/>
          <w:bCs/>
          <w:color w:val="324162"/>
          <w:spacing w:val="20"/>
          <w:position w:val="-6"/>
          <w:sz w:val="40"/>
          <w:szCs w:val="40"/>
        </w:rPr>
        <w:t>M</w:t>
      </w:r>
      <w:r w:rsidRPr="00D679F1">
        <w:rPr>
          <w:b/>
          <w:bCs/>
          <w:color w:val="324162"/>
          <w:spacing w:val="18"/>
          <w:position w:val="-6"/>
          <w:sz w:val="40"/>
          <w:szCs w:val="40"/>
        </w:rPr>
        <w:t>E</w:t>
      </w:r>
      <w:r w:rsidRPr="00D679F1">
        <w:rPr>
          <w:b/>
          <w:bCs/>
          <w:color w:val="324162"/>
          <w:spacing w:val="20"/>
          <w:position w:val="-6"/>
          <w:sz w:val="40"/>
          <w:szCs w:val="40"/>
        </w:rPr>
        <w:t>M</w:t>
      </w:r>
      <w:r w:rsidRPr="00D679F1">
        <w:rPr>
          <w:b/>
          <w:bCs/>
          <w:color w:val="324162"/>
          <w:spacing w:val="19"/>
          <w:position w:val="-6"/>
          <w:sz w:val="40"/>
          <w:szCs w:val="40"/>
        </w:rPr>
        <w:t>O</w:t>
      </w:r>
      <w:r w:rsidRPr="00D679F1">
        <w:rPr>
          <w:b/>
          <w:bCs/>
          <w:color w:val="324162"/>
          <w:spacing w:val="20"/>
          <w:position w:val="-6"/>
          <w:sz w:val="40"/>
          <w:szCs w:val="40"/>
        </w:rPr>
        <w:t>RA</w:t>
      </w:r>
      <w:r w:rsidRPr="00D679F1">
        <w:rPr>
          <w:b/>
          <w:bCs/>
          <w:color w:val="324162"/>
          <w:spacing w:val="18"/>
          <w:position w:val="-6"/>
          <w:sz w:val="40"/>
          <w:szCs w:val="40"/>
        </w:rPr>
        <w:t>N</w:t>
      </w:r>
      <w:r w:rsidRPr="00D679F1">
        <w:rPr>
          <w:b/>
          <w:bCs/>
          <w:color w:val="324162"/>
          <w:spacing w:val="20"/>
          <w:position w:val="-6"/>
          <w:sz w:val="40"/>
          <w:szCs w:val="40"/>
        </w:rPr>
        <w:t>DU</w:t>
      </w:r>
      <w:r w:rsidRPr="00D679F1">
        <w:rPr>
          <w:b/>
          <w:bCs/>
          <w:color w:val="324162"/>
          <w:position w:val="-6"/>
          <w:sz w:val="40"/>
          <w:szCs w:val="40"/>
        </w:rPr>
        <w:t>M</w:t>
      </w:r>
      <w:r w:rsidRPr="00D679F1">
        <w:rPr>
          <w:b/>
          <w:bCs/>
          <w:color w:val="324162"/>
          <w:position w:val="-6"/>
          <w:sz w:val="40"/>
          <w:szCs w:val="40"/>
        </w:rPr>
        <w:tab/>
      </w:r>
      <w:r w:rsidR="00BC58E0">
        <w:rPr>
          <w:b/>
          <w:bCs/>
          <w:color w:val="324162"/>
          <w:position w:val="-6"/>
          <w:sz w:val="40"/>
          <w:szCs w:val="40"/>
        </w:rPr>
        <w:t xml:space="preserve">     </w:t>
      </w:r>
      <w:r w:rsidRPr="003E31CE">
        <w:rPr>
          <w:rFonts w:ascii="Arial" w:eastAsia="Arial" w:hAnsi="Arial" w:cs="Arial"/>
          <w:b/>
          <w:bCs/>
          <w:color w:val="324162"/>
          <w:spacing w:val="-4"/>
          <w:sz w:val="20"/>
          <w:szCs w:val="20"/>
        </w:rPr>
        <w:t>NATIONAL CENTER FOR EDUCATION STATISTICS</w:t>
      </w:r>
    </w:p>
    <w:p w:rsidR="00A43696" w:rsidRPr="00D679F1" w:rsidP="00A43696" w14:paraId="4F385003" w14:textId="77777777">
      <w:pPr>
        <w:ind w:right="54"/>
        <w:jc w:val="right"/>
        <w:rPr>
          <w:rFonts w:ascii="Arial" w:eastAsia="Arial" w:hAnsi="Arial" w:cs="Arial"/>
          <w:sz w:val="16"/>
          <w:szCs w:val="16"/>
        </w:rPr>
      </w:pPr>
      <w:r w:rsidRPr="00D679F1">
        <w:rPr>
          <w:rFonts w:ascii="Arial" w:eastAsia="Arial" w:hAnsi="Arial" w:cs="Arial"/>
          <w:spacing w:val="1"/>
          <w:sz w:val="16"/>
          <w:szCs w:val="16"/>
        </w:rPr>
        <w:t>I</w:t>
      </w:r>
      <w:r w:rsidRPr="00D679F1">
        <w:rPr>
          <w:rFonts w:ascii="Arial" w:eastAsia="Arial" w:hAnsi="Arial" w:cs="Arial"/>
          <w:spacing w:val="-3"/>
          <w:sz w:val="16"/>
          <w:szCs w:val="16"/>
        </w:rPr>
        <w:t>n</w:t>
      </w:r>
      <w:r w:rsidRPr="00D679F1">
        <w:rPr>
          <w:rFonts w:ascii="Arial" w:eastAsia="Arial" w:hAnsi="Arial" w:cs="Arial"/>
          <w:spacing w:val="-1"/>
          <w:sz w:val="16"/>
          <w:szCs w:val="16"/>
        </w:rPr>
        <w:t>s</w:t>
      </w:r>
      <w:r w:rsidRPr="00D679F1">
        <w:rPr>
          <w:rFonts w:ascii="Arial" w:eastAsia="Arial" w:hAnsi="Arial" w:cs="Arial"/>
          <w:spacing w:val="1"/>
          <w:sz w:val="16"/>
          <w:szCs w:val="16"/>
        </w:rPr>
        <w:t>t</w:t>
      </w:r>
      <w:r w:rsidRPr="00D679F1">
        <w:rPr>
          <w:rFonts w:ascii="Arial" w:eastAsia="Arial" w:hAnsi="Arial" w:cs="Arial"/>
          <w:sz w:val="16"/>
          <w:szCs w:val="16"/>
        </w:rPr>
        <w:t>i</w:t>
      </w:r>
      <w:r w:rsidRPr="00D679F1">
        <w:rPr>
          <w:rFonts w:ascii="Arial" w:eastAsia="Arial" w:hAnsi="Arial" w:cs="Arial"/>
          <w:spacing w:val="1"/>
          <w:sz w:val="16"/>
          <w:szCs w:val="16"/>
        </w:rPr>
        <w:t>t</w:t>
      </w:r>
      <w:r w:rsidRPr="00D679F1">
        <w:rPr>
          <w:rFonts w:ascii="Arial" w:eastAsia="Arial" w:hAnsi="Arial" w:cs="Arial"/>
          <w:spacing w:val="-3"/>
          <w:sz w:val="16"/>
          <w:szCs w:val="16"/>
        </w:rPr>
        <w:t>u</w:t>
      </w:r>
      <w:r w:rsidRPr="00D679F1">
        <w:rPr>
          <w:rFonts w:ascii="Arial" w:eastAsia="Arial" w:hAnsi="Arial" w:cs="Arial"/>
          <w:spacing w:val="1"/>
          <w:sz w:val="16"/>
          <w:szCs w:val="16"/>
        </w:rPr>
        <w:t>t</w:t>
      </w:r>
      <w:r w:rsidRPr="00D679F1">
        <w:rPr>
          <w:rFonts w:ascii="Arial" w:eastAsia="Arial" w:hAnsi="Arial" w:cs="Arial"/>
          <w:sz w:val="16"/>
          <w:szCs w:val="16"/>
        </w:rPr>
        <w:t>e</w:t>
      </w:r>
      <w:r w:rsidRPr="00D679F1">
        <w:rPr>
          <w:rFonts w:ascii="Arial" w:eastAsia="Arial" w:hAnsi="Arial" w:cs="Arial"/>
          <w:spacing w:val="1"/>
          <w:sz w:val="16"/>
          <w:szCs w:val="16"/>
        </w:rPr>
        <w:t xml:space="preserve"> </w:t>
      </w:r>
      <w:r w:rsidRPr="00D679F1">
        <w:rPr>
          <w:rFonts w:ascii="Arial" w:eastAsia="Arial" w:hAnsi="Arial" w:cs="Arial"/>
          <w:spacing w:val="-1"/>
          <w:sz w:val="16"/>
          <w:szCs w:val="16"/>
        </w:rPr>
        <w:t>o</w:t>
      </w:r>
      <w:r w:rsidRPr="00D679F1">
        <w:rPr>
          <w:rFonts w:ascii="Arial" w:eastAsia="Arial" w:hAnsi="Arial" w:cs="Arial"/>
          <w:sz w:val="16"/>
          <w:szCs w:val="16"/>
        </w:rPr>
        <w:t xml:space="preserve">f </w:t>
      </w:r>
      <w:r w:rsidRPr="00D679F1">
        <w:rPr>
          <w:rFonts w:ascii="Arial" w:eastAsia="Arial" w:hAnsi="Arial" w:cs="Arial"/>
          <w:spacing w:val="1"/>
          <w:sz w:val="16"/>
          <w:szCs w:val="16"/>
        </w:rPr>
        <w:t>E</w:t>
      </w:r>
      <w:r w:rsidRPr="00D679F1">
        <w:rPr>
          <w:rFonts w:ascii="Arial" w:eastAsia="Arial" w:hAnsi="Arial" w:cs="Arial"/>
          <w:spacing w:val="-1"/>
          <w:sz w:val="16"/>
          <w:szCs w:val="16"/>
        </w:rPr>
        <w:t>d</w:t>
      </w:r>
      <w:r w:rsidRPr="00D679F1">
        <w:rPr>
          <w:rFonts w:ascii="Arial" w:eastAsia="Arial" w:hAnsi="Arial" w:cs="Arial"/>
          <w:spacing w:val="-3"/>
          <w:sz w:val="16"/>
          <w:szCs w:val="16"/>
        </w:rPr>
        <w:t>u</w:t>
      </w:r>
      <w:r w:rsidRPr="00D679F1">
        <w:rPr>
          <w:rFonts w:ascii="Arial" w:eastAsia="Arial" w:hAnsi="Arial" w:cs="Arial"/>
          <w:spacing w:val="1"/>
          <w:sz w:val="16"/>
          <w:szCs w:val="16"/>
        </w:rPr>
        <w:t>c</w:t>
      </w:r>
      <w:r w:rsidRPr="00D679F1">
        <w:rPr>
          <w:rFonts w:ascii="Arial" w:eastAsia="Arial" w:hAnsi="Arial" w:cs="Arial"/>
          <w:spacing w:val="-1"/>
          <w:sz w:val="16"/>
          <w:szCs w:val="16"/>
        </w:rPr>
        <w:t>a</w:t>
      </w:r>
      <w:r w:rsidRPr="00D679F1">
        <w:rPr>
          <w:rFonts w:ascii="Arial" w:eastAsia="Arial" w:hAnsi="Arial" w:cs="Arial"/>
          <w:spacing w:val="1"/>
          <w:sz w:val="16"/>
          <w:szCs w:val="16"/>
        </w:rPr>
        <w:t>t</w:t>
      </w:r>
      <w:r w:rsidRPr="00D679F1">
        <w:rPr>
          <w:rFonts w:ascii="Arial" w:eastAsia="Arial" w:hAnsi="Arial" w:cs="Arial"/>
          <w:sz w:val="16"/>
          <w:szCs w:val="16"/>
        </w:rPr>
        <w:t>i</w:t>
      </w:r>
      <w:r w:rsidRPr="00D679F1">
        <w:rPr>
          <w:rFonts w:ascii="Arial" w:eastAsia="Arial" w:hAnsi="Arial" w:cs="Arial"/>
          <w:spacing w:val="-1"/>
          <w:sz w:val="16"/>
          <w:szCs w:val="16"/>
        </w:rPr>
        <w:t>o</w:t>
      </w:r>
      <w:r w:rsidRPr="00D679F1">
        <w:rPr>
          <w:rFonts w:ascii="Arial" w:eastAsia="Arial" w:hAnsi="Arial" w:cs="Arial"/>
          <w:sz w:val="16"/>
          <w:szCs w:val="16"/>
        </w:rPr>
        <w:t>n</w:t>
      </w:r>
      <w:r w:rsidRPr="00D679F1">
        <w:rPr>
          <w:rFonts w:ascii="Arial" w:eastAsia="Arial" w:hAnsi="Arial" w:cs="Arial"/>
          <w:spacing w:val="-2"/>
          <w:sz w:val="16"/>
          <w:szCs w:val="16"/>
        </w:rPr>
        <w:t xml:space="preserve"> S</w:t>
      </w:r>
      <w:r w:rsidRPr="00D679F1">
        <w:rPr>
          <w:rFonts w:ascii="Arial" w:eastAsia="Arial" w:hAnsi="Arial" w:cs="Arial"/>
          <w:spacing w:val="1"/>
          <w:sz w:val="16"/>
          <w:szCs w:val="16"/>
        </w:rPr>
        <w:t>c</w:t>
      </w:r>
      <w:r w:rsidRPr="00D679F1">
        <w:rPr>
          <w:rFonts w:ascii="Arial" w:eastAsia="Arial" w:hAnsi="Arial" w:cs="Arial"/>
          <w:sz w:val="16"/>
          <w:szCs w:val="16"/>
        </w:rPr>
        <w:t>i</w:t>
      </w:r>
      <w:r w:rsidRPr="00D679F1">
        <w:rPr>
          <w:rFonts w:ascii="Arial" w:eastAsia="Arial" w:hAnsi="Arial" w:cs="Arial"/>
          <w:spacing w:val="-1"/>
          <w:sz w:val="16"/>
          <w:szCs w:val="16"/>
        </w:rPr>
        <w:t>e</w:t>
      </w:r>
      <w:r w:rsidRPr="00D679F1">
        <w:rPr>
          <w:rFonts w:ascii="Arial" w:eastAsia="Arial" w:hAnsi="Arial" w:cs="Arial"/>
          <w:spacing w:val="-3"/>
          <w:sz w:val="16"/>
          <w:szCs w:val="16"/>
        </w:rPr>
        <w:t>n</w:t>
      </w:r>
      <w:r w:rsidRPr="00D679F1">
        <w:rPr>
          <w:rFonts w:ascii="Arial" w:eastAsia="Arial" w:hAnsi="Arial" w:cs="Arial"/>
          <w:spacing w:val="1"/>
          <w:sz w:val="16"/>
          <w:szCs w:val="16"/>
        </w:rPr>
        <w:t>c</w:t>
      </w:r>
      <w:r w:rsidRPr="00D679F1">
        <w:rPr>
          <w:rFonts w:ascii="Arial" w:eastAsia="Arial" w:hAnsi="Arial" w:cs="Arial"/>
          <w:spacing w:val="-3"/>
          <w:sz w:val="16"/>
          <w:szCs w:val="16"/>
        </w:rPr>
        <w:t>es</w:t>
      </w:r>
    </w:p>
    <w:p w:rsidR="00A43696" w:rsidRPr="00D679F1" w:rsidP="00A43696" w14:paraId="3E6252BD" w14:textId="77777777">
      <w:pPr>
        <w:spacing w:before="53"/>
        <w:ind w:right="54"/>
        <w:jc w:val="right"/>
        <w:rPr>
          <w:rFonts w:ascii="Arial" w:eastAsia="Arial" w:hAnsi="Arial" w:cs="Arial"/>
          <w:sz w:val="16"/>
          <w:szCs w:val="16"/>
        </w:rPr>
      </w:pPr>
      <w:r>
        <w:rPr>
          <w:rFonts w:ascii="Arial" w:eastAsia="Arial" w:hAnsi="Arial" w:cs="Arial"/>
          <w:b/>
          <w:bCs/>
          <w:spacing w:val="-1"/>
          <w:sz w:val="16"/>
          <w:szCs w:val="16"/>
        </w:rPr>
        <w:t>United States Department o</w:t>
      </w:r>
      <w:r w:rsidRPr="00C54546">
        <w:rPr>
          <w:rFonts w:ascii="Arial" w:eastAsia="Arial" w:hAnsi="Arial" w:cs="Arial"/>
          <w:b/>
          <w:bCs/>
          <w:spacing w:val="-1"/>
          <w:sz w:val="16"/>
          <w:szCs w:val="16"/>
        </w:rPr>
        <w:t>f Education</w:t>
      </w:r>
    </w:p>
    <w:p w:rsidR="00A43696" w:rsidRPr="00FE2989" w:rsidP="00A43696" w14:paraId="5D0CF9B8" w14:textId="77777777">
      <w:pPr>
        <w:tabs>
          <w:tab w:val="left" w:pos="1260"/>
        </w:tabs>
        <w:ind w:right="-14"/>
        <w:rPr>
          <w:b/>
          <w:bCs/>
          <w:spacing w:val="-6"/>
          <w:sz w:val="10"/>
          <w:szCs w:val="10"/>
        </w:rPr>
      </w:pPr>
    </w:p>
    <w:p w:rsidR="00A43696" w:rsidRPr="00D679F1" w:rsidP="21EC52E1" w14:paraId="55D4F89C" w14:textId="324B7982">
      <w:pPr>
        <w:tabs>
          <w:tab w:val="left" w:pos="1260"/>
        </w:tabs>
        <w:spacing w:after="120"/>
        <w:ind w:left="1080" w:right="-14" w:hanging="1080"/>
        <w:rPr>
          <w:highlight w:val="yellow"/>
        </w:rPr>
      </w:pPr>
      <w:r w:rsidRPr="00D679F1">
        <w:rPr>
          <w:b/>
          <w:bCs/>
          <w:spacing w:val="-6"/>
        </w:rPr>
        <w:t>D</w:t>
      </w:r>
      <w:r w:rsidRPr="00D679F1">
        <w:rPr>
          <w:b/>
          <w:bCs/>
          <w:spacing w:val="-5"/>
        </w:rPr>
        <w:t>a</w:t>
      </w:r>
      <w:r w:rsidRPr="00D679F1">
        <w:rPr>
          <w:b/>
          <w:bCs/>
          <w:spacing w:val="-4"/>
        </w:rPr>
        <w:t>te</w:t>
      </w:r>
      <w:r w:rsidRPr="00D679F1">
        <w:rPr>
          <w:b/>
          <w:bCs/>
        </w:rPr>
        <w:t>:</w:t>
      </w:r>
      <w:r>
        <w:tab/>
      </w:r>
      <w:r w:rsidR="00FE060B">
        <w:t>January</w:t>
      </w:r>
      <w:r w:rsidRPr="00F26D01" w:rsidR="21EC52E1">
        <w:t xml:space="preserve"> </w:t>
      </w:r>
      <w:r w:rsidR="00FE060B">
        <w:t>3</w:t>
      </w:r>
      <w:r w:rsidRPr="00F26D01" w:rsidR="21EC52E1">
        <w:t>, 2023</w:t>
      </w:r>
    </w:p>
    <w:p w:rsidR="00A43696" w:rsidRPr="003E31CE" w:rsidP="00A43696" w14:paraId="665260AC" w14:textId="611EBF69">
      <w:pPr>
        <w:tabs>
          <w:tab w:val="left" w:pos="1260"/>
        </w:tabs>
        <w:spacing w:after="120"/>
        <w:ind w:left="1080" w:right="-14" w:hanging="1080"/>
        <w:rPr>
          <w:spacing w:val="-1"/>
        </w:rPr>
      </w:pPr>
      <w:r w:rsidRPr="003E31CE">
        <w:rPr>
          <w:b/>
          <w:bCs/>
          <w:spacing w:val="-6"/>
        </w:rPr>
        <w:t>T</w:t>
      </w:r>
      <w:r>
        <w:rPr>
          <w:b/>
          <w:bCs/>
          <w:spacing w:val="-6"/>
        </w:rPr>
        <w:t>o</w:t>
      </w:r>
      <w:r w:rsidRPr="003E31CE">
        <w:rPr>
          <w:b/>
          <w:bCs/>
          <w:spacing w:val="-20"/>
        </w:rPr>
        <w:t>:</w:t>
      </w:r>
      <w:r w:rsidRPr="003E31CE">
        <w:rPr>
          <w:b/>
          <w:bCs/>
          <w:spacing w:val="-20"/>
        </w:rPr>
        <w:tab/>
      </w:r>
      <w:r w:rsidR="006C4E35">
        <w:rPr>
          <w:spacing w:val="-1"/>
        </w:rPr>
        <w:t>Bev Pratt</w:t>
      </w:r>
      <w:r w:rsidRPr="003E31CE">
        <w:rPr>
          <w:spacing w:val="-1"/>
        </w:rPr>
        <w:t>, OMB</w:t>
      </w:r>
    </w:p>
    <w:p w:rsidR="00A43696" w:rsidRPr="00D679F1" w:rsidP="00A43696" w14:paraId="015384D3" w14:textId="6A9CC72B">
      <w:pPr>
        <w:tabs>
          <w:tab w:val="left" w:pos="1260"/>
        </w:tabs>
        <w:spacing w:after="120"/>
        <w:ind w:left="1080" w:right="-14" w:hanging="1080"/>
      </w:pPr>
      <w:r w:rsidRPr="003E31CE">
        <w:rPr>
          <w:b/>
          <w:bCs/>
          <w:spacing w:val="-4"/>
        </w:rPr>
        <w:t>Through:</w:t>
      </w:r>
      <w:r w:rsidRPr="00D679F1">
        <w:rPr>
          <w:b/>
          <w:bCs/>
        </w:rPr>
        <w:tab/>
      </w:r>
      <w:r w:rsidR="00BC58E0">
        <w:t>Carrie Clar</w:t>
      </w:r>
      <w:r w:rsidR="006C4E35">
        <w:t>a</w:t>
      </w:r>
      <w:r w:rsidR="00BC58E0">
        <w:t>dy</w:t>
      </w:r>
      <w:r w:rsidRPr="00D679F1">
        <w:t xml:space="preserve">, </w:t>
      </w:r>
      <w:r>
        <w:t>NCES</w:t>
      </w:r>
    </w:p>
    <w:p w:rsidR="00A43696" w:rsidRPr="00D679F1" w:rsidP="00A43696" w14:paraId="7C1B3A10" w14:textId="77777777">
      <w:pPr>
        <w:tabs>
          <w:tab w:val="left" w:pos="1260"/>
        </w:tabs>
        <w:spacing w:after="120"/>
        <w:ind w:left="1080" w:right="-14" w:hanging="1080"/>
      </w:pPr>
      <w:r w:rsidRPr="00D679F1">
        <w:rPr>
          <w:b/>
          <w:bCs/>
          <w:spacing w:val="-3"/>
        </w:rPr>
        <w:t>F</w:t>
      </w:r>
      <w:r w:rsidRPr="00D679F1">
        <w:rPr>
          <w:b/>
          <w:bCs/>
          <w:spacing w:val="-4"/>
        </w:rPr>
        <w:t>r</w:t>
      </w:r>
      <w:r w:rsidRPr="00D679F1">
        <w:rPr>
          <w:b/>
          <w:bCs/>
          <w:spacing w:val="-5"/>
        </w:rPr>
        <w:t>o</w:t>
      </w:r>
      <w:r w:rsidRPr="00D679F1">
        <w:rPr>
          <w:b/>
          <w:bCs/>
          <w:spacing w:val="-4"/>
        </w:rPr>
        <w:t>m</w:t>
      </w:r>
      <w:r w:rsidRPr="00D679F1">
        <w:rPr>
          <w:b/>
          <w:bCs/>
        </w:rPr>
        <w:t>:</w:t>
      </w:r>
      <w:r w:rsidRPr="00D679F1">
        <w:rPr>
          <w:b/>
          <w:bCs/>
        </w:rPr>
        <w:tab/>
      </w:r>
      <w:r>
        <w:rPr>
          <w:spacing w:val="-1"/>
        </w:rPr>
        <w:t>Mary Coleman</w:t>
      </w:r>
      <w:r w:rsidRPr="00D679F1">
        <w:t xml:space="preserve">, </w:t>
      </w:r>
      <w:r w:rsidRPr="00D679F1">
        <w:rPr>
          <w:spacing w:val="-1"/>
        </w:rPr>
        <w:t>NC</w:t>
      </w:r>
      <w:r w:rsidRPr="00D679F1">
        <w:t>ES</w:t>
      </w:r>
    </w:p>
    <w:p w:rsidR="00A43696" w:rsidRPr="00D679F1" w:rsidP="00A43696" w14:paraId="3B8F667C" w14:textId="20DBDD08">
      <w:pPr>
        <w:tabs>
          <w:tab w:val="left" w:pos="1260"/>
        </w:tabs>
        <w:spacing w:after="60"/>
        <w:ind w:left="1080" w:right="-20" w:hanging="1080"/>
      </w:pPr>
      <w:r w:rsidRPr="0026621A">
        <w:rPr>
          <w:b/>
          <w:bCs/>
          <w:spacing w:val="-6"/>
        </w:rPr>
        <w:t>R</w:t>
      </w:r>
      <w:r w:rsidRPr="0026621A">
        <w:rPr>
          <w:b/>
          <w:bCs/>
          <w:spacing w:val="-4"/>
        </w:rPr>
        <w:t>e</w:t>
      </w:r>
      <w:r w:rsidRPr="0026621A">
        <w:rPr>
          <w:b/>
          <w:bCs/>
        </w:rPr>
        <w:t>:</w:t>
      </w:r>
      <w:r w:rsidRPr="0026621A">
        <w:rPr>
          <w:b/>
          <w:bCs/>
        </w:rPr>
        <w:tab/>
      </w:r>
      <w:r>
        <w:t>TALIS</w:t>
      </w:r>
      <w:r w:rsidRPr="003E31CE">
        <w:t xml:space="preserve"> 20</w:t>
      </w:r>
      <w:r w:rsidR="00BC58E0">
        <w:t>24</w:t>
      </w:r>
      <w:r w:rsidRPr="003E31CE">
        <w:t xml:space="preserve"> Main Survey</w:t>
      </w:r>
      <w:r w:rsidR="00565F68">
        <w:t xml:space="preserve"> </w:t>
      </w:r>
      <w:r w:rsidRPr="00565F68" w:rsidR="00565F68">
        <w:t>(OMB# 1850-0888 v.</w:t>
      </w:r>
      <w:r w:rsidR="00BC58E0">
        <w:t>13</w:t>
      </w:r>
      <w:r w:rsidRPr="00565F68" w:rsidR="00565F68">
        <w:t>)</w:t>
      </w:r>
      <w:r w:rsidRPr="003E31CE">
        <w:t xml:space="preserve"> </w:t>
      </w:r>
      <w:r w:rsidR="00565F68">
        <w:t xml:space="preserve">- </w:t>
      </w:r>
      <w:r w:rsidRPr="00565F68" w:rsidR="00565F68">
        <w:t>c</w:t>
      </w:r>
      <w:r w:rsidRPr="00565F68">
        <w:t>hange</w:t>
      </w:r>
      <w:r w:rsidRPr="00565F68" w:rsidR="00565F68">
        <w:t xml:space="preserve">s from last approved </w:t>
      </w:r>
      <w:r w:rsidR="00BC58E0">
        <w:t>2024 Main Survey Questionnaires</w:t>
      </w:r>
    </w:p>
    <w:p w:rsidR="00D17441" w:rsidP="00D17441" w14:paraId="31255145" w14:textId="77777777">
      <w:pPr>
        <w:spacing w:line="276" w:lineRule="auto"/>
        <w:rPr>
          <w:rFonts w:ascii="Garamond" w:hAnsi="Garamond"/>
        </w:rPr>
      </w:pPr>
    </w:p>
    <w:p w:rsidR="0038161C" w:rsidP="381F6E0F" w14:paraId="0F45AB22" w14:textId="41047D15">
      <w:pPr>
        <w:spacing w:after="180" w:line="276" w:lineRule="auto"/>
        <w:ind w:right="-14"/>
        <w:rPr>
          <w:sz w:val="22"/>
          <w:szCs w:val="22"/>
        </w:rPr>
      </w:pPr>
      <w:r w:rsidRPr="0E071753">
        <w:rPr>
          <w:sz w:val="22"/>
          <w:szCs w:val="22"/>
        </w:rPr>
        <w:t>OMB approved recruitment and pre-survey activities for the TALIS 2024 field test sample, administration of the field test, and school recruitment activities for the 2024 main survey in August 2022 (OMB# 1850-0888 v.8). In December 2022, OMB approved the international versions of the field test instruments (OMB#1850-0888 v.9) and the U.S. adapted field test questionnaires (OMB# 1850-0888 v.10). In May 2023, OMB approved an increase in the school sample size for the TALIS main survey (OMB#1850-0888 v.11). In December 2023, OMB approved the main survey instruments (OMB#1850-0888 v.12).</w:t>
      </w:r>
    </w:p>
    <w:p w:rsidR="006C008B" w:rsidRPr="00670AE5" w:rsidP="00670AE5" w14:paraId="0DA3FD92" w14:textId="76766C2A">
      <w:pPr>
        <w:spacing w:after="180" w:line="276" w:lineRule="auto"/>
        <w:ind w:right="-14"/>
        <w:rPr>
          <w:sz w:val="22"/>
          <w:szCs w:val="22"/>
        </w:rPr>
      </w:pPr>
      <w:r w:rsidRPr="00670AE5">
        <w:rPr>
          <w:sz w:val="22"/>
          <w:szCs w:val="22"/>
        </w:rPr>
        <w:t>TALIS 2024 includes the core TALIS teacher and principal questionnaires that are required for each participating country, as well as a new and optional Teacher Knowledge Survey (TKS). The purpose of the TKS is to better understand the teacher pedagogical knowledge base at the national level. The goal is to use results from the TKS to understand the extent to which teachers are prepared with the knowledge and skills for 21st century teaching (e.g., using technology in instruction, teaching in diverse classroom environments, and using modern pedagogical approaches). The U.S. include</w:t>
      </w:r>
      <w:r w:rsidR="00E333D0">
        <w:rPr>
          <w:sz w:val="22"/>
          <w:szCs w:val="22"/>
        </w:rPr>
        <w:t>d</w:t>
      </w:r>
      <w:r w:rsidRPr="00670AE5">
        <w:rPr>
          <w:sz w:val="22"/>
          <w:szCs w:val="22"/>
        </w:rPr>
        <w:t xml:space="preserve"> the TKS in the TALIS 2024 field test and will </w:t>
      </w:r>
      <w:r w:rsidR="00E333D0">
        <w:rPr>
          <w:sz w:val="22"/>
          <w:szCs w:val="22"/>
        </w:rPr>
        <w:t>include</w:t>
      </w:r>
      <w:r w:rsidRPr="00670AE5">
        <w:rPr>
          <w:sz w:val="22"/>
          <w:szCs w:val="22"/>
        </w:rPr>
        <w:t xml:space="preserve"> TKS as part of the U.S. main study. The TKS is a new and proprietary instrument and will not be published for public comment as part of the Paperwork Reduction Act (PRA) review process.</w:t>
      </w:r>
    </w:p>
    <w:p w:rsidR="004C2FC4" w:rsidP="0479A6E9" w14:paraId="2B9C952E" w14:textId="1E03F0E5">
      <w:pPr>
        <w:spacing w:after="180" w:line="276" w:lineRule="auto"/>
        <w:ind w:right="-14"/>
        <w:rPr>
          <w:sz w:val="22"/>
          <w:szCs w:val="22"/>
        </w:rPr>
      </w:pPr>
      <w:r w:rsidRPr="0479A6E9">
        <w:rPr>
          <w:sz w:val="22"/>
          <w:szCs w:val="22"/>
        </w:rPr>
        <w:t xml:space="preserve">This request is for approval of </w:t>
      </w:r>
      <w:r w:rsidR="000D5155">
        <w:rPr>
          <w:sz w:val="22"/>
          <w:szCs w:val="22"/>
        </w:rPr>
        <w:t>five</w:t>
      </w:r>
      <w:r w:rsidRPr="0479A6E9">
        <w:rPr>
          <w:sz w:val="22"/>
          <w:szCs w:val="22"/>
        </w:rPr>
        <w:t xml:space="preserve"> changes made to the previously approved TALIS 2024 main survey instruments (OMB#1850-0888 v.12).  Table</w:t>
      </w:r>
      <w:r w:rsidR="00EB4112">
        <w:rPr>
          <w:sz w:val="22"/>
          <w:szCs w:val="22"/>
        </w:rPr>
        <w:t xml:space="preserve"> 1</w:t>
      </w:r>
      <w:r w:rsidRPr="0479A6E9">
        <w:rPr>
          <w:sz w:val="22"/>
          <w:szCs w:val="22"/>
        </w:rPr>
        <w:t xml:space="preserve"> summarizes the changes</w:t>
      </w:r>
      <w:r w:rsidR="00EB4112">
        <w:rPr>
          <w:sz w:val="22"/>
          <w:szCs w:val="22"/>
        </w:rPr>
        <w:t xml:space="preserve"> to Appendix B, while Table 2 summarizes the changes to the proprietary and unpublished TKS instruments (submitted under separate cover)</w:t>
      </w:r>
      <w:r w:rsidRPr="0479A6E9">
        <w:rPr>
          <w:sz w:val="22"/>
          <w:szCs w:val="22"/>
        </w:rPr>
        <w:t xml:space="preserve">. </w:t>
      </w:r>
      <w:r w:rsidR="00366176">
        <w:rPr>
          <w:sz w:val="22"/>
          <w:szCs w:val="22"/>
        </w:rPr>
        <w:t>In addition, small changes were made to Part A and are detailed below.</w:t>
      </w:r>
    </w:p>
    <w:p w:rsidR="00366176" w:rsidRPr="0078105F" w:rsidP="00366176" w14:paraId="289FF3CF" w14:textId="77777777">
      <w:pPr>
        <w:pStyle w:val="Heading1"/>
      </w:pPr>
      <w:r w:rsidRPr="40112EF3">
        <w:t>Part A</w:t>
      </w:r>
    </w:p>
    <w:p w:rsidR="00366176" w:rsidP="00366176" w14:paraId="1B591BC7" w14:textId="77777777">
      <w:pPr>
        <w:spacing w:after="180" w:line="276" w:lineRule="auto"/>
        <w:ind w:right="-14"/>
        <w:rPr>
          <w:sz w:val="22"/>
          <w:szCs w:val="22"/>
        </w:rPr>
      </w:pPr>
      <w:r w:rsidRPr="180D9A6E">
        <w:rPr>
          <w:sz w:val="22"/>
          <w:szCs w:val="22"/>
        </w:rPr>
        <w:t>We have revised Part A to include the last approved OMB package (OMB#1850-0888 v.12).</w:t>
      </w:r>
    </w:p>
    <w:p w:rsidR="00366176" w:rsidRPr="000454C9" w:rsidP="00366176" w14:paraId="448B5106" w14:textId="77777777">
      <w:pPr>
        <w:pStyle w:val="BodyText1"/>
        <w:spacing w:line="240" w:lineRule="auto"/>
        <w:rPr>
          <w:rFonts w:ascii="Times New Roman" w:hAnsi="Times New Roman"/>
          <w:strike/>
          <w:color w:val="FF0000"/>
        </w:rPr>
      </w:pPr>
      <w:r w:rsidRPr="000454C9">
        <w:rPr>
          <w:rFonts w:ascii="Times New Roman" w:hAnsi="Times New Roman"/>
          <w:strike/>
          <w:color w:val="FF0000"/>
        </w:rPr>
        <w:t>To meet the international data collection schedule for the main study, U.S. recruitment activities need to begin by June 2023 and U.S. questionnaires must be finalized by December 2023.</w:t>
      </w:r>
    </w:p>
    <w:p w:rsidR="00366176" w:rsidRPr="000454C9" w:rsidP="00366176" w14:paraId="2FB021B5" w14:textId="77777777">
      <w:pPr>
        <w:pStyle w:val="BodyText1"/>
        <w:spacing w:line="240" w:lineRule="auto"/>
        <w:rPr>
          <w:rFonts w:ascii="Times New Roman" w:hAnsi="Times New Roman"/>
          <w:color w:val="FF0000"/>
        </w:rPr>
      </w:pPr>
      <w:r>
        <w:rPr>
          <w:rFonts w:ascii="Times New Roman" w:hAnsi="Times New Roman"/>
        </w:rPr>
        <w:t>T</w:t>
      </w:r>
      <w:r w:rsidRPr="4D3B882A">
        <w:rPr>
          <w:rFonts w:ascii="Times New Roman" w:hAnsi="Times New Roman"/>
        </w:rPr>
        <w:t>he previous submission (OMB #1850-0888 v.8) requested approval for: (1) recruitment and pre-survey activities for the 2023 field test sample; (2) administration of the field test; and (3) school recruitment and pre-survey activities for the 2024 main study sample.</w:t>
      </w:r>
      <w:r w:rsidRPr="002102BB">
        <w:rPr>
          <w:rFonts w:ascii="Times New Roman" w:hAnsi="Times New Roman"/>
        </w:rPr>
        <w:t xml:space="preserve"> </w:t>
      </w:r>
      <w:r w:rsidRPr="4D3B882A">
        <w:rPr>
          <w:rFonts w:ascii="Times New Roman" w:hAnsi="Times New Roman"/>
        </w:rPr>
        <w:t>That package was approved in August 2022.</w:t>
      </w:r>
      <w:r w:rsidRPr="006462C5">
        <w:rPr>
          <w:rFonts w:ascii="Times New Roman" w:hAnsi="Times New Roman"/>
        </w:rPr>
        <w:t xml:space="preserve"> OMB approved the international versions of the field test instruments (OMB#1850-0888 v.9) and the final U.S. versions of the field test instruments (OMB#1850-0888 v.10) in December 2022.</w:t>
      </w:r>
      <w:r>
        <w:rPr>
          <w:rFonts w:ascii="Times New Roman" w:hAnsi="Times New Roman"/>
        </w:rPr>
        <w:t xml:space="preserve"> In May 2023, OMB approved an increase in the school sample size for the TALIS main study (OMB#1850-</w:t>
      </w:r>
      <w:r>
        <w:rPr>
          <w:rFonts w:ascii="Times New Roman" w:hAnsi="Times New Roman"/>
        </w:rPr>
        <w:t xml:space="preserve">0888 v.11). </w:t>
      </w:r>
      <w:r w:rsidRPr="000454C9">
        <w:rPr>
          <w:rFonts w:ascii="Times New Roman" w:hAnsi="Times New Roman"/>
          <w:color w:val="FF0000"/>
        </w:rPr>
        <w:t>In December 2023, OMB approved the final U.S. versions of the main study instruments (OMB#1850 V 12).</w:t>
      </w:r>
    </w:p>
    <w:p w:rsidR="00366176" w:rsidRPr="000454C9" w:rsidP="00366176" w14:paraId="1309DE05" w14:textId="77777777">
      <w:pPr>
        <w:ind w:right="-216"/>
        <w:rPr>
          <w:strike/>
          <w:color w:val="FF0000"/>
        </w:rPr>
      </w:pPr>
      <w:r w:rsidRPr="000454C9">
        <w:rPr>
          <w:strike/>
          <w:color w:val="FF0000"/>
        </w:rPr>
        <w:t xml:space="preserve">Field test recruitment materials, including letters to state and district officials and school principals, the text for a TALIS field test brochure, summary of activities, “frequently asked questions,” and the text for the teacher invitation email are provided in Appendix A-1. A similar set of Main study recruitment materials are provided in Appendix A-2. </w:t>
      </w:r>
    </w:p>
    <w:p w:rsidR="004C2FC4" w:rsidP="0479A6E9" w14:paraId="0C42ECC8" w14:textId="7B73072F">
      <w:pPr>
        <w:spacing w:after="180" w:line="276" w:lineRule="auto"/>
        <w:ind w:right="-14"/>
        <w:rPr>
          <w:sz w:val="22"/>
          <w:szCs w:val="22"/>
        </w:rPr>
      </w:pPr>
    </w:p>
    <w:p w:rsidR="00FD3981" w:rsidRPr="00310F16" w:rsidP="00FD3981" w14:paraId="7E5D2973" w14:textId="77777777">
      <w:pPr>
        <w:pStyle w:val="Heading1"/>
      </w:pPr>
      <w:r w:rsidRPr="00310F16">
        <w:t>Appendix B - Questionnaire Items and Forms</w:t>
      </w:r>
    </w:p>
    <w:p w:rsidR="00FD3981" w:rsidP="00FD3981" w14:paraId="570C18F6" w14:textId="77777777">
      <w:pPr>
        <w:pStyle w:val="Num-DocParagraph"/>
        <w:tabs>
          <w:tab w:val="clear" w:pos="850"/>
          <w:tab w:val="clear" w:pos="1191"/>
          <w:tab w:val="clear" w:pos="1531"/>
        </w:tabs>
        <w:spacing w:after="120" w:line="276" w:lineRule="auto"/>
        <w:jc w:val="left"/>
        <w:rPr>
          <w:rFonts w:eastAsia="Calibri"/>
        </w:rPr>
      </w:pPr>
      <w:r w:rsidRPr="180D9A6E">
        <w:rPr>
          <w:lang w:val="en-US"/>
        </w:rPr>
        <w:t xml:space="preserve">Appendix B contains the revised national versions of the TALIS Main Survey Core Principal and Teacher Surveys. </w:t>
      </w:r>
      <w:r w:rsidRPr="180D9A6E">
        <w:rPr>
          <w:rFonts w:eastAsia="Calibri"/>
        </w:rPr>
        <w:t xml:space="preserve">TKS items are not available for public distribution and therefore the questionnaire forms are not included in Appendix B; </w:t>
      </w:r>
      <w:r w:rsidRPr="180D9A6E">
        <w:rPr>
          <w:lang w:val="en-US"/>
        </w:rPr>
        <w:t xml:space="preserve">TKS instruments are provided by email to OMB for review. </w:t>
      </w:r>
    </w:p>
    <w:p w:rsidR="004C2FC4" w14:paraId="5A20194C" w14:textId="4104B5E6">
      <w:pPr>
        <w:rPr>
          <w:sz w:val="22"/>
          <w:szCs w:val="22"/>
        </w:rPr>
      </w:pPr>
      <w:r>
        <w:rPr>
          <w:sz w:val="22"/>
          <w:szCs w:val="22"/>
        </w:rPr>
        <w:t>Table 1. Summary of changes to OMB-Approved TALIS Main Survey instruments</w:t>
      </w:r>
    </w:p>
    <w:tbl>
      <w:tblPr>
        <w:tblStyle w:val="TableGrid"/>
        <w:tblW w:w="10220" w:type="dxa"/>
        <w:tblInd w:w="-5" w:type="dxa"/>
        <w:tblLayout w:type="fixed"/>
        <w:tblLook w:val="06A0"/>
      </w:tblPr>
      <w:tblGrid>
        <w:gridCol w:w="450"/>
        <w:gridCol w:w="2700"/>
        <w:gridCol w:w="50"/>
        <w:gridCol w:w="7020"/>
      </w:tblGrid>
      <w:tr w14:paraId="1106F7B3" w14:textId="77777777" w:rsidTr="5EF67095">
        <w:tblPrEx>
          <w:tblW w:w="10220" w:type="dxa"/>
          <w:tblInd w:w="-5" w:type="dxa"/>
          <w:tblLayout w:type="fixed"/>
          <w:tblLook w:val="06A0"/>
        </w:tblPrEx>
        <w:trPr>
          <w:trHeight w:val="300"/>
          <w:tblHeader/>
        </w:trPr>
        <w:tc>
          <w:tcPr>
            <w:tcW w:w="450" w:type="dxa"/>
            <w:shd w:val="clear" w:color="auto" w:fill="1E8BCD"/>
          </w:tcPr>
          <w:p w:rsidR="3FE5A742" w:rsidP="3FE5A742" w14:paraId="7BB3560F" w14:textId="4578BC12">
            <w:pPr>
              <w:rPr>
                <w:b/>
                <w:bCs/>
                <w:sz w:val="22"/>
                <w:szCs w:val="22"/>
              </w:rPr>
            </w:pPr>
            <w:r w:rsidRPr="3FE5A742">
              <w:rPr>
                <w:b/>
                <w:bCs/>
                <w:sz w:val="22"/>
                <w:szCs w:val="22"/>
              </w:rPr>
              <w:t>#</w:t>
            </w:r>
          </w:p>
        </w:tc>
        <w:tc>
          <w:tcPr>
            <w:tcW w:w="2750" w:type="dxa"/>
            <w:gridSpan w:val="2"/>
            <w:shd w:val="clear" w:color="auto" w:fill="1E8BCD"/>
          </w:tcPr>
          <w:p w:rsidR="35D79C9A" w:rsidP="3FE5A742" w14:paraId="217B17C3" w14:textId="4EA07CA7">
            <w:pPr>
              <w:rPr>
                <w:b/>
                <w:bCs/>
                <w:sz w:val="22"/>
                <w:szCs w:val="22"/>
              </w:rPr>
            </w:pPr>
            <w:r w:rsidRPr="3FE5A742">
              <w:rPr>
                <w:b/>
                <w:bCs/>
                <w:sz w:val="22"/>
                <w:szCs w:val="22"/>
              </w:rPr>
              <w:t>Description of Change</w:t>
            </w:r>
          </w:p>
        </w:tc>
        <w:tc>
          <w:tcPr>
            <w:tcW w:w="7020" w:type="dxa"/>
            <w:shd w:val="clear" w:color="auto" w:fill="1E8BCD"/>
          </w:tcPr>
          <w:p w:rsidR="35D79C9A" w:rsidP="3FE5A742" w14:paraId="10499F3F" w14:textId="438E3C29">
            <w:pPr>
              <w:rPr>
                <w:b/>
                <w:bCs/>
                <w:sz w:val="22"/>
                <w:szCs w:val="22"/>
              </w:rPr>
            </w:pPr>
            <w:r w:rsidRPr="693E40E6">
              <w:rPr>
                <w:b/>
                <w:bCs/>
                <w:sz w:val="22"/>
                <w:szCs w:val="22"/>
              </w:rPr>
              <w:t>Item Image</w:t>
            </w:r>
          </w:p>
        </w:tc>
      </w:tr>
      <w:tr w14:paraId="6834D0AD" w14:textId="77777777" w:rsidTr="5EF67095">
        <w:tblPrEx>
          <w:tblW w:w="10220" w:type="dxa"/>
          <w:tblInd w:w="-5" w:type="dxa"/>
          <w:tblLayout w:type="fixed"/>
          <w:tblLook w:val="06A0"/>
        </w:tblPrEx>
        <w:trPr>
          <w:cantSplit/>
          <w:trHeight w:val="300"/>
        </w:trPr>
        <w:tc>
          <w:tcPr>
            <w:tcW w:w="450" w:type="dxa"/>
          </w:tcPr>
          <w:p w:rsidR="3FE5A742" w:rsidP="3FE5A742" w14:paraId="4470EB52" w14:textId="601DEE54">
            <w:pPr>
              <w:rPr>
                <w:sz w:val="22"/>
                <w:szCs w:val="22"/>
              </w:rPr>
            </w:pPr>
            <w:r w:rsidRPr="3FE5A742">
              <w:rPr>
                <w:b/>
                <w:bCs/>
                <w:sz w:val="22"/>
                <w:szCs w:val="22"/>
              </w:rPr>
              <w:t>1</w:t>
            </w:r>
            <w:r w:rsidRPr="3FE5A742">
              <w:rPr>
                <w:sz w:val="22"/>
                <w:szCs w:val="22"/>
              </w:rPr>
              <w:t>.</w:t>
            </w:r>
          </w:p>
        </w:tc>
        <w:tc>
          <w:tcPr>
            <w:tcW w:w="2750" w:type="dxa"/>
            <w:gridSpan w:val="2"/>
          </w:tcPr>
          <w:p w:rsidR="35D79C9A" w:rsidP="3FE5A742" w14:paraId="692760B5" w14:textId="1A5DCB60">
            <w:pPr>
              <w:ind w:right="-14"/>
            </w:pPr>
            <w:r w:rsidRPr="450E9C88">
              <w:rPr>
                <w:sz w:val="22"/>
                <w:szCs w:val="22"/>
              </w:rPr>
              <w:t>Item 24 of the teacher questionnaire, form A, was changed from “To predict student performance based on prior achievement” to “To efficiently learn about and summarize a topic”.</w:t>
            </w:r>
          </w:p>
          <w:p w:rsidR="35D79C9A" w:rsidP="35D79C9A" w14:paraId="7C5EA924" w14:textId="2E6A43D8">
            <w:pPr>
              <w:rPr>
                <w:sz w:val="22"/>
                <w:szCs w:val="22"/>
              </w:rPr>
            </w:pPr>
          </w:p>
        </w:tc>
        <w:tc>
          <w:tcPr>
            <w:tcW w:w="7020" w:type="dxa"/>
          </w:tcPr>
          <w:p w:rsidR="35D79C9A" w:rsidP="35D79C9A" w14:paraId="3A0A4284" w14:textId="18EDDF78">
            <w:r>
              <w:rPr>
                <w:noProof/>
              </w:rPr>
              <w:drawing>
                <wp:inline distT="0" distB="0" distL="0" distR="0">
                  <wp:extent cx="4047002" cy="2714863"/>
                  <wp:effectExtent l="0" t="0" r="0" b="0"/>
                  <wp:docPr id="957749681" name="Picture 957749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49681" name=""/>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047002" cy="2714863"/>
                          </a:xfrm>
                          <a:prstGeom prst="rect">
                            <a:avLst/>
                          </a:prstGeom>
                        </pic:spPr>
                      </pic:pic>
                    </a:graphicData>
                  </a:graphic>
                </wp:inline>
              </w:drawing>
            </w:r>
          </w:p>
        </w:tc>
      </w:tr>
      <w:tr w14:paraId="2C3B4630" w14:textId="77777777" w:rsidTr="5EF67095">
        <w:tblPrEx>
          <w:tblW w:w="10220" w:type="dxa"/>
          <w:tblInd w:w="-5" w:type="dxa"/>
          <w:tblLayout w:type="fixed"/>
          <w:tblLook w:val="06A0"/>
        </w:tblPrEx>
        <w:trPr>
          <w:trHeight w:val="300"/>
        </w:trPr>
        <w:tc>
          <w:tcPr>
            <w:tcW w:w="10220" w:type="dxa"/>
            <w:gridSpan w:val="4"/>
          </w:tcPr>
          <w:p w:rsidR="00E36E3C" w:rsidP="5740FE6F" w14:paraId="18BD2B85" w14:textId="02BA3571">
            <w:pPr>
              <w:rPr>
                <w:noProof/>
              </w:rPr>
            </w:pPr>
            <w:r w:rsidRPr="5EF67095">
              <w:rPr>
                <w:noProof/>
              </w:rPr>
              <w:t xml:space="preserve">Reason for change:  This item was added to the main survey and was not tested in the field trial instruments. After releasing the main survey instruments to countries for preparation, IEA revised this item and updated in the instruments. IEA did not provide a reason for the change. </w:t>
            </w:r>
          </w:p>
        </w:tc>
      </w:tr>
      <w:tr w14:paraId="386EC8EE" w14:textId="77777777" w:rsidTr="5EF67095">
        <w:tblPrEx>
          <w:tblW w:w="10220" w:type="dxa"/>
          <w:tblInd w:w="-5" w:type="dxa"/>
          <w:tblLayout w:type="fixed"/>
          <w:tblLook w:val="06A0"/>
        </w:tblPrEx>
        <w:trPr>
          <w:trHeight w:val="3435"/>
        </w:trPr>
        <w:tc>
          <w:tcPr>
            <w:tcW w:w="450" w:type="dxa"/>
          </w:tcPr>
          <w:p w:rsidR="5740FE6F" w:rsidP="5740FE6F" w14:paraId="349E8F93" w14:textId="56F9CC37">
            <w:pPr>
              <w:rPr>
                <w:b/>
                <w:bCs/>
                <w:sz w:val="22"/>
                <w:szCs w:val="22"/>
              </w:rPr>
            </w:pPr>
            <w:r w:rsidRPr="5740FE6F">
              <w:rPr>
                <w:b/>
                <w:bCs/>
                <w:sz w:val="22"/>
                <w:szCs w:val="22"/>
              </w:rPr>
              <w:t>2.</w:t>
            </w:r>
          </w:p>
        </w:tc>
        <w:tc>
          <w:tcPr>
            <w:tcW w:w="2750" w:type="dxa"/>
            <w:gridSpan w:val="2"/>
          </w:tcPr>
          <w:p w:rsidR="5740FE6F" w:rsidP="5740FE6F" w14:paraId="27E07426" w14:textId="75CA74C8">
            <w:pPr>
              <w:rPr>
                <w:sz w:val="22"/>
                <w:szCs w:val="22"/>
              </w:rPr>
            </w:pPr>
            <w:r w:rsidRPr="450E9C88">
              <w:rPr>
                <w:sz w:val="22"/>
                <w:szCs w:val="22"/>
              </w:rPr>
              <w:t>Item 25 of the teacher questionnaire, form A was corrected from “digital tools and resources” to “digital resources and tools” to ensure consistency of the phrase across instruments.</w:t>
            </w:r>
          </w:p>
        </w:tc>
        <w:tc>
          <w:tcPr>
            <w:tcW w:w="7020" w:type="dxa"/>
          </w:tcPr>
          <w:p w:rsidR="5740FE6F" w:rsidP="5740FE6F" w14:paraId="1DB5F7AC" w14:textId="56B43DB8">
            <w:r>
              <w:rPr>
                <w:noProof/>
              </w:rPr>
              <w:drawing>
                <wp:inline distT="0" distB="0" distL="0" distR="0">
                  <wp:extent cx="4314825" cy="2028825"/>
                  <wp:effectExtent l="0" t="0" r="0" b="0"/>
                  <wp:docPr id="1542870115" name="Picture 154287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870115"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4314825" cy="2028825"/>
                          </a:xfrm>
                          <a:prstGeom prst="rect">
                            <a:avLst/>
                          </a:prstGeom>
                        </pic:spPr>
                      </pic:pic>
                    </a:graphicData>
                  </a:graphic>
                </wp:inline>
              </w:drawing>
            </w:r>
          </w:p>
        </w:tc>
      </w:tr>
      <w:tr w14:paraId="23F9ADF7" w14:textId="77777777" w:rsidTr="5EF67095">
        <w:tblPrEx>
          <w:tblW w:w="10220" w:type="dxa"/>
          <w:tblInd w:w="-5" w:type="dxa"/>
          <w:tblLayout w:type="fixed"/>
          <w:tblLook w:val="06A0"/>
        </w:tblPrEx>
        <w:trPr>
          <w:trHeight w:val="300"/>
        </w:trPr>
        <w:tc>
          <w:tcPr>
            <w:tcW w:w="10220" w:type="dxa"/>
            <w:gridSpan w:val="4"/>
          </w:tcPr>
          <w:p w:rsidR="00E36E3C" w:rsidP="001C6E67" w14:paraId="7CA368D5" w14:textId="2F092AAE">
            <w:pPr>
              <w:rPr>
                <w:noProof/>
              </w:rPr>
            </w:pPr>
            <w:r w:rsidRPr="5EF67095">
              <w:rPr>
                <w:noProof/>
              </w:rPr>
              <w:t xml:space="preserve">Reason for change:  This change was to correct a mistake. The term “digital resources and tools” is throughout the instruments. </w:t>
            </w:r>
          </w:p>
        </w:tc>
      </w:tr>
      <w:tr w14:paraId="7377892C" w14:textId="77777777" w:rsidTr="5EF67095">
        <w:tblPrEx>
          <w:tblW w:w="10220" w:type="dxa"/>
          <w:tblInd w:w="-5" w:type="dxa"/>
          <w:tblLayout w:type="fixed"/>
          <w:tblLook w:val="06A0"/>
        </w:tblPrEx>
        <w:trPr>
          <w:trHeight w:val="300"/>
        </w:trPr>
        <w:tc>
          <w:tcPr>
            <w:tcW w:w="450" w:type="dxa"/>
          </w:tcPr>
          <w:p w:rsidR="000D5155" w:rsidRPr="5740FE6F" w:rsidP="5740FE6F" w14:paraId="64C1513A" w14:textId="76ED6CC5">
            <w:pPr>
              <w:rPr>
                <w:b/>
                <w:bCs/>
                <w:sz w:val="22"/>
                <w:szCs w:val="22"/>
              </w:rPr>
            </w:pPr>
            <w:r>
              <w:rPr>
                <w:b/>
                <w:bCs/>
                <w:sz w:val="22"/>
                <w:szCs w:val="22"/>
              </w:rPr>
              <w:t>3.</w:t>
            </w:r>
          </w:p>
        </w:tc>
        <w:tc>
          <w:tcPr>
            <w:tcW w:w="2750" w:type="dxa"/>
            <w:gridSpan w:val="2"/>
          </w:tcPr>
          <w:p w:rsidR="000D5155" w:rsidRPr="450E9C88" w:rsidP="5740FE6F" w14:paraId="67561521" w14:textId="5E7AA449">
            <w:pPr>
              <w:rPr>
                <w:sz w:val="22"/>
                <w:szCs w:val="22"/>
              </w:rPr>
            </w:pPr>
            <w:r w:rsidRPr="5EF67095">
              <w:rPr>
                <w:sz w:val="22"/>
                <w:szCs w:val="22"/>
              </w:rPr>
              <w:t>Item 60 in teacher questionnaires was removed from form B and C (remains on Form A as number 51).</w:t>
            </w:r>
          </w:p>
        </w:tc>
        <w:tc>
          <w:tcPr>
            <w:tcW w:w="7020" w:type="dxa"/>
          </w:tcPr>
          <w:p w:rsidR="000D5155" w:rsidRPr="00F26D01" w:rsidP="5740FE6F" w14:paraId="6C7584E0" w14:textId="220B58AD">
            <w:pPr>
              <w:rPr>
                <w:b/>
                <w:bCs/>
                <w:noProof/>
                <w:sz w:val="18"/>
                <w:szCs w:val="18"/>
              </w:rPr>
            </w:pPr>
            <w:r w:rsidRPr="00F26D01">
              <w:rPr>
                <w:b/>
                <w:bCs/>
                <w:noProof/>
                <w:sz w:val="18"/>
                <w:szCs w:val="18"/>
              </w:rPr>
              <w:t>60.</w:t>
            </w:r>
            <w:r w:rsidR="00F26D01">
              <w:rPr>
                <w:b/>
                <w:bCs/>
                <w:noProof/>
                <w:sz w:val="18"/>
                <w:szCs w:val="18"/>
              </w:rPr>
              <w:t xml:space="preserve"> </w:t>
            </w:r>
            <w:r w:rsidRPr="00F26D01">
              <w:rPr>
                <w:b/>
                <w:bCs/>
                <w:noProof/>
                <w:sz w:val="18"/>
                <w:szCs w:val="18"/>
              </w:rPr>
              <w:t xml:space="preserve"> Thinking about edu</w:t>
            </w:r>
            <w:r w:rsidR="009E4D4B">
              <w:rPr>
                <w:b/>
                <w:bCs/>
                <w:noProof/>
                <w:sz w:val="18"/>
                <w:szCs w:val="18"/>
              </w:rPr>
              <w:t>c</w:t>
            </w:r>
            <w:r w:rsidRPr="00F26D01">
              <w:rPr>
                <w:b/>
                <w:bCs/>
                <w:noProof/>
                <w:sz w:val="18"/>
                <w:szCs w:val="18"/>
              </w:rPr>
              <w:t>ation at the 7</w:t>
            </w:r>
            <w:r w:rsidRPr="00F26D01">
              <w:rPr>
                <w:b/>
                <w:bCs/>
                <w:noProof/>
                <w:sz w:val="18"/>
                <w:szCs w:val="18"/>
                <w:vertAlign w:val="superscript"/>
              </w:rPr>
              <w:t>th</w:t>
            </w:r>
            <w:r w:rsidRPr="00F26D01">
              <w:rPr>
                <w:b/>
                <w:bCs/>
                <w:noProof/>
                <w:sz w:val="18"/>
                <w:szCs w:val="18"/>
              </w:rPr>
              <w:t>, 8</w:t>
            </w:r>
            <w:r w:rsidRPr="00F26D01">
              <w:rPr>
                <w:b/>
                <w:bCs/>
                <w:noProof/>
                <w:sz w:val="18"/>
                <w:szCs w:val="18"/>
                <w:vertAlign w:val="superscript"/>
              </w:rPr>
              <w:t>th</w:t>
            </w:r>
            <w:r w:rsidRPr="00F26D01">
              <w:rPr>
                <w:b/>
                <w:bCs/>
                <w:noProof/>
                <w:sz w:val="18"/>
                <w:szCs w:val="18"/>
              </w:rPr>
              <w:t>, and 9</w:t>
            </w:r>
            <w:r w:rsidRPr="00F26D01">
              <w:rPr>
                <w:b/>
                <w:bCs/>
                <w:noProof/>
                <w:sz w:val="18"/>
                <w:szCs w:val="18"/>
                <w:vertAlign w:val="superscript"/>
              </w:rPr>
              <w:t>th</w:t>
            </w:r>
            <w:r w:rsidRPr="00F26D01">
              <w:rPr>
                <w:b/>
                <w:bCs/>
                <w:noProof/>
                <w:sz w:val="18"/>
                <w:szCs w:val="18"/>
              </w:rPr>
              <w:t xml:space="preserve"> grade level as a whole, what is your single most important recommendation to stakeholders or policy makers in this country?</w:t>
            </w:r>
          </w:p>
        </w:tc>
      </w:tr>
      <w:tr w14:paraId="4AF14E7D" w14:textId="77777777" w:rsidTr="5EF67095">
        <w:tblPrEx>
          <w:tblW w:w="10220" w:type="dxa"/>
          <w:tblInd w:w="-5" w:type="dxa"/>
          <w:tblLayout w:type="fixed"/>
          <w:tblLook w:val="06A0"/>
        </w:tblPrEx>
        <w:trPr>
          <w:trHeight w:val="300"/>
        </w:trPr>
        <w:tc>
          <w:tcPr>
            <w:tcW w:w="10220" w:type="dxa"/>
            <w:gridSpan w:val="4"/>
          </w:tcPr>
          <w:p w:rsidR="00E36E3C" w:rsidP="001C6E67" w14:paraId="146D94C7" w14:textId="5FC1A934">
            <w:pPr>
              <w:rPr>
                <w:noProof/>
              </w:rPr>
            </w:pPr>
            <w:r w:rsidRPr="5EF67095">
              <w:rPr>
                <w:noProof/>
              </w:rPr>
              <w:t>Reason for change:  This is an open-ended item that requires additional resources for coding responses. IEA decided to limit fielding to one form.</w:t>
            </w:r>
          </w:p>
        </w:tc>
      </w:tr>
      <w:tr w14:paraId="09CC94E2" w14:textId="77777777" w:rsidTr="5EF67095">
        <w:tblPrEx>
          <w:tblW w:w="10220" w:type="dxa"/>
          <w:tblInd w:w="-5" w:type="dxa"/>
          <w:tblLayout w:type="fixed"/>
          <w:tblLook w:val="06A0"/>
        </w:tblPrEx>
        <w:trPr>
          <w:trHeight w:val="300"/>
        </w:trPr>
        <w:tc>
          <w:tcPr>
            <w:tcW w:w="450" w:type="dxa"/>
          </w:tcPr>
          <w:p w:rsidR="3FE5A742" w:rsidP="3FE5A742" w14:paraId="367E2242" w14:textId="5457736A">
            <w:pPr>
              <w:rPr>
                <w:sz w:val="22"/>
                <w:szCs w:val="22"/>
              </w:rPr>
            </w:pPr>
            <w:r>
              <w:rPr>
                <w:b/>
                <w:bCs/>
                <w:sz w:val="22"/>
                <w:szCs w:val="22"/>
              </w:rPr>
              <w:t>4</w:t>
            </w:r>
            <w:r w:rsidRPr="450E9C88" w:rsidR="450E9C88">
              <w:rPr>
                <w:sz w:val="22"/>
                <w:szCs w:val="22"/>
              </w:rPr>
              <w:t xml:space="preserve">. </w:t>
            </w:r>
          </w:p>
        </w:tc>
        <w:tc>
          <w:tcPr>
            <w:tcW w:w="2750" w:type="dxa"/>
            <w:gridSpan w:val="2"/>
          </w:tcPr>
          <w:p w:rsidR="35D79C9A" w:rsidP="5D0718C5" w14:paraId="087A980C" w14:textId="048C996D">
            <w:pPr>
              <w:ind w:right="-14"/>
            </w:pPr>
            <w:r w:rsidRPr="450E9C88">
              <w:rPr>
                <w:sz w:val="22"/>
                <w:szCs w:val="22"/>
              </w:rPr>
              <w:t>Item 11 was removed from Principal Questionnaire.</w:t>
            </w:r>
          </w:p>
          <w:p w:rsidR="35D79C9A" w:rsidP="35D79C9A" w14:paraId="6068054C" w14:textId="27BE5F18">
            <w:pPr>
              <w:rPr>
                <w:sz w:val="22"/>
                <w:szCs w:val="22"/>
              </w:rPr>
            </w:pPr>
          </w:p>
        </w:tc>
        <w:tc>
          <w:tcPr>
            <w:tcW w:w="7020" w:type="dxa"/>
          </w:tcPr>
          <w:p w:rsidR="35D79C9A" w:rsidP="35D79C9A" w14:paraId="13C2A294" w14:textId="6657732D">
            <w:r>
              <w:rPr>
                <w:noProof/>
              </w:rPr>
              <w:drawing>
                <wp:inline distT="0" distB="0" distL="0" distR="0">
                  <wp:extent cx="4000500" cy="2409825"/>
                  <wp:effectExtent l="0" t="0" r="0" b="0"/>
                  <wp:docPr id="821169231" name="Picture 82116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69231" name=""/>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000500" cy="2409825"/>
                          </a:xfrm>
                          <a:prstGeom prst="rect">
                            <a:avLst/>
                          </a:prstGeom>
                        </pic:spPr>
                      </pic:pic>
                    </a:graphicData>
                  </a:graphic>
                </wp:inline>
              </w:drawing>
            </w:r>
          </w:p>
        </w:tc>
      </w:tr>
      <w:tr w14:paraId="570CF8A9" w14:textId="77777777" w:rsidTr="5EF67095">
        <w:tblPrEx>
          <w:tblW w:w="10220" w:type="dxa"/>
          <w:tblInd w:w="-5" w:type="dxa"/>
          <w:tblLayout w:type="fixed"/>
          <w:tblLook w:val="06A0"/>
        </w:tblPrEx>
        <w:trPr>
          <w:trHeight w:val="300"/>
        </w:trPr>
        <w:tc>
          <w:tcPr>
            <w:tcW w:w="10220" w:type="dxa"/>
            <w:gridSpan w:val="4"/>
          </w:tcPr>
          <w:p w:rsidR="00BE1AE1" w:rsidP="001C6E67" w14:paraId="265CF418" w14:textId="59C6259A">
            <w:pPr>
              <w:rPr>
                <w:noProof/>
              </w:rPr>
            </w:pPr>
            <w:r>
              <w:rPr>
                <w:noProof/>
              </w:rPr>
              <w:t xml:space="preserve">Reason for change:  </w:t>
            </w:r>
            <w:r w:rsidR="00B802EA">
              <w:rPr>
                <w:noProof/>
              </w:rPr>
              <w:t>Dropped by the TALIS Governing Board at a special session.</w:t>
            </w:r>
          </w:p>
        </w:tc>
      </w:tr>
      <w:tr w14:paraId="61B44F84" w14:textId="77777777" w:rsidTr="0032319F">
        <w:tblPrEx>
          <w:tblW w:w="10220" w:type="dxa"/>
          <w:tblInd w:w="-5" w:type="dxa"/>
          <w:tblLayout w:type="fixed"/>
          <w:tblLook w:val="06A0"/>
        </w:tblPrEx>
        <w:trPr>
          <w:trHeight w:val="1502"/>
        </w:trPr>
        <w:tc>
          <w:tcPr>
            <w:tcW w:w="450" w:type="dxa"/>
          </w:tcPr>
          <w:p w:rsidR="0032319F" w:rsidRPr="00B7191D" w:rsidP="001C6E67" w14:paraId="0B9D0BBD" w14:textId="05255167">
            <w:pPr>
              <w:rPr>
                <w:b/>
                <w:bCs/>
                <w:noProof/>
                <w:sz w:val="22"/>
                <w:szCs w:val="22"/>
              </w:rPr>
            </w:pPr>
            <w:r w:rsidRPr="00B7191D">
              <w:rPr>
                <w:b/>
                <w:bCs/>
                <w:noProof/>
                <w:sz w:val="22"/>
                <w:szCs w:val="22"/>
              </w:rPr>
              <w:t>5</w:t>
            </w:r>
            <w:r w:rsidRPr="00B7191D">
              <w:rPr>
                <w:b/>
                <w:bCs/>
                <w:noProof/>
                <w:sz w:val="22"/>
                <w:szCs w:val="22"/>
              </w:rPr>
              <w:t>.</w:t>
            </w:r>
          </w:p>
        </w:tc>
        <w:tc>
          <w:tcPr>
            <w:tcW w:w="2700" w:type="dxa"/>
          </w:tcPr>
          <w:p w:rsidR="0032319F" w:rsidRPr="00B7191D" w:rsidP="001C6E67" w14:paraId="22D7FE52" w14:textId="6A14973B">
            <w:pPr>
              <w:rPr>
                <w:noProof/>
                <w:sz w:val="22"/>
                <w:szCs w:val="22"/>
              </w:rPr>
            </w:pPr>
            <w:r w:rsidRPr="00B7191D">
              <w:rPr>
                <w:noProof/>
                <w:sz w:val="22"/>
                <w:szCs w:val="22"/>
              </w:rPr>
              <w:t xml:space="preserve">Item 14 was added to Form B (already contained in Form A) </w:t>
            </w:r>
          </w:p>
        </w:tc>
        <w:tc>
          <w:tcPr>
            <w:tcW w:w="7070" w:type="dxa"/>
            <w:gridSpan w:val="2"/>
          </w:tcPr>
          <w:p w:rsidR="0032319F" w:rsidRPr="00B7191D" w:rsidP="0032319F" w14:paraId="61490C63" w14:textId="77777777">
            <w:pPr>
              <w:pStyle w:val="TALISInstruction"/>
              <w:rPr>
                <w:rFonts w:eastAsia="Tahoma"/>
                <w:b/>
                <w:bCs/>
                <w:i w:val="0"/>
                <w:color w:val="000000" w:themeColor="text1"/>
                <w:sz w:val="18"/>
                <w:szCs w:val="18"/>
              </w:rPr>
            </w:pPr>
            <w:r w:rsidRPr="00B7191D">
              <w:rPr>
                <w:rFonts w:eastAsia="Tahoma"/>
                <w:b/>
                <w:bCs/>
                <w:i w:val="0"/>
                <w:color w:val="000000" w:themeColor="text1"/>
                <w:sz w:val="18"/>
                <w:szCs w:val="18"/>
              </w:rPr>
              <w:t>During your most recent complete calendar week, approximately how many 60-minute hours did you spend in total on tasks related to your job at this school?</w:t>
            </w:r>
          </w:p>
          <w:p w:rsidR="0032319F" w:rsidRPr="00B7191D" w:rsidP="0032319F" w14:paraId="774C4A5A" w14:textId="77777777">
            <w:pPr>
              <w:pStyle w:val="TALISInstruction"/>
              <w:rPr>
                <w:rFonts w:eastAsia="Tahoma"/>
                <w:iCs/>
                <w:color w:val="000000" w:themeColor="text1"/>
                <w:sz w:val="18"/>
                <w:szCs w:val="18"/>
              </w:rPr>
            </w:pPr>
            <w:r w:rsidRPr="00B7191D">
              <w:rPr>
                <w:rFonts w:ascii="Lato" w:hAnsi="Lato" w:cs="Calibri"/>
                <w:color w:val="242424"/>
                <w:sz w:val="18"/>
                <w:szCs w:val="18"/>
                <w:bdr w:val="none" w:sz="0" w:space="0" w:color="auto" w:frame="1"/>
              </w:rPr>
              <w:t> </w:t>
            </w:r>
            <w:r w:rsidRPr="00B7191D">
              <w:rPr>
                <w:rFonts w:eastAsia="Tahoma"/>
                <w:iCs/>
                <w:color w:val="000000" w:themeColor="text1"/>
                <w:sz w:val="18"/>
                <w:szCs w:val="18"/>
              </w:rPr>
              <w:t>Please enter a number.</w:t>
            </w:r>
          </w:p>
          <w:p w:rsidR="0032319F" w:rsidRPr="00B7191D" w:rsidP="0032319F" w14:paraId="56F720DB" w14:textId="6E6061A7">
            <w:pPr>
              <w:pStyle w:val="TALISInstruction"/>
              <w:rPr>
                <w:rFonts w:eastAsia="Tahoma"/>
                <w:iCs/>
                <w:color w:val="000000" w:themeColor="text1"/>
              </w:rPr>
            </w:pPr>
            <w:r w:rsidRPr="00B7191D">
              <w:rPr>
                <w:rFonts w:ascii="Lato" w:hAnsi="Lato" w:cs="Calibri"/>
                <w:noProof/>
                <w:color w:val="242424"/>
                <w:sz w:val="18"/>
                <w:szCs w:val="18"/>
                <w:bdr w:val="none" w:sz="0" w:space="0" w:color="auto" w:frame="1"/>
              </w:rPr>
              <w:drawing>
                <wp:inline distT="0" distB="0" distL="0" distR="0">
                  <wp:extent cx="341630" cy="127000"/>
                  <wp:effectExtent l="0" t="0" r="1270" b="6350"/>
                  <wp:docPr id="347451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5123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1630" cy="127000"/>
                          </a:xfrm>
                          <a:prstGeom prst="rect">
                            <a:avLst/>
                          </a:prstGeom>
                          <a:noFill/>
                          <a:ln>
                            <a:noFill/>
                          </a:ln>
                        </pic:spPr>
                      </pic:pic>
                    </a:graphicData>
                  </a:graphic>
                </wp:inline>
              </w:drawing>
            </w:r>
            <w:r w:rsidRPr="00B7191D">
              <w:rPr>
                <w:rFonts w:eastAsia="Tahoma"/>
                <w:iCs/>
                <w:color w:val="000000" w:themeColor="text1"/>
                <w:sz w:val="18"/>
                <w:szCs w:val="18"/>
              </w:rPr>
              <w:t xml:space="preserve"> </w:t>
            </w:r>
            <w:r w:rsidRPr="00B7191D">
              <w:rPr>
                <w:rFonts w:eastAsia="Tahoma"/>
                <w:i w:val="0"/>
                <w:color w:val="000000" w:themeColor="text1"/>
                <w:sz w:val="18"/>
                <w:szCs w:val="18"/>
              </w:rPr>
              <w:t>Hours in total</w:t>
            </w:r>
          </w:p>
        </w:tc>
      </w:tr>
      <w:tr w14:paraId="3C119FBF" w14:textId="77777777" w:rsidTr="5EF67095">
        <w:tblPrEx>
          <w:tblW w:w="10220" w:type="dxa"/>
          <w:tblInd w:w="-5" w:type="dxa"/>
          <w:tblLayout w:type="fixed"/>
          <w:tblLook w:val="06A0"/>
        </w:tblPrEx>
        <w:trPr>
          <w:trHeight w:val="300"/>
        </w:trPr>
        <w:tc>
          <w:tcPr>
            <w:tcW w:w="10220" w:type="dxa"/>
            <w:gridSpan w:val="4"/>
          </w:tcPr>
          <w:p w:rsidR="0032319F" w:rsidRPr="5EF67095" w:rsidP="001C6E67" w14:paraId="1848CDF3" w14:textId="51A2ACF4">
            <w:pPr>
              <w:rPr>
                <w:noProof/>
              </w:rPr>
            </w:pPr>
            <w:r w:rsidRPr="5EF67095">
              <w:rPr>
                <w:noProof/>
              </w:rPr>
              <w:t xml:space="preserve">Reason for change: IEA </w:t>
            </w:r>
            <w:r>
              <w:rPr>
                <w:noProof/>
              </w:rPr>
              <w:t>d</w:t>
            </w:r>
            <w:r w:rsidRPr="0032319F">
              <w:rPr>
                <w:noProof/>
              </w:rPr>
              <w:t>etected</w:t>
            </w:r>
            <w:r>
              <w:rPr>
                <w:noProof/>
              </w:rPr>
              <w:t xml:space="preserve"> a</w:t>
            </w:r>
            <w:r w:rsidRPr="0032319F">
              <w:rPr>
                <w:noProof/>
              </w:rPr>
              <w:t xml:space="preserve"> conflict/inconsistency in TQ Form B relative to TQ Form A with respect to item 14. </w:t>
            </w:r>
            <w:r>
              <w:rPr>
                <w:noProof/>
              </w:rPr>
              <w:t>Item</w:t>
            </w:r>
            <w:r w:rsidRPr="0032319F">
              <w:rPr>
                <w:noProof/>
              </w:rPr>
              <w:t xml:space="preserve">14 </w:t>
            </w:r>
            <w:r>
              <w:rPr>
                <w:noProof/>
              </w:rPr>
              <w:t>had been</w:t>
            </w:r>
            <w:r w:rsidRPr="0032319F">
              <w:rPr>
                <w:noProof/>
              </w:rPr>
              <w:t xml:space="preserve"> removed from Form B</w:t>
            </w:r>
            <w:r>
              <w:rPr>
                <w:noProof/>
              </w:rPr>
              <w:t xml:space="preserve"> in the main survey instruments</w:t>
            </w:r>
            <w:r w:rsidRPr="0032319F">
              <w:rPr>
                <w:noProof/>
              </w:rPr>
              <w:t>. As a side-effect, “Of this total, ” as the lead-in to TQ_15 no longer fit the flow</w:t>
            </w:r>
            <w:r>
              <w:rPr>
                <w:noProof/>
              </w:rPr>
              <w:t xml:space="preserve">. In consultation with the OECD and QEG Chair, the solution was to re-insert item 14 instead of adapting sematics of item 15 or any other solution. </w:t>
            </w:r>
          </w:p>
        </w:tc>
      </w:tr>
      <w:tr w14:paraId="19248DB4" w14:textId="77777777" w:rsidTr="0032319F">
        <w:tblPrEx>
          <w:tblW w:w="10220" w:type="dxa"/>
          <w:tblInd w:w="-5" w:type="dxa"/>
          <w:tblLayout w:type="fixed"/>
          <w:tblLook w:val="06A0"/>
        </w:tblPrEx>
        <w:trPr>
          <w:trHeight w:val="300"/>
        </w:trPr>
        <w:tc>
          <w:tcPr>
            <w:tcW w:w="450" w:type="dxa"/>
          </w:tcPr>
          <w:p w:rsidR="0032319F" w:rsidRPr="00B7191D" w:rsidP="001C6E67" w14:paraId="09DC43E0" w14:textId="26E65D5E">
            <w:pPr>
              <w:rPr>
                <w:b/>
                <w:bCs/>
                <w:noProof/>
                <w:sz w:val="22"/>
                <w:szCs w:val="22"/>
              </w:rPr>
            </w:pPr>
            <w:r w:rsidRPr="00B7191D">
              <w:rPr>
                <w:b/>
                <w:bCs/>
                <w:noProof/>
                <w:sz w:val="22"/>
                <w:szCs w:val="22"/>
              </w:rPr>
              <w:t>6</w:t>
            </w:r>
            <w:r w:rsidRPr="00B7191D">
              <w:rPr>
                <w:b/>
                <w:bCs/>
                <w:noProof/>
                <w:sz w:val="22"/>
                <w:szCs w:val="22"/>
              </w:rPr>
              <w:t xml:space="preserve">. </w:t>
            </w:r>
          </w:p>
        </w:tc>
        <w:tc>
          <w:tcPr>
            <w:tcW w:w="2700" w:type="dxa"/>
          </w:tcPr>
          <w:p w:rsidR="0032319F" w:rsidRPr="00B7191D" w:rsidP="001C6E67" w14:paraId="6224963B" w14:textId="5624089C">
            <w:pPr>
              <w:rPr>
                <w:noProof/>
                <w:sz w:val="22"/>
                <w:szCs w:val="22"/>
              </w:rPr>
            </w:pPr>
            <w:r w:rsidRPr="00B7191D">
              <w:rPr>
                <w:noProof/>
                <w:sz w:val="22"/>
                <w:szCs w:val="22"/>
              </w:rPr>
              <w:t>OMB language on the title page was updated</w:t>
            </w:r>
            <w:r w:rsidRPr="00B7191D" w:rsidR="000D6E66">
              <w:rPr>
                <w:noProof/>
                <w:sz w:val="22"/>
                <w:szCs w:val="22"/>
              </w:rPr>
              <w:t xml:space="preserve"> on all instruments</w:t>
            </w:r>
            <w:r w:rsidRPr="00B7191D">
              <w:rPr>
                <w:noProof/>
                <w:sz w:val="22"/>
                <w:szCs w:val="22"/>
              </w:rPr>
              <w:t xml:space="preserve"> to reflect the approved changes in timing from v.12.</w:t>
            </w:r>
          </w:p>
        </w:tc>
        <w:tc>
          <w:tcPr>
            <w:tcW w:w="7070" w:type="dxa"/>
            <w:gridSpan w:val="2"/>
          </w:tcPr>
          <w:p w:rsidR="0032319F" w:rsidRPr="00B7191D" w:rsidP="001C6E67" w14:paraId="6BF10A49" w14:textId="0207F338">
            <w:pPr>
              <w:rPr>
                <w:noProof/>
                <w:sz w:val="22"/>
                <w:szCs w:val="22"/>
              </w:rPr>
            </w:pPr>
            <w:r w:rsidRPr="00B7191D">
              <w:rPr>
                <w:noProof/>
                <w:sz w:val="22"/>
                <w:szCs w:val="22"/>
              </w:rPr>
              <w:t>Updated from “The time required to complete this information collection is estimated to average 60 minutes...” to “</w:t>
            </w:r>
            <w:r w:rsidRPr="00B7191D">
              <w:rPr>
                <w:noProof/>
                <w:sz w:val="22"/>
                <w:szCs w:val="22"/>
              </w:rPr>
              <w:t xml:space="preserve">The time required to complete this information collection is estimated to average </w:t>
            </w:r>
            <w:r w:rsidRPr="00B7191D">
              <w:rPr>
                <w:noProof/>
                <w:color w:val="FF0000"/>
                <w:sz w:val="22"/>
                <w:szCs w:val="22"/>
              </w:rPr>
              <w:t>45-</w:t>
            </w:r>
            <w:r w:rsidRPr="00B7191D">
              <w:rPr>
                <w:noProof/>
                <w:sz w:val="22"/>
                <w:szCs w:val="22"/>
              </w:rPr>
              <w:t>60 minutes per teacher.</w:t>
            </w:r>
            <w:r w:rsidRPr="00B7191D">
              <w:rPr>
                <w:noProof/>
                <w:sz w:val="22"/>
                <w:szCs w:val="22"/>
              </w:rPr>
              <w:t>”</w:t>
            </w:r>
          </w:p>
        </w:tc>
      </w:tr>
      <w:tr w14:paraId="70DBA641" w14:textId="77777777" w:rsidTr="5EF67095">
        <w:tblPrEx>
          <w:tblW w:w="10220" w:type="dxa"/>
          <w:tblInd w:w="-5" w:type="dxa"/>
          <w:tblLayout w:type="fixed"/>
          <w:tblLook w:val="06A0"/>
        </w:tblPrEx>
        <w:trPr>
          <w:trHeight w:val="300"/>
        </w:trPr>
        <w:tc>
          <w:tcPr>
            <w:tcW w:w="10220" w:type="dxa"/>
            <w:gridSpan w:val="4"/>
          </w:tcPr>
          <w:p w:rsidR="0032319F" w:rsidRPr="5EF67095" w:rsidP="001C6E67" w14:paraId="564D5C52" w14:textId="057BD0DB">
            <w:pPr>
              <w:rPr>
                <w:noProof/>
              </w:rPr>
            </w:pPr>
            <w:r>
              <w:rPr>
                <w:noProof/>
              </w:rPr>
              <w:t xml:space="preserve">Reason for change: The timing change was approved in </w:t>
            </w:r>
            <w:r w:rsidR="00B7191D">
              <w:rPr>
                <w:noProof/>
              </w:rPr>
              <w:t xml:space="preserve">the </w:t>
            </w:r>
            <w:r>
              <w:rPr>
                <w:noProof/>
              </w:rPr>
              <w:t>v.12 submission. This change is to update the lang</w:t>
            </w:r>
            <w:r w:rsidR="00D07717">
              <w:rPr>
                <w:noProof/>
              </w:rPr>
              <w:t>ua</w:t>
            </w:r>
            <w:r>
              <w:rPr>
                <w:noProof/>
              </w:rPr>
              <w:t>ge on the title page</w:t>
            </w:r>
            <w:r w:rsidR="00383BC9">
              <w:rPr>
                <w:noProof/>
              </w:rPr>
              <w:t xml:space="preserve"> (B-</w:t>
            </w:r>
            <w:r w:rsidR="006A23DC">
              <w:rPr>
                <w:noProof/>
              </w:rPr>
              <w:t>1</w:t>
            </w:r>
            <w:r w:rsidR="00383BC9">
              <w:rPr>
                <w:noProof/>
              </w:rPr>
              <w:t>, B-32, B</w:t>
            </w:r>
            <w:r w:rsidR="005053D1">
              <w:rPr>
                <w:noProof/>
              </w:rPr>
              <w:t>-</w:t>
            </w:r>
            <w:r w:rsidR="006A23DC">
              <w:rPr>
                <w:noProof/>
              </w:rPr>
              <w:t xml:space="preserve">64, </w:t>
            </w:r>
            <w:r w:rsidR="00A5738A">
              <w:rPr>
                <w:noProof/>
              </w:rPr>
              <w:t>B-104)</w:t>
            </w:r>
            <w:r>
              <w:rPr>
                <w:noProof/>
              </w:rPr>
              <w:t xml:space="preserve"> to match the approved timing change. </w:t>
            </w:r>
          </w:p>
        </w:tc>
      </w:tr>
    </w:tbl>
    <w:p w:rsidR="00FD3981" w:rsidP="00FD3981" w14:paraId="2FB50A84" w14:textId="77B2ABC4">
      <w:pPr>
        <w:pStyle w:val="NoSpacing"/>
      </w:pPr>
    </w:p>
    <w:p w:rsidR="00872F53" w:rsidRPr="00310F16" w:rsidP="00872F53" w14:paraId="448E9A51" w14:textId="1A5410AE">
      <w:pPr>
        <w:pStyle w:val="Heading1"/>
      </w:pPr>
      <w:r>
        <w:t>TKS</w:t>
      </w:r>
      <w:r w:rsidRPr="00310F16">
        <w:t xml:space="preserve"> - Questionnaire Items and Forms</w:t>
      </w:r>
    </w:p>
    <w:p w:rsidR="00872F53" w:rsidP="00872F53" w14:paraId="2DC2E021" w14:textId="250FF571">
      <w:pPr>
        <w:pStyle w:val="Num-DocParagraph"/>
        <w:tabs>
          <w:tab w:val="clear" w:pos="850"/>
          <w:tab w:val="clear" w:pos="1191"/>
          <w:tab w:val="clear" w:pos="1531"/>
        </w:tabs>
        <w:spacing w:after="120" w:line="276" w:lineRule="auto"/>
        <w:jc w:val="left"/>
        <w:rPr>
          <w:lang w:val="en-US"/>
        </w:rPr>
      </w:pPr>
      <w:r w:rsidRPr="180D9A6E">
        <w:rPr>
          <w:rFonts w:eastAsia="Calibri"/>
        </w:rPr>
        <w:t xml:space="preserve">TKS items are not available for public distribution and therefore the questionnaire forms are not included in Appendix B; </w:t>
      </w:r>
      <w:r w:rsidRPr="180D9A6E">
        <w:rPr>
          <w:lang w:val="en-US"/>
        </w:rPr>
        <w:t xml:space="preserve">TKS instruments are provided by email to OMB for review. </w:t>
      </w:r>
      <w:r>
        <w:rPr>
          <w:lang w:val="en-US"/>
        </w:rPr>
        <w:t xml:space="preserve">For completeness, we have detailed the sole change to the TKS instrument in this change memo. </w:t>
      </w:r>
    </w:p>
    <w:p w:rsidR="00D07717" w:rsidP="00D07717" w14:paraId="090E3010" w14:textId="5034A4CF">
      <w:pPr>
        <w:rPr>
          <w:sz w:val="22"/>
          <w:szCs w:val="22"/>
        </w:rPr>
      </w:pPr>
      <w:r>
        <w:rPr>
          <w:sz w:val="22"/>
          <w:szCs w:val="22"/>
        </w:rPr>
        <w:t>Table 2. Summary of changes to OMB-Approved TALIS TKS instruments</w:t>
      </w:r>
    </w:p>
    <w:tbl>
      <w:tblPr>
        <w:tblStyle w:val="TableGrid"/>
        <w:tblW w:w="10220" w:type="dxa"/>
        <w:tblInd w:w="-5" w:type="dxa"/>
        <w:tblLayout w:type="fixed"/>
        <w:tblLook w:val="06A0"/>
      </w:tblPr>
      <w:tblGrid>
        <w:gridCol w:w="450"/>
        <w:gridCol w:w="2700"/>
        <w:gridCol w:w="50"/>
        <w:gridCol w:w="7020"/>
      </w:tblGrid>
      <w:tr w14:paraId="09A4D754" w14:textId="77777777" w:rsidTr="00D45CE8">
        <w:tblPrEx>
          <w:tblW w:w="10220" w:type="dxa"/>
          <w:tblInd w:w="-5" w:type="dxa"/>
          <w:tblLayout w:type="fixed"/>
          <w:tblLook w:val="06A0"/>
        </w:tblPrEx>
        <w:trPr>
          <w:trHeight w:val="300"/>
        </w:trPr>
        <w:tc>
          <w:tcPr>
            <w:tcW w:w="450" w:type="dxa"/>
          </w:tcPr>
          <w:p w:rsidR="002A1F01" w:rsidP="00D45CE8" w14:paraId="42CC9304" w14:textId="7ACF9965">
            <w:pPr>
              <w:spacing w:line="259" w:lineRule="auto"/>
              <w:rPr>
                <w:b/>
                <w:bCs/>
                <w:sz w:val="22"/>
                <w:szCs w:val="22"/>
              </w:rPr>
            </w:pPr>
            <w:r>
              <w:rPr>
                <w:b/>
                <w:bCs/>
                <w:sz w:val="22"/>
                <w:szCs w:val="22"/>
              </w:rPr>
              <w:t>1</w:t>
            </w:r>
            <w:r w:rsidRPr="450E9C88">
              <w:rPr>
                <w:b/>
                <w:bCs/>
                <w:sz w:val="22"/>
                <w:szCs w:val="22"/>
              </w:rPr>
              <w:t>.</w:t>
            </w:r>
          </w:p>
        </w:tc>
        <w:tc>
          <w:tcPr>
            <w:tcW w:w="2750" w:type="dxa"/>
            <w:gridSpan w:val="2"/>
          </w:tcPr>
          <w:p w:rsidR="002A1F01" w:rsidP="00D45CE8" w14:paraId="3D30D6EC" w14:textId="77777777">
            <w:pPr>
              <w:ind w:right="-14"/>
            </w:pPr>
            <w:r w:rsidRPr="5EF67095">
              <w:rPr>
                <w:sz w:val="22"/>
                <w:szCs w:val="22"/>
              </w:rPr>
              <w:t>Item 35 from the teacher questionnaire was also added to all four TKS forms.</w:t>
            </w:r>
          </w:p>
        </w:tc>
        <w:tc>
          <w:tcPr>
            <w:tcW w:w="7020" w:type="dxa"/>
          </w:tcPr>
          <w:p w:rsidR="002A1F01" w:rsidRPr="00F26D01" w:rsidP="00D45CE8" w14:paraId="15B1E6BE" w14:textId="77777777">
            <w:pPr>
              <w:pStyle w:val="TALISInstruction"/>
              <w:rPr>
                <w:rFonts w:eastAsia="Tahoma"/>
                <w:b/>
                <w:bCs/>
                <w:i w:val="0"/>
                <w:color w:val="000000" w:themeColor="text1"/>
                <w:sz w:val="18"/>
                <w:szCs w:val="18"/>
              </w:rPr>
            </w:pPr>
            <w:r w:rsidRPr="00F26D01">
              <w:rPr>
                <w:rFonts w:eastAsia="Tahoma"/>
                <w:b/>
                <w:bCs/>
                <w:i w:val="0"/>
                <w:color w:val="000000" w:themeColor="text1"/>
                <w:sz w:val="18"/>
                <w:szCs w:val="18"/>
              </w:rPr>
              <w:t xml:space="preserve">How many students are currently in this </w:t>
            </w:r>
            <w:r w:rsidRPr="00F26D01">
              <w:rPr>
                <w:rFonts w:eastAsia="Tahoma"/>
                <w:b/>
                <w:bCs/>
                <w:i w:val="0"/>
                <w:color w:val="000000" w:themeColor="text1"/>
                <w:sz w:val="18"/>
                <w:szCs w:val="18"/>
                <w:u w:val="single"/>
              </w:rPr>
              <w:t>target class</w:t>
            </w:r>
            <w:r w:rsidRPr="00F26D01">
              <w:rPr>
                <w:rFonts w:eastAsia="Tahoma"/>
                <w:b/>
                <w:bCs/>
                <w:i w:val="0"/>
                <w:color w:val="000000" w:themeColor="text1"/>
                <w:sz w:val="18"/>
                <w:szCs w:val="18"/>
              </w:rPr>
              <w:t>?</w:t>
            </w:r>
          </w:p>
          <w:p w:rsidR="002A1F01" w:rsidRPr="00F26D01" w:rsidP="00D45CE8" w14:paraId="64EDB3AE" w14:textId="77777777">
            <w:pPr>
              <w:pStyle w:val="TALISInstruction"/>
              <w:rPr>
                <w:rFonts w:eastAsia="Tahoma"/>
                <w:iCs/>
                <w:color w:val="000000" w:themeColor="text1"/>
                <w:sz w:val="18"/>
                <w:szCs w:val="18"/>
              </w:rPr>
            </w:pPr>
            <w:r w:rsidRPr="00F26D01">
              <w:rPr>
                <w:rFonts w:eastAsia="Tahoma"/>
                <w:iCs/>
                <w:color w:val="000000" w:themeColor="text1"/>
                <w:sz w:val="18"/>
                <w:szCs w:val="18"/>
              </w:rPr>
              <w:t>Please enter a number.</w:t>
            </w:r>
          </w:p>
          <w:p w:rsidR="002A1F01" w:rsidP="00D45CE8" w14:paraId="0E12FDF2" w14:textId="77777777">
            <w:pPr>
              <w:pStyle w:val="TALISInstruction"/>
            </w:pPr>
            <w:r>
              <w:rPr>
                <w:noProof/>
              </w:rPr>
              <w:drawing>
                <wp:inline distT="0" distB="0" distL="0" distR="0">
                  <wp:extent cx="342900" cy="123825"/>
                  <wp:effectExtent l="0" t="0" r="0" b="0"/>
                  <wp:docPr id="826432588" name="Picture 826432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32588" name=""/>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2900" cy="123825"/>
                          </a:xfrm>
                          <a:prstGeom prst="rect">
                            <a:avLst/>
                          </a:prstGeom>
                        </pic:spPr>
                      </pic:pic>
                    </a:graphicData>
                  </a:graphic>
                </wp:inline>
              </w:drawing>
            </w:r>
          </w:p>
        </w:tc>
      </w:tr>
      <w:tr w14:paraId="6146829E" w14:textId="77777777" w:rsidTr="00D45CE8">
        <w:tblPrEx>
          <w:tblW w:w="10220" w:type="dxa"/>
          <w:tblInd w:w="-5" w:type="dxa"/>
          <w:tblLayout w:type="fixed"/>
          <w:tblLook w:val="06A0"/>
        </w:tblPrEx>
        <w:trPr>
          <w:trHeight w:val="300"/>
        </w:trPr>
        <w:tc>
          <w:tcPr>
            <w:tcW w:w="10220" w:type="dxa"/>
            <w:gridSpan w:val="4"/>
          </w:tcPr>
          <w:p w:rsidR="002A1F01" w:rsidP="00D45CE8" w14:paraId="13E55DA7" w14:textId="77777777">
            <w:pPr>
              <w:rPr>
                <w:noProof/>
              </w:rPr>
            </w:pPr>
            <w:r w:rsidRPr="5EF67095">
              <w:rPr>
                <w:noProof/>
              </w:rPr>
              <w:t xml:space="preserve">Reason for change: IEA originally removed this item after the field trial. At the request of countries, they added the item back to the instrument on Nov. 21. </w:t>
            </w:r>
          </w:p>
        </w:tc>
      </w:tr>
      <w:tr w14:paraId="1A671E8C" w14:textId="77777777" w:rsidTr="00D45CE8">
        <w:tblPrEx>
          <w:tblW w:w="10220" w:type="dxa"/>
          <w:tblInd w:w="-5" w:type="dxa"/>
          <w:tblLayout w:type="fixed"/>
          <w:tblLook w:val="06A0"/>
        </w:tblPrEx>
        <w:trPr>
          <w:trHeight w:val="300"/>
        </w:trPr>
        <w:tc>
          <w:tcPr>
            <w:tcW w:w="450" w:type="dxa"/>
          </w:tcPr>
          <w:p w:rsidR="00945D90" w:rsidRPr="00B7191D" w:rsidP="00D45CE8" w14:paraId="168F71B5" w14:textId="354D7449">
            <w:pPr>
              <w:rPr>
                <w:b/>
                <w:bCs/>
                <w:noProof/>
                <w:sz w:val="22"/>
                <w:szCs w:val="22"/>
              </w:rPr>
            </w:pPr>
            <w:r>
              <w:rPr>
                <w:b/>
                <w:bCs/>
                <w:noProof/>
                <w:sz w:val="22"/>
                <w:szCs w:val="22"/>
              </w:rPr>
              <w:t>2</w:t>
            </w:r>
            <w:r w:rsidRPr="00B7191D">
              <w:rPr>
                <w:b/>
                <w:bCs/>
                <w:noProof/>
                <w:sz w:val="22"/>
                <w:szCs w:val="22"/>
              </w:rPr>
              <w:t xml:space="preserve">. </w:t>
            </w:r>
          </w:p>
        </w:tc>
        <w:tc>
          <w:tcPr>
            <w:tcW w:w="2700" w:type="dxa"/>
          </w:tcPr>
          <w:p w:rsidR="00945D90" w:rsidRPr="00B7191D" w:rsidP="00D45CE8" w14:paraId="1809E57A" w14:textId="77777777">
            <w:pPr>
              <w:rPr>
                <w:noProof/>
                <w:sz w:val="22"/>
                <w:szCs w:val="22"/>
              </w:rPr>
            </w:pPr>
            <w:r w:rsidRPr="00B7191D">
              <w:rPr>
                <w:noProof/>
                <w:sz w:val="22"/>
                <w:szCs w:val="22"/>
              </w:rPr>
              <w:t>OMB language on the title page was updated on all instruments to reflect the approved changes in timing from v.12.</w:t>
            </w:r>
          </w:p>
        </w:tc>
        <w:tc>
          <w:tcPr>
            <w:tcW w:w="7070" w:type="dxa"/>
            <w:gridSpan w:val="2"/>
          </w:tcPr>
          <w:p w:rsidR="00945D90" w:rsidRPr="00B7191D" w:rsidP="00D45CE8" w14:paraId="4EB5400D" w14:textId="77777777">
            <w:pPr>
              <w:rPr>
                <w:noProof/>
                <w:sz w:val="22"/>
                <w:szCs w:val="22"/>
              </w:rPr>
            </w:pPr>
            <w:r w:rsidRPr="00B7191D">
              <w:rPr>
                <w:noProof/>
                <w:sz w:val="22"/>
                <w:szCs w:val="22"/>
              </w:rPr>
              <w:t xml:space="preserve">Updated from “The time required to complete this information collection is estimated to average 60 minutes...” to “The time required to complete this information collection is estimated to average </w:t>
            </w:r>
            <w:r w:rsidRPr="00B7191D">
              <w:rPr>
                <w:noProof/>
                <w:color w:val="FF0000"/>
                <w:sz w:val="22"/>
                <w:szCs w:val="22"/>
              </w:rPr>
              <w:t>45-</w:t>
            </w:r>
            <w:r w:rsidRPr="00B7191D">
              <w:rPr>
                <w:noProof/>
                <w:sz w:val="22"/>
                <w:szCs w:val="22"/>
              </w:rPr>
              <w:t>60 minutes per teacher.”</w:t>
            </w:r>
          </w:p>
        </w:tc>
      </w:tr>
      <w:tr w14:paraId="3676FFB2" w14:textId="77777777" w:rsidTr="00D45CE8">
        <w:tblPrEx>
          <w:tblW w:w="10220" w:type="dxa"/>
          <w:tblInd w:w="-5" w:type="dxa"/>
          <w:tblLayout w:type="fixed"/>
          <w:tblLook w:val="06A0"/>
        </w:tblPrEx>
        <w:trPr>
          <w:trHeight w:val="300"/>
        </w:trPr>
        <w:tc>
          <w:tcPr>
            <w:tcW w:w="10220" w:type="dxa"/>
            <w:gridSpan w:val="4"/>
          </w:tcPr>
          <w:p w:rsidR="00945D90" w:rsidRPr="5EF67095" w:rsidP="00D45CE8" w14:paraId="010BA2F3" w14:textId="20D2FB2C">
            <w:pPr>
              <w:rPr>
                <w:noProof/>
              </w:rPr>
            </w:pPr>
            <w:r>
              <w:rPr>
                <w:noProof/>
              </w:rPr>
              <w:t>Reason for change: The timing change was approved in the v.12 submission. This change is to update the language on the title page (</w:t>
            </w:r>
            <w:r w:rsidR="00B05712">
              <w:rPr>
                <w:noProof/>
              </w:rPr>
              <w:t>TKS p</w:t>
            </w:r>
            <w:r w:rsidR="00742BCC">
              <w:rPr>
                <w:noProof/>
              </w:rPr>
              <w:t>.</w:t>
            </w:r>
            <w:r>
              <w:rPr>
                <w:noProof/>
              </w:rPr>
              <w:t>1,</w:t>
            </w:r>
            <w:r w:rsidR="00742BCC">
              <w:rPr>
                <w:noProof/>
              </w:rPr>
              <w:t xml:space="preserve"> p.</w:t>
            </w:r>
            <w:r>
              <w:rPr>
                <w:noProof/>
              </w:rPr>
              <w:t xml:space="preserve">64, </w:t>
            </w:r>
            <w:r w:rsidR="00742BCC">
              <w:rPr>
                <w:noProof/>
              </w:rPr>
              <w:t>p. 126, p. 1</w:t>
            </w:r>
            <w:r w:rsidR="002E6928">
              <w:rPr>
                <w:noProof/>
              </w:rPr>
              <w:t>89</w:t>
            </w:r>
            <w:r>
              <w:rPr>
                <w:noProof/>
              </w:rPr>
              <w:t xml:space="preserve">) to match the approved timing change. </w:t>
            </w:r>
          </w:p>
        </w:tc>
      </w:tr>
    </w:tbl>
    <w:p w:rsidR="002A1F01" w:rsidP="00FD3981" w14:paraId="2F614CD0" w14:textId="77777777">
      <w:pPr>
        <w:pStyle w:val="NoSpacing"/>
      </w:pPr>
    </w:p>
    <w:sectPr w:rsidSect="002D72E8">
      <w:footerReference w:type="default" r:id="rId10"/>
      <w:type w:val="continuous"/>
      <w:pgSz w:w="12240" w:h="15840" w:code="1"/>
      <w:pgMar w:top="1440" w:right="1080" w:bottom="1440" w:left="1080" w:header="288"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5F68" w:rsidP="006C298F" w14:paraId="043F298E" w14:textId="52EBD102">
    <w:pPr>
      <w:pStyle w:val="Footer"/>
      <w:jc w:val="center"/>
    </w:pPr>
    <w:r>
      <w:fldChar w:fldCharType="begin"/>
    </w:r>
    <w:r>
      <w:instrText xml:space="preserve"> PAGE   \* MERGEFORMAT </w:instrText>
    </w:r>
    <w:r>
      <w:fldChar w:fldCharType="separate"/>
    </w:r>
    <w:r w:rsidR="003B7D6C">
      <w:rPr>
        <w:noProof/>
      </w:rPr>
      <w:t>10</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A0CF3"/>
    <w:multiLevelType w:val="hybridMultilevel"/>
    <w:tmpl w:val="60C4D6D0"/>
    <w:lvl w:ilvl="0">
      <w:start w:val="1"/>
      <w:numFmt w:val="decimal"/>
      <w:pStyle w:val="question0"/>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527E6BB0"/>
    <w:multiLevelType w:val="hybridMultilevel"/>
    <w:tmpl w:val="2CAE8CA2"/>
    <w:lvl w:ilvl="0">
      <w:start w:val="1"/>
      <w:numFmt w:val="decimal"/>
      <w:pStyle w:val="TALISQuestionNumber"/>
      <w:lvlText w:val="%1."/>
      <w:lvlJc w:val="left"/>
      <w:pPr>
        <w:ind w:left="644"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5533231">
    <w:abstractNumId w:val="0"/>
  </w:num>
  <w:num w:numId="2" w16cid:durableId="6306812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EA"/>
    <w:rsid w:val="00004C62"/>
    <w:rsid w:val="00017CC3"/>
    <w:rsid w:val="000219DF"/>
    <w:rsid w:val="000232BD"/>
    <w:rsid w:val="000454C9"/>
    <w:rsid w:val="00051D7E"/>
    <w:rsid w:val="0005437D"/>
    <w:rsid w:val="00057407"/>
    <w:rsid w:val="00057486"/>
    <w:rsid w:val="00057BB6"/>
    <w:rsid w:val="00076120"/>
    <w:rsid w:val="0007728E"/>
    <w:rsid w:val="00077537"/>
    <w:rsid w:val="000819D4"/>
    <w:rsid w:val="00083965"/>
    <w:rsid w:val="00085682"/>
    <w:rsid w:val="00090B0B"/>
    <w:rsid w:val="00097047"/>
    <w:rsid w:val="00097CFA"/>
    <w:rsid w:val="000A3A94"/>
    <w:rsid w:val="000B28DB"/>
    <w:rsid w:val="000B30D6"/>
    <w:rsid w:val="000B73F8"/>
    <w:rsid w:val="000D2E1F"/>
    <w:rsid w:val="000D4B3F"/>
    <w:rsid w:val="000D5004"/>
    <w:rsid w:val="000D5155"/>
    <w:rsid w:val="000D6E66"/>
    <w:rsid w:val="000E1D9A"/>
    <w:rsid w:val="000E5497"/>
    <w:rsid w:val="000E6379"/>
    <w:rsid w:val="00100DB3"/>
    <w:rsid w:val="001111E6"/>
    <w:rsid w:val="0011775C"/>
    <w:rsid w:val="00120FDC"/>
    <w:rsid w:val="001227EB"/>
    <w:rsid w:val="00123431"/>
    <w:rsid w:val="00132618"/>
    <w:rsid w:val="0013662C"/>
    <w:rsid w:val="00146A4A"/>
    <w:rsid w:val="00150C55"/>
    <w:rsid w:val="00153C20"/>
    <w:rsid w:val="00163488"/>
    <w:rsid w:val="001741B2"/>
    <w:rsid w:val="001750CA"/>
    <w:rsid w:val="00175FBB"/>
    <w:rsid w:val="00176686"/>
    <w:rsid w:val="0018269E"/>
    <w:rsid w:val="00186F28"/>
    <w:rsid w:val="00190CC0"/>
    <w:rsid w:val="001A1FA9"/>
    <w:rsid w:val="001A3B63"/>
    <w:rsid w:val="001B22A7"/>
    <w:rsid w:val="001B5771"/>
    <w:rsid w:val="001C3E48"/>
    <w:rsid w:val="001C4936"/>
    <w:rsid w:val="001C6E67"/>
    <w:rsid w:val="001D1FCB"/>
    <w:rsid w:val="001D626C"/>
    <w:rsid w:val="001D738A"/>
    <w:rsid w:val="001D75DE"/>
    <w:rsid w:val="001E0B0B"/>
    <w:rsid w:val="001E34DD"/>
    <w:rsid w:val="001E60FD"/>
    <w:rsid w:val="001E7258"/>
    <w:rsid w:val="001E7A59"/>
    <w:rsid w:val="001F0F75"/>
    <w:rsid w:val="001F1090"/>
    <w:rsid w:val="00204086"/>
    <w:rsid w:val="002047A2"/>
    <w:rsid w:val="00206638"/>
    <w:rsid w:val="00206F11"/>
    <w:rsid w:val="002102BB"/>
    <w:rsid w:val="00212EC5"/>
    <w:rsid w:val="002209DD"/>
    <w:rsid w:val="00220C22"/>
    <w:rsid w:val="00221B20"/>
    <w:rsid w:val="0022760F"/>
    <w:rsid w:val="00230D21"/>
    <w:rsid w:val="0023543A"/>
    <w:rsid w:val="002378FC"/>
    <w:rsid w:val="00246E50"/>
    <w:rsid w:val="00247644"/>
    <w:rsid w:val="002500E5"/>
    <w:rsid w:val="002609FE"/>
    <w:rsid w:val="00261004"/>
    <w:rsid w:val="00261386"/>
    <w:rsid w:val="00263183"/>
    <w:rsid w:val="0026621A"/>
    <w:rsid w:val="00267B71"/>
    <w:rsid w:val="0027030D"/>
    <w:rsid w:val="00270EA5"/>
    <w:rsid w:val="00271138"/>
    <w:rsid w:val="0027140A"/>
    <w:rsid w:val="0027393B"/>
    <w:rsid w:val="00275FF6"/>
    <w:rsid w:val="0028035A"/>
    <w:rsid w:val="002807A9"/>
    <w:rsid w:val="00280F0A"/>
    <w:rsid w:val="00286BFC"/>
    <w:rsid w:val="002A1F01"/>
    <w:rsid w:val="002B108C"/>
    <w:rsid w:val="002C361B"/>
    <w:rsid w:val="002D72E8"/>
    <w:rsid w:val="002E23CC"/>
    <w:rsid w:val="002E3161"/>
    <w:rsid w:val="002E6928"/>
    <w:rsid w:val="002F0E34"/>
    <w:rsid w:val="002F69E3"/>
    <w:rsid w:val="00310F16"/>
    <w:rsid w:val="00312873"/>
    <w:rsid w:val="003174FC"/>
    <w:rsid w:val="0032319F"/>
    <w:rsid w:val="00324E05"/>
    <w:rsid w:val="00330282"/>
    <w:rsid w:val="00340371"/>
    <w:rsid w:val="0034279D"/>
    <w:rsid w:val="0034467F"/>
    <w:rsid w:val="00346989"/>
    <w:rsid w:val="00352FB7"/>
    <w:rsid w:val="0035391E"/>
    <w:rsid w:val="003547DB"/>
    <w:rsid w:val="00365536"/>
    <w:rsid w:val="00366176"/>
    <w:rsid w:val="00367592"/>
    <w:rsid w:val="0037342F"/>
    <w:rsid w:val="0037532B"/>
    <w:rsid w:val="00375D49"/>
    <w:rsid w:val="003765CE"/>
    <w:rsid w:val="0038161C"/>
    <w:rsid w:val="003816BD"/>
    <w:rsid w:val="00383BC9"/>
    <w:rsid w:val="003903F4"/>
    <w:rsid w:val="003A4B9E"/>
    <w:rsid w:val="003A54E6"/>
    <w:rsid w:val="003B2EB5"/>
    <w:rsid w:val="003B2FD1"/>
    <w:rsid w:val="003B3DA0"/>
    <w:rsid w:val="003B4F57"/>
    <w:rsid w:val="003B653D"/>
    <w:rsid w:val="003B7D6C"/>
    <w:rsid w:val="003C0179"/>
    <w:rsid w:val="003D138C"/>
    <w:rsid w:val="003D2F3F"/>
    <w:rsid w:val="003D395F"/>
    <w:rsid w:val="003E1076"/>
    <w:rsid w:val="003E31CE"/>
    <w:rsid w:val="003E4C50"/>
    <w:rsid w:val="003F07F6"/>
    <w:rsid w:val="003F4AF7"/>
    <w:rsid w:val="004064F5"/>
    <w:rsid w:val="00407296"/>
    <w:rsid w:val="004118EB"/>
    <w:rsid w:val="00420441"/>
    <w:rsid w:val="00420B14"/>
    <w:rsid w:val="00422A93"/>
    <w:rsid w:val="00423170"/>
    <w:rsid w:val="004233CF"/>
    <w:rsid w:val="004235F0"/>
    <w:rsid w:val="004243B4"/>
    <w:rsid w:val="00434795"/>
    <w:rsid w:val="00440F17"/>
    <w:rsid w:val="00441A9B"/>
    <w:rsid w:val="0044506A"/>
    <w:rsid w:val="00447AD2"/>
    <w:rsid w:val="00450A5D"/>
    <w:rsid w:val="004557D7"/>
    <w:rsid w:val="00462B45"/>
    <w:rsid w:val="004649E4"/>
    <w:rsid w:val="00471523"/>
    <w:rsid w:val="00476F55"/>
    <w:rsid w:val="0048106B"/>
    <w:rsid w:val="00492B7C"/>
    <w:rsid w:val="004962AC"/>
    <w:rsid w:val="00497401"/>
    <w:rsid w:val="0049791F"/>
    <w:rsid w:val="00497B13"/>
    <w:rsid w:val="004A3A3E"/>
    <w:rsid w:val="004B1202"/>
    <w:rsid w:val="004B2942"/>
    <w:rsid w:val="004B3E3F"/>
    <w:rsid w:val="004C02AA"/>
    <w:rsid w:val="004C2FC4"/>
    <w:rsid w:val="004C326F"/>
    <w:rsid w:val="004C3CB1"/>
    <w:rsid w:val="004C7155"/>
    <w:rsid w:val="004D401C"/>
    <w:rsid w:val="004E367A"/>
    <w:rsid w:val="004E5B44"/>
    <w:rsid w:val="004E6EE1"/>
    <w:rsid w:val="004F33F3"/>
    <w:rsid w:val="004F35A6"/>
    <w:rsid w:val="004F54E7"/>
    <w:rsid w:val="0050175F"/>
    <w:rsid w:val="005053D1"/>
    <w:rsid w:val="00505AF3"/>
    <w:rsid w:val="00505B58"/>
    <w:rsid w:val="00511D9A"/>
    <w:rsid w:val="005160D6"/>
    <w:rsid w:val="00525EC4"/>
    <w:rsid w:val="00530C40"/>
    <w:rsid w:val="00531207"/>
    <w:rsid w:val="00542054"/>
    <w:rsid w:val="00542C34"/>
    <w:rsid w:val="00543CD8"/>
    <w:rsid w:val="00554AD5"/>
    <w:rsid w:val="005602FE"/>
    <w:rsid w:val="0056117B"/>
    <w:rsid w:val="00562A21"/>
    <w:rsid w:val="00565F68"/>
    <w:rsid w:val="00570110"/>
    <w:rsid w:val="00573C4E"/>
    <w:rsid w:val="00580729"/>
    <w:rsid w:val="00583FA2"/>
    <w:rsid w:val="00593585"/>
    <w:rsid w:val="00593FF7"/>
    <w:rsid w:val="005A00C4"/>
    <w:rsid w:val="005A55F7"/>
    <w:rsid w:val="005B04B6"/>
    <w:rsid w:val="005B2383"/>
    <w:rsid w:val="005B4DCA"/>
    <w:rsid w:val="005C4090"/>
    <w:rsid w:val="005C6FA0"/>
    <w:rsid w:val="005C7870"/>
    <w:rsid w:val="005D0A82"/>
    <w:rsid w:val="005E0FA0"/>
    <w:rsid w:val="005E25DF"/>
    <w:rsid w:val="005E5677"/>
    <w:rsid w:val="005E58FF"/>
    <w:rsid w:val="005F7888"/>
    <w:rsid w:val="006009E2"/>
    <w:rsid w:val="006010BA"/>
    <w:rsid w:val="0060732A"/>
    <w:rsid w:val="00607ACF"/>
    <w:rsid w:val="0061326A"/>
    <w:rsid w:val="00631089"/>
    <w:rsid w:val="006314E5"/>
    <w:rsid w:val="0063691A"/>
    <w:rsid w:val="006410B5"/>
    <w:rsid w:val="006462C5"/>
    <w:rsid w:val="0065765D"/>
    <w:rsid w:val="00657CBA"/>
    <w:rsid w:val="00664236"/>
    <w:rsid w:val="00670AE5"/>
    <w:rsid w:val="00671C82"/>
    <w:rsid w:val="006727FB"/>
    <w:rsid w:val="006748B3"/>
    <w:rsid w:val="00677E7D"/>
    <w:rsid w:val="006818EA"/>
    <w:rsid w:val="00687753"/>
    <w:rsid w:val="00694859"/>
    <w:rsid w:val="00694AED"/>
    <w:rsid w:val="00695445"/>
    <w:rsid w:val="0069622F"/>
    <w:rsid w:val="00696C28"/>
    <w:rsid w:val="00696E93"/>
    <w:rsid w:val="006A08B7"/>
    <w:rsid w:val="006A23DC"/>
    <w:rsid w:val="006A386D"/>
    <w:rsid w:val="006A5CBA"/>
    <w:rsid w:val="006B315A"/>
    <w:rsid w:val="006C008B"/>
    <w:rsid w:val="006C162A"/>
    <w:rsid w:val="006C298F"/>
    <w:rsid w:val="006C3DAE"/>
    <w:rsid w:val="006C4E35"/>
    <w:rsid w:val="006C717B"/>
    <w:rsid w:val="006D2F40"/>
    <w:rsid w:val="006D528A"/>
    <w:rsid w:val="006D6069"/>
    <w:rsid w:val="006D7CEF"/>
    <w:rsid w:val="006E45D4"/>
    <w:rsid w:val="006F2593"/>
    <w:rsid w:val="006F4989"/>
    <w:rsid w:val="00700E5E"/>
    <w:rsid w:val="00703668"/>
    <w:rsid w:val="007039D2"/>
    <w:rsid w:val="007058D9"/>
    <w:rsid w:val="0070688B"/>
    <w:rsid w:val="0070753E"/>
    <w:rsid w:val="007139E5"/>
    <w:rsid w:val="00715245"/>
    <w:rsid w:val="0071607B"/>
    <w:rsid w:val="007201BC"/>
    <w:rsid w:val="0072073A"/>
    <w:rsid w:val="007212CA"/>
    <w:rsid w:val="00727362"/>
    <w:rsid w:val="00735EF4"/>
    <w:rsid w:val="00741E10"/>
    <w:rsid w:val="00742BCC"/>
    <w:rsid w:val="0074300C"/>
    <w:rsid w:val="0074726E"/>
    <w:rsid w:val="00747B14"/>
    <w:rsid w:val="0075746E"/>
    <w:rsid w:val="00757481"/>
    <w:rsid w:val="00762ABD"/>
    <w:rsid w:val="00764426"/>
    <w:rsid w:val="00771BB0"/>
    <w:rsid w:val="00773573"/>
    <w:rsid w:val="00773C76"/>
    <w:rsid w:val="00776174"/>
    <w:rsid w:val="00776686"/>
    <w:rsid w:val="0077734E"/>
    <w:rsid w:val="0078105F"/>
    <w:rsid w:val="00783625"/>
    <w:rsid w:val="00785334"/>
    <w:rsid w:val="0078541A"/>
    <w:rsid w:val="007872BF"/>
    <w:rsid w:val="00790804"/>
    <w:rsid w:val="00790B12"/>
    <w:rsid w:val="00791EAD"/>
    <w:rsid w:val="00792946"/>
    <w:rsid w:val="00793033"/>
    <w:rsid w:val="007951F2"/>
    <w:rsid w:val="00795558"/>
    <w:rsid w:val="007A7EE3"/>
    <w:rsid w:val="007B54E2"/>
    <w:rsid w:val="007C2301"/>
    <w:rsid w:val="007C4339"/>
    <w:rsid w:val="007C503A"/>
    <w:rsid w:val="007D6FE3"/>
    <w:rsid w:val="007E0035"/>
    <w:rsid w:val="007E4974"/>
    <w:rsid w:val="007F2484"/>
    <w:rsid w:val="007F3143"/>
    <w:rsid w:val="007F6591"/>
    <w:rsid w:val="0080124C"/>
    <w:rsid w:val="00804D48"/>
    <w:rsid w:val="00806DD5"/>
    <w:rsid w:val="00807454"/>
    <w:rsid w:val="00807F90"/>
    <w:rsid w:val="0081171A"/>
    <w:rsid w:val="00812B8E"/>
    <w:rsid w:val="0081509D"/>
    <w:rsid w:val="008168E3"/>
    <w:rsid w:val="0081744A"/>
    <w:rsid w:val="008333E5"/>
    <w:rsid w:val="00835E7C"/>
    <w:rsid w:val="00836D83"/>
    <w:rsid w:val="008443FA"/>
    <w:rsid w:val="00845899"/>
    <w:rsid w:val="00855BD3"/>
    <w:rsid w:val="00866179"/>
    <w:rsid w:val="00866447"/>
    <w:rsid w:val="0086684A"/>
    <w:rsid w:val="00870368"/>
    <w:rsid w:val="00872F53"/>
    <w:rsid w:val="008762DA"/>
    <w:rsid w:val="00877476"/>
    <w:rsid w:val="008819AE"/>
    <w:rsid w:val="00884EBB"/>
    <w:rsid w:val="00891B56"/>
    <w:rsid w:val="00891E5D"/>
    <w:rsid w:val="00892899"/>
    <w:rsid w:val="008A327E"/>
    <w:rsid w:val="008B1630"/>
    <w:rsid w:val="008B1684"/>
    <w:rsid w:val="008B58B9"/>
    <w:rsid w:val="008E1C45"/>
    <w:rsid w:val="008E2751"/>
    <w:rsid w:val="008F1341"/>
    <w:rsid w:val="008F1F8F"/>
    <w:rsid w:val="00901B82"/>
    <w:rsid w:val="00902D97"/>
    <w:rsid w:val="00904D4A"/>
    <w:rsid w:val="00905F63"/>
    <w:rsid w:val="0091055E"/>
    <w:rsid w:val="00911DC3"/>
    <w:rsid w:val="00914D64"/>
    <w:rsid w:val="00916350"/>
    <w:rsid w:val="009270B4"/>
    <w:rsid w:val="00934788"/>
    <w:rsid w:val="00936553"/>
    <w:rsid w:val="00937E1C"/>
    <w:rsid w:val="00940576"/>
    <w:rsid w:val="00940966"/>
    <w:rsid w:val="00941DDF"/>
    <w:rsid w:val="00942201"/>
    <w:rsid w:val="00943BFB"/>
    <w:rsid w:val="00943DA2"/>
    <w:rsid w:val="00945D90"/>
    <w:rsid w:val="0094738D"/>
    <w:rsid w:val="00950329"/>
    <w:rsid w:val="009536E2"/>
    <w:rsid w:val="009603A7"/>
    <w:rsid w:val="00962D1E"/>
    <w:rsid w:val="0097081C"/>
    <w:rsid w:val="00971ACD"/>
    <w:rsid w:val="00976D66"/>
    <w:rsid w:val="009803CE"/>
    <w:rsid w:val="0098662E"/>
    <w:rsid w:val="00987E1D"/>
    <w:rsid w:val="00991CB7"/>
    <w:rsid w:val="009922FB"/>
    <w:rsid w:val="00994A6D"/>
    <w:rsid w:val="009A441A"/>
    <w:rsid w:val="009A5083"/>
    <w:rsid w:val="009A6555"/>
    <w:rsid w:val="009B0CF6"/>
    <w:rsid w:val="009B46D0"/>
    <w:rsid w:val="009B65C5"/>
    <w:rsid w:val="009C4D4F"/>
    <w:rsid w:val="009D305E"/>
    <w:rsid w:val="009E12A0"/>
    <w:rsid w:val="009E4D4B"/>
    <w:rsid w:val="009F333D"/>
    <w:rsid w:val="009F473C"/>
    <w:rsid w:val="00A068C6"/>
    <w:rsid w:val="00A0748A"/>
    <w:rsid w:val="00A156CE"/>
    <w:rsid w:val="00A26426"/>
    <w:rsid w:val="00A27614"/>
    <w:rsid w:val="00A328C9"/>
    <w:rsid w:val="00A345FE"/>
    <w:rsid w:val="00A348FB"/>
    <w:rsid w:val="00A36092"/>
    <w:rsid w:val="00A43696"/>
    <w:rsid w:val="00A466FD"/>
    <w:rsid w:val="00A5738A"/>
    <w:rsid w:val="00A578F4"/>
    <w:rsid w:val="00A63017"/>
    <w:rsid w:val="00A66D55"/>
    <w:rsid w:val="00A67F20"/>
    <w:rsid w:val="00A71332"/>
    <w:rsid w:val="00A7399C"/>
    <w:rsid w:val="00A77113"/>
    <w:rsid w:val="00A82542"/>
    <w:rsid w:val="00A83101"/>
    <w:rsid w:val="00A837AC"/>
    <w:rsid w:val="00A869C0"/>
    <w:rsid w:val="00A87921"/>
    <w:rsid w:val="00A937CC"/>
    <w:rsid w:val="00AA3831"/>
    <w:rsid w:val="00AA6044"/>
    <w:rsid w:val="00AB527D"/>
    <w:rsid w:val="00AC0837"/>
    <w:rsid w:val="00AC48A2"/>
    <w:rsid w:val="00AC6153"/>
    <w:rsid w:val="00AC6703"/>
    <w:rsid w:val="00AC7094"/>
    <w:rsid w:val="00AC7E5A"/>
    <w:rsid w:val="00AD12B9"/>
    <w:rsid w:val="00AD2F69"/>
    <w:rsid w:val="00AE1996"/>
    <w:rsid w:val="00AE1B61"/>
    <w:rsid w:val="00AE1E66"/>
    <w:rsid w:val="00AE48EE"/>
    <w:rsid w:val="00B011BF"/>
    <w:rsid w:val="00B04EEE"/>
    <w:rsid w:val="00B05712"/>
    <w:rsid w:val="00B12FFD"/>
    <w:rsid w:val="00B2061C"/>
    <w:rsid w:val="00B2720F"/>
    <w:rsid w:val="00B31383"/>
    <w:rsid w:val="00B33554"/>
    <w:rsid w:val="00B432B2"/>
    <w:rsid w:val="00B46F95"/>
    <w:rsid w:val="00B50486"/>
    <w:rsid w:val="00B51DA2"/>
    <w:rsid w:val="00B526DC"/>
    <w:rsid w:val="00B53BDD"/>
    <w:rsid w:val="00B552F2"/>
    <w:rsid w:val="00B565C8"/>
    <w:rsid w:val="00B63E5E"/>
    <w:rsid w:val="00B66242"/>
    <w:rsid w:val="00B664A3"/>
    <w:rsid w:val="00B70782"/>
    <w:rsid w:val="00B70898"/>
    <w:rsid w:val="00B7191D"/>
    <w:rsid w:val="00B802EA"/>
    <w:rsid w:val="00B86C8D"/>
    <w:rsid w:val="00B86E39"/>
    <w:rsid w:val="00B86E7D"/>
    <w:rsid w:val="00B877EC"/>
    <w:rsid w:val="00B92CEB"/>
    <w:rsid w:val="00B93878"/>
    <w:rsid w:val="00B94D20"/>
    <w:rsid w:val="00B9586B"/>
    <w:rsid w:val="00BA2E64"/>
    <w:rsid w:val="00BB4401"/>
    <w:rsid w:val="00BB63E8"/>
    <w:rsid w:val="00BB6897"/>
    <w:rsid w:val="00BC58E0"/>
    <w:rsid w:val="00BC6FEB"/>
    <w:rsid w:val="00BD0B50"/>
    <w:rsid w:val="00BE0D6F"/>
    <w:rsid w:val="00BE1660"/>
    <w:rsid w:val="00BE1AE1"/>
    <w:rsid w:val="00BE39B2"/>
    <w:rsid w:val="00BE4A0B"/>
    <w:rsid w:val="00BF56A8"/>
    <w:rsid w:val="00C0163A"/>
    <w:rsid w:val="00C0574A"/>
    <w:rsid w:val="00C1435F"/>
    <w:rsid w:val="00C143E0"/>
    <w:rsid w:val="00C1503D"/>
    <w:rsid w:val="00C249FF"/>
    <w:rsid w:val="00C30AAB"/>
    <w:rsid w:val="00C32626"/>
    <w:rsid w:val="00C32FC6"/>
    <w:rsid w:val="00C33E9D"/>
    <w:rsid w:val="00C34C95"/>
    <w:rsid w:val="00C37A6B"/>
    <w:rsid w:val="00C40BF8"/>
    <w:rsid w:val="00C429AB"/>
    <w:rsid w:val="00C445C1"/>
    <w:rsid w:val="00C518BE"/>
    <w:rsid w:val="00C5279F"/>
    <w:rsid w:val="00C54546"/>
    <w:rsid w:val="00C62C06"/>
    <w:rsid w:val="00C63B0D"/>
    <w:rsid w:val="00C71626"/>
    <w:rsid w:val="00C737C6"/>
    <w:rsid w:val="00C819AB"/>
    <w:rsid w:val="00C83059"/>
    <w:rsid w:val="00C83E7F"/>
    <w:rsid w:val="00C843C1"/>
    <w:rsid w:val="00C917A4"/>
    <w:rsid w:val="00C93983"/>
    <w:rsid w:val="00C93E85"/>
    <w:rsid w:val="00CA01FD"/>
    <w:rsid w:val="00CA07CC"/>
    <w:rsid w:val="00CA6971"/>
    <w:rsid w:val="00CB0617"/>
    <w:rsid w:val="00CB6926"/>
    <w:rsid w:val="00CC0AD0"/>
    <w:rsid w:val="00CC0D02"/>
    <w:rsid w:val="00CC470A"/>
    <w:rsid w:val="00CD3979"/>
    <w:rsid w:val="00CD54BB"/>
    <w:rsid w:val="00CF059E"/>
    <w:rsid w:val="00CF4CE5"/>
    <w:rsid w:val="00CF4F84"/>
    <w:rsid w:val="00CF65A3"/>
    <w:rsid w:val="00D0113A"/>
    <w:rsid w:val="00D05A17"/>
    <w:rsid w:val="00D07717"/>
    <w:rsid w:val="00D1019D"/>
    <w:rsid w:val="00D16EB6"/>
    <w:rsid w:val="00D17441"/>
    <w:rsid w:val="00D364BC"/>
    <w:rsid w:val="00D44F71"/>
    <w:rsid w:val="00D45CE8"/>
    <w:rsid w:val="00D46894"/>
    <w:rsid w:val="00D471F8"/>
    <w:rsid w:val="00D47939"/>
    <w:rsid w:val="00D47C6E"/>
    <w:rsid w:val="00D5281D"/>
    <w:rsid w:val="00D5473D"/>
    <w:rsid w:val="00D61957"/>
    <w:rsid w:val="00D652EF"/>
    <w:rsid w:val="00D65341"/>
    <w:rsid w:val="00D6549E"/>
    <w:rsid w:val="00D679F1"/>
    <w:rsid w:val="00D70B62"/>
    <w:rsid w:val="00D70E56"/>
    <w:rsid w:val="00D73229"/>
    <w:rsid w:val="00D738C3"/>
    <w:rsid w:val="00D922D5"/>
    <w:rsid w:val="00DA2878"/>
    <w:rsid w:val="00DA45A9"/>
    <w:rsid w:val="00DA51C8"/>
    <w:rsid w:val="00DB22D3"/>
    <w:rsid w:val="00DB568D"/>
    <w:rsid w:val="00DB62BD"/>
    <w:rsid w:val="00DBF96E"/>
    <w:rsid w:val="00DC0099"/>
    <w:rsid w:val="00DC3203"/>
    <w:rsid w:val="00DC4114"/>
    <w:rsid w:val="00DD06BD"/>
    <w:rsid w:val="00DD2B58"/>
    <w:rsid w:val="00DD2BC4"/>
    <w:rsid w:val="00DD453B"/>
    <w:rsid w:val="00DD6B93"/>
    <w:rsid w:val="00DD7F2A"/>
    <w:rsid w:val="00DE01D9"/>
    <w:rsid w:val="00DF171E"/>
    <w:rsid w:val="00DF1738"/>
    <w:rsid w:val="00DF4F56"/>
    <w:rsid w:val="00E000C8"/>
    <w:rsid w:val="00E010AB"/>
    <w:rsid w:val="00E02283"/>
    <w:rsid w:val="00E032DC"/>
    <w:rsid w:val="00E0450D"/>
    <w:rsid w:val="00E10604"/>
    <w:rsid w:val="00E110A6"/>
    <w:rsid w:val="00E13EFE"/>
    <w:rsid w:val="00E142A6"/>
    <w:rsid w:val="00E15DF0"/>
    <w:rsid w:val="00E1710B"/>
    <w:rsid w:val="00E1737F"/>
    <w:rsid w:val="00E17D08"/>
    <w:rsid w:val="00E2241B"/>
    <w:rsid w:val="00E23081"/>
    <w:rsid w:val="00E241EE"/>
    <w:rsid w:val="00E2774B"/>
    <w:rsid w:val="00E31397"/>
    <w:rsid w:val="00E326B1"/>
    <w:rsid w:val="00E32F51"/>
    <w:rsid w:val="00E333D0"/>
    <w:rsid w:val="00E33750"/>
    <w:rsid w:val="00E36E3C"/>
    <w:rsid w:val="00E406A1"/>
    <w:rsid w:val="00E60A1F"/>
    <w:rsid w:val="00E720F7"/>
    <w:rsid w:val="00E750C3"/>
    <w:rsid w:val="00E75F52"/>
    <w:rsid w:val="00E7603E"/>
    <w:rsid w:val="00E81A1D"/>
    <w:rsid w:val="00E958F4"/>
    <w:rsid w:val="00E9615E"/>
    <w:rsid w:val="00E962A7"/>
    <w:rsid w:val="00EA057B"/>
    <w:rsid w:val="00EA49AA"/>
    <w:rsid w:val="00EA5053"/>
    <w:rsid w:val="00EA522C"/>
    <w:rsid w:val="00EA6F7A"/>
    <w:rsid w:val="00EA727B"/>
    <w:rsid w:val="00EA7E5A"/>
    <w:rsid w:val="00EB36DA"/>
    <w:rsid w:val="00EB37F6"/>
    <w:rsid w:val="00EB4112"/>
    <w:rsid w:val="00EB4599"/>
    <w:rsid w:val="00EB73A5"/>
    <w:rsid w:val="00EC2466"/>
    <w:rsid w:val="00EC40C1"/>
    <w:rsid w:val="00EC423A"/>
    <w:rsid w:val="00EC50B0"/>
    <w:rsid w:val="00ED19F0"/>
    <w:rsid w:val="00ED32A4"/>
    <w:rsid w:val="00ED3D40"/>
    <w:rsid w:val="00ED695F"/>
    <w:rsid w:val="00ED77A1"/>
    <w:rsid w:val="00EE067F"/>
    <w:rsid w:val="00EF3688"/>
    <w:rsid w:val="00EF4C2A"/>
    <w:rsid w:val="00EF75C5"/>
    <w:rsid w:val="00EF7B68"/>
    <w:rsid w:val="00F00E63"/>
    <w:rsid w:val="00F01A2D"/>
    <w:rsid w:val="00F02B3D"/>
    <w:rsid w:val="00F04C0B"/>
    <w:rsid w:val="00F10AD1"/>
    <w:rsid w:val="00F155AC"/>
    <w:rsid w:val="00F15638"/>
    <w:rsid w:val="00F21F30"/>
    <w:rsid w:val="00F23080"/>
    <w:rsid w:val="00F26D01"/>
    <w:rsid w:val="00F27E9B"/>
    <w:rsid w:val="00F31F22"/>
    <w:rsid w:val="00F372D1"/>
    <w:rsid w:val="00F37EFC"/>
    <w:rsid w:val="00F37F16"/>
    <w:rsid w:val="00F41C44"/>
    <w:rsid w:val="00F4345B"/>
    <w:rsid w:val="00F44583"/>
    <w:rsid w:val="00F47348"/>
    <w:rsid w:val="00F53885"/>
    <w:rsid w:val="00F5465F"/>
    <w:rsid w:val="00F646D8"/>
    <w:rsid w:val="00F661CE"/>
    <w:rsid w:val="00F6698B"/>
    <w:rsid w:val="00F7594B"/>
    <w:rsid w:val="00F75A1D"/>
    <w:rsid w:val="00F8290F"/>
    <w:rsid w:val="00F83B49"/>
    <w:rsid w:val="00F84300"/>
    <w:rsid w:val="00F84661"/>
    <w:rsid w:val="00F85411"/>
    <w:rsid w:val="00F93BA6"/>
    <w:rsid w:val="00F94744"/>
    <w:rsid w:val="00F955F3"/>
    <w:rsid w:val="00FA124B"/>
    <w:rsid w:val="00FA6439"/>
    <w:rsid w:val="00FB3250"/>
    <w:rsid w:val="00FB3A99"/>
    <w:rsid w:val="00FB43BB"/>
    <w:rsid w:val="00FC0B11"/>
    <w:rsid w:val="00FC2F2C"/>
    <w:rsid w:val="00FC7AE6"/>
    <w:rsid w:val="00FD3981"/>
    <w:rsid w:val="00FD3DCA"/>
    <w:rsid w:val="00FD452A"/>
    <w:rsid w:val="00FD5AE9"/>
    <w:rsid w:val="00FE060B"/>
    <w:rsid w:val="00FE2989"/>
    <w:rsid w:val="00FE4389"/>
    <w:rsid w:val="00FE4DEF"/>
    <w:rsid w:val="00FE6680"/>
    <w:rsid w:val="018BA624"/>
    <w:rsid w:val="01E49813"/>
    <w:rsid w:val="0479A6E9"/>
    <w:rsid w:val="0E071753"/>
    <w:rsid w:val="1062DE56"/>
    <w:rsid w:val="1396648E"/>
    <w:rsid w:val="14B8F37D"/>
    <w:rsid w:val="180D9A6E"/>
    <w:rsid w:val="190C7D87"/>
    <w:rsid w:val="1B3F1845"/>
    <w:rsid w:val="1C40C2E7"/>
    <w:rsid w:val="1C4709CD"/>
    <w:rsid w:val="1E1AA463"/>
    <w:rsid w:val="1E7A7FE7"/>
    <w:rsid w:val="1ECB0D71"/>
    <w:rsid w:val="21EC52E1"/>
    <w:rsid w:val="22CEEE44"/>
    <w:rsid w:val="230B26E9"/>
    <w:rsid w:val="24B21F6F"/>
    <w:rsid w:val="2A5DD7E8"/>
    <w:rsid w:val="31DE0839"/>
    <w:rsid w:val="3393D73B"/>
    <w:rsid w:val="340264B7"/>
    <w:rsid w:val="35D79C9A"/>
    <w:rsid w:val="381F6E0F"/>
    <w:rsid w:val="3C1CE035"/>
    <w:rsid w:val="3F2B3BDE"/>
    <w:rsid w:val="3FE5A742"/>
    <w:rsid w:val="40112EF3"/>
    <w:rsid w:val="4480DE55"/>
    <w:rsid w:val="450E9C88"/>
    <w:rsid w:val="46A08820"/>
    <w:rsid w:val="472F6EF0"/>
    <w:rsid w:val="489B4C77"/>
    <w:rsid w:val="4CCA48CD"/>
    <w:rsid w:val="4D3B882A"/>
    <w:rsid w:val="5030FE53"/>
    <w:rsid w:val="52C1C097"/>
    <w:rsid w:val="5427759D"/>
    <w:rsid w:val="5599D451"/>
    <w:rsid w:val="5740FE6F"/>
    <w:rsid w:val="5D0718C5"/>
    <w:rsid w:val="5EF67095"/>
    <w:rsid w:val="60EE1FFB"/>
    <w:rsid w:val="6707ECB0"/>
    <w:rsid w:val="67958F36"/>
    <w:rsid w:val="693E40E6"/>
    <w:rsid w:val="6A4923BF"/>
    <w:rsid w:val="6A6E668C"/>
    <w:rsid w:val="6F8634C8"/>
    <w:rsid w:val="7271083B"/>
    <w:rsid w:val="75778536"/>
    <w:rsid w:val="770C862C"/>
    <w:rsid w:val="787CF73A"/>
    <w:rsid w:val="78DC564B"/>
    <w:rsid w:val="7DE00D1F"/>
    <w:rsid w:val="7FCE77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50B83E"/>
  <w15:docId w15:val="{E4E3368B-66C8-4F27-BE6F-CFDD94CD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7CBA"/>
    <w:rPr>
      <w:sz w:val="24"/>
      <w:szCs w:val="24"/>
      <w:lang w:val="en-AU"/>
    </w:rPr>
  </w:style>
  <w:style w:type="paragraph" w:styleId="Heading1">
    <w:name w:val="heading 1"/>
    <w:basedOn w:val="ListParagraph"/>
    <w:next w:val="Normal"/>
    <w:link w:val="Heading1Char"/>
    <w:uiPriority w:val="9"/>
    <w:qFormat/>
    <w:rsid w:val="00310F16"/>
    <w:pPr>
      <w:spacing w:after="120"/>
      <w:ind w:left="0"/>
      <w:outlineLvl w:val="0"/>
    </w:pPr>
    <w:rPr>
      <w:b/>
      <w:bCs/>
    </w:rPr>
  </w:style>
  <w:style w:type="paragraph" w:styleId="Heading3">
    <w:name w:val="heading 3"/>
    <w:basedOn w:val="Normal"/>
    <w:next w:val="Normal"/>
    <w:link w:val="Heading3Char"/>
    <w:uiPriority w:val="9"/>
    <w:semiHidden/>
    <w:unhideWhenUsed/>
    <w:qFormat/>
    <w:rsid w:val="00771BB0"/>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10F16"/>
    <w:pPr>
      <w:keepNext/>
      <w:keepLines/>
      <w:spacing w:before="40"/>
      <w:outlineLvl w:val="5"/>
    </w:pPr>
    <w:rPr>
      <w:rFonts w:eastAsiaTheme="majorEastAsia" w:cstheme="majorBidi"/>
      <w:i/>
      <w:color w:val="000000" w:themeColor="text1"/>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hanging="2160"/>
    </w:pPr>
  </w:style>
  <w:style w:type="paragraph" w:styleId="BodyTextIndent2">
    <w:name w:val="Body Text Indent 2"/>
    <w:basedOn w:val="Normal"/>
    <w:pPr>
      <w:ind w:firstLine="2160"/>
    </w:pPr>
  </w:style>
  <w:style w:type="paragraph" w:styleId="BodyTextIndent3">
    <w:name w:val="Body Text Indent 3"/>
    <w:basedOn w:val="Normal"/>
    <w:pPr>
      <w:ind w:left="2160" w:hanging="1440"/>
    </w:pPr>
  </w:style>
  <w:style w:type="paragraph" w:customStyle="1" w:styleId="Default">
    <w:name w:val="Default"/>
    <w:rsid w:val="00AC6703"/>
    <w:pPr>
      <w:autoSpaceDE w:val="0"/>
      <w:autoSpaceDN w:val="0"/>
      <w:adjustRightInd w:val="0"/>
    </w:pPr>
    <w:rPr>
      <w:color w:val="000000"/>
      <w:sz w:val="24"/>
      <w:szCs w:val="24"/>
    </w:rPr>
  </w:style>
  <w:style w:type="character" w:styleId="FootnoteReference">
    <w:name w:val="footnote reference"/>
    <w:uiPriority w:val="99"/>
    <w:semiHidden/>
    <w:rsid w:val="00AC6703"/>
    <w:rPr>
      <w:vertAlign w:val="superscript"/>
    </w:rPr>
  </w:style>
  <w:style w:type="paragraph" w:styleId="EndnoteText">
    <w:name w:val="endnote text"/>
    <w:basedOn w:val="Normal"/>
    <w:link w:val="EndnoteTextChar"/>
    <w:semiHidden/>
    <w:rsid w:val="00F02B3D"/>
    <w:rPr>
      <w:sz w:val="20"/>
      <w:szCs w:val="20"/>
    </w:rPr>
  </w:style>
  <w:style w:type="character" w:customStyle="1" w:styleId="EndnoteTextChar">
    <w:name w:val="Endnote Text Char"/>
    <w:basedOn w:val="DefaultParagraphFont"/>
    <w:link w:val="EndnoteText"/>
    <w:semiHidden/>
    <w:rsid w:val="00F02B3D"/>
  </w:style>
  <w:style w:type="character" w:styleId="EndnoteReference">
    <w:name w:val="endnote reference"/>
    <w:semiHidden/>
    <w:rsid w:val="00F02B3D"/>
    <w:rPr>
      <w:vertAlign w:val="superscript"/>
    </w:rPr>
  </w:style>
  <w:style w:type="paragraph" w:styleId="ListParagraph">
    <w:name w:val="List Paragraph"/>
    <w:basedOn w:val="Normal"/>
    <w:uiPriority w:val="34"/>
    <w:qFormat/>
    <w:rsid w:val="00F02B3D"/>
    <w:pPr>
      <w:ind w:left="720"/>
    </w:pPr>
  </w:style>
  <w:style w:type="paragraph" w:customStyle="1" w:styleId="Question">
    <w:name w:val="Question"/>
    <w:basedOn w:val="Normal"/>
    <w:link w:val="QuestionChar"/>
    <w:rsid w:val="00AE1E66"/>
    <w:pPr>
      <w:spacing w:before="200"/>
      <w:ind w:left="14"/>
    </w:pPr>
    <w:rPr>
      <w:rFonts w:ascii="Calibri" w:eastAsia="Calibri" w:hAnsi="Calibri"/>
      <w:color w:val="C0504D"/>
      <w:sz w:val="22"/>
      <w:szCs w:val="22"/>
    </w:rPr>
  </w:style>
  <w:style w:type="character" w:customStyle="1" w:styleId="QuestionChar">
    <w:name w:val="Question Char"/>
    <w:link w:val="Question"/>
    <w:rsid w:val="00AE1E66"/>
    <w:rPr>
      <w:rFonts w:ascii="Calibri" w:eastAsia="Calibri" w:hAnsi="Calibri"/>
      <w:color w:val="C0504D"/>
      <w:sz w:val="22"/>
      <w:szCs w:val="22"/>
    </w:rPr>
  </w:style>
  <w:style w:type="paragraph" w:customStyle="1" w:styleId="Item">
    <w:name w:val="Item"/>
    <w:link w:val="ItemChar"/>
    <w:rsid w:val="00AE1E66"/>
    <w:pPr>
      <w:keepNext/>
      <w:tabs>
        <w:tab w:val="left" w:pos="8647"/>
      </w:tabs>
      <w:spacing w:before="200"/>
      <w:ind w:left="14"/>
    </w:pPr>
    <w:rPr>
      <w:sz w:val="24"/>
      <w:lang w:val="en-AU"/>
    </w:rPr>
  </w:style>
  <w:style w:type="character" w:customStyle="1" w:styleId="ItemChar">
    <w:name w:val="Item Char"/>
    <w:link w:val="Item"/>
    <w:locked/>
    <w:rsid w:val="00AE1E66"/>
    <w:rPr>
      <w:sz w:val="24"/>
      <w:lang w:val="en-AU"/>
    </w:rPr>
  </w:style>
  <w:style w:type="paragraph" w:customStyle="1" w:styleId="QuestionN">
    <w:name w:val="Question N."/>
    <w:basedOn w:val="Normal"/>
    <w:rsid w:val="00AE1E66"/>
    <w:pPr>
      <w:keepNext/>
      <w:spacing w:before="240" w:after="60"/>
      <w:ind w:left="360" w:right="-1474" w:hanging="360"/>
    </w:pPr>
    <w:rPr>
      <w:rFonts w:ascii="Helvetica" w:hAnsi="Helvetica"/>
      <w:b/>
      <w:sz w:val="28"/>
      <w:szCs w:val="20"/>
      <w:lang w:val="en-GB" w:eastAsia="fr-FR"/>
    </w:rPr>
  </w:style>
  <w:style w:type="paragraph" w:customStyle="1" w:styleId="question0">
    <w:name w:val="question"/>
    <w:basedOn w:val="Normal"/>
    <w:uiPriority w:val="99"/>
    <w:rsid w:val="00AE1E66"/>
    <w:pPr>
      <w:numPr>
        <w:numId w:val="1"/>
      </w:numPr>
      <w:spacing w:before="240" w:after="120" w:line="264" w:lineRule="auto"/>
      <w:ind w:left="360"/>
    </w:pPr>
    <w:rPr>
      <w:rFonts w:ascii="Arial" w:hAnsi="Arial" w:cs="Arial"/>
      <w:sz w:val="22"/>
      <w:szCs w:val="22"/>
    </w:rPr>
  </w:style>
  <w:style w:type="paragraph" w:customStyle="1" w:styleId="TT-TableTitle">
    <w:name w:val="TT-Table Title"/>
    <w:uiPriority w:val="99"/>
    <w:rsid w:val="00AE1E66"/>
    <w:pPr>
      <w:tabs>
        <w:tab w:val="left" w:pos="1152"/>
      </w:tabs>
      <w:spacing w:before="240" w:line="240" w:lineRule="atLeast"/>
      <w:ind w:left="1152" w:hanging="1152"/>
    </w:pPr>
    <w:rPr>
      <w:rFonts w:ascii="Garamond" w:hAnsi="Garamond"/>
      <w:b/>
      <w:sz w:val="24"/>
    </w:rPr>
  </w:style>
  <w:style w:type="paragraph" w:customStyle="1" w:styleId="Num-DocParagraph">
    <w:name w:val="Num-Doc Paragraph"/>
    <w:basedOn w:val="BodyText"/>
    <w:uiPriority w:val="99"/>
    <w:rsid w:val="00AE1E66"/>
    <w:pPr>
      <w:tabs>
        <w:tab w:val="left" w:pos="850"/>
        <w:tab w:val="left" w:pos="1191"/>
        <w:tab w:val="left" w:pos="1531"/>
      </w:tabs>
      <w:spacing w:after="240"/>
      <w:jc w:val="both"/>
    </w:pPr>
    <w:rPr>
      <w:sz w:val="22"/>
      <w:szCs w:val="22"/>
      <w:lang w:val="en-GB" w:eastAsia="zh-CN"/>
    </w:rPr>
  </w:style>
  <w:style w:type="paragraph" w:styleId="BodyText">
    <w:name w:val="Body Text"/>
    <w:basedOn w:val="Normal"/>
    <w:link w:val="BodyTextChar"/>
    <w:uiPriority w:val="99"/>
    <w:semiHidden/>
    <w:unhideWhenUsed/>
    <w:rsid w:val="00AE1E66"/>
    <w:pPr>
      <w:spacing w:after="120"/>
    </w:pPr>
  </w:style>
  <w:style w:type="character" w:customStyle="1" w:styleId="BodyTextChar">
    <w:name w:val="Body Text Char"/>
    <w:link w:val="BodyText"/>
    <w:uiPriority w:val="99"/>
    <w:semiHidden/>
    <w:rsid w:val="00AE1E66"/>
    <w:rPr>
      <w:sz w:val="24"/>
      <w:szCs w:val="24"/>
    </w:rPr>
  </w:style>
  <w:style w:type="paragraph" w:styleId="Header">
    <w:name w:val="header"/>
    <w:basedOn w:val="Normal"/>
    <w:link w:val="HeaderChar"/>
    <w:uiPriority w:val="99"/>
    <w:unhideWhenUsed/>
    <w:rsid w:val="00AE1E66"/>
    <w:pPr>
      <w:tabs>
        <w:tab w:val="center" w:pos="4680"/>
        <w:tab w:val="right" w:pos="9360"/>
      </w:tabs>
    </w:pPr>
  </w:style>
  <w:style w:type="character" w:customStyle="1" w:styleId="HeaderChar">
    <w:name w:val="Header Char"/>
    <w:link w:val="Header"/>
    <w:uiPriority w:val="99"/>
    <w:rsid w:val="00AE1E66"/>
    <w:rPr>
      <w:sz w:val="24"/>
      <w:szCs w:val="24"/>
    </w:rPr>
  </w:style>
  <w:style w:type="paragraph" w:styleId="Footer">
    <w:name w:val="footer"/>
    <w:basedOn w:val="Normal"/>
    <w:link w:val="FooterChar"/>
    <w:uiPriority w:val="99"/>
    <w:unhideWhenUsed/>
    <w:rsid w:val="00AE1E66"/>
    <w:pPr>
      <w:tabs>
        <w:tab w:val="center" w:pos="4680"/>
        <w:tab w:val="right" w:pos="9360"/>
      </w:tabs>
    </w:pPr>
  </w:style>
  <w:style w:type="character" w:customStyle="1" w:styleId="FooterChar">
    <w:name w:val="Footer Char"/>
    <w:link w:val="Footer"/>
    <w:uiPriority w:val="99"/>
    <w:rsid w:val="00AE1E66"/>
    <w:rPr>
      <w:sz w:val="24"/>
      <w:szCs w:val="24"/>
    </w:rPr>
  </w:style>
  <w:style w:type="paragraph" w:styleId="CommentText">
    <w:name w:val="annotation text"/>
    <w:basedOn w:val="Normal"/>
    <w:link w:val="CommentTextChar"/>
    <w:uiPriority w:val="99"/>
    <w:unhideWhenUsed/>
    <w:rsid w:val="00AE1E66"/>
    <w:rPr>
      <w:sz w:val="20"/>
      <w:szCs w:val="20"/>
    </w:rPr>
  </w:style>
  <w:style w:type="character" w:customStyle="1" w:styleId="CommentTextChar">
    <w:name w:val="Comment Text Char"/>
    <w:basedOn w:val="DefaultParagraphFont"/>
    <w:link w:val="CommentText"/>
    <w:uiPriority w:val="99"/>
    <w:rsid w:val="00AE1E66"/>
  </w:style>
  <w:style w:type="character" w:customStyle="1" w:styleId="CommentSubjectChar">
    <w:name w:val="Comment Subject Char"/>
    <w:link w:val="CommentSubject"/>
    <w:uiPriority w:val="99"/>
    <w:semiHidden/>
    <w:rsid w:val="00AE1E66"/>
    <w:rPr>
      <w:b/>
      <w:bCs/>
    </w:rPr>
  </w:style>
  <w:style w:type="paragraph" w:styleId="CommentSubject">
    <w:name w:val="annotation subject"/>
    <w:basedOn w:val="CommentText"/>
    <w:next w:val="CommentText"/>
    <w:link w:val="CommentSubjectChar"/>
    <w:uiPriority w:val="99"/>
    <w:semiHidden/>
    <w:unhideWhenUsed/>
    <w:rsid w:val="00AE1E66"/>
    <w:rPr>
      <w:b/>
      <w:bCs/>
    </w:rPr>
  </w:style>
  <w:style w:type="character" w:customStyle="1" w:styleId="BalloonTextChar">
    <w:name w:val="Balloon Text Char"/>
    <w:link w:val="BalloonText"/>
    <w:uiPriority w:val="99"/>
    <w:semiHidden/>
    <w:rsid w:val="00AE1E66"/>
    <w:rPr>
      <w:rFonts w:ascii="Segoe UI" w:hAnsi="Segoe UI" w:cs="Segoe UI"/>
      <w:sz w:val="18"/>
      <w:szCs w:val="18"/>
    </w:rPr>
  </w:style>
  <w:style w:type="paragraph" w:styleId="BalloonText">
    <w:name w:val="Balloon Text"/>
    <w:basedOn w:val="Normal"/>
    <w:link w:val="BalloonTextChar"/>
    <w:uiPriority w:val="99"/>
    <w:semiHidden/>
    <w:unhideWhenUsed/>
    <w:rsid w:val="00AE1E66"/>
    <w:rPr>
      <w:rFonts w:ascii="Segoe UI" w:hAnsi="Segoe UI" w:cs="Segoe UI"/>
      <w:sz w:val="18"/>
      <w:szCs w:val="18"/>
    </w:rPr>
  </w:style>
  <w:style w:type="paragraph" w:customStyle="1" w:styleId="InstructionsPen">
    <w:name w:val="Instructions Pen"/>
    <w:rsid w:val="00AE1E66"/>
    <w:pPr>
      <w:tabs>
        <w:tab w:val="left" w:leader="underscore" w:pos="8647"/>
      </w:tabs>
      <w:spacing w:before="120" w:after="120"/>
      <w:ind w:left="14"/>
      <w:jc w:val="both"/>
    </w:pPr>
    <w:rPr>
      <w:i/>
      <w:sz w:val="28"/>
      <w:lang w:val="en-AU"/>
    </w:rPr>
  </w:style>
  <w:style w:type="paragraph" w:styleId="BodyText3">
    <w:name w:val="Body Text 3"/>
    <w:basedOn w:val="Normal"/>
    <w:link w:val="BodyText3Char"/>
    <w:uiPriority w:val="99"/>
    <w:rsid w:val="00AE1E66"/>
    <w:pPr>
      <w:spacing w:after="120"/>
    </w:pPr>
    <w:rPr>
      <w:rFonts w:ascii="Arial" w:hAnsi="Arial"/>
      <w:sz w:val="16"/>
      <w:szCs w:val="16"/>
    </w:rPr>
  </w:style>
  <w:style w:type="character" w:customStyle="1" w:styleId="BodyText3Char">
    <w:name w:val="Body Text 3 Char"/>
    <w:link w:val="BodyText3"/>
    <w:uiPriority w:val="99"/>
    <w:rsid w:val="00AE1E66"/>
    <w:rPr>
      <w:rFonts w:ascii="Arial" w:hAnsi="Arial"/>
      <w:sz w:val="16"/>
      <w:szCs w:val="16"/>
    </w:rPr>
  </w:style>
  <w:style w:type="paragraph" w:customStyle="1" w:styleId="PISATabelleersteZeile">
    <w:name w:val="PISA Tabelle erste Zeile"/>
    <w:basedOn w:val="Normal"/>
    <w:qFormat/>
    <w:rsid w:val="00AE1E66"/>
    <w:pPr>
      <w:spacing w:before="80" w:after="80"/>
    </w:pPr>
    <w:rPr>
      <w:rFonts w:ascii="Helvetica" w:eastAsia="Calibri" w:hAnsi="Helvetica" w:cs="Calibri"/>
      <w:b/>
      <w:sz w:val="28"/>
      <w:szCs w:val="20"/>
      <w:lang w:val="en-GB"/>
    </w:rPr>
  </w:style>
  <w:style w:type="paragraph" w:customStyle="1" w:styleId="PISATabelleAnmerkung">
    <w:name w:val="PISA Tabelle Anmerkung"/>
    <w:basedOn w:val="Normal"/>
    <w:qFormat/>
    <w:rsid w:val="00AE1E66"/>
    <w:pPr>
      <w:spacing w:before="120" w:after="120"/>
    </w:pPr>
    <w:rPr>
      <w:rFonts w:eastAsia="Calibri" w:cs="Calibri"/>
      <w:i/>
      <w:sz w:val="28"/>
      <w:szCs w:val="20"/>
      <w:lang w:val="en-GB"/>
    </w:rPr>
  </w:style>
  <w:style w:type="paragraph" w:customStyle="1" w:styleId="PISATabelleInhalt">
    <w:name w:val="PISA Tabelle Inhalt"/>
    <w:basedOn w:val="Normal"/>
    <w:link w:val="PISATabelleInhaltZchn"/>
    <w:qFormat/>
    <w:rsid w:val="00AE1E66"/>
    <w:pPr>
      <w:spacing w:before="80" w:after="80"/>
    </w:pPr>
    <w:rPr>
      <w:rFonts w:eastAsia="Calibri" w:cs="Calibri"/>
      <w:szCs w:val="20"/>
      <w:lang w:val="en-GB"/>
    </w:rPr>
  </w:style>
  <w:style w:type="character" w:customStyle="1" w:styleId="PISATabelleInhaltZchn">
    <w:name w:val="PISA Tabelle Inhalt Zchn"/>
    <w:link w:val="PISATabelleInhalt"/>
    <w:rsid w:val="00AE1E66"/>
    <w:rPr>
      <w:rFonts w:eastAsia="Calibri" w:cs="Calibri"/>
      <w:sz w:val="24"/>
      <w:lang w:val="en-GB"/>
    </w:rPr>
  </w:style>
  <w:style w:type="paragraph" w:customStyle="1" w:styleId="PISATabelleAntwortkategorien">
    <w:name w:val="PISA Tabelle Antwortkategorien"/>
    <w:basedOn w:val="Normal"/>
    <w:qFormat/>
    <w:rsid w:val="00AE1E66"/>
    <w:pPr>
      <w:spacing w:before="40" w:after="40"/>
      <w:jc w:val="center"/>
    </w:pPr>
    <w:rPr>
      <w:rFonts w:eastAsia="Calibri" w:cs="Calibri"/>
      <w:i/>
      <w:sz w:val="22"/>
      <w:szCs w:val="20"/>
      <w:lang w:val="en-GB"/>
    </w:rPr>
  </w:style>
  <w:style w:type="paragraph" w:customStyle="1" w:styleId="PISATabelleNummerierung">
    <w:name w:val="PISA Tabelle Nummerierung"/>
    <w:basedOn w:val="Normal"/>
    <w:qFormat/>
    <w:rsid w:val="00AE1E66"/>
    <w:pPr>
      <w:spacing w:before="80" w:after="80"/>
      <w:jc w:val="right"/>
    </w:pPr>
    <w:rPr>
      <w:rFonts w:eastAsia="Calibri" w:cs="Calibri"/>
      <w:szCs w:val="20"/>
      <w:lang w:val="en-GB"/>
    </w:rPr>
  </w:style>
  <w:style w:type="paragraph" w:customStyle="1" w:styleId="CategoryHeader">
    <w:name w:val="Category Header"/>
    <w:uiPriority w:val="99"/>
    <w:rsid w:val="00AE1E66"/>
    <w:pPr>
      <w:spacing w:before="200" w:after="60" w:line="180" w:lineRule="auto"/>
      <w:jc w:val="center"/>
    </w:pPr>
    <w:rPr>
      <w:rFonts w:ascii="Times" w:hAnsi="Times"/>
      <w:i/>
      <w:sz w:val="22"/>
      <w:lang w:val="en-AU"/>
    </w:rPr>
  </w:style>
  <w:style w:type="paragraph" w:customStyle="1" w:styleId="TALISDimensionOrCategoryText">
    <w:name w:val="_TALIS_DimensionOrCategoryText"/>
    <w:basedOn w:val="Normal"/>
    <w:link w:val="TALISDimensionOrCategoryTextChar"/>
    <w:rsid w:val="007F6591"/>
    <w:pPr>
      <w:keepNext/>
      <w:keepLines/>
      <w:widowControl w:val="0"/>
      <w:tabs>
        <w:tab w:val="right" w:leader="dot" w:pos="7938"/>
      </w:tabs>
      <w:suppressAutoHyphens/>
      <w:spacing w:before="80" w:after="80"/>
    </w:pPr>
    <w:rPr>
      <w:rFonts w:ascii="Tahoma" w:eastAsia="PMingLiU" w:hAnsi="Tahoma" w:cs="Tahoma"/>
      <w:kern w:val="1"/>
      <w:sz w:val="20"/>
      <w:szCs w:val="20"/>
      <w:lang w:val="en-GB" w:eastAsia="hi-IN" w:bidi="hi-IN"/>
    </w:rPr>
  </w:style>
  <w:style w:type="character" w:customStyle="1" w:styleId="TALISDimensionOrCategoryTextChar">
    <w:name w:val="_TALIS_DimensionOrCategoryText Char"/>
    <w:link w:val="TALISDimensionOrCategoryText"/>
    <w:rsid w:val="007F6591"/>
    <w:rPr>
      <w:rFonts w:ascii="Tahoma" w:eastAsia="PMingLiU" w:hAnsi="Tahoma" w:cs="Tahoma"/>
      <w:kern w:val="1"/>
      <w:lang w:val="en-GB" w:eastAsia="hi-IN" w:bidi="hi-IN"/>
    </w:rPr>
  </w:style>
  <w:style w:type="paragraph" w:customStyle="1" w:styleId="TALISUnitSymbol">
    <w:name w:val="_TALIS_UnitSymbol"/>
    <w:basedOn w:val="Normal"/>
    <w:qFormat/>
    <w:rsid w:val="00F15638"/>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TALISQuestionText">
    <w:name w:val="_TALIS_QuestionText"/>
    <w:basedOn w:val="Normal"/>
    <w:rsid w:val="00727362"/>
    <w:pPr>
      <w:widowControl w:val="0"/>
      <w:suppressAutoHyphens/>
      <w:spacing w:before="80" w:after="80"/>
    </w:pPr>
    <w:rPr>
      <w:rFonts w:ascii="Tahoma" w:eastAsia="Arial Unicode MS" w:hAnsi="Tahoma" w:cs="Tahoma"/>
      <w:b/>
      <w:bCs/>
      <w:kern w:val="1"/>
      <w:sz w:val="20"/>
      <w:lang w:val="en-GB" w:eastAsia="hi-IN" w:bidi="hi-IN"/>
    </w:rPr>
  </w:style>
  <w:style w:type="paragraph" w:customStyle="1" w:styleId="TALISInstruction">
    <w:name w:val="_TALIS_Instruction"/>
    <w:basedOn w:val="Normal"/>
    <w:link w:val="TALISInstructionCharChar"/>
    <w:rsid w:val="00727362"/>
    <w:pPr>
      <w:widowControl w:val="0"/>
      <w:suppressAutoHyphens/>
      <w:spacing w:before="80" w:after="80"/>
    </w:pPr>
    <w:rPr>
      <w:rFonts w:ascii="Tahoma" w:eastAsia="Arial Unicode MS" w:hAnsi="Tahoma" w:cs="Tahoma"/>
      <w:i/>
      <w:kern w:val="1"/>
      <w:sz w:val="20"/>
      <w:szCs w:val="20"/>
      <w:lang w:val="en-GB" w:eastAsia="hi-IN" w:bidi="hi-IN"/>
    </w:rPr>
  </w:style>
  <w:style w:type="character" w:customStyle="1" w:styleId="TALISInstructionCharChar">
    <w:name w:val="_TALIS_Instruction Char Char"/>
    <w:link w:val="TALISInstruction"/>
    <w:rsid w:val="00727362"/>
    <w:rPr>
      <w:rFonts w:ascii="Tahoma" w:eastAsia="Arial Unicode MS" w:hAnsi="Tahoma" w:cs="Tahoma"/>
      <w:i/>
      <w:kern w:val="1"/>
      <w:lang w:val="en-GB" w:eastAsia="hi-IN" w:bidi="hi-IN"/>
    </w:rPr>
  </w:style>
  <w:style w:type="paragraph" w:customStyle="1" w:styleId="TALISCheckboxMatrix">
    <w:name w:val="_TALIS_CheckboxMatrix"/>
    <w:basedOn w:val="Normal"/>
    <w:rsid w:val="00727362"/>
    <w:pPr>
      <w:widowControl w:val="0"/>
      <w:suppressAutoHyphens/>
      <w:spacing w:after="80"/>
      <w:jc w:val="center"/>
    </w:pPr>
    <w:rPr>
      <w:rFonts w:ascii="Wingdings" w:eastAsia="Arial Unicode MS" w:hAnsi="Wingdings" w:cs="Tahoma"/>
      <w:kern w:val="32"/>
      <w:sz w:val="28"/>
      <w:szCs w:val="32"/>
      <w:lang w:val="en-GB" w:eastAsia="hi-IN" w:bidi="hi-IN"/>
    </w:rPr>
  </w:style>
  <w:style w:type="character" w:customStyle="1" w:styleId="TALISCode">
    <w:name w:val="_TALIS_Code"/>
    <w:rsid w:val="00727362"/>
    <w:rPr>
      <w:rFonts w:ascii="Tahoma" w:hAnsi="Tahoma"/>
      <w:color w:val="auto"/>
      <w:sz w:val="16"/>
      <w:vertAlign w:val="subscript"/>
    </w:rPr>
  </w:style>
  <w:style w:type="paragraph" w:customStyle="1" w:styleId="TALISCheckboxList">
    <w:name w:val="_TALIS_CheckboxList"/>
    <w:basedOn w:val="Normal"/>
    <w:qFormat/>
    <w:rsid w:val="00727362"/>
    <w:pPr>
      <w:widowControl w:val="0"/>
      <w:suppressAutoHyphens/>
      <w:spacing w:before="60"/>
      <w:jc w:val="center"/>
    </w:pPr>
    <w:rPr>
      <w:rFonts w:ascii="Wingdings" w:eastAsia="Arial Unicode MS" w:hAnsi="Wingdings" w:cs="Tahoma"/>
      <w:kern w:val="32"/>
      <w:sz w:val="28"/>
      <w:szCs w:val="32"/>
      <w:lang w:val="en-GB" w:eastAsia="hi-IN" w:bidi="hi-IN"/>
    </w:rPr>
  </w:style>
  <w:style w:type="character" w:styleId="CommentReference">
    <w:name w:val="annotation reference"/>
    <w:uiPriority w:val="99"/>
    <w:semiHidden/>
    <w:unhideWhenUsed/>
    <w:rsid w:val="00727362"/>
    <w:rPr>
      <w:sz w:val="16"/>
      <w:szCs w:val="16"/>
    </w:rPr>
  </w:style>
  <w:style w:type="paragraph" w:customStyle="1" w:styleId="TALISDimensionNumber">
    <w:name w:val="_TALIS_DimensionNumber"/>
    <w:basedOn w:val="Normal"/>
    <w:rsid w:val="004235F0"/>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TALISQuestionNumber">
    <w:name w:val="_TALIS_QuestionNumber"/>
    <w:basedOn w:val="Normal"/>
    <w:qFormat/>
    <w:rsid w:val="005E5677"/>
    <w:pPr>
      <w:widowControl w:val="0"/>
      <w:numPr>
        <w:numId w:val="2"/>
      </w:numPr>
      <w:suppressAutoHyphens/>
      <w:spacing w:before="80" w:after="80"/>
      <w:ind w:left="360"/>
    </w:pPr>
    <w:rPr>
      <w:rFonts w:ascii="Tahoma" w:eastAsia="Arial Unicode MS" w:hAnsi="Tahoma" w:cs="Tahoma"/>
      <w:b/>
      <w:kern w:val="1"/>
      <w:sz w:val="20"/>
      <w:szCs w:val="20"/>
      <w:lang w:val="en-GB" w:eastAsia="hi-IN" w:bidi="hi-IN"/>
    </w:rPr>
  </w:style>
  <w:style w:type="paragraph" w:customStyle="1" w:styleId="TALISBullet1">
    <w:name w:val="_TALIS_Bullet1"/>
    <w:basedOn w:val="Normal"/>
    <w:rsid w:val="00B04EE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TALISSubtitle">
    <w:name w:val="_TALIS_Subtitle"/>
    <w:basedOn w:val="Normal"/>
    <w:rsid w:val="00B04EEE"/>
    <w:pPr>
      <w:widowControl w:val="0"/>
      <w:suppressAutoHyphens/>
      <w:spacing w:before="240" w:after="120"/>
    </w:pPr>
    <w:rPr>
      <w:rFonts w:ascii="Arial" w:eastAsia="Arial Unicode MS" w:hAnsi="Arial" w:cs="Tahoma"/>
      <w:b/>
      <w:kern w:val="1"/>
      <w:sz w:val="28"/>
      <w:szCs w:val="28"/>
      <w:lang w:val="en-GB" w:eastAsia="hi-IN" w:bidi="hi-IN"/>
    </w:rPr>
  </w:style>
  <w:style w:type="paragraph" w:styleId="NormalWeb">
    <w:name w:val="Normal (Web)"/>
    <w:basedOn w:val="Normal"/>
    <w:uiPriority w:val="99"/>
    <w:unhideWhenUsed/>
    <w:rsid w:val="00D47C6E"/>
    <w:pPr>
      <w:spacing w:before="100" w:beforeAutospacing="1" w:after="100" w:afterAutospacing="1"/>
    </w:pPr>
  </w:style>
  <w:style w:type="character" w:styleId="Strong">
    <w:name w:val="Strong"/>
    <w:basedOn w:val="DefaultParagraphFont"/>
    <w:uiPriority w:val="22"/>
    <w:qFormat/>
    <w:rsid w:val="00D47C6E"/>
    <w:rPr>
      <w:b/>
      <w:bCs/>
    </w:rPr>
  </w:style>
  <w:style w:type="table" w:styleId="TableGrid">
    <w:name w:val="Table Grid"/>
    <w:basedOn w:val="TableNormal"/>
    <w:rsid w:val="00804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0F16"/>
    <w:rPr>
      <w:b/>
      <w:bCs/>
      <w:sz w:val="24"/>
      <w:szCs w:val="24"/>
      <w:lang w:val="en-AU"/>
    </w:rPr>
  </w:style>
  <w:style w:type="character" w:customStyle="1" w:styleId="Heading6Char">
    <w:name w:val="Heading 6 Char"/>
    <w:basedOn w:val="DefaultParagraphFont"/>
    <w:link w:val="Heading6"/>
    <w:uiPriority w:val="9"/>
    <w:rsid w:val="00310F16"/>
    <w:rPr>
      <w:rFonts w:eastAsiaTheme="majorEastAsia" w:cstheme="majorBidi"/>
      <w:i/>
      <w:color w:val="000000" w:themeColor="text1"/>
      <w:sz w:val="24"/>
      <w:szCs w:val="28"/>
    </w:rPr>
  </w:style>
  <w:style w:type="character" w:customStyle="1" w:styleId="Heading3Char">
    <w:name w:val="Heading 3 Char"/>
    <w:basedOn w:val="DefaultParagraphFont"/>
    <w:link w:val="Heading3"/>
    <w:uiPriority w:val="9"/>
    <w:semiHidden/>
    <w:rsid w:val="00771BB0"/>
    <w:rPr>
      <w:rFonts w:asciiTheme="majorHAnsi" w:eastAsiaTheme="majorEastAsia" w:hAnsiTheme="majorHAnsi" w:cstheme="majorBidi"/>
      <w:color w:val="243F60" w:themeColor="accent1" w:themeShade="7F"/>
      <w:sz w:val="24"/>
      <w:szCs w:val="24"/>
      <w:lang w:val="en-AU"/>
    </w:rPr>
  </w:style>
  <w:style w:type="paragraph" w:styleId="Revision">
    <w:name w:val="Revision"/>
    <w:hidden/>
    <w:uiPriority w:val="99"/>
    <w:semiHidden/>
    <w:rsid w:val="00204086"/>
    <w:rPr>
      <w:sz w:val="24"/>
      <w:szCs w:val="24"/>
      <w:lang w:val="en-AU"/>
    </w:rPr>
  </w:style>
  <w:style w:type="character" w:customStyle="1" w:styleId="normaltextrun">
    <w:name w:val="normaltextrun"/>
    <w:basedOn w:val="DefaultParagraphFont"/>
    <w:rsid w:val="00B526DC"/>
  </w:style>
  <w:style w:type="character" w:customStyle="1" w:styleId="eop">
    <w:name w:val="eop"/>
    <w:basedOn w:val="DefaultParagraphFont"/>
    <w:rsid w:val="00B526DC"/>
  </w:style>
  <w:style w:type="paragraph" w:customStyle="1" w:styleId="BodyText1">
    <w:name w:val="Body Text1"/>
    <w:basedOn w:val="Normal"/>
    <w:uiPriority w:val="99"/>
    <w:rsid w:val="00E81A1D"/>
    <w:pPr>
      <w:spacing w:before="120" w:after="120" w:line="300" w:lineRule="atLeast"/>
    </w:pPr>
    <w:rPr>
      <w:rFonts w:ascii="Garamond" w:hAnsi="Garamond"/>
      <w:lang w:val="en-US"/>
    </w:rPr>
  </w:style>
  <w:style w:type="paragraph" w:styleId="FootnoteText">
    <w:name w:val="footnote text"/>
    <w:aliases w:val="F1"/>
    <w:basedOn w:val="Normal"/>
    <w:link w:val="FootnoteTextChar"/>
    <w:uiPriority w:val="99"/>
    <w:semiHidden/>
    <w:unhideWhenUsed/>
    <w:rsid w:val="000454C9"/>
    <w:rPr>
      <w:rFonts w:asciiTheme="minorHAnsi" w:eastAsiaTheme="minorEastAsia" w:hAnsiTheme="minorHAnsi" w:cstheme="minorBidi"/>
      <w:sz w:val="20"/>
      <w:szCs w:val="20"/>
      <w:lang w:val="en-US"/>
    </w:rPr>
  </w:style>
  <w:style w:type="character" w:customStyle="1" w:styleId="FootnoteTextChar">
    <w:name w:val="Footnote Text Char"/>
    <w:aliases w:val="F1 Char"/>
    <w:basedOn w:val="DefaultParagraphFont"/>
    <w:link w:val="FootnoteText"/>
    <w:uiPriority w:val="99"/>
    <w:semiHidden/>
    <w:rsid w:val="000454C9"/>
    <w:rPr>
      <w:rFonts w:asciiTheme="minorHAnsi" w:eastAsiaTheme="minorEastAsia" w:hAnsiTheme="minorHAnsi" w:cstheme="minorBidi"/>
    </w:rPr>
  </w:style>
  <w:style w:type="paragraph" w:styleId="NoSpacing">
    <w:name w:val="No Spacing"/>
    <w:uiPriority w:val="1"/>
    <w:qFormat/>
    <w:rsid w:val="00FD3981"/>
    <w:rPr>
      <w:sz w:val="24"/>
      <w:szCs w:val="24"/>
      <w:lang w:val="en-AU"/>
    </w:rPr>
  </w:style>
  <w:style w:type="paragraph" w:customStyle="1" w:styleId="xmsonormal">
    <w:name w:val="x_msonormal"/>
    <w:basedOn w:val="Normal"/>
    <w:rsid w:val="0032319F"/>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1DE2B-D06A-407B-9427-A0A3AB9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1154</Words>
  <Characters>6581</Characters>
  <Application>Microsoft Office Word</Application>
  <DocSecurity>0</DocSecurity>
  <Lines>54</Lines>
  <Paragraphs>15</Paragraphs>
  <ScaleCrop>false</ScaleCrop>
  <Company>U.S. Department of Education</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ERSMCGILL</dc:creator>
  <cp:lastModifiedBy>Clarady, Carrie</cp:lastModifiedBy>
  <cp:revision>15</cp:revision>
  <cp:lastPrinted>2003-01-13T21:59:00Z</cp:lastPrinted>
  <dcterms:created xsi:type="dcterms:W3CDTF">2024-01-12T18:28:00Z</dcterms:created>
  <dcterms:modified xsi:type="dcterms:W3CDTF">2024-01-12T20:09:00Z</dcterms:modified>
</cp:coreProperties>
</file>