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7E29" w:rsidRPr="005F7E29" w:rsidP="005F7E29" w14:paraId="269B43AF" w14:textId="77777777">
      <w:pPr>
        <w:spacing w:after="0" w:line="240" w:lineRule="auto"/>
        <w:jc w:val="center"/>
      </w:pPr>
      <w:r w:rsidRPr="005F7E29">
        <w:t>FEDERAL ENERGY REGULATORY COMMISSION</w:t>
      </w:r>
    </w:p>
    <w:p w:rsidR="005F7E29" w:rsidRPr="005F7E29" w:rsidP="005F7E29" w14:paraId="2D806099" w14:textId="77777777">
      <w:pPr>
        <w:spacing w:after="0" w:line="240" w:lineRule="auto"/>
        <w:jc w:val="center"/>
      </w:pPr>
      <w:r w:rsidRPr="005F7E29">
        <w:t>WASHINGTON, D.C. 20426</w:t>
      </w:r>
    </w:p>
    <w:p w:rsidR="005F7E29" w:rsidRPr="005F7E29" w:rsidP="005F7E29" w14:paraId="3106A71F" w14:textId="77777777">
      <w:pPr>
        <w:spacing w:after="0" w:line="240" w:lineRule="auto"/>
      </w:pPr>
    </w:p>
    <w:p w:rsidR="005F7E29" w:rsidRPr="005F7E29" w:rsidP="005F7E29" w14:paraId="67462C6C" w14:textId="77777777">
      <w:pPr>
        <w:spacing w:after="0" w:line="240" w:lineRule="auto"/>
      </w:pPr>
      <w:r w:rsidRPr="005F7E29">
        <w:t>OFFICE OF ELECTRIC RELIABILITY</w:t>
      </w:r>
    </w:p>
    <w:p w:rsidR="005F7E29" w:rsidRPr="005F7E29" w:rsidP="005F7E29" w14:paraId="0A23151D" w14:textId="77777777">
      <w:pPr>
        <w:spacing w:after="0" w:line="240" w:lineRule="auto"/>
      </w:pPr>
    </w:p>
    <w:p w:rsidR="005F7E29" w:rsidRPr="005F7E29" w:rsidP="005F7E29" w14:paraId="7EED9FE5" w14:textId="77777777">
      <w:pPr>
        <w:spacing w:after="0" w:line="240" w:lineRule="auto"/>
        <w:ind w:left="3600"/>
      </w:pPr>
      <w:r w:rsidRPr="005F7E29">
        <w:t>North American Electric Reliability Corporation</w:t>
      </w:r>
    </w:p>
    <w:p w:rsidR="005F7E29" w:rsidRPr="005F7E29" w:rsidP="005F7E29" w14:paraId="7D1C1464" w14:textId="15B9614C">
      <w:pPr>
        <w:spacing w:after="0" w:line="240" w:lineRule="auto"/>
        <w:ind w:left="3600"/>
      </w:pPr>
      <w:r w:rsidRPr="005F7E29">
        <w:t>Docket No. RD2</w:t>
      </w:r>
      <w:r>
        <w:t>3</w:t>
      </w:r>
      <w:r w:rsidRPr="005F7E29">
        <w:t>-</w:t>
      </w:r>
      <w:r w:rsidR="00B342DB">
        <w:t>6</w:t>
      </w:r>
      <w:r w:rsidRPr="005F7E29">
        <w:t>-000</w:t>
      </w:r>
    </w:p>
    <w:p w:rsidR="005F7E29" w:rsidRPr="005F7E29" w:rsidP="005F7E29" w14:paraId="39473870" w14:textId="77777777">
      <w:pPr>
        <w:spacing w:after="0" w:line="240" w:lineRule="auto"/>
      </w:pPr>
    </w:p>
    <w:p w:rsidR="005F7E29" w:rsidRPr="005F7E29" w:rsidP="005F7E29" w14:paraId="7C4D011E" w14:textId="110DE86B">
      <w:pPr>
        <w:spacing w:after="0" w:line="240" w:lineRule="auto"/>
        <w:ind w:left="2880" w:firstLine="720"/>
      </w:pPr>
      <w:r>
        <w:t xml:space="preserve">     </w:t>
      </w:r>
      <w:r w:rsidR="00516D82">
        <w:t>November 1</w:t>
      </w:r>
      <w:r>
        <w:t>, 2023</w:t>
      </w:r>
    </w:p>
    <w:p w:rsidR="005F7E29" w:rsidRPr="005F7E29" w:rsidP="005F7E29" w14:paraId="3130D356" w14:textId="77777777">
      <w:pPr>
        <w:spacing w:after="0" w:line="240" w:lineRule="auto"/>
      </w:pPr>
    </w:p>
    <w:p w:rsidR="005F7E29" w:rsidRPr="005F7E29" w:rsidP="005F7E29" w14:paraId="39285266" w14:textId="77777777">
      <w:pPr>
        <w:spacing w:after="0" w:line="240" w:lineRule="auto"/>
      </w:pPr>
      <w:r w:rsidRPr="005F7E29">
        <w:t>North American Electric Reliability Corporation</w:t>
      </w:r>
    </w:p>
    <w:p w:rsidR="005F7E29" w:rsidRPr="005F7E29" w:rsidP="005F7E29" w14:paraId="5AEDE9D2" w14:textId="77777777">
      <w:pPr>
        <w:spacing w:after="0" w:line="240" w:lineRule="auto"/>
      </w:pPr>
      <w:r w:rsidRPr="005F7E29">
        <w:t>1325 G Street N.W., Suite 600</w:t>
      </w:r>
    </w:p>
    <w:p w:rsidR="005F7E29" w:rsidRPr="005F7E29" w:rsidP="005F7E29" w14:paraId="7430042A" w14:textId="77777777">
      <w:pPr>
        <w:spacing w:after="0" w:line="240" w:lineRule="auto"/>
      </w:pPr>
      <w:r w:rsidRPr="005F7E29">
        <w:t>Washington, D.C. 20005</w:t>
      </w:r>
    </w:p>
    <w:p w:rsidR="005F7E29" w:rsidRPr="005F7E29" w:rsidP="005F7E29" w14:paraId="711CA828" w14:textId="77777777">
      <w:pPr>
        <w:spacing w:after="0" w:line="240" w:lineRule="auto"/>
      </w:pPr>
    </w:p>
    <w:p w:rsidR="005F7E29" w:rsidP="005F7E29" w14:paraId="736BEBC2" w14:textId="4F8A9DEC">
      <w:pPr>
        <w:spacing w:after="0" w:line="240" w:lineRule="auto"/>
        <w:ind w:left="1440" w:hanging="1440"/>
      </w:pPr>
      <w:r>
        <w:t xml:space="preserve">Attention: </w:t>
      </w:r>
      <w:r>
        <w:tab/>
        <w:t xml:space="preserve">Lauren A. Perotti, </w:t>
      </w:r>
      <w:r w:rsidR="00914F63">
        <w:t>Assistant General</w:t>
      </w:r>
      <w:r>
        <w:t xml:space="preserve"> Counsel</w:t>
      </w:r>
    </w:p>
    <w:p w:rsidR="00EE25C1" w:rsidRPr="005F7E29" w:rsidP="005F7E29" w14:paraId="13D935B7" w14:textId="3F0B5BA1">
      <w:pPr>
        <w:spacing w:after="0" w:line="240" w:lineRule="auto"/>
        <w:ind w:left="1440" w:hanging="1440"/>
      </w:pPr>
      <w:r>
        <w:tab/>
        <w:t>Sarah P. Crawford, Counsel</w:t>
      </w:r>
    </w:p>
    <w:p w:rsidR="005F7E29" w:rsidRPr="005F7E29" w:rsidP="2BC7597A" w14:paraId="55E099CA" w14:textId="0665775F">
      <w:pPr>
        <w:spacing w:after="0" w:line="240" w:lineRule="auto"/>
        <w:ind w:left="1440"/>
      </w:pPr>
      <w:r>
        <w:t>North American Electric Reliability Corporation</w:t>
      </w:r>
    </w:p>
    <w:p w:rsidR="005F7E29" w:rsidRPr="005F7E29" w:rsidP="005F7E29" w14:paraId="1737524F" w14:textId="77777777">
      <w:pPr>
        <w:spacing w:after="0" w:line="240" w:lineRule="auto"/>
        <w:ind w:left="1440" w:hanging="1440"/>
      </w:pPr>
    </w:p>
    <w:p w:rsidR="00B342DB" w:rsidP="00B342DB" w14:paraId="229EB953" w14:textId="602168C8">
      <w:pPr>
        <w:spacing w:after="0" w:line="240" w:lineRule="auto"/>
        <w:ind w:left="1440" w:hanging="1440"/>
      </w:pPr>
      <w:r>
        <w:t xml:space="preserve">Reference: </w:t>
      </w:r>
      <w:r>
        <w:tab/>
        <w:t xml:space="preserve">Petition of the North American Electric Reliability Corporation </w:t>
      </w:r>
      <w:r w:rsidR="00000C78">
        <w:t>for</w:t>
      </w:r>
      <w:r>
        <w:br/>
        <w:t>Approval of Proposed Reliability Standard</w:t>
      </w:r>
      <w:r>
        <w:t>s IRO-010-5 and TOP-003-6.1</w:t>
      </w:r>
    </w:p>
    <w:p w:rsidR="00B342DB" w:rsidP="00B342DB" w14:paraId="21A4E8ED" w14:textId="77777777">
      <w:pPr>
        <w:spacing w:after="0" w:line="240" w:lineRule="auto"/>
        <w:ind w:left="1440" w:hanging="1440"/>
      </w:pPr>
    </w:p>
    <w:p w:rsidR="005F7E29" w:rsidRPr="005F7E29" w:rsidP="00B342DB" w14:paraId="4986E685" w14:textId="0D0FCE7F">
      <w:pPr>
        <w:spacing w:after="0" w:line="240" w:lineRule="auto"/>
        <w:ind w:left="1440" w:hanging="1440"/>
      </w:pPr>
      <w:r>
        <w:t>D</w:t>
      </w:r>
      <w:r w:rsidRPr="005F7E29">
        <w:t>ear Ms. Perotti</w:t>
      </w:r>
      <w:r w:rsidR="00B6043A">
        <w:t xml:space="preserve"> and Ms. Crawford</w:t>
      </w:r>
      <w:r w:rsidRPr="005F7E29">
        <w:t>:</w:t>
      </w:r>
    </w:p>
    <w:p w:rsidR="005F7E29" w:rsidRPr="005F7E29" w:rsidP="005F7E29" w14:paraId="5746460B" w14:textId="77777777">
      <w:pPr>
        <w:spacing w:after="0" w:line="240" w:lineRule="auto"/>
      </w:pPr>
    </w:p>
    <w:p w:rsidR="00A13FD0" w:rsidP="00FC2E62" w14:paraId="24055B9C" w14:textId="139A21D6">
      <w:pPr>
        <w:spacing w:after="0" w:line="240" w:lineRule="auto"/>
      </w:pPr>
      <w:r w:rsidRPr="005F7E29">
        <w:tab/>
        <w:t xml:space="preserve">On </w:t>
      </w:r>
      <w:r w:rsidR="00B342DB">
        <w:t>September 21, 2023</w:t>
      </w:r>
      <w:r w:rsidRPr="005F7E29">
        <w:t xml:space="preserve">, the North American Electric Reliability Corporation (NERC) filed a petition </w:t>
      </w:r>
      <w:r w:rsidR="00614BAC">
        <w:t xml:space="preserve">(NERC Petition) </w:t>
      </w:r>
      <w:r w:rsidRPr="005F7E29">
        <w:t>seeking approval of proposed Reliability Standard</w:t>
      </w:r>
      <w:r w:rsidR="00B342DB">
        <w:t xml:space="preserve">s IRO-010-5 (Reliability Coordinator Data and Information Specification and Collection), and TOP-003-6.1 (Transmission Operator and Balancing Authority Data and Information Specification and Collection), </w:t>
      </w:r>
      <w:r w:rsidRPr="005F7E29" w:rsidR="597A2A3D">
        <w:t xml:space="preserve">the associated </w:t>
      </w:r>
      <w:r w:rsidRPr="005F7E29" w:rsidR="506B9756">
        <w:t xml:space="preserve">Violation Risk Factors and Violation </w:t>
      </w:r>
      <w:r w:rsidR="000C3CA2">
        <w:t>Severity</w:t>
      </w:r>
      <w:r w:rsidRPr="005F7E29" w:rsidR="506B9756">
        <w:t xml:space="preserve"> Levels, and the proposed </w:t>
      </w:r>
      <w:r w:rsidRPr="005F7E29" w:rsidR="597A2A3D">
        <w:t>implementation plan</w:t>
      </w:r>
      <w:r w:rsidRPr="00A129C8" w:rsidR="00A129C8">
        <w:t xml:space="preserve"> </w:t>
      </w:r>
      <w:r w:rsidR="00A129C8">
        <w:t xml:space="preserve">including the </w:t>
      </w:r>
      <w:r w:rsidRPr="005F7E29" w:rsidR="00A129C8">
        <w:t>retirement of the currently-effective Reliability Standard</w:t>
      </w:r>
      <w:r w:rsidR="00B342DB">
        <w:t>s IRO-010-4 and TOP-003-5</w:t>
      </w:r>
      <w:r w:rsidRPr="005F7E29" w:rsidR="4A0500F2">
        <w:t>.</w:t>
      </w:r>
      <w:r w:rsidR="00B26393">
        <w:t xml:space="preserve">  </w:t>
      </w:r>
    </w:p>
    <w:p w:rsidR="00A13FD0" w:rsidP="00FC2E62" w14:paraId="6C474F58" w14:textId="23D1C1B1">
      <w:pPr>
        <w:spacing w:after="0" w:line="240" w:lineRule="auto"/>
      </w:pPr>
    </w:p>
    <w:p w:rsidR="00043308" w:rsidP="00B26393" w14:paraId="324A0CCD" w14:textId="6FC93F1C">
      <w:pPr>
        <w:spacing w:after="0" w:line="240" w:lineRule="auto"/>
      </w:pPr>
      <w:r>
        <w:tab/>
      </w:r>
      <w:r w:rsidRPr="068FC03E" w:rsidR="79445B76">
        <w:rPr>
          <w:rStyle w:val="FootnoteReference"/>
        </w:rPr>
        <w:t xml:space="preserve"> </w:t>
      </w:r>
      <w:r w:rsidR="000F328B">
        <w:t>NERC states in its petition</w:t>
      </w:r>
      <w:r w:rsidR="004F31FE">
        <w:t xml:space="preserve"> that it revised</w:t>
      </w:r>
      <w:r w:rsidRPr="00B26393" w:rsidR="00B26393">
        <w:t xml:space="preserve"> both standards so that the language is parallel in form and function and uses similar vernacular in describing the underlying requirements. </w:t>
      </w:r>
      <w:r w:rsidR="000F328B">
        <w:t xml:space="preserve"> </w:t>
      </w:r>
      <w:r w:rsidRPr="00B26393" w:rsidR="00B26393">
        <w:t xml:space="preserve">The proposed revisions </w:t>
      </w:r>
      <w:r w:rsidR="00CC23B8">
        <w:t>allow</w:t>
      </w:r>
      <w:r w:rsidRPr="00B26393" w:rsidR="00B26393">
        <w:t xml:space="preserve"> applicable entities to </w:t>
      </w:r>
      <w:r w:rsidR="002F10B0">
        <w:t>use</w:t>
      </w:r>
      <w:r w:rsidRPr="00B26393" w:rsidR="00B26393">
        <w:t xml:space="preserve"> available technologies, integrate new technologies, and define expectations for data and information exchange</w:t>
      </w:r>
      <w:r w:rsidR="000F328B">
        <w:t>.</w:t>
      </w:r>
      <w:r>
        <w:rPr>
          <w:rStyle w:val="FootnoteReference"/>
          <w:b/>
          <w:bCs/>
        </w:rPr>
        <w:footnoteReference w:id="3"/>
      </w:r>
      <w:r w:rsidRPr="00516D82" w:rsidR="00532FB8">
        <w:rPr>
          <w:b/>
          <w:bCs/>
        </w:rPr>
        <w:t xml:space="preserve"> </w:t>
      </w:r>
      <w:r w:rsidR="00532FB8">
        <w:t xml:space="preserve"> The modifications to these two standards originated through </w:t>
      </w:r>
      <w:r w:rsidR="00550488">
        <w:t xml:space="preserve">the </w:t>
      </w:r>
      <w:r w:rsidR="00550488">
        <w:t>second phase</w:t>
      </w:r>
      <w:r w:rsidR="00532FB8">
        <w:t xml:space="preserve"> of NERC’s Standards Efficiency Review (SER) to consolidate information/data exchange requirements.</w:t>
      </w:r>
      <w:r>
        <w:rPr>
          <w:rStyle w:val="FootnoteReference"/>
          <w:b/>
          <w:bCs/>
        </w:rPr>
        <w:footnoteReference w:id="4"/>
      </w:r>
    </w:p>
    <w:p w:rsidR="000F328B" w:rsidP="00B26393" w14:paraId="0FBFDFAA" w14:textId="77777777">
      <w:pPr>
        <w:spacing w:after="0" w:line="240" w:lineRule="auto"/>
      </w:pPr>
    </w:p>
    <w:p w:rsidR="005F7E29" w:rsidRPr="005F7E29" w:rsidP="005F7E29" w14:paraId="1BBCCECA" w14:textId="75AB9DAE">
      <w:pPr>
        <w:spacing w:after="0" w:line="240" w:lineRule="auto"/>
        <w:ind w:firstLine="720"/>
      </w:pPr>
      <w:r>
        <w:t xml:space="preserve">NERC’s </w:t>
      </w:r>
      <w:r>
        <w:t xml:space="preserve">petition was noticed on </w:t>
      </w:r>
      <w:r w:rsidR="000F328B">
        <w:t>September 26, 2023</w:t>
      </w:r>
      <w:r>
        <w:t xml:space="preserve">, with interventions, comments, and protests due on or before </w:t>
      </w:r>
      <w:r w:rsidR="000F328B">
        <w:t>October 26, 2023</w:t>
      </w:r>
      <w:r>
        <w:t xml:space="preserve">.  </w:t>
      </w:r>
      <w:r w:rsidR="000F328B">
        <w:t>No</w:t>
      </w:r>
      <w:r w:rsidR="707BDF6F">
        <w:t xml:space="preserve"> motion </w:t>
      </w:r>
      <w:r w:rsidR="5E892033">
        <w:t>to</w:t>
      </w:r>
      <w:r w:rsidR="707BDF6F">
        <w:t xml:space="preserve"> interven</w:t>
      </w:r>
      <w:r w:rsidR="31E19656">
        <w:t>e</w:t>
      </w:r>
      <w:r w:rsidR="707BDF6F">
        <w:t xml:space="preserve"> was received</w:t>
      </w:r>
      <w:r w:rsidR="0423F8C6">
        <w:t>.</w:t>
      </w:r>
    </w:p>
    <w:p w:rsidR="005F7E29" w:rsidRPr="005F7E29" w:rsidP="005F7E29" w14:paraId="3555DD05" w14:textId="77777777">
      <w:pPr>
        <w:spacing w:after="0" w:line="240" w:lineRule="auto"/>
      </w:pPr>
    </w:p>
    <w:p w:rsidR="005F7E29" w:rsidRPr="005F7E29" w:rsidP="00FE42FE" w14:paraId="29215C39" w14:textId="74191319">
      <w:pPr>
        <w:spacing w:after="0" w:line="240" w:lineRule="auto"/>
        <w:ind w:firstLine="720"/>
      </w:pPr>
      <w:r>
        <w:t>NERC’s</w:t>
      </w:r>
      <w:r>
        <w:t xml:space="preserve"> uncontested filing is hereby approved pursuant to the relevant authority</w:t>
      </w:r>
      <w:r w:rsidR="0083318B">
        <w:t xml:space="preserve"> </w:t>
      </w:r>
      <w:r>
        <w:t>delegated to the Director, Office of Electric Reliability under 18 C.F.R. § 375.303 (</w:t>
      </w:r>
      <w:r w:rsidRPr="00516D82">
        <w:t>202</w:t>
      </w:r>
      <w:r w:rsidRPr="00516D82" w:rsidR="00032066">
        <w:t>2</w:t>
      </w:r>
      <w:r>
        <w:t>),</w:t>
      </w:r>
      <w:r w:rsidR="00EE46DE">
        <w:t xml:space="preserve"> </w:t>
      </w:r>
      <w:r>
        <w:t>effective as of the date of this order.</w:t>
      </w:r>
    </w:p>
    <w:p w:rsidR="005F7E29" w:rsidRPr="005F7E29" w:rsidP="005F7E29" w14:paraId="7FDBB50B" w14:textId="77777777">
      <w:pPr>
        <w:spacing w:after="0" w:line="240" w:lineRule="auto"/>
      </w:pPr>
    </w:p>
    <w:p w:rsidR="005F7E29" w:rsidRPr="005F7E29" w:rsidP="005F7E29" w14:paraId="2ABD6BFF" w14:textId="77777777">
      <w:pPr>
        <w:spacing w:after="0" w:line="240" w:lineRule="auto"/>
        <w:ind w:firstLine="720"/>
      </w:pPr>
      <w:r w:rsidRPr="005F7E29">
        <w:t>This action shall not be construed as approving any other application, including</w:t>
      </w:r>
    </w:p>
    <w:p w:rsidR="005F7E29" w:rsidRPr="005F7E29" w:rsidP="005F7E29" w14:paraId="3FE4D8FF" w14:textId="77777777">
      <w:pPr>
        <w:spacing w:after="0" w:line="240" w:lineRule="auto"/>
      </w:pPr>
      <w:r w:rsidRPr="005F7E29">
        <w:t>proposed revisions of Electric Reliability Organization or Regional Entity rules or</w:t>
      </w:r>
    </w:p>
    <w:p w:rsidR="005F7E29" w:rsidRPr="005F7E29" w:rsidP="005F7E29" w14:paraId="496593CA" w14:textId="4CBBD98D">
      <w:pPr>
        <w:spacing w:after="0" w:line="240" w:lineRule="auto"/>
      </w:pPr>
      <w:r w:rsidRPr="005F7E29">
        <w:t>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5F7E29" w:rsidRPr="005F7E29" w:rsidP="005F7E29" w14:paraId="58E38E76" w14:textId="77777777">
      <w:pPr>
        <w:spacing w:after="0" w:line="240" w:lineRule="auto"/>
      </w:pPr>
    </w:p>
    <w:p w:rsidR="005F7E29" w:rsidRPr="005F7E29" w:rsidP="005F7E29" w14:paraId="2CDD3C28" w14:textId="45175348">
      <w:pPr>
        <w:spacing w:after="0" w:line="240" w:lineRule="auto"/>
        <w:ind w:firstLine="720"/>
      </w:pPr>
      <w:r w:rsidRPr="005F7E29">
        <w:t xml:space="preserve">This order constitutes final agency action. </w:t>
      </w:r>
      <w:r w:rsidR="00A43F19">
        <w:t xml:space="preserve"> </w:t>
      </w:r>
      <w:r w:rsidRPr="005F7E29">
        <w:t>Requests for rehearing by the</w:t>
      </w:r>
    </w:p>
    <w:p w:rsidR="005F7E29" w:rsidRPr="005F7E29" w:rsidP="005F7E29" w14:paraId="3E59849A" w14:textId="77777777">
      <w:pPr>
        <w:spacing w:after="0" w:line="240" w:lineRule="auto"/>
      </w:pPr>
      <w:r w:rsidRPr="005F7E29">
        <w:t>Commission may be filed within 30 days of the date of issuance of this order, pursuant to</w:t>
      </w:r>
    </w:p>
    <w:p w:rsidR="005F7E29" w:rsidRPr="005F7E29" w:rsidP="005F7E29" w14:paraId="0B40D905" w14:textId="5D95C93E">
      <w:pPr>
        <w:spacing w:after="0" w:line="240" w:lineRule="auto"/>
      </w:pPr>
      <w:r w:rsidRPr="005F7E29">
        <w:t>18 C.F.R. § 385.713.</w:t>
      </w:r>
    </w:p>
    <w:p w:rsidR="005F7E29" w:rsidRPr="005F7E29" w:rsidP="005F7E29" w14:paraId="51D25CD2" w14:textId="77777777">
      <w:pPr>
        <w:spacing w:after="0" w:line="240" w:lineRule="auto"/>
      </w:pPr>
    </w:p>
    <w:p w:rsidR="005F7E29" w:rsidRPr="005F7E29" w:rsidP="005F7E29" w14:paraId="0E3FD37C" w14:textId="77777777">
      <w:pPr>
        <w:spacing w:after="0" w:line="240" w:lineRule="auto"/>
      </w:pPr>
    </w:p>
    <w:p w:rsidR="005F7E29" w:rsidRPr="005F7E29" w:rsidP="005F7E29" w14:paraId="41A104CD" w14:textId="77777777">
      <w:pPr>
        <w:spacing w:after="0" w:line="240" w:lineRule="auto"/>
      </w:pPr>
    </w:p>
    <w:p w:rsidR="005F7E29" w:rsidRPr="005F7E29" w:rsidP="005F7E29" w14:paraId="5942149F" w14:textId="048733C6">
      <w:pPr>
        <w:spacing w:after="0" w:line="240" w:lineRule="auto"/>
      </w:pPr>
      <w:r w:rsidRPr="005F7E29">
        <w:tab/>
      </w:r>
      <w:r w:rsidRPr="005F7E29">
        <w:tab/>
      </w:r>
      <w:r w:rsidRPr="005F7E29">
        <w:tab/>
      </w:r>
      <w:r w:rsidRPr="005F7E29">
        <w:tab/>
      </w:r>
      <w:r w:rsidRPr="005F7E29">
        <w:tab/>
      </w:r>
      <w:r w:rsidRPr="005F7E29">
        <w:tab/>
      </w:r>
      <w:r w:rsidRPr="005F7E29">
        <w:tab/>
        <w:t>Sincerely</w:t>
      </w:r>
      <w:r w:rsidRPr="005F7E29" w:rsidR="47CD0AFB">
        <w:t>,</w:t>
      </w:r>
    </w:p>
    <w:p w:rsidR="005F7E29" w:rsidRPr="005F7E29" w:rsidP="005F7E29" w14:paraId="571E0408" w14:textId="77777777">
      <w:pPr>
        <w:spacing w:after="0" w:line="240" w:lineRule="auto"/>
      </w:pPr>
    </w:p>
    <w:p w:rsidR="005F7E29" w:rsidRPr="005F7E29" w:rsidP="005F7E29" w14:paraId="358D92CE" w14:textId="77777777">
      <w:pPr>
        <w:spacing w:after="0" w:line="240" w:lineRule="auto"/>
      </w:pPr>
    </w:p>
    <w:p w:rsidR="005F7E29" w:rsidRPr="005F7E29" w:rsidP="005F7E29" w14:paraId="1345B1E5" w14:textId="77777777">
      <w:pPr>
        <w:spacing w:after="0" w:line="240" w:lineRule="auto"/>
      </w:pPr>
    </w:p>
    <w:p w:rsidR="005F7E29" w:rsidRPr="005F7E29" w:rsidP="005F7E29" w14:paraId="73C6557C" w14:textId="77777777">
      <w:pPr>
        <w:spacing w:after="0" w:line="240" w:lineRule="auto"/>
      </w:pPr>
    </w:p>
    <w:p w:rsidR="005F7E29" w:rsidRPr="005F7E29" w:rsidP="005F7E29" w14:paraId="1ACA7833" w14:textId="3654842F">
      <w:pPr>
        <w:spacing w:after="0" w:line="240" w:lineRule="auto"/>
      </w:pPr>
      <w:r w:rsidRPr="005F7E29">
        <w:tab/>
      </w:r>
      <w:r w:rsidRPr="005F7E29">
        <w:tab/>
      </w:r>
      <w:r w:rsidRPr="005F7E29">
        <w:tab/>
      </w:r>
      <w:r w:rsidRPr="005F7E29">
        <w:tab/>
      </w:r>
      <w:r w:rsidRPr="005F7E29">
        <w:tab/>
      </w:r>
      <w:r w:rsidRPr="005F7E29">
        <w:tab/>
      </w:r>
      <w:r w:rsidRPr="005F7E29">
        <w:tab/>
        <w:t>David Ortiz, Director</w:t>
      </w:r>
    </w:p>
    <w:p w:rsidR="005F7E29" w:rsidRPr="005F7E29" w:rsidP="005F7E29" w14:paraId="647203A2" w14:textId="77777777">
      <w:pPr>
        <w:spacing w:after="0" w:line="240" w:lineRule="auto"/>
      </w:pPr>
      <w:r w:rsidRPr="005F7E29">
        <w:tab/>
      </w:r>
      <w:r w:rsidRPr="005F7E29">
        <w:tab/>
      </w:r>
      <w:r w:rsidRPr="005F7E29">
        <w:tab/>
      </w:r>
      <w:r w:rsidRPr="005F7E29">
        <w:tab/>
      </w:r>
      <w:r w:rsidRPr="005F7E29">
        <w:tab/>
      </w:r>
      <w:r w:rsidRPr="005F7E29">
        <w:tab/>
      </w:r>
      <w:r w:rsidRPr="005F7E29">
        <w:tab/>
        <w:t>Office of Electric Reliability</w:t>
      </w:r>
    </w:p>
    <w:p w:rsidR="005F7E29" w:rsidRPr="005F7E29" w:rsidP="005F7E29" w14:paraId="05024628" w14:textId="77777777">
      <w:pPr>
        <w:spacing w:after="0" w:line="240" w:lineRule="auto"/>
      </w:pPr>
    </w:p>
    <w:p w:rsidR="00E06D11" w:rsidP="005F7E29" w14:paraId="74B5CF91" w14:textId="77777777">
      <w:pPr>
        <w:spacing w:after="0" w:line="240" w:lineRule="auto"/>
      </w:pPr>
    </w:p>
    <w:sectPr w:rsidSect="0070782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A546955" w14:textId="77777777" w:rsidTr="00FE42FE">
      <w:tblPrEx>
        <w:tblW w:w="0" w:type="auto"/>
        <w:tblLayout w:type="fixed"/>
        <w:tblLook w:val="06A0"/>
      </w:tblPrEx>
      <w:trPr>
        <w:trHeight w:val="300"/>
      </w:trPr>
      <w:tc>
        <w:tcPr>
          <w:tcW w:w="3120" w:type="dxa"/>
        </w:tcPr>
        <w:p w:rsidR="2BC7597A" w:rsidP="00FE42FE" w14:paraId="04550EDB" w14:textId="3A4497C9">
          <w:pPr>
            <w:pStyle w:val="Header"/>
            <w:ind w:left="-115"/>
          </w:pPr>
        </w:p>
      </w:tc>
      <w:tc>
        <w:tcPr>
          <w:tcW w:w="3120" w:type="dxa"/>
        </w:tcPr>
        <w:p w:rsidR="2BC7597A" w:rsidP="00FE42FE" w14:paraId="6CFE8019" w14:textId="69ECC4BE">
          <w:pPr>
            <w:pStyle w:val="Header"/>
            <w:jc w:val="center"/>
          </w:pPr>
        </w:p>
      </w:tc>
      <w:tc>
        <w:tcPr>
          <w:tcW w:w="3120" w:type="dxa"/>
        </w:tcPr>
        <w:p w:rsidR="2BC7597A" w:rsidP="00FE42FE" w14:paraId="003A1E5F" w14:textId="153C11A8">
          <w:pPr>
            <w:pStyle w:val="Header"/>
            <w:ind w:right="-115"/>
            <w:jc w:val="right"/>
          </w:pPr>
        </w:p>
      </w:tc>
    </w:tr>
  </w:tbl>
  <w:p w:rsidR="2BC7597A" w:rsidP="00FE42FE" w14:paraId="7E890AAE" w14:textId="71C28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C52B7" w:rsidP="005F7E29" w14:paraId="09047F8F" w14:textId="77777777">
      <w:pPr>
        <w:spacing w:after="0" w:line="240" w:lineRule="auto"/>
      </w:pPr>
      <w:r>
        <w:separator/>
      </w:r>
    </w:p>
  </w:footnote>
  <w:footnote w:type="continuationSeparator" w:id="1">
    <w:p w:rsidR="008C52B7" w:rsidP="005F7E29" w14:paraId="31827AF0" w14:textId="77777777">
      <w:pPr>
        <w:spacing w:after="0" w:line="240" w:lineRule="auto"/>
      </w:pPr>
      <w:r>
        <w:continuationSeparator/>
      </w:r>
    </w:p>
  </w:footnote>
  <w:footnote w:type="continuationNotice" w:id="2">
    <w:p w:rsidR="008C52B7" w14:paraId="75170C6B" w14:textId="77777777">
      <w:pPr>
        <w:spacing w:after="0" w:line="240" w:lineRule="auto"/>
      </w:pPr>
    </w:p>
  </w:footnote>
  <w:footnote w:id="3">
    <w:p w:rsidR="000F328B" w:rsidRPr="00A43F19" w:rsidP="00516D82" w14:paraId="3454821E" w14:textId="3451E337">
      <w:pPr>
        <w:pStyle w:val="FootnoteText"/>
        <w:spacing w:after="260"/>
        <w:ind w:firstLine="720"/>
        <w:rPr>
          <w:sz w:val="26"/>
          <w:szCs w:val="26"/>
        </w:rPr>
      </w:pPr>
      <w:r w:rsidRPr="00516D82">
        <w:rPr>
          <w:rStyle w:val="FootnoteReference"/>
          <w:b/>
          <w:bCs/>
          <w:sz w:val="26"/>
          <w:szCs w:val="26"/>
        </w:rPr>
        <w:footnoteRef/>
      </w:r>
      <w:r w:rsidRPr="00A43F19">
        <w:rPr>
          <w:sz w:val="26"/>
          <w:szCs w:val="26"/>
        </w:rPr>
        <w:t xml:space="preserve"> NERC </w:t>
      </w:r>
      <w:r w:rsidR="007506FC">
        <w:rPr>
          <w:sz w:val="26"/>
          <w:szCs w:val="26"/>
        </w:rPr>
        <w:t>P</w:t>
      </w:r>
      <w:r w:rsidRPr="00A43F19">
        <w:rPr>
          <w:sz w:val="26"/>
          <w:szCs w:val="26"/>
        </w:rPr>
        <w:t>etition at 13.</w:t>
      </w:r>
    </w:p>
  </w:footnote>
  <w:footnote w:id="4">
    <w:p w:rsidR="00BB35F9" w:rsidRPr="00516D82" w:rsidP="00516D82" w14:paraId="395933CC" w14:textId="58D49F66">
      <w:pPr>
        <w:pStyle w:val="FootnoteText"/>
        <w:spacing w:after="260"/>
        <w:ind w:firstLine="720"/>
        <w:rPr>
          <w:sz w:val="26"/>
          <w:szCs w:val="26"/>
        </w:rPr>
      </w:pPr>
      <w:r w:rsidRPr="00516D82">
        <w:rPr>
          <w:rStyle w:val="FootnoteReference"/>
          <w:b/>
          <w:bCs/>
          <w:sz w:val="26"/>
          <w:szCs w:val="26"/>
        </w:rPr>
        <w:footnoteRef/>
      </w:r>
      <w:r w:rsidRPr="00516D82">
        <w:rPr>
          <w:sz w:val="26"/>
          <w:szCs w:val="26"/>
        </w:rPr>
        <w:t xml:space="preserve"> </w:t>
      </w:r>
      <w:r w:rsidRPr="00516D82" w:rsidR="006B7D4A">
        <w:rPr>
          <w:i/>
          <w:iCs/>
          <w:sz w:val="26"/>
          <w:szCs w:val="26"/>
        </w:rPr>
        <w:t xml:space="preserve">See </w:t>
      </w:r>
      <w:r w:rsidRPr="00516D82" w:rsidR="006B7D4A">
        <w:rPr>
          <w:sz w:val="26"/>
          <w:szCs w:val="26"/>
        </w:rPr>
        <w:t xml:space="preserve">NERC, </w:t>
      </w:r>
      <w:r w:rsidRPr="00516D82" w:rsidR="006B7D4A">
        <w:rPr>
          <w:i/>
          <w:iCs/>
          <w:sz w:val="26"/>
          <w:szCs w:val="26"/>
        </w:rPr>
        <w:t>SER Phase 2 Recommendations Working Document</w:t>
      </w:r>
      <w:r w:rsidRPr="00516D82" w:rsidR="006B7D4A">
        <w:rPr>
          <w:sz w:val="26"/>
          <w:szCs w:val="26"/>
        </w:rPr>
        <w:t>, (Aug. 2021), https://www.nerc.com/pa/Stand/Standards%20Efficiency%20Review%20DL/SER_Phase_2_Recommendations_Working_Document_08062021.xlsx.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824" w:rsidRPr="009B3A73" w:rsidP="2BC7597A" w14:paraId="434A1A03" w14:textId="2E47E2F3">
    <w:pPr>
      <w:pStyle w:val="Header"/>
      <w:rPr>
        <w:rFonts w:ascii="Times New Roman" w:hAnsi="Times New Roman" w:cs="Times New Roman"/>
        <w:noProof/>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50190"/>
              <wp:effectExtent l="0" t="0" r="0" b="0"/>
              <wp:wrapNone/>
              <wp:docPr id="3" name="MSIPCM3d944ed09f8f122cd9db12ef"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8B1C69" w:rsidRPr="008B1C69" w:rsidP="008B1C69" w14:textId="00879859">
                          <w:pPr>
                            <w:spacing w:after="0"/>
                            <w:jc w:val="center"/>
                            <w:rPr>
                              <w:rFonts w:cs="Times New Roman"/>
                              <w:color w:val="FF0000"/>
                            </w:rPr>
                          </w:pPr>
                          <w:r w:rsidRPr="008B1C69">
                            <w:rPr>
                              <w:rFonts w:cs="Times New Roman"/>
                              <w:color w:val="FF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3d944ed09f8f122cd9db12ef" o:spid="_x0000_s2049" type="#_x0000_t202" alt="{&quot;HashCode&quot;:1795946508,&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visible;v-text-anchor:top;z-index:251663360" o:allowincell="f" filled="f" stroked="f" strokeweight="0.5pt">
              <v:textbox inset=",0,,0">
                <w:txbxContent>
                  <w:p w:rsidR="008B1C69" w:rsidRPr="008B1C69" w:rsidP="008B1C69" w14:paraId="1D8D6AE2" w14:textId="00879859">
                    <w:pPr>
                      <w:spacing w:after="0"/>
                      <w:jc w:val="center"/>
                      <w:rPr>
                        <w:rFonts w:cs="Times New Roman"/>
                        <w:color w:val="FF0000"/>
                      </w:rPr>
                    </w:pPr>
                    <w:r w:rsidRPr="008B1C69">
                      <w:rPr>
                        <w:rFonts w:cs="Times New Roman"/>
                        <w:color w:val="FF0000"/>
                      </w:rPr>
                      <w:t>CUI</w:t>
                    </w:r>
                  </w:p>
                </w:txbxContent>
              </v:textbox>
            </v:shape>
          </w:pict>
        </mc:Fallback>
      </mc:AlternateContent>
    </w:r>
    <w:r w:rsidRPr="00A30BA0" w:rsidR="00032066">
      <w:rPr>
        <w:rFonts w:ascii="Times New Roman" w:hAnsi="Times New Roman" w:cs="Times New Roman"/>
        <w:noProof/>
        <w:sz w:val="26"/>
        <w:szCs w:val="26"/>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50190"/>
              <wp:effectExtent l="0" t="0" r="0" b="0"/>
              <wp:wrapNone/>
              <wp:docPr id="1" name="Text Box 1"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066" w:rsidRPr="00032066" w:rsidP="00032066" w14:textId="36059270">
                          <w:pPr>
                            <w:spacing w:after="0"/>
                            <w:jc w:val="center"/>
                            <w:rPr>
                              <w:rFonts w:cs="Times New Roman"/>
                              <w:color w:val="FF0000"/>
                            </w:rPr>
                          </w:pPr>
                          <w:r w:rsidRPr="00032066">
                            <w:rPr>
                              <w:rFonts w:cs="Times New Roman"/>
                              <w:color w:val="FF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1" o:spid="_x0000_s2050" type="#_x0000_t202" alt="{&quot;HashCode&quot;:1795946508,&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032066" w:rsidRPr="00032066" w:rsidP="00032066" w14:paraId="1BD4DA61" w14:textId="36059270">
                    <w:pPr>
                      <w:spacing w:after="0"/>
                      <w:jc w:val="center"/>
                      <w:rPr>
                        <w:rFonts w:cs="Times New Roman"/>
                        <w:color w:val="FF0000"/>
                      </w:rPr>
                    </w:pPr>
                    <w:r w:rsidRPr="00032066">
                      <w:rPr>
                        <w:rFonts w:cs="Times New Roman"/>
                        <w:color w:val="FF0000"/>
                      </w:rPr>
                      <w:t>CUI</w:t>
                    </w:r>
                  </w:p>
                </w:txbxContent>
              </v:textbox>
            </v:shape>
          </w:pict>
        </mc:Fallback>
      </mc:AlternateContent>
    </w:r>
    <w:r w:rsidRPr="00A30BA0" w:rsidR="2BC7597A">
      <w:rPr>
        <w:rFonts w:ascii="Times New Roman" w:hAnsi="Times New Roman" w:cs="Times New Roman"/>
        <w:sz w:val="26"/>
        <w:szCs w:val="26"/>
      </w:rPr>
      <w:t>Docket No. RD23-</w:t>
    </w:r>
    <w:r w:rsidR="0069730E">
      <w:rPr>
        <w:rFonts w:ascii="Times New Roman" w:hAnsi="Times New Roman" w:cs="Times New Roman"/>
        <w:sz w:val="26"/>
        <w:szCs w:val="26"/>
      </w:rPr>
      <w:t>6</w:t>
    </w:r>
    <w:r w:rsidRPr="00A30BA0" w:rsidR="2BC7597A">
      <w:rPr>
        <w:rFonts w:ascii="Times New Roman" w:hAnsi="Times New Roman" w:cs="Times New Roman"/>
        <w:sz w:val="26"/>
        <w:szCs w:val="26"/>
      </w:rPr>
      <w:t>-000</w:t>
    </w:r>
    <w:r w:rsidRPr="00A30BA0" w:rsidR="001C6DA0">
      <w:rPr>
        <w:rFonts w:ascii="Times New Roman" w:hAnsi="Times New Roman" w:cs="Times New Roman"/>
        <w:sz w:val="26"/>
        <w:szCs w:val="26"/>
      </w:rPr>
      <w:tab/>
    </w:r>
    <w:r w:rsidR="2BC7597A">
      <w:rPr>
        <w:rFonts w:ascii="Times New Roman" w:hAnsi="Times New Roman" w:cs="Times New Roman"/>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066" w14:paraId="77AD8479" w14:textId="3ED9C99A">
    <w:pPr>
      <w:pStyle w:val="Header"/>
    </w:pPr>
    <w:r>
      <w:rPr>
        <w:noProof/>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190500</wp:posOffset>
              </wp:positionV>
              <wp:extent cx="7772400" cy="250190"/>
              <wp:effectExtent l="0" t="0" r="0" b="0"/>
              <wp:wrapNone/>
              <wp:docPr id="4" name="MSIPCM40f54445b5433e8ca3010c5f"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8B1C69" w:rsidRPr="008B1C69" w:rsidP="008B1C69" w14:textId="2151F51F">
                          <w:pPr>
                            <w:spacing w:after="0"/>
                            <w:jc w:val="center"/>
                            <w:rPr>
                              <w:rFonts w:cs="Times New Roman"/>
                              <w:color w:val="FF0000"/>
                            </w:rPr>
                          </w:pPr>
                          <w:r w:rsidRPr="008B1C69">
                            <w:rPr>
                              <w:rFonts w:cs="Times New Roman"/>
                              <w:color w:val="FF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40f54445b5433e8ca3010c5f" o:spid="_x0000_s2051" type="#_x0000_t202" alt="{&quot;HashCode&quot;:1795946508,&quot;Height&quot;:792.0,&quot;Width&quot;:612.0,&quot;Placement&quot;:&quot;Header&quot;,&quot;Index&quot;:&quot;FirstPage&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visible;v-text-anchor:top;z-index:251665408" o:allowincell="f" filled="f" stroked="f" strokeweight="0.5pt">
              <v:textbox inset=",0,,0">
                <w:txbxContent>
                  <w:p w:rsidR="008B1C69" w:rsidRPr="008B1C69" w:rsidP="008B1C69" w14:paraId="098F46BA" w14:textId="2151F51F">
                    <w:pPr>
                      <w:spacing w:after="0"/>
                      <w:jc w:val="center"/>
                      <w:rPr>
                        <w:rFonts w:cs="Times New Roman"/>
                        <w:color w:val="FF0000"/>
                      </w:rPr>
                    </w:pPr>
                    <w:r w:rsidRPr="008B1C69">
                      <w:rPr>
                        <w:rFonts w:cs="Times New Roman"/>
                        <w:color w:val="FF0000"/>
                      </w:rPr>
                      <w:t>CUI</w:t>
                    </w:r>
                  </w:p>
                </w:txbxContent>
              </v:textbox>
            </v:shape>
          </w:pict>
        </mc:Fallback>
      </mc:AlternateContent>
    </w:r>
    <w:r w:rsidR="00032066">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50190"/>
              <wp:effectExtent l="0" t="0" r="0" b="0"/>
              <wp:wrapNone/>
              <wp:docPr id="2" name="Text Box 2"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32066" w:rsidRPr="00032066" w:rsidP="00032066" w14:textId="58B237C2">
                          <w:pPr>
                            <w:spacing w:after="0"/>
                            <w:jc w:val="center"/>
                            <w:rPr>
                              <w:rFonts w:cs="Times New Roman"/>
                              <w:color w:val="FF0000"/>
                            </w:rPr>
                          </w:pPr>
                          <w:r w:rsidRPr="00032066">
                            <w:rPr>
                              <w:rFonts w:cs="Times New Roman"/>
                              <w:color w:val="FF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 id="Text Box 2" o:spid="_x0000_s2052" type="#_x0000_t202" alt="{&quot;HashCode&quot;:1795946508,&quot;Height&quot;:792.0,&quot;Width&quot;:612.0,&quot;Placement&quot;:&quot;Header&quot;,&quot;Index&quot;:&quot;FirstPage&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visible;v-text-anchor:top;z-index:251661312" o:allowincell="f" filled="f" stroked="f" strokeweight="0.5pt">
              <v:textbox inset=",0,,0">
                <w:txbxContent>
                  <w:p w:rsidR="00032066" w:rsidRPr="00032066" w:rsidP="00032066" w14:paraId="4CBC1F08" w14:textId="58B237C2">
                    <w:pPr>
                      <w:spacing w:after="0"/>
                      <w:jc w:val="center"/>
                      <w:rPr>
                        <w:rFonts w:cs="Times New Roman"/>
                        <w:color w:val="FF0000"/>
                      </w:rPr>
                    </w:pPr>
                    <w:r w:rsidRPr="00032066">
                      <w:rPr>
                        <w:rFonts w:cs="Times New Roman"/>
                        <w:color w:val="FF0000"/>
                      </w:rPr>
                      <w:t>CUI</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29"/>
    <w:rsid w:val="000005CD"/>
    <w:rsid w:val="00000C78"/>
    <w:rsid w:val="00031A53"/>
    <w:rsid w:val="00032066"/>
    <w:rsid w:val="000320C5"/>
    <w:rsid w:val="00043308"/>
    <w:rsid w:val="0005761E"/>
    <w:rsid w:val="000B1B0C"/>
    <w:rsid w:val="000C3CA2"/>
    <w:rsid w:val="000D383B"/>
    <w:rsid w:val="000E62ED"/>
    <w:rsid w:val="000E6ED8"/>
    <w:rsid w:val="000F328B"/>
    <w:rsid w:val="0010520F"/>
    <w:rsid w:val="0011292A"/>
    <w:rsid w:val="001538CD"/>
    <w:rsid w:val="00193AE6"/>
    <w:rsid w:val="001A54F9"/>
    <w:rsid w:val="001C6DA0"/>
    <w:rsid w:val="001E2FBB"/>
    <w:rsid w:val="001F4938"/>
    <w:rsid w:val="002629EB"/>
    <w:rsid w:val="00284172"/>
    <w:rsid w:val="002C1532"/>
    <w:rsid w:val="002F10B0"/>
    <w:rsid w:val="003338F2"/>
    <w:rsid w:val="00353E67"/>
    <w:rsid w:val="003608EB"/>
    <w:rsid w:val="00370CFD"/>
    <w:rsid w:val="00375E49"/>
    <w:rsid w:val="003F5A19"/>
    <w:rsid w:val="00403CA4"/>
    <w:rsid w:val="00416E79"/>
    <w:rsid w:val="00424CCB"/>
    <w:rsid w:val="004358DC"/>
    <w:rsid w:val="0044010B"/>
    <w:rsid w:val="004478D5"/>
    <w:rsid w:val="004863C0"/>
    <w:rsid w:val="004D3CAE"/>
    <w:rsid w:val="004E6F5E"/>
    <w:rsid w:val="004F31FE"/>
    <w:rsid w:val="005021D6"/>
    <w:rsid w:val="00516D82"/>
    <w:rsid w:val="00527709"/>
    <w:rsid w:val="00527B3D"/>
    <w:rsid w:val="00532FB8"/>
    <w:rsid w:val="00550488"/>
    <w:rsid w:val="00557657"/>
    <w:rsid w:val="005F7E29"/>
    <w:rsid w:val="0060434A"/>
    <w:rsid w:val="00605207"/>
    <w:rsid w:val="00614BAC"/>
    <w:rsid w:val="0064291D"/>
    <w:rsid w:val="00665529"/>
    <w:rsid w:val="00687217"/>
    <w:rsid w:val="0069554C"/>
    <w:rsid w:val="0069730E"/>
    <w:rsid w:val="006B7D4A"/>
    <w:rsid w:val="006E46B6"/>
    <w:rsid w:val="00707824"/>
    <w:rsid w:val="007506FC"/>
    <w:rsid w:val="00756952"/>
    <w:rsid w:val="00763103"/>
    <w:rsid w:val="00763A8C"/>
    <w:rsid w:val="007B6F4C"/>
    <w:rsid w:val="007D3A6B"/>
    <w:rsid w:val="0080110D"/>
    <w:rsid w:val="00816D50"/>
    <w:rsid w:val="008266F0"/>
    <w:rsid w:val="0083318B"/>
    <w:rsid w:val="0083331B"/>
    <w:rsid w:val="008451CE"/>
    <w:rsid w:val="008768CA"/>
    <w:rsid w:val="008A18CF"/>
    <w:rsid w:val="008A296D"/>
    <w:rsid w:val="008B1C69"/>
    <w:rsid w:val="008B64B8"/>
    <w:rsid w:val="008C52B7"/>
    <w:rsid w:val="008D67E2"/>
    <w:rsid w:val="00902F61"/>
    <w:rsid w:val="00914F63"/>
    <w:rsid w:val="009B3A73"/>
    <w:rsid w:val="009F01E9"/>
    <w:rsid w:val="00A031AD"/>
    <w:rsid w:val="00A0321D"/>
    <w:rsid w:val="00A129C8"/>
    <w:rsid w:val="00A13FD0"/>
    <w:rsid w:val="00A30BA0"/>
    <w:rsid w:val="00A43F19"/>
    <w:rsid w:val="00A51880"/>
    <w:rsid w:val="00A637BE"/>
    <w:rsid w:val="00A74C67"/>
    <w:rsid w:val="00A825B0"/>
    <w:rsid w:val="00AC046C"/>
    <w:rsid w:val="00AC3F89"/>
    <w:rsid w:val="00B15E0F"/>
    <w:rsid w:val="00B26393"/>
    <w:rsid w:val="00B342DB"/>
    <w:rsid w:val="00B43C29"/>
    <w:rsid w:val="00B443EA"/>
    <w:rsid w:val="00B6043A"/>
    <w:rsid w:val="00B665D2"/>
    <w:rsid w:val="00B7315F"/>
    <w:rsid w:val="00B84909"/>
    <w:rsid w:val="00B856FE"/>
    <w:rsid w:val="00B95449"/>
    <w:rsid w:val="00BB2783"/>
    <w:rsid w:val="00BB35F9"/>
    <w:rsid w:val="00BD2C44"/>
    <w:rsid w:val="00BD3627"/>
    <w:rsid w:val="00BF39A4"/>
    <w:rsid w:val="00BF434F"/>
    <w:rsid w:val="00BF59CF"/>
    <w:rsid w:val="00C62AF6"/>
    <w:rsid w:val="00CC23B8"/>
    <w:rsid w:val="00D21094"/>
    <w:rsid w:val="00D27CA9"/>
    <w:rsid w:val="00D519C8"/>
    <w:rsid w:val="00D60F84"/>
    <w:rsid w:val="00DD2D02"/>
    <w:rsid w:val="00E06D11"/>
    <w:rsid w:val="00E5655C"/>
    <w:rsid w:val="00EC10B5"/>
    <w:rsid w:val="00EC1C70"/>
    <w:rsid w:val="00ED4F4B"/>
    <w:rsid w:val="00ED71C0"/>
    <w:rsid w:val="00EE25C1"/>
    <w:rsid w:val="00EE46DE"/>
    <w:rsid w:val="00F14FEE"/>
    <w:rsid w:val="00F54B7B"/>
    <w:rsid w:val="00F86F48"/>
    <w:rsid w:val="00F94167"/>
    <w:rsid w:val="00FB30B2"/>
    <w:rsid w:val="00FC2E62"/>
    <w:rsid w:val="00FC6DEA"/>
    <w:rsid w:val="00FD485B"/>
    <w:rsid w:val="00FE42FE"/>
    <w:rsid w:val="015FF392"/>
    <w:rsid w:val="02EF4686"/>
    <w:rsid w:val="0423F8C6"/>
    <w:rsid w:val="04C12FE4"/>
    <w:rsid w:val="068FC03E"/>
    <w:rsid w:val="06ABB494"/>
    <w:rsid w:val="0987BC4E"/>
    <w:rsid w:val="0EFEE4C1"/>
    <w:rsid w:val="0FB4A131"/>
    <w:rsid w:val="138B527A"/>
    <w:rsid w:val="1FD2B281"/>
    <w:rsid w:val="2008CB7E"/>
    <w:rsid w:val="24E58AED"/>
    <w:rsid w:val="26815B4E"/>
    <w:rsid w:val="2778870C"/>
    <w:rsid w:val="27DDC466"/>
    <w:rsid w:val="27ECEA8F"/>
    <w:rsid w:val="2914576D"/>
    <w:rsid w:val="2BC7597A"/>
    <w:rsid w:val="2BE0BD25"/>
    <w:rsid w:val="3112B23B"/>
    <w:rsid w:val="31E19656"/>
    <w:rsid w:val="340F08DF"/>
    <w:rsid w:val="3768CB62"/>
    <w:rsid w:val="37BA4263"/>
    <w:rsid w:val="3BC882A7"/>
    <w:rsid w:val="3F2E77CD"/>
    <w:rsid w:val="3F3DC44A"/>
    <w:rsid w:val="40F66E0B"/>
    <w:rsid w:val="4492A33C"/>
    <w:rsid w:val="47CD0AFB"/>
    <w:rsid w:val="4A0500F2"/>
    <w:rsid w:val="506B9756"/>
    <w:rsid w:val="5281A312"/>
    <w:rsid w:val="52B469CD"/>
    <w:rsid w:val="531393D9"/>
    <w:rsid w:val="5366236C"/>
    <w:rsid w:val="58323F7C"/>
    <w:rsid w:val="597A2A3D"/>
    <w:rsid w:val="5A9EFA88"/>
    <w:rsid w:val="5DFC308D"/>
    <w:rsid w:val="5E892033"/>
    <w:rsid w:val="60BC88B4"/>
    <w:rsid w:val="613408B1"/>
    <w:rsid w:val="65C462C5"/>
    <w:rsid w:val="6A3B0029"/>
    <w:rsid w:val="6CC5D9A8"/>
    <w:rsid w:val="6DF66EFF"/>
    <w:rsid w:val="707BDF6F"/>
    <w:rsid w:val="71A45273"/>
    <w:rsid w:val="73B74926"/>
    <w:rsid w:val="75E85887"/>
    <w:rsid w:val="76EE8DC7"/>
    <w:rsid w:val="76FB88FF"/>
    <w:rsid w:val="79445B76"/>
    <w:rsid w:val="79688237"/>
    <w:rsid w:val="7ABBC9AA"/>
    <w:rsid w:val="7D55242B"/>
    <w:rsid w:val="7E1BD5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EFD10A"/>
  <w15:chartTrackingRefBased/>
  <w15:docId w15:val="{D0869EB4-0F10-4C93-BEEF-8E9298AC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E29"/>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F7E29"/>
    <w:rPr>
      <w:rFonts w:asciiTheme="minorHAnsi" w:hAnsiTheme="minorHAnsi"/>
      <w:sz w:val="22"/>
    </w:rPr>
  </w:style>
  <w:style w:type="paragraph" w:styleId="Footer">
    <w:name w:val="footer"/>
    <w:basedOn w:val="Normal"/>
    <w:link w:val="FooterChar"/>
    <w:uiPriority w:val="99"/>
    <w:unhideWhenUsed/>
    <w:rsid w:val="005F7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E29"/>
  </w:style>
  <w:style w:type="paragraph" w:styleId="FootnoteText">
    <w:name w:val="footnote text"/>
    <w:basedOn w:val="Normal"/>
    <w:link w:val="FootnoteTextChar"/>
    <w:uiPriority w:val="99"/>
    <w:semiHidden/>
    <w:unhideWhenUsed/>
    <w:rsid w:val="00043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308"/>
    <w:rPr>
      <w:sz w:val="20"/>
      <w:szCs w:val="20"/>
    </w:rPr>
  </w:style>
  <w:style w:type="character" w:styleId="FootnoteReference">
    <w:name w:val="footnote reference"/>
    <w:basedOn w:val="DefaultParagraphFont"/>
    <w:uiPriority w:val="99"/>
    <w:semiHidden/>
    <w:unhideWhenUsed/>
    <w:rsid w:val="00043308"/>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37BE"/>
    <w:rPr>
      <w:b/>
      <w:bCs/>
    </w:rPr>
  </w:style>
  <w:style w:type="character" w:customStyle="1" w:styleId="CommentSubjectChar">
    <w:name w:val="Comment Subject Char"/>
    <w:basedOn w:val="CommentTextChar"/>
    <w:link w:val="CommentSubject"/>
    <w:uiPriority w:val="99"/>
    <w:semiHidden/>
    <w:rsid w:val="00A637BE"/>
    <w:rPr>
      <w:b/>
      <w:bCs/>
      <w:sz w:val="20"/>
      <w:szCs w:val="20"/>
    </w:rPr>
  </w:style>
  <w:style w:type="paragraph" w:styleId="Revision">
    <w:name w:val="Revision"/>
    <w:hidden/>
    <w:uiPriority w:val="99"/>
    <w:semiHidden/>
    <w:rsid w:val="00403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4A98CE0B408D41A9CE8FC72BBBB8EE" ma:contentTypeVersion="22" ma:contentTypeDescription="Create a new document." ma:contentTypeScope="" ma:versionID="5b61cbd5a352f96aadd654739b4de1c3">
  <xsd:schema xmlns:xsd="http://www.w3.org/2001/XMLSchema" xmlns:xs="http://www.w3.org/2001/XMLSchema" xmlns:p="http://schemas.microsoft.com/office/2006/metadata/properties" xmlns:ns2="http://schemas.microsoft.com/sharepoint/v4" xmlns:ns3="9efd1f78-2452-40eb-b641-aaad3c0a6650" xmlns:ns4="82e40cf6-c09f-421d-a298-827f536a5023" targetNamespace="http://schemas.microsoft.com/office/2006/metadata/properties" ma:root="true" ma:fieldsID="49a20bbf50a69d6fa71a0b9b51ec08fd" ns2:_="" ns3:_="" ns4:_="">
    <xsd:import namespace="http://schemas.microsoft.com/sharepoint/v4"/>
    <xsd:import namespace="9efd1f78-2452-40eb-b641-aaad3c0a6650"/>
    <xsd:import namespace="82e40cf6-c09f-421d-a298-827f536a5023"/>
    <xsd:element name="properties">
      <xsd:complexType>
        <xsd:sequence>
          <xsd:element name="documentManagement">
            <xsd:complexType>
              <xsd:all>
                <xsd:element ref="ns2:IconOverlay"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d1f78-2452-40eb-b641-aaad3c0a665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40cf6-c09f-421d-a298-827f536a5023"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CD885-6C9B-435E-B8B6-88612807E63E}">
  <ds:schemaRefs>
    <ds:schemaRef ds:uri="http://schemas.openxmlformats.org/officeDocument/2006/bibliography"/>
  </ds:schemaRefs>
</ds:datastoreItem>
</file>

<file path=customXml/itemProps2.xml><?xml version="1.0" encoding="utf-8"?>
<ds:datastoreItem xmlns:ds="http://schemas.openxmlformats.org/officeDocument/2006/customXml" ds:itemID="{8F72CAD2-95F4-466D-B16E-C70D7ADDD17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C6BE1F5-2E48-44BF-AFC9-A6BE1C313186}">
  <ds:schemaRefs>
    <ds:schemaRef ds:uri="http://schemas.microsoft.com/sharepoint/v3/contenttype/forms"/>
  </ds:schemaRefs>
</ds:datastoreItem>
</file>

<file path=customXml/itemProps4.xml><?xml version="1.0" encoding="utf-8"?>
<ds:datastoreItem xmlns:ds="http://schemas.openxmlformats.org/officeDocument/2006/customXml" ds:itemID="{FF9FF831-2887-43BF-882C-72C022C62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efd1f78-2452-40eb-b641-aaad3c0a6650"/>
    <ds:schemaRef ds:uri="82e40cf6-c09f-421d-a298-827f536a5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Fuentes Pedrosa</dc:creator>
  <cp:lastModifiedBy>David O'Connor</cp:lastModifiedBy>
  <cp:revision>2</cp:revision>
  <dcterms:created xsi:type="dcterms:W3CDTF">2023-11-01T15:37:00Z</dcterms:created>
  <dcterms:modified xsi:type="dcterms:W3CDTF">2023-11-01T15:37:00Z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0x0101006D4A98CE0B408D41A9CE8FC72BBBB8EE</vt:lpwstr>
  </property>
  <property fmtid="{D5CDD505-2E9C-101B-9397-08002B2CF9AE}" pid="3" name="MSIP_Label_e120c11f-7d21-4fdf-9d04-b34a9c1c3979_ActionId">
    <vt:lpwstr>1bc2aea9-7de6-4b34-b92d-39f1fc436206</vt:lpwstr>
  </property>
  <property fmtid="{D5CDD505-2E9C-101B-9397-08002B2CF9AE}" pid="4" name="MSIP_Label_e120c11f-7d21-4fdf-9d04-b34a9c1c3979_ContentBits">
    <vt:lpwstr>1</vt:lpwstr>
  </property>
  <property fmtid="{D5CDD505-2E9C-101B-9397-08002B2CF9AE}" pid="5" name="MSIP_Label_e120c11f-7d21-4fdf-9d04-b34a9c1c3979_Enabled">
    <vt:lpwstr>true</vt:lpwstr>
  </property>
  <property fmtid="{D5CDD505-2E9C-101B-9397-08002B2CF9AE}" pid="6" name="MSIP_Label_e120c11f-7d21-4fdf-9d04-b34a9c1c3979_Method">
    <vt:lpwstr>Privileged</vt:lpwstr>
  </property>
  <property fmtid="{D5CDD505-2E9C-101B-9397-08002B2CF9AE}" pid="7" name="MSIP_Label_e120c11f-7d21-4fdf-9d04-b34a9c1c3979_Name">
    <vt:lpwstr>e120c11f-7d21-4fdf-9d04-b34a9c1c3979</vt:lpwstr>
  </property>
  <property fmtid="{D5CDD505-2E9C-101B-9397-08002B2CF9AE}" pid="8" name="MSIP_Label_e120c11f-7d21-4fdf-9d04-b34a9c1c3979_SetDate">
    <vt:lpwstr>2023-11-01T15:37:12Z</vt:lpwstr>
  </property>
  <property fmtid="{D5CDD505-2E9C-101B-9397-08002B2CF9AE}" pid="9" name="MSIP_Label_e120c11f-7d21-4fdf-9d04-b34a9c1c3979_SiteId">
    <vt:lpwstr>19caa9e9-04ff-43fa-885f-d77fac387903</vt:lpwstr>
  </property>
</Properties>
</file>