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14:paraId="273661E3" w14:textId="77777777">
      <w:pPr>
        <w:jc w:val="center"/>
      </w:pPr>
      <w:r>
        <w:t>FEDERAL ENERGY REGULATORY COMMISSION</w:t>
      </w:r>
    </w:p>
    <w:p w:rsidR="00A2604E" w:rsidP="00A2604E" w14:paraId="6C561934" w14:textId="77777777"/>
    <w:p w:rsidR="00A2604E" w:rsidP="00A2604E" w14:paraId="3E11D4A1" w14:textId="5E12C73B">
      <w:pPr>
        <w:jc w:val="center"/>
      </w:pPr>
      <w:r w:rsidRPr="00980E58">
        <w:t xml:space="preserve">[Docket No. </w:t>
      </w:r>
      <w:r w:rsidR="00C712B7">
        <w:t>RD</w:t>
      </w:r>
      <w:r w:rsidR="00FB078F">
        <w:t>2</w:t>
      </w:r>
      <w:r w:rsidR="003D24FC">
        <w:t>3</w:t>
      </w:r>
      <w:r w:rsidRPr="00980E58" w:rsidR="00613169">
        <w:t>-</w:t>
      </w:r>
      <w:r w:rsidR="00C712B7">
        <w:t>6</w:t>
      </w:r>
      <w:r w:rsidRPr="00980E58" w:rsidR="00613169">
        <w:t>-</w:t>
      </w:r>
      <w:r w:rsidR="00C712B7">
        <w:t>000</w:t>
      </w:r>
      <w:r w:rsidRPr="00980E58">
        <w:t>]</w:t>
      </w:r>
    </w:p>
    <w:p w:rsidR="00A2604E" w:rsidP="00A2604E" w14:paraId="4D16FE54" w14:textId="77777777"/>
    <w:p w:rsidR="00A2604E" w:rsidP="00A2604E" w14:paraId="0627AE31" w14:textId="36DC5175">
      <w:pPr>
        <w:jc w:val="center"/>
      </w:pPr>
      <w:r>
        <w:t>COMMISSION INFORMATION COLLECTION ACTIVITIES (FERC-</w:t>
      </w:r>
      <w:r w:rsidR="00491543">
        <w:t>725</w:t>
      </w:r>
      <w:r w:rsidR="003B4897">
        <w:t>A(1D)</w:t>
      </w:r>
      <w:r w:rsidR="003A66FC">
        <w:t xml:space="preserve"> and </w:t>
      </w:r>
      <w:r w:rsidR="00554474">
        <w:t>FERC-725Z</w:t>
      </w:r>
      <w:r>
        <w:t>);</w:t>
      </w:r>
    </w:p>
    <w:p w:rsidR="00A2604E" w:rsidP="00A2604E" w14:paraId="3B5240D4" w14:textId="679FA8D0">
      <w:pPr>
        <w:jc w:val="center"/>
      </w:pPr>
      <w:r>
        <w:t xml:space="preserve">COMMENT REQUEST; </w:t>
      </w:r>
      <w:r w:rsidR="00A30E6E">
        <w:t>R</w:t>
      </w:r>
      <w:r w:rsidR="00480DDB">
        <w:t>EVISION</w:t>
      </w:r>
    </w:p>
    <w:p w:rsidR="00881405" w:rsidP="00A2604E" w14:paraId="5D8DD33D" w14:textId="77777777">
      <w:pPr>
        <w:jc w:val="center"/>
      </w:pPr>
    </w:p>
    <w:p w:rsidR="00CD56E5" w:rsidP="000317C5" w14:paraId="692D2676" w14:textId="0500AC49">
      <w:pPr>
        <w:jc w:val="center"/>
      </w:pPr>
      <w:r w:rsidRPr="000317C5">
        <w:t>(December 6, 2023)</w:t>
      </w:r>
    </w:p>
    <w:p w:rsidR="000317C5" w:rsidRPr="000317C5" w:rsidP="000317C5" w14:paraId="05DE156F"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ECA8EBB">
      <w:pPr>
        <w:spacing w:line="480" w:lineRule="auto"/>
      </w:pPr>
      <w:r w:rsidRPr="00CE64F2">
        <w:rPr>
          <w:b/>
        </w:rPr>
        <w:t>ACTION:</w:t>
      </w:r>
      <w:r>
        <w:t xml:space="preserve">  </w:t>
      </w:r>
      <w:bookmarkStart w:id="0" w:name="_Hlk68091542"/>
      <w:r>
        <w:t>Notice of information collection</w:t>
      </w:r>
      <w:r w:rsidR="003A66FC">
        <w:t>s</w:t>
      </w:r>
      <w:r>
        <w:t xml:space="preserve"> </w:t>
      </w:r>
      <w:bookmarkEnd w:id="0"/>
      <w:r>
        <w:t>and request for comments.</w:t>
      </w:r>
    </w:p>
    <w:p w:rsidR="00A2604E" w:rsidP="00A2604E" w14:paraId="59F663B1" w14:textId="48849B43">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w:t>
      </w:r>
      <w:r w:rsidR="003A66FC">
        <w:t>s</w:t>
      </w:r>
      <w:r>
        <w:t xml:space="preserve">, </w:t>
      </w:r>
      <w:r w:rsidRPr="00CC5692" w:rsidR="00CC5692">
        <w:t>FERC</w:t>
      </w:r>
      <w:r w:rsidR="003A66FC">
        <w:t>-</w:t>
      </w:r>
      <w:r w:rsidRPr="00CC5692" w:rsidR="00554474">
        <w:t>725</w:t>
      </w:r>
      <w:r w:rsidR="00554474">
        <w:t>A</w:t>
      </w:r>
      <w:r w:rsidR="003B4897">
        <w:t xml:space="preserve">(1D) </w:t>
      </w:r>
      <w:r w:rsidR="00937CDA">
        <w:t>(</w:t>
      </w:r>
      <w:r w:rsidRPr="00937CDA" w:rsidR="00937CDA">
        <w:t xml:space="preserve">Mandatory Reliability Standards for the Bulk-Power System </w:t>
      </w:r>
      <w:bookmarkStart w:id="1" w:name="_Hlk152751968"/>
      <w:r w:rsidRPr="00937CDA" w:rsidR="00937CDA">
        <w:t>TOP-003-6.1</w:t>
      </w:r>
      <w:bookmarkEnd w:id="1"/>
      <w:r w:rsidR="00937CDA">
        <w:t>)</w:t>
      </w:r>
      <w:r w:rsidR="00554474">
        <w:t xml:space="preserve"> and FERC</w:t>
      </w:r>
      <w:r w:rsidR="003A66FC">
        <w:t>-</w:t>
      </w:r>
      <w:r w:rsidR="00554474">
        <w:t>725Z</w:t>
      </w:r>
      <w:r w:rsidRPr="00CC5692" w:rsidR="00554474">
        <w:t xml:space="preserve"> </w:t>
      </w:r>
      <w:r w:rsidR="00CC5692">
        <w:t>(</w:t>
      </w:r>
      <w:r w:rsidRPr="008212DA" w:rsidR="008212DA">
        <w:t>Mandatory Reliability Standards for the Bulk-Power System</w:t>
      </w:r>
      <w:r w:rsidRPr="00550714" w:rsidR="00550714">
        <w:t xml:space="preserve"> </w:t>
      </w:r>
      <w:bookmarkStart w:id="2" w:name="_Hlk147487037"/>
      <w:r w:rsidR="004271C1">
        <w:t xml:space="preserve">IRO-010-5 </w:t>
      </w:r>
      <w:bookmarkEnd w:id="2"/>
      <w:r w:rsidRPr="008212DA" w:rsidR="008212DA">
        <w:t>Reliability Standards</w:t>
      </w:r>
      <w:r w:rsidR="00CC5692">
        <w:t>).</w:t>
      </w:r>
      <w:r w:rsidR="00550714">
        <w:t xml:space="preserve"> </w:t>
      </w:r>
    </w:p>
    <w:p w:rsidR="00A2604E" w:rsidRPr="00524164" w:rsidP="00A2604E" w14:paraId="5C5B574A" w14:textId="365BC001">
      <w:pPr>
        <w:spacing w:line="480" w:lineRule="auto"/>
      </w:pPr>
      <w:r w:rsidRPr="00CE64F2">
        <w:rPr>
          <w:b/>
        </w:rPr>
        <w:t>DATES:</w:t>
      </w:r>
      <w:r>
        <w:t xml:space="preserve">  Comments on the collection</w:t>
      </w:r>
      <w:r w:rsidR="003A66FC">
        <w:t>s</w:t>
      </w:r>
      <w:r>
        <w:t xml:space="preserve"> of information are </w:t>
      </w:r>
      <w:r w:rsidRPr="00B24588">
        <w:t>due [</w:t>
      </w:r>
      <w:r w:rsidR="00CD56E5">
        <w:rPr>
          <w:b/>
        </w:rPr>
        <w:t>INSERT DATE</w:t>
      </w:r>
      <w:r w:rsidRPr="00A07154">
        <w:rPr>
          <w:b/>
        </w:rPr>
        <w:t xml:space="preserve"> that is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6929A881" w14:textId="11815916">
      <w:pPr>
        <w:spacing w:line="480" w:lineRule="auto"/>
      </w:pPr>
      <w:r w:rsidRPr="00524164">
        <w:rPr>
          <w:b/>
        </w:rPr>
        <w:t>ADDRESSES:</w:t>
      </w:r>
      <w:r w:rsidRPr="00524164">
        <w:t xml:space="preserve">  </w:t>
      </w:r>
      <w:bookmarkStart w:id="3" w:name="OLE_LINK1"/>
      <w:r w:rsidRPr="0042765E">
        <w:t xml:space="preserve">You may submit copies of your comments (identified by Docket No. </w:t>
      </w:r>
      <w:r w:rsidR="00C712B7">
        <w:t>RD23</w:t>
      </w:r>
      <w:r w:rsidRPr="0042765E">
        <w:t>-</w:t>
      </w:r>
      <w:r w:rsidR="00C712B7">
        <w:t>6</w:t>
      </w:r>
      <w:r w:rsidRPr="0042765E">
        <w:t>-000) by one of the following methods:</w:t>
      </w:r>
    </w:p>
    <w:p w:rsidR="0042765E" w:rsidRPr="0042765E" w:rsidP="0042765E" w14:paraId="7E325126" w14:textId="7F9A743D">
      <w:pPr>
        <w:numPr>
          <w:ilvl w:val="0"/>
          <w:numId w:val="6"/>
        </w:numPr>
        <w:spacing w:line="480" w:lineRule="auto"/>
      </w:pPr>
      <w:r w:rsidRPr="0042765E">
        <w:t xml:space="preserve">Electronic Filing: Documents must be filed in acceptable native applications and print-to-PDF, but not in scanned or picture format. </w:t>
      </w:r>
      <w:r w:rsidRPr="0042765E" w:rsidR="003A66FC">
        <w:t xml:space="preserve">Electronic filing through </w:t>
      </w:r>
      <w:hyperlink r:id="rId10" w:history="1">
        <w:r w:rsidRPr="0042765E" w:rsidR="003A66FC">
          <w:rPr>
            <w:rStyle w:val="Hyperlink"/>
          </w:rPr>
          <w:t>http://www.ferc.gov</w:t>
        </w:r>
      </w:hyperlink>
      <w:r w:rsidRPr="0042765E" w:rsidR="003A66FC">
        <w:t>, is preferred</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14:paraId="1FF43EEC" w14:textId="438F53E3">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xml:space="preserve">.  </w:t>
      </w:r>
      <w:r w:rsidR="003A66FC">
        <w:t xml:space="preserve">Please ensure each comment refers to the appropriate collection. </w:t>
      </w:r>
      <w:r>
        <w:t>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3"/>
    <w:p w:rsidR="00FB078F" w:rsidRPr="003B29FB" w:rsidP="00FB078F" w14:paraId="4D057177" w14:textId="59E73C00">
      <w:pPr>
        <w:spacing w:line="480" w:lineRule="auto"/>
        <w:rPr>
          <w:szCs w:val="26"/>
        </w:rPr>
      </w:pPr>
      <w:r w:rsidRPr="003B29FB">
        <w:rPr>
          <w:b/>
          <w:szCs w:val="26"/>
        </w:rPr>
        <w:t>FOR FURTHER INFORMATION:</w:t>
      </w:r>
      <w:r w:rsidRPr="003B29FB">
        <w:rPr>
          <w:szCs w:val="26"/>
        </w:rPr>
        <w:t xml:space="preserve">  </w:t>
      </w:r>
      <w:r w:rsidR="00C712B7">
        <w:rPr>
          <w:szCs w:val="26"/>
        </w:rPr>
        <w:t>Jean Sonneman</w:t>
      </w:r>
      <w:r w:rsidRPr="003B29FB">
        <w:rPr>
          <w:szCs w:val="26"/>
        </w:rPr>
        <w:t xml:space="preserve">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w:t>
      </w:r>
      <w:r w:rsidR="00C712B7">
        <w:rPr>
          <w:szCs w:val="26"/>
        </w:rPr>
        <w:t>6362</w:t>
      </w:r>
      <w:r w:rsidRPr="003B29FB">
        <w:rPr>
          <w:szCs w:val="26"/>
        </w:rPr>
        <w:t>.</w:t>
      </w:r>
    </w:p>
    <w:p w:rsidR="008212DA" w:rsidRPr="008212DA" w:rsidP="008212DA" w14:paraId="4891BEC5" w14:textId="77777777">
      <w:pPr>
        <w:spacing w:line="480" w:lineRule="auto"/>
      </w:pPr>
      <w:r w:rsidRPr="008212DA">
        <w:rPr>
          <w:b/>
        </w:rPr>
        <w:t>SUPPLEMENTARY INFORMATION:</w:t>
      </w:r>
      <w:r w:rsidRPr="008212DA">
        <w:t xml:space="preserve">  </w:t>
      </w:r>
    </w:p>
    <w:p w:rsidR="004271C1" w:rsidP="004271C1" w14:paraId="5B94F3E8" w14:textId="094BCAE3">
      <w:pPr>
        <w:spacing w:line="480" w:lineRule="auto"/>
      </w:pPr>
      <w:r w:rsidRPr="008212DA">
        <w:rPr>
          <w:i/>
        </w:rPr>
        <w:t>Title</w:t>
      </w:r>
      <w:r w:rsidR="003A66FC">
        <w:rPr>
          <w:i/>
        </w:rPr>
        <w:t>s</w:t>
      </w:r>
      <w:r w:rsidRPr="008212DA">
        <w:rPr>
          <w:i/>
        </w:rPr>
        <w:t>:</w:t>
      </w:r>
      <w:r>
        <w:t>FERC-725Z, Mandatory Reliability Standards: IRO Reliability Standards, and FERC-725A</w:t>
      </w:r>
      <w:r w:rsidR="003B4897">
        <w:t>(1D)</w:t>
      </w:r>
      <w:r>
        <w:t xml:space="preserve">, Mandatory Reliability Standards for the Bulk-Power System </w:t>
      </w:r>
      <w:r w:rsidRPr="008212DA">
        <w:t>Reliability Standards</w:t>
      </w:r>
      <w:r w:rsidR="003B4897">
        <w:t xml:space="preserve"> (</w:t>
      </w:r>
      <w:r w:rsidRPr="003B4897" w:rsidR="003B4897">
        <w:t>TOP-003-6.1</w:t>
      </w:r>
      <w:r w:rsidR="003B4897">
        <w:t>)</w:t>
      </w:r>
      <w:r>
        <w:t xml:space="preserve">. </w:t>
      </w:r>
    </w:p>
    <w:p w:rsidR="004271C1" w:rsidP="004271C1" w14:paraId="25580647" w14:textId="77777777">
      <w:pPr>
        <w:spacing w:line="480" w:lineRule="auto"/>
      </w:pPr>
      <w:r w:rsidRPr="003B4897">
        <w:rPr>
          <w:i/>
          <w:iCs/>
        </w:rPr>
        <w:t>Action</w:t>
      </w:r>
      <w:r>
        <w:t xml:space="preserve">: Proposed Changes to Collections. </w:t>
      </w:r>
    </w:p>
    <w:p w:rsidR="008212DA" w:rsidRPr="008212DA" w:rsidP="004271C1" w14:paraId="1BF859CE" w14:textId="2C66F5F9">
      <w:pPr>
        <w:spacing w:line="480" w:lineRule="auto"/>
      </w:pPr>
      <w:r w:rsidRPr="008212DA">
        <w:rPr>
          <w:i/>
        </w:rPr>
        <w:t>OMB Control No</w:t>
      </w:r>
      <w:r w:rsidR="004271C1">
        <w:rPr>
          <w:i/>
        </w:rPr>
        <w:t>s</w:t>
      </w:r>
      <w:r w:rsidRPr="008212DA">
        <w:rPr>
          <w:i/>
        </w:rPr>
        <w:t xml:space="preserve">.: </w:t>
      </w:r>
      <w:r w:rsidRPr="004271C1" w:rsidR="004271C1">
        <w:t>1902-0276 (FERC-725Z); 1902-0</w:t>
      </w:r>
      <w:r w:rsidR="008E5F88">
        <w:t>32</w:t>
      </w:r>
      <w:r w:rsidRPr="004271C1" w:rsidR="004271C1">
        <w:t>4 (FERC-725A</w:t>
      </w:r>
      <w:r w:rsidR="003B4897">
        <w:t>(1D)</w:t>
      </w:r>
      <w:r w:rsidRPr="004271C1" w:rsidR="004271C1">
        <w:t>).</w:t>
      </w:r>
    </w:p>
    <w:p w:rsidR="008212DA" w:rsidRPr="008212DA" w:rsidP="008212DA" w14:paraId="2199FB9F" w14:textId="4094B8A1">
      <w:pPr>
        <w:spacing w:line="480" w:lineRule="auto"/>
      </w:pPr>
      <w:r w:rsidRPr="008212DA">
        <w:rPr>
          <w:i/>
        </w:rPr>
        <w:t>Type of Request:</w:t>
      </w:r>
      <w:r w:rsidRPr="008212DA">
        <w:t xml:space="preserve"> </w:t>
      </w:r>
      <w:r w:rsidR="004271C1">
        <w:t xml:space="preserve">Modification </w:t>
      </w:r>
      <w:r w:rsidRPr="008212DA">
        <w:t>of the FERC-725</w:t>
      </w:r>
      <w:r w:rsidR="003B4897">
        <w:t>Z</w:t>
      </w:r>
      <w:r w:rsidRPr="008212DA">
        <w:t xml:space="preserve"> </w:t>
      </w:r>
      <w:r w:rsidR="004271C1">
        <w:t>and FERC-725</w:t>
      </w:r>
      <w:r w:rsidR="003B4897">
        <w:t>A(1D)</w:t>
      </w:r>
      <w:r w:rsidR="004271C1">
        <w:t xml:space="preserve"> </w:t>
      </w:r>
      <w:r w:rsidRPr="008212DA">
        <w:t>information collection requirements.</w:t>
      </w:r>
    </w:p>
    <w:p w:rsidR="00D40817" w:rsidP="00A61DA2" w14:paraId="1F302C43" w14:textId="44A0019B">
      <w:pPr>
        <w:spacing w:line="480" w:lineRule="auto"/>
      </w:pPr>
      <w:r w:rsidRPr="008212DA">
        <w:rPr>
          <w:i/>
        </w:rPr>
        <w:t>Abstract:</w:t>
      </w:r>
      <w:r w:rsidR="00D34885">
        <w:rPr>
          <w:iCs/>
        </w:rPr>
        <w:t xml:space="preserve"> </w:t>
      </w:r>
      <w:r w:rsidR="007C19F6">
        <w:rPr>
          <w:iCs/>
        </w:rPr>
        <w:t xml:space="preserve"> </w:t>
      </w:r>
      <w:r w:rsidRPr="00BE5BB2">
        <w:t xml:space="preserve">On </w:t>
      </w:r>
      <w:r w:rsidRPr="00063DA3" w:rsidR="00063DA3">
        <w:t>9/21/2023</w:t>
      </w:r>
      <w:r w:rsidRPr="00BE5BB2">
        <w:t>,</w:t>
      </w:r>
      <w:r w:rsidRPr="00BE5BB2" w:rsidR="00895B40">
        <w:t xml:space="preserve"> the North American Electric Reliability Corporation (</w:t>
      </w:r>
      <w:r w:rsidRPr="00BE5BB2">
        <w:t>NERC</w:t>
      </w:r>
      <w:r w:rsidRPr="00BE5BB2" w:rsidR="00895B40">
        <w:t>)</w:t>
      </w:r>
      <w:r w:rsidRPr="00BE5BB2">
        <w:t xml:space="preserve"> filed a petition </w:t>
      </w:r>
      <w:r w:rsidR="00937CDA">
        <w:t xml:space="preserve">on </w:t>
      </w:r>
      <w:r>
        <w:t>the proposed Modifications to Reliability Standards IRO-010 and TOP-003</w:t>
      </w:r>
      <w:r w:rsidR="00937CDA">
        <w:t xml:space="preserve"> to</w:t>
      </w:r>
      <w:r>
        <w:t xml:space="preserve"> improve the approaches used for data and information specification and exchange by, among other things: (</w:t>
      </w:r>
      <w:r>
        <w:t>i</w:t>
      </w:r>
      <w:r>
        <w:t>) clarifying that specifications include both data and information; (ii) requiring the identification of the applicable entity that is required to respond to the request for the specification; (iii) including a data conflict resolution provision within the data specification requirement; (iv) clarifying that specifications should include protocols to address periodicity, performance criterion, and update and correction mechanisms; and (v) consolidating the format and security protocols within the data specification requirements.</w:t>
      </w:r>
    </w:p>
    <w:p w:rsidR="006E666F" w:rsidP="00D40817" w14:paraId="4ECBD42E" w14:textId="74CF25A5">
      <w:pPr>
        <w:spacing w:line="480" w:lineRule="auto"/>
        <w:ind w:firstLine="720"/>
      </w:pPr>
      <w:r w:rsidRPr="00B540E0">
        <w:t xml:space="preserve">The proposed Modifications to </w:t>
      </w:r>
      <w:r w:rsidR="003B4897">
        <w:t xml:space="preserve">FERC-725Z </w:t>
      </w:r>
      <w:r w:rsidR="008E5F88">
        <w:t>for</w:t>
      </w:r>
      <w:r w:rsidR="003B4897">
        <w:t xml:space="preserve"> </w:t>
      </w:r>
      <w:r w:rsidRPr="00B540E0">
        <w:t>IRO-010</w:t>
      </w:r>
      <w:r w:rsidR="00937CDA">
        <w:t>-5</w:t>
      </w:r>
      <w:r w:rsidRPr="00B540E0">
        <w:t xml:space="preserve"> and </w:t>
      </w:r>
      <w:r w:rsidR="003B4897">
        <w:t>FERC-725A(1D)</w:t>
      </w:r>
      <w:r w:rsidR="004B5440">
        <w:t xml:space="preserve"> </w:t>
      </w:r>
      <w:r w:rsidR="008E5F88">
        <w:t>for</w:t>
      </w:r>
      <w:r w:rsidR="003B4897">
        <w:t xml:space="preserve"> </w:t>
      </w:r>
      <w:r w:rsidRPr="00B540E0">
        <w:t>TOP-003</w:t>
      </w:r>
      <w:r w:rsidR="00937CDA">
        <w:t>-6.1</w:t>
      </w:r>
      <w:r w:rsidRPr="00B540E0">
        <w:t>, address recommendations arising from the SER Phase 2 Team by clarifying, consolidating, and improving approaches for data and information specification and exchange.  The proposed revisions are intended to advance the reliability of the Bulk-Power System (“BPS”) by ensuring that Registered Entities with operational responsibilities are able to request and receive the data and information necessary to support Operational Planning Analysis, Real-time Assessments, Real-time monitoring, and Balancing Authority analysis functions in an optimal manner.</w:t>
      </w:r>
      <w:r>
        <w:t xml:space="preserve">  </w:t>
      </w:r>
    </w:p>
    <w:p w:rsidR="00D40817" w:rsidP="00D40817" w14:paraId="151422A5" w14:textId="5947C693">
      <w:pPr>
        <w:spacing w:line="480" w:lineRule="auto"/>
        <w:ind w:firstLine="720"/>
      </w:pPr>
      <w:r>
        <w:t>The proposed modifications would advance the reliability of the BPS by facilitating improved coordination of information and data sharing, thus allowing the entities responsible for the reliable operation of the BPS to request and receive data and information necessary to support Operational Planning Analysis, Real-time Assessments, Real-time monitoring, and Balancing Authority analysis functions in an optimal manner.</w:t>
      </w:r>
    </w:p>
    <w:p w:rsidR="008C3C05" w:rsidP="00D40817" w14:paraId="3199EDF7" w14:textId="560CC3D3">
      <w:pPr>
        <w:spacing w:line="480" w:lineRule="auto"/>
        <w:ind w:firstLine="720"/>
      </w:pPr>
      <w:r>
        <w:t xml:space="preserve">The changes being implemented primarily affect the reliability coordinator in IRO-010-5 and the transmission operator and balancing authority in TOP-003-6.1 with other entities have much lower burden.  </w:t>
      </w:r>
      <w:r w:rsidRPr="004B5440">
        <w:t xml:space="preserve">Additionally, the burden is expected to only be needed for </w:t>
      </w:r>
      <w:r w:rsidRPr="004B5440" w:rsidR="004B5440">
        <w:t xml:space="preserve">years 1 and 2 as the burden is only </w:t>
      </w:r>
      <w:r w:rsidRPr="004B5440">
        <w:t xml:space="preserve">focused on procedures for sharing data and moving details from one requirement to another within the same standard.  After year two with procedures fully in place there </w:t>
      </w:r>
      <w:r w:rsidRPr="004B5440" w:rsidR="007637D4">
        <w:t xml:space="preserve">are </w:t>
      </w:r>
      <w:r w:rsidRPr="004B5440">
        <w:t>no expectation</w:t>
      </w:r>
      <w:r w:rsidRPr="004B5440" w:rsidR="007637D4">
        <w:t>s</w:t>
      </w:r>
      <w:r w:rsidRPr="004B5440">
        <w:t xml:space="preserve"> for additional burden</w:t>
      </w:r>
      <w:r w:rsidRPr="004B5440" w:rsidR="007637D4">
        <w:t xml:space="preserve"> </w:t>
      </w:r>
      <w:r w:rsidRPr="004B5440">
        <w:t>to continue as documents will be in place.</w:t>
      </w:r>
      <w:r w:rsidRPr="004B5440" w:rsidR="004B5440">
        <w:t xml:space="preserve"> The</w:t>
      </w:r>
      <w:r w:rsidR="004B5440">
        <w:t xml:space="preserve"> existing burden will remain the same until updated further for these reliability standards.</w:t>
      </w:r>
    </w:p>
    <w:p w:rsidR="008212DA" w:rsidRPr="008212DA" w:rsidP="00A61DA2" w14:paraId="114F5403" w14:textId="1A281C3E">
      <w:pPr>
        <w:spacing w:line="480" w:lineRule="auto"/>
        <w:ind w:firstLine="720"/>
      </w:pPr>
      <w:r w:rsidRPr="009E184A">
        <w:t>These Standards</w:t>
      </w:r>
      <w:r w:rsidR="006E6DC1">
        <w:t>,</w:t>
      </w:r>
      <w:r w:rsidRPr="009E184A">
        <w:t xml:space="preserve"> </w:t>
      </w:r>
      <w:r w:rsidR="00937CDA">
        <w:t>FERC-725A</w:t>
      </w:r>
      <w:r w:rsidR="00791812">
        <w:t>(1D)</w:t>
      </w:r>
      <w:r w:rsidR="00937CDA">
        <w:t xml:space="preserve"> (Temporary placeholder </w:t>
      </w:r>
      <w:r w:rsidR="00791812">
        <w:t xml:space="preserve">for </w:t>
      </w:r>
      <w:r w:rsidR="00937CDA">
        <w:t>FERC-725</w:t>
      </w:r>
      <w:r w:rsidR="004B5440">
        <w:t>A</w:t>
      </w:r>
      <w:r w:rsidR="00937CDA">
        <w:t xml:space="preserve">) for  </w:t>
      </w:r>
      <w:r w:rsidRPr="00F94A47" w:rsidR="00F94A47">
        <w:t xml:space="preserve">TOP-003-6.1, </w:t>
      </w:r>
      <w:r w:rsidR="00937CDA">
        <w:t xml:space="preserve">FERC-725Z  for </w:t>
      </w:r>
      <w:r w:rsidRPr="00F94A47" w:rsidR="00F94A47">
        <w:t>IRO-010-5</w:t>
      </w:r>
      <w:r w:rsidR="0048253E">
        <w:t>, which</w:t>
      </w:r>
      <w:r w:rsidRPr="00F94A47" w:rsidR="00F94A47">
        <w:t xml:space="preserve"> </w:t>
      </w:r>
      <w:r w:rsidRPr="008212DA">
        <w:t>are all currently approved information collection</w:t>
      </w:r>
      <w:r w:rsidR="00937CDA">
        <w:t>s</w:t>
      </w:r>
      <w:r w:rsidRPr="008212DA">
        <w:t xml:space="preserve">.  </w:t>
      </w:r>
    </w:p>
    <w:p w:rsidR="008212DA" w:rsidRPr="008212DA" w:rsidP="008212DA" w14:paraId="2B56ADB7" w14:textId="6D889B50">
      <w:pPr>
        <w:spacing w:line="480" w:lineRule="auto"/>
      </w:pPr>
      <w:r w:rsidRPr="008212DA">
        <w:rPr>
          <w:i/>
        </w:rPr>
        <w:t xml:space="preserve">Type of Respondents: </w:t>
      </w:r>
      <w:r w:rsidRPr="008212DA">
        <w:t xml:space="preserve">NERC-registered entities including </w:t>
      </w:r>
      <w:r w:rsidR="00927D32">
        <w:t>generator owner</w:t>
      </w:r>
      <w:r w:rsidRPr="008212DA">
        <w:t xml:space="preserve">, </w:t>
      </w:r>
      <w:r w:rsidR="00927D32">
        <w:t>generator operator</w:t>
      </w:r>
      <w:r w:rsidR="006412E9">
        <w:t xml:space="preserve">, </w:t>
      </w:r>
      <w:r w:rsidR="00966B96">
        <w:t xml:space="preserve">reliability coordinator, </w:t>
      </w:r>
      <w:r w:rsidRPr="008212DA">
        <w:t xml:space="preserve">balancing authorities, </w:t>
      </w:r>
      <w:r w:rsidR="00BF03D4">
        <w:t>distribution provider</w:t>
      </w:r>
      <w:r w:rsidRPr="008212DA">
        <w:t xml:space="preserve">, transmission </w:t>
      </w:r>
      <w:r w:rsidR="00BF03D4">
        <w:t>owner</w:t>
      </w:r>
      <w:r w:rsidRPr="008212DA">
        <w:t>, and transmission operators</w:t>
      </w:r>
      <w:r w:rsidR="00895B40">
        <w:t>.</w:t>
      </w:r>
      <w:r>
        <w:rPr>
          <w:b/>
          <w:szCs w:val="26"/>
          <w:vertAlign w:val="superscript"/>
        </w:rPr>
        <w:footnoteReference w:id="3"/>
      </w:r>
      <w:r w:rsidRPr="008212DA">
        <w:t xml:space="preserve"> </w:t>
      </w:r>
    </w:p>
    <w:p w:rsidR="004B3992" w:rsidP="004B3992" w14:paraId="7D86A215" w14:textId="77777777">
      <w:pPr>
        <w:rPr>
          <w:szCs w:val="26"/>
        </w:rPr>
      </w:pPr>
      <w:r w:rsidRPr="008212DA">
        <w:rPr>
          <w:i/>
        </w:rPr>
        <w:t>Estimate of Annual Burden</w:t>
      </w:r>
      <w:r>
        <w:rPr>
          <w:b/>
          <w:iCs/>
          <w:szCs w:val="26"/>
          <w:vertAlign w:val="superscript"/>
        </w:rPr>
        <w:footnoteReference w:id="4"/>
      </w:r>
      <w:r w:rsidRPr="008212DA">
        <w:rPr>
          <w:i/>
        </w:rPr>
        <w:t xml:space="preserve">: </w:t>
      </w:r>
      <w:r w:rsidRPr="008212DA">
        <w:t>The Commission estimates the annual public reporting burden and cost for the information collection</w:t>
      </w:r>
      <w:r w:rsidR="007637D4">
        <w:t>s</w:t>
      </w:r>
      <w:r w:rsidRPr="008212DA">
        <w:t xml:space="preserve"> as</w:t>
      </w:r>
      <w:r>
        <w:rPr>
          <w:b/>
          <w:szCs w:val="26"/>
          <w:vertAlign w:val="superscript"/>
        </w:rPr>
        <w:footnoteReference w:id="5"/>
      </w:r>
      <w:r w:rsidRPr="004B3992" w:rsidR="0048253E">
        <w:rPr>
          <w:szCs w:val="26"/>
        </w:rPr>
        <w:t>:</w:t>
      </w:r>
      <w:r w:rsidRPr="00A341B7" w:rsidR="004177CD">
        <w:rPr>
          <w:szCs w:val="26"/>
        </w:rPr>
        <w:t xml:space="preserve"> </w:t>
      </w:r>
    </w:p>
    <w:p w:rsidR="004B3992" w:rsidP="004B3992" w14:paraId="287858E3" w14:textId="77777777">
      <w:pPr>
        <w:rPr>
          <w:szCs w:val="26"/>
        </w:rPr>
      </w:pPr>
    </w:p>
    <w:p w:rsidR="004177CD" w:rsidRPr="00593E91" w:rsidP="004B3992" w14:paraId="534D39E8" w14:textId="31050407">
      <w:pPr>
        <w:rPr>
          <w:szCs w:val="26"/>
          <w:u w:val="single"/>
        </w:rPr>
      </w:pPr>
      <w:r w:rsidRPr="002E0A38">
        <w:rPr>
          <w:szCs w:val="26"/>
        </w:rPr>
        <w:t xml:space="preserve">Reliability Standard </w:t>
      </w:r>
      <w:r w:rsidRPr="00172D4F" w:rsidR="00172D4F">
        <w:t xml:space="preserve">IRO-010-5 </w:t>
      </w:r>
      <w:r w:rsidRPr="002E0A38">
        <w:rPr>
          <w:szCs w:val="26"/>
        </w:rPr>
        <w:t>(</w:t>
      </w:r>
      <w:hyperlink r:id="rId11" w:history="1">
        <w:r w:rsidRPr="00172D4F" w:rsidR="00172D4F">
          <w:rPr>
            <w:rStyle w:val="Hyperlink"/>
          </w:rPr>
          <w:t>Reliability Coordinator Data Specification and Collection</w:t>
        </w:r>
      </w:hyperlink>
      <w:r w:rsidRPr="00593E91">
        <w:rPr>
          <w:szCs w:val="26"/>
        </w:rPr>
        <w:t>)</w:t>
      </w:r>
    </w:p>
    <w:p w:rsidR="00172D4F" w:rsidRPr="008F21D5" w:rsidP="004B3992" w14:paraId="6CB0EFF5" w14:textId="33E91CD1">
      <w:pPr>
        <w:tabs>
          <w:tab w:val="left" w:pos="-1440"/>
          <w:tab w:val="left" w:pos="-720"/>
        </w:tabs>
        <w:contextualSpacing/>
        <w:rPr>
          <w:szCs w:val="26"/>
          <w:u w:val="single"/>
        </w:rPr>
      </w:pPr>
      <w:r w:rsidRPr="00172D4F">
        <w:rPr>
          <w:szCs w:val="26"/>
        </w:rPr>
        <w:t xml:space="preserve">Reliability Standard </w:t>
      </w:r>
      <w:r w:rsidRPr="00172D4F">
        <w:t xml:space="preserve">TOP-003-6.1 </w:t>
      </w:r>
      <w:r w:rsidRPr="00172D4F">
        <w:rPr>
          <w:szCs w:val="26"/>
        </w:rPr>
        <w:t>(</w:t>
      </w:r>
      <w:hyperlink r:id="rId12" w:history="1">
        <w:r w:rsidRPr="00172D4F">
          <w:rPr>
            <w:rStyle w:val="Hyperlink"/>
          </w:rPr>
          <w:t>Transmission Operator and Balancing Authority Data and Information Specification and Collection</w:t>
        </w:r>
      </w:hyperlink>
      <w:r w:rsidRPr="00172D4F">
        <w:rPr>
          <w:szCs w:val="26"/>
        </w:rPr>
        <w:t>)</w:t>
      </w:r>
    </w:p>
    <w:p w:rsidR="004177CD" w:rsidRPr="004177CD" w:rsidP="00172D4F" w14:paraId="01C1CA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Cs w:val="26"/>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1350"/>
        <w:gridCol w:w="1260"/>
        <w:gridCol w:w="1350"/>
        <w:gridCol w:w="1350"/>
        <w:gridCol w:w="2790"/>
      </w:tblGrid>
      <w:tr w14:paraId="5E6E1E44" w14:textId="77777777" w:rsidTr="00C712B7">
        <w:tblPrEx>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870"/>
          <w:jc w:val="center"/>
        </w:trPr>
        <w:tc>
          <w:tcPr>
            <w:tcW w:w="10075" w:type="dxa"/>
            <w:gridSpan w:val="6"/>
            <w:tcBorders>
              <w:top w:val="single" w:sz="4" w:space="0" w:color="auto"/>
              <w:left w:val="single" w:sz="4" w:space="0" w:color="auto"/>
              <w:bottom w:val="single" w:sz="4" w:space="0" w:color="auto"/>
              <w:right w:val="single" w:sz="4" w:space="0" w:color="auto"/>
            </w:tcBorders>
            <w:shd w:val="pct10" w:color="auto" w:fill="auto"/>
            <w:vAlign w:val="bottom"/>
          </w:tcPr>
          <w:tbl>
            <w:tblPr>
              <w:tblW w:w="10150" w:type="dxa"/>
              <w:jc w:val="center"/>
              <w:tblLayout w:type="fixed"/>
              <w:tblCellMar>
                <w:left w:w="0" w:type="dxa"/>
                <w:right w:w="0" w:type="dxa"/>
              </w:tblCellMar>
              <w:tblLook w:val="04A0"/>
            </w:tblPr>
            <w:tblGrid>
              <w:gridCol w:w="24"/>
              <w:gridCol w:w="1989"/>
              <w:gridCol w:w="1350"/>
              <w:gridCol w:w="1260"/>
              <w:gridCol w:w="1326"/>
              <w:gridCol w:w="1351"/>
              <w:gridCol w:w="2850"/>
            </w:tblGrid>
            <w:tr w14:paraId="146D2348" w14:textId="77777777" w:rsidTr="00C712B7">
              <w:tblPrEx>
                <w:tblW w:w="10150" w:type="dxa"/>
                <w:jc w:val="center"/>
                <w:tblLayout w:type="fixed"/>
                <w:tblCellMar>
                  <w:left w:w="0" w:type="dxa"/>
                  <w:right w:w="0" w:type="dxa"/>
                </w:tblCellMar>
                <w:tblLook w:val="04A0"/>
              </w:tblPrEx>
              <w:trPr>
                <w:cantSplit/>
                <w:trHeight w:val="583"/>
                <w:jc w:val="center"/>
              </w:trPr>
              <w:tc>
                <w:tcPr>
                  <w:tcW w:w="10150"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B75DF5" w:rsidRPr="00C712B7" w:rsidP="008D44CE" w14:paraId="6ADF78F3" w14:textId="034F6789">
                  <w:pPr>
                    <w:spacing w:line="252" w:lineRule="auto"/>
                    <w:ind w:left="-351"/>
                    <w:jc w:val="center"/>
                    <w:rPr>
                      <w:b/>
                      <w:bCs/>
                      <w:sz w:val="24"/>
                    </w:rPr>
                  </w:pPr>
                  <w:r w:rsidRPr="00C712B7">
                    <w:rPr>
                      <w:b/>
                      <w:bCs/>
                      <w:sz w:val="24"/>
                    </w:rPr>
                    <w:t xml:space="preserve">        </w:t>
                  </w:r>
                  <w:r w:rsidRPr="00C712B7" w:rsidR="00E2551E">
                    <w:rPr>
                      <w:b/>
                      <w:bCs/>
                      <w:sz w:val="24"/>
                    </w:rPr>
                    <w:t xml:space="preserve">TOP-003-6.1 </w:t>
                  </w:r>
                  <w:r w:rsidRPr="00C712B7" w:rsidR="00CF19C9">
                    <w:rPr>
                      <w:b/>
                      <w:bCs/>
                      <w:sz w:val="24"/>
                    </w:rPr>
                    <w:t xml:space="preserve">- </w:t>
                  </w:r>
                  <w:r w:rsidRPr="00C712B7">
                    <w:rPr>
                      <w:b/>
                      <w:bCs/>
                      <w:sz w:val="24"/>
                    </w:rPr>
                    <w:t>Transmission Operator and Balancing Authority Data and Information Specification and Collection</w:t>
                  </w:r>
                  <w:r w:rsidRPr="00C712B7" w:rsidR="00E92AF6">
                    <w:rPr>
                      <w:b/>
                      <w:bCs/>
                      <w:sz w:val="24"/>
                    </w:rPr>
                    <w:t xml:space="preserve"> </w:t>
                  </w:r>
                  <w:r w:rsidRPr="00C712B7" w:rsidR="006C3221">
                    <w:rPr>
                      <w:b/>
                      <w:bCs/>
                      <w:sz w:val="24"/>
                    </w:rPr>
                    <w:t>for</w:t>
                  </w:r>
                  <w:r w:rsidRPr="00C712B7" w:rsidR="00E92AF6">
                    <w:rPr>
                      <w:b/>
                      <w:bCs/>
                      <w:sz w:val="24"/>
                    </w:rPr>
                    <w:t xml:space="preserve"> Years 1 and 2</w:t>
                  </w:r>
                </w:p>
                <w:p w:rsidR="00303516" w:rsidRPr="00C712B7" w:rsidP="00A61DA2" w14:paraId="1F477C02" w14:textId="22C13D99">
                  <w:pPr>
                    <w:spacing w:line="252" w:lineRule="auto"/>
                    <w:ind w:left="-351"/>
                    <w:jc w:val="center"/>
                    <w:rPr>
                      <w:b/>
                      <w:bCs/>
                      <w:sz w:val="24"/>
                    </w:rPr>
                  </w:pPr>
                </w:p>
              </w:tc>
            </w:tr>
            <w:tr w14:paraId="5DBF2B42" w14:textId="77777777" w:rsidTr="003B4897">
              <w:tblPrEx>
                <w:tblW w:w="10150" w:type="dxa"/>
                <w:jc w:val="center"/>
                <w:tblLayout w:type="fixed"/>
                <w:tblCellMar>
                  <w:left w:w="0" w:type="dxa"/>
                  <w:right w:w="0" w:type="dxa"/>
                </w:tblCellMar>
                <w:tblLook w:val="04A0"/>
              </w:tblPrEx>
              <w:trPr>
                <w:gridBefore w:val="1"/>
                <w:wBefore w:w="24" w:type="dxa"/>
                <w:cantSplit/>
                <w:trHeight w:val="2041"/>
                <w:jc w:val="center"/>
              </w:trPr>
              <w:tc>
                <w:tcPr>
                  <w:tcW w:w="198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303516" w:rsidRPr="00C712B7" w:rsidP="00303516" w14:paraId="39EF50BB" w14:textId="6519B61D">
                  <w:pPr>
                    <w:spacing w:line="252" w:lineRule="auto"/>
                    <w:jc w:val="center"/>
                    <w:rPr>
                      <w:b/>
                      <w:bCs/>
                      <w:sz w:val="24"/>
                    </w:rPr>
                  </w:pPr>
                  <w:r>
                    <w:rPr>
                      <w:b/>
                      <w:bCs/>
                      <w:color w:val="000000"/>
                      <w:sz w:val="24"/>
                    </w:rPr>
                    <w:t xml:space="preserve"> Type of Entity</w:t>
                  </w:r>
                </w:p>
              </w:tc>
              <w:tc>
                <w:tcPr>
                  <w:tcW w:w="13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303516" w:rsidRPr="00C712B7" w:rsidP="00303516" w14:paraId="2CF8EC07" w14:textId="266C559F">
                  <w:pPr>
                    <w:spacing w:line="252" w:lineRule="auto"/>
                    <w:jc w:val="center"/>
                    <w:rPr>
                      <w:b/>
                      <w:bCs/>
                      <w:sz w:val="24"/>
                    </w:rPr>
                  </w:pPr>
                  <w:r w:rsidRPr="00C712B7">
                    <w:rPr>
                      <w:b/>
                      <w:bCs/>
                      <w:color w:val="000000"/>
                      <w:sz w:val="24"/>
                    </w:rPr>
                    <w:t xml:space="preserve">No. of Respondents </w:t>
                  </w:r>
                  <w:r>
                    <w:rPr>
                      <w:rStyle w:val="FootnoteReference"/>
                      <w:b w:val="0"/>
                      <w:bCs/>
                      <w:color w:val="000000"/>
                      <w:sz w:val="24"/>
                      <w:szCs w:val="24"/>
                    </w:rPr>
                    <w:footnoteReference w:id="6"/>
                  </w:r>
                </w:p>
                <w:p w:rsidR="00303516" w:rsidRPr="00C712B7" w:rsidP="00303516" w14:paraId="64839711" w14:textId="77777777">
                  <w:pPr>
                    <w:spacing w:line="252" w:lineRule="auto"/>
                    <w:jc w:val="center"/>
                    <w:rPr>
                      <w:b/>
                      <w:bCs/>
                      <w:sz w:val="24"/>
                    </w:rPr>
                  </w:pPr>
                  <w:r w:rsidRPr="00C712B7">
                    <w:rPr>
                      <w:b/>
                      <w:bCs/>
                      <w:color w:val="000000"/>
                      <w:sz w:val="24"/>
                    </w:rPr>
                    <w:t>(1)</w:t>
                  </w: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303516" w:rsidRPr="00C712B7" w:rsidP="00303516" w14:paraId="27474ECE" w14:textId="77777777">
                  <w:pPr>
                    <w:spacing w:line="252" w:lineRule="auto"/>
                    <w:jc w:val="center"/>
                    <w:rPr>
                      <w:b/>
                      <w:bCs/>
                      <w:sz w:val="24"/>
                    </w:rPr>
                  </w:pPr>
                  <w:r w:rsidRPr="00C712B7">
                    <w:rPr>
                      <w:b/>
                      <w:bCs/>
                      <w:color w:val="000000"/>
                      <w:sz w:val="24"/>
                    </w:rPr>
                    <w:t>Annual No. of Responses per Respondent</w:t>
                  </w:r>
                </w:p>
                <w:p w:rsidR="00303516" w:rsidRPr="00C712B7" w:rsidP="00303516" w14:paraId="75A6F053" w14:textId="77777777">
                  <w:pPr>
                    <w:spacing w:line="252" w:lineRule="auto"/>
                    <w:jc w:val="center"/>
                    <w:rPr>
                      <w:b/>
                      <w:bCs/>
                      <w:sz w:val="24"/>
                    </w:rPr>
                  </w:pPr>
                  <w:r w:rsidRPr="00C712B7">
                    <w:rPr>
                      <w:b/>
                      <w:bCs/>
                      <w:color w:val="000000"/>
                      <w:sz w:val="24"/>
                    </w:rPr>
                    <w:t>(2)</w:t>
                  </w:r>
                </w:p>
              </w:tc>
              <w:tc>
                <w:tcPr>
                  <w:tcW w:w="132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rsidR="00303516" w:rsidRPr="00C712B7" w:rsidP="00303516" w14:paraId="205EA8E6" w14:textId="77777777">
                  <w:pPr>
                    <w:spacing w:line="252" w:lineRule="auto"/>
                    <w:jc w:val="center"/>
                    <w:rPr>
                      <w:b/>
                      <w:bCs/>
                      <w:sz w:val="24"/>
                    </w:rPr>
                  </w:pPr>
                  <w:r w:rsidRPr="00C712B7">
                    <w:rPr>
                      <w:b/>
                      <w:bCs/>
                      <w:color w:val="000000"/>
                      <w:sz w:val="24"/>
                    </w:rPr>
                    <w:t>Annual No. of Responses</w:t>
                  </w:r>
                </w:p>
                <w:p w:rsidR="00303516" w:rsidRPr="00C712B7" w:rsidP="00303516" w14:paraId="6A82460F" w14:textId="77777777">
                  <w:pPr>
                    <w:spacing w:line="252" w:lineRule="auto"/>
                    <w:jc w:val="center"/>
                    <w:rPr>
                      <w:b/>
                      <w:bCs/>
                      <w:sz w:val="24"/>
                    </w:rPr>
                  </w:pPr>
                  <w:r w:rsidRPr="00C712B7">
                    <w:rPr>
                      <w:b/>
                      <w:bCs/>
                      <w:color w:val="000000"/>
                      <w:sz w:val="24"/>
                    </w:rPr>
                    <w:t>(1)*(2)=(3)</w:t>
                  </w:r>
                </w:p>
              </w:tc>
              <w:tc>
                <w:tcPr>
                  <w:tcW w:w="135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rsidR="00303516" w:rsidRPr="00C712B7" w:rsidP="00303516" w14:paraId="22C6AABB" w14:textId="5EBCC112">
                  <w:pPr>
                    <w:spacing w:line="252" w:lineRule="auto"/>
                    <w:jc w:val="center"/>
                    <w:rPr>
                      <w:b/>
                      <w:bCs/>
                      <w:sz w:val="24"/>
                    </w:rPr>
                  </w:pPr>
                  <w:r w:rsidRPr="00C712B7">
                    <w:rPr>
                      <w:b/>
                      <w:bCs/>
                      <w:color w:val="000000"/>
                      <w:sz w:val="24"/>
                    </w:rPr>
                    <w:t>Average Burden Hrs.</w:t>
                  </w:r>
                  <w:r w:rsidR="00820F5C">
                    <w:rPr>
                      <w:b/>
                      <w:bCs/>
                      <w:color w:val="000000"/>
                      <w:sz w:val="24"/>
                    </w:rPr>
                    <w:t xml:space="preserve"> &amp; Cost</w:t>
                  </w:r>
                  <w:r w:rsidRPr="00C712B7">
                    <w:rPr>
                      <w:b/>
                      <w:bCs/>
                      <w:color w:val="000000"/>
                      <w:sz w:val="24"/>
                      <w:vertAlign w:val="superscript"/>
                    </w:rPr>
                    <w:t xml:space="preserve"> </w:t>
                  </w:r>
                  <w:r w:rsidRPr="00C712B7">
                    <w:rPr>
                      <w:b/>
                      <w:bCs/>
                      <w:color w:val="000000"/>
                      <w:sz w:val="24"/>
                    </w:rPr>
                    <w:t xml:space="preserve">Per Response </w:t>
                  </w:r>
                </w:p>
                <w:p w:rsidR="00303516" w:rsidRPr="00C712B7" w:rsidP="00303516" w14:paraId="3A909662" w14:textId="12762E15">
                  <w:pPr>
                    <w:spacing w:line="252" w:lineRule="auto"/>
                    <w:jc w:val="center"/>
                    <w:rPr>
                      <w:b/>
                      <w:bCs/>
                      <w:sz w:val="24"/>
                    </w:rPr>
                  </w:pPr>
                  <w:r w:rsidRPr="00C712B7">
                    <w:rPr>
                      <w:b/>
                      <w:bCs/>
                      <w:color w:val="000000"/>
                      <w:sz w:val="24"/>
                    </w:rPr>
                    <w:t>(4)</w:t>
                  </w:r>
                  <w:r>
                    <w:rPr>
                      <w:rStyle w:val="FootnoteReference"/>
                      <w:b w:val="0"/>
                      <w:bCs/>
                      <w:color w:val="000000"/>
                    </w:rPr>
                    <w:footnoteReference w:id="7"/>
                  </w:r>
                </w:p>
              </w:tc>
              <w:tc>
                <w:tcPr>
                  <w:tcW w:w="285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rsidR="00303516" w:rsidRPr="00C712B7" w:rsidP="00303516" w14:paraId="57E60E42" w14:textId="2EC99A19">
                  <w:pPr>
                    <w:spacing w:line="252" w:lineRule="auto"/>
                    <w:jc w:val="center"/>
                    <w:rPr>
                      <w:b/>
                      <w:bCs/>
                      <w:sz w:val="24"/>
                    </w:rPr>
                  </w:pPr>
                  <w:r w:rsidRPr="00C712B7">
                    <w:rPr>
                      <w:b/>
                      <w:bCs/>
                      <w:color w:val="000000"/>
                      <w:sz w:val="24"/>
                    </w:rPr>
                    <w:t xml:space="preserve">Total Annual Burden Hours </w:t>
                  </w:r>
                  <w:r w:rsidR="00820F5C">
                    <w:rPr>
                      <w:b/>
                      <w:bCs/>
                      <w:color w:val="000000"/>
                      <w:sz w:val="24"/>
                    </w:rPr>
                    <w:t>&amp; Cost</w:t>
                  </w:r>
                </w:p>
                <w:p w:rsidR="00303516" w:rsidRPr="00C712B7" w14:paraId="224575A6" w14:textId="0E57A6C2">
                  <w:pPr>
                    <w:spacing w:line="252" w:lineRule="auto"/>
                    <w:jc w:val="center"/>
                    <w:rPr>
                      <w:b/>
                      <w:bCs/>
                      <w:sz w:val="24"/>
                    </w:rPr>
                  </w:pPr>
                  <w:r w:rsidRPr="00C712B7">
                    <w:rPr>
                      <w:b/>
                      <w:bCs/>
                      <w:color w:val="000000"/>
                      <w:sz w:val="24"/>
                    </w:rPr>
                    <w:t>(3)*(4)=(5)</w:t>
                  </w:r>
                </w:p>
              </w:tc>
            </w:tr>
          </w:tbl>
          <w:p w:rsidR="00303516" w:rsidRPr="00C712B7" w:rsidP="00A23612" w14:paraId="067555ED" w14:textId="77777777">
            <w:pPr>
              <w:spacing w:line="256" w:lineRule="auto"/>
              <w:rPr>
                <w:rFonts w:eastAsia="Calibri"/>
                <w:b/>
                <w:bCs/>
                <w:iCs/>
                <w:sz w:val="24"/>
              </w:rPr>
            </w:pPr>
          </w:p>
        </w:tc>
      </w:tr>
      <w:tr w14:paraId="506D9C36" w14:textId="77777777" w:rsidTr="00F2045C">
        <w:tblPrEx>
          <w:tblW w:w="10075" w:type="dxa"/>
          <w:jc w:val="center"/>
          <w:tblLayout w:type="fixed"/>
          <w:tblLook w:val="01E0"/>
        </w:tblPrEx>
        <w:trPr>
          <w:cantSplit/>
          <w:trHeight w:val="299"/>
          <w:jc w:val="center"/>
        </w:trPr>
        <w:tc>
          <w:tcPr>
            <w:tcW w:w="10075" w:type="dxa"/>
            <w:gridSpan w:val="6"/>
            <w:tcBorders>
              <w:top w:val="single" w:sz="4" w:space="0" w:color="auto"/>
              <w:left w:val="single" w:sz="4" w:space="0" w:color="auto"/>
              <w:bottom w:val="single" w:sz="4" w:space="0" w:color="auto"/>
              <w:right w:val="single" w:sz="4" w:space="0" w:color="auto"/>
            </w:tcBorders>
            <w:shd w:val="pct10" w:color="auto" w:fill="auto"/>
            <w:vAlign w:val="bottom"/>
            <w:hideMark/>
          </w:tcPr>
          <w:p w:rsidR="00A23612" w:rsidRPr="00C712B7" w:rsidP="00197435" w14:paraId="4C75709A" w14:textId="77177C98">
            <w:pPr>
              <w:spacing w:line="256" w:lineRule="auto"/>
              <w:jc w:val="center"/>
              <w:rPr>
                <w:rFonts w:eastAsia="Calibri"/>
                <w:sz w:val="24"/>
              </w:rPr>
            </w:pPr>
            <w:r w:rsidRPr="00C712B7">
              <w:rPr>
                <w:rFonts w:eastAsia="Calibri"/>
                <w:b/>
                <w:bCs/>
                <w:iCs/>
                <w:sz w:val="24"/>
              </w:rPr>
              <w:t>FERC-725</w:t>
            </w:r>
            <w:r w:rsidRPr="00C712B7" w:rsidR="005C0475">
              <w:rPr>
                <w:rFonts w:eastAsia="Calibri"/>
                <w:b/>
                <w:bCs/>
                <w:iCs/>
                <w:sz w:val="24"/>
              </w:rPr>
              <w:t>A</w:t>
            </w:r>
            <w:r w:rsidR="00791812">
              <w:rPr>
                <w:rFonts w:eastAsia="Calibri"/>
                <w:b/>
                <w:bCs/>
                <w:iCs/>
                <w:sz w:val="24"/>
              </w:rPr>
              <w:t>(1D)</w:t>
            </w:r>
            <w:r w:rsidRPr="00C712B7">
              <w:rPr>
                <w:rFonts w:eastAsia="Calibri"/>
                <w:b/>
                <w:bCs/>
                <w:iCs/>
                <w:sz w:val="24"/>
              </w:rPr>
              <w:t>, OMB Control No. 1902-</w:t>
            </w:r>
            <w:r w:rsidR="00791812">
              <w:rPr>
                <w:rFonts w:eastAsia="Calibri"/>
                <w:b/>
                <w:sz w:val="24"/>
              </w:rPr>
              <w:t>0324</w:t>
            </w:r>
          </w:p>
        </w:tc>
      </w:tr>
      <w:tr w14:paraId="27D6A6B2" w14:textId="77777777" w:rsidTr="003B4897">
        <w:tblPrEx>
          <w:tblW w:w="10075" w:type="dxa"/>
          <w:jc w:val="center"/>
          <w:tblLayout w:type="fixed"/>
          <w:tblLook w:val="01E0"/>
        </w:tblPrEx>
        <w:trPr>
          <w:cantSplit/>
          <w:trHeight w:val="299"/>
          <w:jc w:val="center"/>
        </w:trPr>
        <w:tc>
          <w:tcPr>
            <w:tcW w:w="1975"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104945C3" w14:textId="1D562AAA">
            <w:pPr>
              <w:spacing w:line="256" w:lineRule="auto"/>
              <w:rPr>
                <w:sz w:val="24"/>
              </w:rPr>
            </w:pPr>
            <w:r w:rsidRPr="00C712B7">
              <w:rPr>
                <w:sz w:val="24"/>
              </w:rPr>
              <w:t>TOP</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6605F658" w14:textId="0DAF820B">
            <w:pPr>
              <w:spacing w:line="256" w:lineRule="auto"/>
              <w:jc w:val="center"/>
              <w:rPr>
                <w:rFonts w:eastAsia="Calibri"/>
                <w:sz w:val="24"/>
              </w:rPr>
            </w:pPr>
            <w:r w:rsidRPr="00C712B7">
              <w:rPr>
                <w:rFonts w:eastAsia="Calibri"/>
                <w:sz w:val="24"/>
              </w:rPr>
              <w:t>166</w:t>
            </w:r>
          </w:p>
        </w:tc>
        <w:tc>
          <w:tcPr>
            <w:tcW w:w="126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0DC88A21" w14:textId="211CA203">
            <w:pPr>
              <w:spacing w:line="256" w:lineRule="auto"/>
              <w:jc w:val="center"/>
              <w:rPr>
                <w:rFonts w:eastAsia="Calibri"/>
                <w:sz w:val="24"/>
              </w:rPr>
            </w:pPr>
            <w:r w:rsidRPr="00C712B7">
              <w:rPr>
                <w:rFonts w:eastAsia="Calibri"/>
                <w:sz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6167C6A3" w14:textId="6280018A">
            <w:pPr>
              <w:spacing w:line="256" w:lineRule="auto"/>
              <w:jc w:val="center"/>
              <w:rPr>
                <w:rFonts w:eastAsia="Calibri"/>
                <w:sz w:val="24"/>
              </w:rPr>
            </w:pPr>
            <w:r w:rsidRPr="00C712B7">
              <w:rPr>
                <w:rFonts w:eastAsia="Calibri"/>
                <w:sz w:val="24"/>
              </w:rPr>
              <w:t>166</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63C7EAAA" w14:textId="1B6FED25">
            <w:pPr>
              <w:spacing w:line="276" w:lineRule="auto"/>
              <w:jc w:val="right"/>
              <w:rPr>
                <w:rFonts w:eastAsia="Calibri"/>
                <w:sz w:val="24"/>
              </w:rPr>
            </w:pPr>
            <w:r w:rsidRPr="00C712B7">
              <w:rPr>
                <w:rFonts w:eastAsia="Calibri"/>
                <w:sz w:val="24"/>
              </w:rPr>
              <w:t>80hrs.;</w:t>
            </w:r>
          </w:p>
          <w:p w:rsidR="00A61DA2" w:rsidRPr="00C712B7" w:rsidP="00A61DA2" w14:paraId="653C5353" w14:textId="70AD1CDF">
            <w:pPr>
              <w:spacing w:line="276" w:lineRule="auto"/>
              <w:jc w:val="right"/>
              <w:rPr>
                <w:rFonts w:eastAsia="Calibri"/>
                <w:sz w:val="24"/>
              </w:rPr>
            </w:pPr>
            <w:r w:rsidRPr="00C712B7">
              <w:rPr>
                <w:rFonts w:eastAsia="Calibri"/>
                <w:sz w:val="24"/>
              </w:rPr>
              <w:t xml:space="preserve"> </w:t>
            </w:r>
            <w:r w:rsidR="008E5F88">
              <w:rPr>
                <w:rFonts w:eastAsia="Calibri"/>
                <w:sz w:val="24"/>
              </w:rPr>
              <w:t>$5,429.60</w:t>
            </w:r>
          </w:p>
        </w:tc>
        <w:tc>
          <w:tcPr>
            <w:tcW w:w="279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31819912" w14:textId="57FF9CDC">
            <w:pPr>
              <w:spacing w:line="256" w:lineRule="auto"/>
              <w:jc w:val="right"/>
              <w:rPr>
                <w:rFonts w:eastAsia="Calibri"/>
                <w:sz w:val="24"/>
              </w:rPr>
            </w:pPr>
            <w:r w:rsidRPr="00C712B7">
              <w:rPr>
                <w:rFonts w:eastAsia="Calibri"/>
                <w:sz w:val="24"/>
              </w:rPr>
              <w:t xml:space="preserve">13,280 </w:t>
            </w:r>
            <w:r w:rsidRPr="00C712B7" w:rsidR="005E1D24">
              <w:rPr>
                <w:rFonts w:eastAsia="Calibri"/>
                <w:sz w:val="24"/>
              </w:rPr>
              <w:t>hrs.</w:t>
            </w:r>
            <w:r w:rsidR="005E1D24">
              <w:rPr>
                <w:rFonts w:eastAsia="Calibri"/>
                <w:sz w:val="24"/>
              </w:rPr>
              <w:t>;</w:t>
            </w:r>
          </w:p>
          <w:p w:rsidR="00A61DA2" w:rsidRPr="00C712B7" w:rsidP="00A61DA2" w14:paraId="56557782" w14:textId="546E854E">
            <w:pPr>
              <w:spacing w:line="256" w:lineRule="auto"/>
              <w:jc w:val="right"/>
              <w:rPr>
                <w:rFonts w:eastAsia="Calibri"/>
                <w:sz w:val="24"/>
              </w:rPr>
            </w:pPr>
            <w:r w:rsidRPr="00C712B7">
              <w:rPr>
                <w:rFonts w:eastAsia="Calibri"/>
                <w:sz w:val="24"/>
              </w:rPr>
              <w:t>$</w:t>
            </w:r>
            <w:r w:rsidR="00032719">
              <w:rPr>
                <w:rFonts w:eastAsia="Calibri"/>
                <w:sz w:val="24"/>
              </w:rPr>
              <w:t>901,</w:t>
            </w:r>
            <w:r w:rsidR="004B4F2D">
              <w:rPr>
                <w:rFonts w:eastAsia="Calibri"/>
                <w:sz w:val="24"/>
              </w:rPr>
              <w:t>313.60</w:t>
            </w:r>
          </w:p>
        </w:tc>
      </w:tr>
      <w:tr w14:paraId="6FB5BF25" w14:textId="77777777" w:rsidTr="003B4897">
        <w:tblPrEx>
          <w:tblW w:w="10075" w:type="dxa"/>
          <w:jc w:val="center"/>
          <w:tblLayout w:type="fixed"/>
          <w:tblLook w:val="01E0"/>
        </w:tblPrEx>
        <w:trPr>
          <w:cantSplit/>
          <w:trHeight w:val="299"/>
          <w:jc w:val="center"/>
        </w:trPr>
        <w:tc>
          <w:tcPr>
            <w:tcW w:w="1975"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43C87477" w14:textId="7F5BAD20">
            <w:pPr>
              <w:spacing w:line="256" w:lineRule="auto"/>
              <w:rPr>
                <w:sz w:val="24"/>
              </w:rPr>
            </w:pPr>
            <w:r w:rsidRPr="00C712B7">
              <w:rPr>
                <w:sz w:val="24"/>
              </w:rPr>
              <w:t>BA</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7C28D072" w14:textId="7B0D9696">
            <w:pPr>
              <w:spacing w:line="256" w:lineRule="auto"/>
              <w:jc w:val="center"/>
              <w:rPr>
                <w:rFonts w:eastAsia="Calibri"/>
                <w:sz w:val="24"/>
              </w:rPr>
            </w:pPr>
            <w:r w:rsidRPr="00C712B7">
              <w:rPr>
                <w:rFonts w:eastAsia="Calibri"/>
                <w:sz w:val="24"/>
              </w:rPr>
              <w:t>98</w:t>
            </w:r>
          </w:p>
        </w:tc>
        <w:tc>
          <w:tcPr>
            <w:tcW w:w="126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44D18FBD" w14:textId="53570355">
            <w:pPr>
              <w:spacing w:line="256" w:lineRule="auto"/>
              <w:jc w:val="center"/>
              <w:rPr>
                <w:rFonts w:eastAsia="Calibri"/>
                <w:sz w:val="24"/>
              </w:rPr>
            </w:pPr>
            <w:r w:rsidRPr="00C712B7">
              <w:rPr>
                <w:rFonts w:eastAsia="Calibri"/>
                <w:sz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368415E9" w14:textId="4C27C40C">
            <w:pPr>
              <w:spacing w:line="256" w:lineRule="auto"/>
              <w:jc w:val="center"/>
              <w:rPr>
                <w:rFonts w:eastAsia="Calibri"/>
                <w:sz w:val="24"/>
              </w:rPr>
            </w:pPr>
            <w:r w:rsidRPr="00C712B7">
              <w:rPr>
                <w:rFonts w:eastAsia="Calibri"/>
                <w:sz w:val="24"/>
              </w:rPr>
              <w:t>98</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2C98D6FA" w14:textId="77777777">
            <w:pPr>
              <w:spacing w:line="276" w:lineRule="auto"/>
              <w:jc w:val="right"/>
              <w:rPr>
                <w:rFonts w:eastAsia="Calibri"/>
                <w:sz w:val="24"/>
              </w:rPr>
            </w:pPr>
            <w:r w:rsidRPr="00C712B7">
              <w:rPr>
                <w:rFonts w:eastAsia="Calibri"/>
                <w:sz w:val="24"/>
              </w:rPr>
              <w:t>80hrs.;</w:t>
            </w:r>
          </w:p>
          <w:p w:rsidR="00A61DA2" w:rsidRPr="00C712B7" w:rsidP="00A61DA2" w14:paraId="044953BB" w14:textId="6441AF20">
            <w:pPr>
              <w:spacing w:line="276" w:lineRule="auto"/>
              <w:jc w:val="right"/>
              <w:rPr>
                <w:rFonts w:eastAsia="Calibri"/>
                <w:sz w:val="24"/>
              </w:rPr>
            </w:pPr>
            <w:r w:rsidRPr="00C712B7">
              <w:rPr>
                <w:rFonts w:eastAsia="Calibri"/>
                <w:sz w:val="24"/>
              </w:rPr>
              <w:t xml:space="preserve"> $</w:t>
            </w:r>
            <w:r w:rsidR="008E5F88">
              <w:rPr>
                <w:rFonts w:eastAsia="Calibri"/>
                <w:sz w:val="24"/>
              </w:rPr>
              <w:t>5,429.60</w:t>
            </w:r>
          </w:p>
        </w:tc>
        <w:tc>
          <w:tcPr>
            <w:tcW w:w="279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7828BC9D" w14:textId="07E7C86B">
            <w:pPr>
              <w:spacing w:line="256" w:lineRule="auto"/>
              <w:jc w:val="right"/>
              <w:rPr>
                <w:rFonts w:eastAsia="Calibri"/>
                <w:sz w:val="24"/>
              </w:rPr>
            </w:pPr>
            <w:r w:rsidRPr="00C712B7">
              <w:rPr>
                <w:rFonts w:eastAsia="Calibri"/>
                <w:sz w:val="24"/>
              </w:rPr>
              <w:t>7,840 hrs.</w:t>
            </w:r>
            <w:r w:rsidRPr="00C712B7" w:rsidR="006E6DC1">
              <w:rPr>
                <w:rFonts w:eastAsia="Calibri"/>
                <w:sz w:val="24"/>
              </w:rPr>
              <w:t>;</w:t>
            </w:r>
          </w:p>
          <w:p w:rsidR="00A61DA2" w:rsidRPr="00C712B7" w:rsidP="00A61DA2" w14:paraId="0C1DD65F" w14:textId="63EDF814">
            <w:pPr>
              <w:spacing w:line="256" w:lineRule="auto"/>
              <w:jc w:val="right"/>
              <w:rPr>
                <w:rFonts w:eastAsia="Calibri"/>
                <w:sz w:val="24"/>
              </w:rPr>
            </w:pPr>
            <w:r w:rsidRPr="00C712B7">
              <w:rPr>
                <w:rFonts w:eastAsia="Calibri"/>
                <w:sz w:val="24"/>
              </w:rPr>
              <w:t>$</w:t>
            </w:r>
            <w:r w:rsidR="0093400C">
              <w:rPr>
                <w:rFonts w:eastAsia="Calibri"/>
                <w:sz w:val="24"/>
              </w:rPr>
              <w:t>532,</w:t>
            </w:r>
            <w:r w:rsidR="004B4F2D">
              <w:rPr>
                <w:rFonts w:eastAsia="Calibri"/>
                <w:sz w:val="24"/>
              </w:rPr>
              <w:t>100.80</w:t>
            </w:r>
          </w:p>
        </w:tc>
      </w:tr>
      <w:tr w14:paraId="325EBE15" w14:textId="77777777" w:rsidTr="003B4897">
        <w:tblPrEx>
          <w:tblW w:w="10075" w:type="dxa"/>
          <w:jc w:val="center"/>
          <w:tblLayout w:type="fixed"/>
          <w:tblLook w:val="01E0"/>
        </w:tblPrEx>
        <w:trPr>
          <w:cantSplit/>
          <w:trHeight w:val="299"/>
          <w:jc w:val="center"/>
        </w:trPr>
        <w:tc>
          <w:tcPr>
            <w:tcW w:w="1975" w:type="dxa"/>
            <w:tcBorders>
              <w:top w:val="single" w:sz="4" w:space="0" w:color="auto"/>
              <w:left w:val="single" w:sz="4" w:space="0" w:color="auto"/>
              <w:bottom w:val="single" w:sz="4" w:space="0" w:color="auto"/>
              <w:right w:val="single" w:sz="4" w:space="0" w:color="auto"/>
            </w:tcBorders>
            <w:vAlign w:val="bottom"/>
            <w:hideMark/>
          </w:tcPr>
          <w:p w:rsidR="00A61DA2" w:rsidRPr="00C712B7" w:rsidP="00A61DA2" w14:paraId="039324FE" w14:textId="5821A829">
            <w:pPr>
              <w:spacing w:line="256" w:lineRule="auto"/>
              <w:rPr>
                <w:rFonts w:eastAsia="Calibri"/>
                <w:bCs/>
                <w:sz w:val="24"/>
              </w:rPr>
            </w:pPr>
            <w:r w:rsidRPr="00C712B7">
              <w:rPr>
                <w:sz w:val="24"/>
              </w:rPr>
              <w:t>TO</w:t>
            </w:r>
          </w:p>
        </w:tc>
        <w:tc>
          <w:tcPr>
            <w:tcW w:w="1350" w:type="dxa"/>
            <w:tcBorders>
              <w:top w:val="single" w:sz="4" w:space="0" w:color="auto"/>
              <w:left w:val="single" w:sz="4" w:space="0" w:color="auto"/>
              <w:bottom w:val="single" w:sz="4" w:space="0" w:color="auto"/>
              <w:right w:val="single" w:sz="4" w:space="0" w:color="auto"/>
            </w:tcBorders>
            <w:vAlign w:val="bottom"/>
            <w:hideMark/>
          </w:tcPr>
          <w:p w:rsidR="00A61DA2" w:rsidRPr="00C712B7" w:rsidP="00A61DA2" w14:paraId="3EFEC445" w14:textId="58C33080">
            <w:pPr>
              <w:spacing w:line="256" w:lineRule="auto"/>
              <w:jc w:val="center"/>
              <w:rPr>
                <w:rFonts w:eastAsia="Calibri"/>
                <w:sz w:val="24"/>
              </w:rPr>
            </w:pPr>
            <w:r w:rsidRPr="00C712B7">
              <w:rPr>
                <w:rFonts w:eastAsia="Calibri"/>
                <w:sz w:val="24"/>
              </w:rPr>
              <w:t>323</w:t>
            </w:r>
          </w:p>
        </w:tc>
        <w:tc>
          <w:tcPr>
            <w:tcW w:w="1260" w:type="dxa"/>
            <w:tcBorders>
              <w:top w:val="single" w:sz="4" w:space="0" w:color="auto"/>
              <w:left w:val="single" w:sz="4" w:space="0" w:color="auto"/>
              <w:bottom w:val="single" w:sz="4" w:space="0" w:color="auto"/>
              <w:right w:val="single" w:sz="4" w:space="0" w:color="auto"/>
            </w:tcBorders>
            <w:vAlign w:val="bottom"/>
            <w:hideMark/>
          </w:tcPr>
          <w:p w:rsidR="00A61DA2" w:rsidRPr="00C712B7" w:rsidP="00A61DA2" w14:paraId="4EBC540C" w14:textId="77777777">
            <w:pPr>
              <w:spacing w:line="256" w:lineRule="auto"/>
              <w:jc w:val="center"/>
              <w:rPr>
                <w:rFonts w:eastAsia="Calibri"/>
                <w:sz w:val="24"/>
              </w:rPr>
            </w:pPr>
            <w:r w:rsidRPr="00C712B7">
              <w:rPr>
                <w:rFonts w:eastAsia="Calibri"/>
                <w:sz w:val="24"/>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A61DA2" w:rsidRPr="00C712B7" w:rsidP="00A61DA2" w14:paraId="29F1270E" w14:textId="1F1CA545">
            <w:pPr>
              <w:spacing w:line="256" w:lineRule="auto"/>
              <w:jc w:val="center"/>
              <w:rPr>
                <w:rFonts w:eastAsia="Calibri"/>
                <w:sz w:val="24"/>
              </w:rPr>
            </w:pPr>
            <w:r w:rsidRPr="00C712B7">
              <w:rPr>
                <w:rFonts w:eastAsia="Calibri"/>
                <w:sz w:val="24"/>
              </w:rPr>
              <w:t>323</w:t>
            </w:r>
          </w:p>
        </w:tc>
        <w:tc>
          <w:tcPr>
            <w:tcW w:w="1350" w:type="dxa"/>
            <w:tcBorders>
              <w:top w:val="single" w:sz="4" w:space="0" w:color="auto"/>
              <w:left w:val="single" w:sz="4" w:space="0" w:color="auto"/>
              <w:bottom w:val="single" w:sz="4" w:space="0" w:color="auto"/>
              <w:right w:val="single" w:sz="4" w:space="0" w:color="auto"/>
            </w:tcBorders>
            <w:vAlign w:val="bottom"/>
            <w:hideMark/>
          </w:tcPr>
          <w:p w:rsidR="00A61DA2" w:rsidRPr="00C712B7" w:rsidP="00A61DA2" w14:paraId="7E740368" w14:textId="7D2CB84C">
            <w:pPr>
              <w:spacing w:line="276" w:lineRule="auto"/>
              <w:jc w:val="right"/>
              <w:rPr>
                <w:rFonts w:eastAsia="Calibri"/>
                <w:sz w:val="24"/>
              </w:rPr>
            </w:pPr>
            <w:r w:rsidRPr="00C712B7">
              <w:rPr>
                <w:rFonts w:eastAsia="Calibri"/>
                <w:sz w:val="24"/>
              </w:rPr>
              <w:t>8hrs.;</w:t>
            </w:r>
          </w:p>
          <w:p w:rsidR="00A61DA2" w:rsidRPr="00C712B7" w:rsidP="00A61DA2" w14:paraId="2373FDA2" w14:textId="719D2DF4">
            <w:pPr>
              <w:spacing w:line="256" w:lineRule="auto"/>
              <w:jc w:val="right"/>
              <w:rPr>
                <w:rFonts w:eastAsia="Calibri"/>
                <w:sz w:val="24"/>
              </w:rPr>
            </w:pPr>
            <w:r w:rsidRPr="00C712B7">
              <w:rPr>
                <w:rFonts w:eastAsia="Calibri"/>
                <w:sz w:val="24"/>
              </w:rPr>
              <w:t xml:space="preserve"> $</w:t>
            </w:r>
            <w:r w:rsidR="008E5F88">
              <w:rPr>
                <w:rFonts w:eastAsia="Calibri"/>
                <w:sz w:val="24"/>
              </w:rPr>
              <w:t>542.96</w:t>
            </w:r>
          </w:p>
        </w:tc>
        <w:tc>
          <w:tcPr>
            <w:tcW w:w="2790" w:type="dxa"/>
            <w:tcBorders>
              <w:top w:val="single" w:sz="4" w:space="0" w:color="auto"/>
              <w:left w:val="single" w:sz="4" w:space="0" w:color="auto"/>
              <w:bottom w:val="single" w:sz="4" w:space="0" w:color="auto"/>
              <w:right w:val="single" w:sz="4" w:space="0" w:color="auto"/>
            </w:tcBorders>
            <w:vAlign w:val="bottom"/>
            <w:hideMark/>
          </w:tcPr>
          <w:p w:rsidR="00A61DA2" w:rsidRPr="00C712B7" w:rsidP="00A61DA2" w14:paraId="05FE376D" w14:textId="4E14E727">
            <w:pPr>
              <w:spacing w:line="256" w:lineRule="auto"/>
              <w:jc w:val="right"/>
              <w:rPr>
                <w:rFonts w:eastAsia="Calibri"/>
                <w:sz w:val="24"/>
              </w:rPr>
            </w:pPr>
            <w:r w:rsidRPr="00C712B7">
              <w:rPr>
                <w:rFonts w:eastAsia="Calibri"/>
                <w:sz w:val="24"/>
              </w:rPr>
              <w:t>2,584 hrs.</w:t>
            </w:r>
            <w:r w:rsidRPr="00C712B7" w:rsidR="006E6DC1">
              <w:rPr>
                <w:rFonts w:eastAsia="Calibri"/>
                <w:sz w:val="24"/>
              </w:rPr>
              <w:t>;</w:t>
            </w:r>
          </w:p>
          <w:p w:rsidR="00A61DA2" w:rsidRPr="00C712B7" w:rsidP="00A61DA2" w14:paraId="33D5F683" w14:textId="4D09C3F7">
            <w:pPr>
              <w:spacing w:line="256" w:lineRule="auto"/>
              <w:jc w:val="right"/>
              <w:rPr>
                <w:rFonts w:eastAsia="Calibri"/>
                <w:sz w:val="24"/>
              </w:rPr>
            </w:pPr>
            <w:r w:rsidRPr="00C712B7">
              <w:rPr>
                <w:rFonts w:eastAsia="Calibri"/>
                <w:sz w:val="24"/>
              </w:rPr>
              <w:t>$</w:t>
            </w:r>
            <w:r w:rsidR="0007151E">
              <w:rPr>
                <w:rFonts w:eastAsia="Calibri"/>
                <w:sz w:val="24"/>
              </w:rPr>
              <w:t>175,3</w:t>
            </w:r>
            <w:r w:rsidR="004B4F2D">
              <w:rPr>
                <w:rFonts w:eastAsia="Calibri"/>
                <w:sz w:val="24"/>
              </w:rPr>
              <w:t>76.08</w:t>
            </w:r>
          </w:p>
        </w:tc>
      </w:tr>
      <w:tr w14:paraId="1A10F1DB" w14:textId="77777777" w:rsidTr="003B4897">
        <w:tblPrEx>
          <w:tblW w:w="10075" w:type="dxa"/>
          <w:jc w:val="center"/>
          <w:tblLayout w:type="fixed"/>
          <w:tblLook w:val="01E0"/>
        </w:tblPrEx>
        <w:trPr>
          <w:cantSplit/>
          <w:trHeight w:val="458"/>
          <w:jc w:val="center"/>
        </w:trPr>
        <w:tc>
          <w:tcPr>
            <w:tcW w:w="1975"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703E7B0B" w14:textId="61EDA9BC">
            <w:pPr>
              <w:spacing w:line="256" w:lineRule="auto"/>
              <w:rPr>
                <w:rFonts w:eastAsia="Calibri"/>
                <w:bCs/>
                <w:sz w:val="24"/>
              </w:rPr>
            </w:pPr>
            <w:r w:rsidRPr="00C712B7">
              <w:rPr>
                <w:sz w:val="24"/>
              </w:rPr>
              <w:t>GOP</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28035A98" w14:textId="3AF0F420">
            <w:pPr>
              <w:spacing w:line="256" w:lineRule="auto"/>
              <w:jc w:val="center"/>
              <w:rPr>
                <w:rFonts w:eastAsia="Calibri"/>
                <w:sz w:val="24"/>
              </w:rPr>
            </w:pPr>
            <w:r w:rsidRPr="00C712B7">
              <w:rPr>
                <w:rFonts w:eastAsia="Calibri"/>
                <w:sz w:val="24"/>
              </w:rPr>
              <w:t>1,002</w:t>
            </w:r>
          </w:p>
        </w:tc>
        <w:tc>
          <w:tcPr>
            <w:tcW w:w="126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23B74DF7" w14:textId="3F41572D">
            <w:pPr>
              <w:spacing w:line="256" w:lineRule="auto"/>
              <w:jc w:val="center"/>
              <w:rPr>
                <w:rFonts w:eastAsia="Calibri"/>
                <w:sz w:val="24"/>
              </w:rPr>
            </w:pPr>
            <w:r w:rsidRPr="00C712B7">
              <w:rPr>
                <w:rFonts w:eastAsia="Calibri"/>
                <w:sz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4A36C0EA" w14:textId="0D8F16B6">
            <w:pPr>
              <w:spacing w:line="256" w:lineRule="auto"/>
              <w:jc w:val="center"/>
              <w:rPr>
                <w:rFonts w:eastAsia="Calibri"/>
                <w:sz w:val="24"/>
              </w:rPr>
            </w:pPr>
            <w:r w:rsidRPr="00C712B7">
              <w:rPr>
                <w:rFonts w:eastAsia="Calibri"/>
                <w:sz w:val="24"/>
              </w:rPr>
              <w:t>1,002</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7CC8A5FF" w14:textId="5E95AD2C">
            <w:pPr>
              <w:spacing w:line="276" w:lineRule="auto"/>
              <w:jc w:val="right"/>
              <w:rPr>
                <w:rFonts w:eastAsia="Calibri"/>
                <w:sz w:val="24"/>
              </w:rPr>
            </w:pPr>
            <w:r w:rsidRPr="00C712B7">
              <w:rPr>
                <w:rFonts w:eastAsia="Calibri"/>
                <w:sz w:val="24"/>
              </w:rPr>
              <w:t>8hrs.;</w:t>
            </w:r>
          </w:p>
          <w:p w:rsidR="00A61DA2" w:rsidRPr="00C712B7" w:rsidP="00A61DA2" w14:paraId="3193B616" w14:textId="46E85B3B">
            <w:pPr>
              <w:spacing w:line="276" w:lineRule="auto"/>
              <w:jc w:val="right"/>
              <w:rPr>
                <w:rFonts w:eastAsia="Calibri"/>
                <w:sz w:val="24"/>
              </w:rPr>
            </w:pPr>
            <w:r w:rsidRPr="00C712B7">
              <w:rPr>
                <w:rFonts w:eastAsia="Calibri"/>
                <w:sz w:val="24"/>
              </w:rPr>
              <w:t xml:space="preserve"> $</w:t>
            </w:r>
            <w:r w:rsidR="008E5F88">
              <w:rPr>
                <w:rFonts w:eastAsia="Calibri"/>
                <w:sz w:val="24"/>
              </w:rPr>
              <w:t>542.96</w:t>
            </w:r>
          </w:p>
        </w:tc>
        <w:tc>
          <w:tcPr>
            <w:tcW w:w="279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46147BE8" w14:textId="50B7554F">
            <w:pPr>
              <w:spacing w:line="256" w:lineRule="auto"/>
              <w:jc w:val="right"/>
              <w:rPr>
                <w:rFonts w:eastAsia="Calibri"/>
                <w:sz w:val="24"/>
              </w:rPr>
            </w:pPr>
            <w:r w:rsidRPr="00C712B7">
              <w:rPr>
                <w:rFonts w:eastAsia="Calibri"/>
                <w:sz w:val="24"/>
              </w:rPr>
              <w:t>8,016 hrs</w:t>
            </w:r>
            <w:r w:rsidRPr="00C712B7" w:rsidR="006E6DC1">
              <w:rPr>
                <w:rFonts w:eastAsia="Calibri"/>
                <w:sz w:val="24"/>
              </w:rPr>
              <w:t>.;</w:t>
            </w:r>
          </w:p>
          <w:p w:rsidR="00A61DA2" w:rsidRPr="00C712B7" w:rsidP="00A61DA2" w14:paraId="0ABD451C" w14:textId="7EFF8E12">
            <w:pPr>
              <w:spacing w:line="256" w:lineRule="auto"/>
              <w:jc w:val="right"/>
              <w:rPr>
                <w:rFonts w:eastAsia="Calibri"/>
                <w:sz w:val="24"/>
              </w:rPr>
            </w:pPr>
            <w:r w:rsidRPr="00C712B7">
              <w:rPr>
                <w:rFonts w:eastAsia="Calibri"/>
                <w:sz w:val="24"/>
              </w:rPr>
              <w:t>$</w:t>
            </w:r>
            <w:r w:rsidR="007C450E">
              <w:rPr>
                <w:rFonts w:eastAsia="Calibri"/>
                <w:sz w:val="24"/>
              </w:rPr>
              <w:t>54</w:t>
            </w:r>
            <w:r w:rsidR="004B4F2D">
              <w:rPr>
                <w:rFonts w:eastAsia="Calibri"/>
                <w:sz w:val="24"/>
              </w:rPr>
              <w:t>4,045.92</w:t>
            </w:r>
          </w:p>
        </w:tc>
      </w:tr>
      <w:tr w14:paraId="5E8667F1" w14:textId="77777777" w:rsidTr="003B4897">
        <w:tblPrEx>
          <w:tblW w:w="10075" w:type="dxa"/>
          <w:jc w:val="center"/>
          <w:tblLayout w:type="fixed"/>
          <w:tblLook w:val="01E0"/>
        </w:tblPrEx>
        <w:trPr>
          <w:cantSplit/>
          <w:trHeight w:val="476"/>
          <w:jc w:val="center"/>
        </w:trPr>
        <w:tc>
          <w:tcPr>
            <w:tcW w:w="1975"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171B1842" w14:textId="33250687">
            <w:pPr>
              <w:spacing w:line="256" w:lineRule="auto"/>
              <w:rPr>
                <w:rFonts w:eastAsia="Calibri"/>
                <w:bCs/>
                <w:sz w:val="24"/>
              </w:rPr>
            </w:pPr>
            <w:r w:rsidRPr="00C712B7">
              <w:rPr>
                <w:sz w:val="24"/>
              </w:rPr>
              <w:t>GO</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057E4A36" w14:textId="4723CCD7">
            <w:pPr>
              <w:spacing w:line="256" w:lineRule="auto"/>
              <w:jc w:val="center"/>
              <w:rPr>
                <w:rFonts w:eastAsia="Calibri"/>
                <w:sz w:val="24"/>
              </w:rPr>
            </w:pPr>
            <w:r w:rsidRPr="00C712B7">
              <w:rPr>
                <w:rFonts w:eastAsia="Calibri"/>
                <w:sz w:val="24"/>
              </w:rPr>
              <w:t>1,164</w:t>
            </w:r>
          </w:p>
        </w:tc>
        <w:tc>
          <w:tcPr>
            <w:tcW w:w="126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58F1AFDD" w14:textId="0F128D1C">
            <w:pPr>
              <w:spacing w:line="256" w:lineRule="auto"/>
              <w:jc w:val="center"/>
              <w:rPr>
                <w:rFonts w:eastAsia="Calibri"/>
                <w:sz w:val="24"/>
              </w:rPr>
            </w:pPr>
            <w:r w:rsidRPr="00C712B7">
              <w:rPr>
                <w:rFonts w:eastAsia="Calibri"/>
                <w:sz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4AF49E9B" w14:textId="2CBAE5F2">
            <w:pPr>
              <w:spacing w:line="256" w:lineRule="auto"/>
              <w:jc w:val="center"/>
              <w:rPr>
                <w:rFonts w:eastAsia="Calibri"/>
                <w:sz w:val="24"/>
              </w:rPr>
            </w:pPr>
            <w:r w:rsidRPr="00C712B7">
              <w:rPr>
                <w:rFonts w:eastAsia="Calibri"/>
                <w:sz w:val="24"/>
              </w:rPr>
              <w:t>1,164</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1FD4188D" w14:textId="690C581E">
            <w:pPr>
              <w:spacing w:line="276" w:lineRule="auto"/>
              <w:jc w:val="right"/>
              <w:rPr>
                <w:rFonts w:eastAsia="Calibri"/>
                <w:sz w:val="24"/>
              </w:rPr>
            </w:pPr>
            <w:r w:rsidRPr="00C712B7">
              <w:rPr>
                <w:rFonts w:eastAsia="Calibri"/>
                <w:sz w:val="24"/>
              </w:rPr>
              <w:t>8hrs.;</w:t>
            </w:r>
          </w:p>
          <w:p w:rsidR="00A61DA2" w:rsidRPr="00C712B7" w:rsidP="00A61DA2" w14:paraId="25757AAD" w14:textId="5B00CE5C">
            <w:pPr>
              <w:spacing w:line="276" w:lineRule="auto"/>
              <w:jc w:val="right"/>
              <w:rPr>
                <w:rFonts w:eastAsia="Calibri"/>
                <w:sz w:val="24"/>
              </w:rPr>
            </w:pPr>
            <w:r w:rsidRPr="00C712B7">
              <w:rPr>
                <w:rFonts w:eastAsia="Calibri"/>
                <w:sz w:val="24"/>
              </w:rPr>
              <w:t xml:space="preserve"> $</w:t>
            </w:r>
            <w:r w:rsidR="008E5F88">
              <w:rPr>
                <w:rFonts w:eastAsia="Calibri"/>
                <w:sz w:val="24"/>
              </w:rPr>
              <w:t>542.96</w:t>
            </w:r>
          </w:p>
        </w:tc>
        <w:tc>
          <w:tcPr>
            <w:tcW w:w="279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43D99AC7" w14:textId="0606D13F">
            <w:pPr>
              <w:spacing w:line="256" w:lineRule="auto"/>
              <w:jc w:val="right"/>
              <w:rPr>
                <w:rFonts w:eastAsia="Calibri"/>
                <w:sz w:val="24"/>
              </w:rPr>
            </w:pPr>
            <w:r w:rsidRPr="00C712B7">
              <w:rPr>
                <w:rFonts w:eastAsia="Calibri"/>
                <w:sz w:val="24"/>
              </w:rPr>
              <w:t>9,312 hrs</w:t>
            </w:r>
            <w:r w:rsidRPr="00C712B7" w:rsidR="006E6DC1">
              <w:rPr>
                <w:rFonts w:eastAsia="Calibri"/>
                <w:sz w:val="24"/>
              </w:rPr>
              <w:t>.;</w:t>
            </w:r>
          </w:p>
          <w:p w:rsidR="00A61DA2" w:rsidRPr="00C712B7" w:rsidP="00A61DA2" w14:paraId="26EFF493" w14:textId="6A6E9A63">
            <w:pPr>
              <w:spacing w:line="256" w:lineRule="auto"/>
              <w:jc w:val="right"/>
              <w:rPr>
                <w:rFonts w:eastAsia="Calibri"/>
                <w:sz w:val="24"/>
              </w:rPr>
            </w:pPr>
            <w:r w:rsidRPr="00C712B7">
              <w:rPr>
                <w:rFonts w:eastAsia="Calibri"/>
                <w:sz w:val="24"/>
              </w:rPr>
              <w:t>$</w:t>
            </w:r>
            <w:r w:rsidR="001A4C93">
              <w:rPr>
                <w:rFonts w:eastAsia="Calibri"/>
                <w:sz w:val="24"/>
              </w:rPr>
              <w:t>63</w:t>
            </w:r>
            <w:r w:rsidR="004B4F2D">
              <w:rPr>
                <w:rFonts w:eastAsia="Calibri"/>
                <w:sz w:val="24"/>
              </w:rPr>
              <w:t>2,005.44</w:t>
            </w:r>
          </w:p>
        </w:tc>
      </w:tr>
      <w:tr w14:paraId="3A202112" w14:textId="77777777" w:rsidTr="003B4897">
        <w:tblPrEx>
          <w:tblW w:w="10075" w:type="dxa"/>
          <w:jc w:val="center"/>
          <w:tblLayout w:type="fixed"/>
          <w:tblLook w:val="01E0"/>
        </w:tblPrEx>
        <w:trPr>
          <w:cantSplit/>
          <w:trHeight w:val="431"/>
          <w:jc w:val="center"/>
        </w:trPr>
        <w:tc>
          <w:tcPr>
            <w:tcW w:w="1975"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741F2FCD" w14:textId="76320C1A">
            <w:pPr>
              <w:spacing w:line="256" w:lineRule="auto"/>
              <w:rPr>
                <w:rFonts w:eastAsia="Calibri"/>
                <w:bCs/>
                <w:sz w:val="24"/>
              </w:rPr>
            </w:pPr>
            <w:r w:rsidRPr="00C712B7">
              <w:rPr>
                <w:sz w:val="24"/>
              </w:rPr>
              <w:t>DP</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6B79BA97" w14:textId="7DEDB932">
            <w:pPr>
              <w:spacing w:line="256" w:lineRule="auto"/>
              <w:jc w:val="center"/>
              <w:rPr>
                <w:rFonts w:eastAsia="Calibri"/>
                <w:sz w:val="24"/>
              </w:rPr>
            </w:pPr>
            <w:r w:rsidRPr="00C712B7">
              <w:rPr>
                <w:rFonts w:eastAsia="Calibri"/>
                <w:sz w:val="24"/>
              </w:rPr>
              <w:t>301</w:t>
            </w:r>
          </w:p>
        </w:tc>
        <w:tc>
          <w:tcPr>
            <w:tcW w:w="126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37F81B15" w14:textId="5ADB18FE">
            <w:pPr>
              <w:spacing w:line="256" w:lineRule="auto"/>
              <w:jc w:val="center"/>
              <w:rPr>
                <w:rFonts w:eastAsia="Calibri"/>
                <w:sz w:val="24"/>
              </w:rPr>
            </w:pPr>
            <w:r w:rsidRPr="00C712B7">
              <w:rPr>
                <w:rFonts w:eastAsia="Calibri"/>
                <w:sz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4433C195" w14:textId="2EEDDA1C">
            <w:pPr>
              <w:spacing w:line="256" w:lineRule="auto"/>
              <w:jc w:val="center"/>
              <w:rPr>
                <w:rFonts w:eastAsia="Calibri"/>
                <w:sz w:val="24"/>
              </w:rPr>
            </w:pPr>
            <w:r w:rsidRPr="00C712B7">
              <w:rPr>
                <w:rFonts w:eastAsia="Calibri"/>
                <w:sz w:val="24"/>
              </w:rPr>
              <w:t>301</w:t>
            </w:r>
          </w:p>
        </w:tc>
        <w:tc>
          <w:tcPr>
            <w:tcW w:w="135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2471BDF4" w14:textId="0DDBA7E4">
            <w:pPr>
              <w:spacing w:line="276" w:lineRule="auto"/>
              <w:jc w:val="right"/>
              <w:rPr>
                <w:rFonts w:eastAsia="Calibri"/>
                <w:sz w:val="24"/>
              </w:rPr>
            </w:pPr>
            <w:r w:rsidRPr="00C712B7">
              <w:rPr>
                <w:rFonts w:eastAsia="Calibri"/>
                <w:sz w:val="24"/>
              </w:rPr>
              <w:t>8hrs.;</w:t>
            </w:r>
          </w:p>
          <w:p w:rsidR="00A61DA2" w:rsidRPr="00C712B7" w:rsidP="00A61DA2" w14:paraId="10963983" w14:textId="48F976CA">
            <w:pPr>
              <w:spacing w:line="276" w:lineRule="auto"/>
              <w:jc w:val="right"/>
              <w:rPr>
                <w:rFonts w:eastAsia="Calibri"/>
                <w:sz w:val="24"/>
              </w:rPr>
            </w:pPr>
            <w:r w:rsidRPr="00C712B7">
              <w:rPr>
                <w:rFonts w:eastAsia="Calibri"/>
                <w:sz w:val="24"/>
              </w:rPr>
              <w:t xml:space="preserve"> $</w:t>
            </w:r>
            <w:r w:rsidR="008E5F88">
              <w:rPr>
                <w:rFonts w:eastAsia="Calibri"/>
                <w:sz w:val="24"/>
              </w:rPr>
              <w:t>542.96</w:t>
            </w:r>
          </w:p>
        </w:tc>
        <w:tc>
          <w:tcPr>
            <w:tcW w:w="2790" w:type="dxa"/>
            <w:tcBorders>
              <w:top w:val="single" w:sz="4" w:space="0" w:color="auto"/>
              <w:left w:val="single" w:sz="4" w:space="0" w:color="auto"/>
              <w:bottom w:val="single" w:sz="4" w:space="0" w:color="auto"/>
              <w:right w:val="single" w:sz="4" w:space="0" w:color="auto"/>
            </w:tcBorders>
            <w:vAlign w:val="bottom"/>
          </w:tcPr>
          <w:p w:rsidR="00A61DA2" w:rsidRPr="00C712B7" w:rsidP="00A61DA2" w14:paraId="7B7ADF77" w14:textId="7D2EDD2B">
            <w:pPr>
              <w:spacing w:line="256" w:lineRule="auto"/>
              <w:jc w:val="right"/>
              <w:rPr>
                <w:rFonts w:eastAsia="Calibri"/>
                <w:sz w:val="24"/>
              </w:rPr>
            </w:pPr>
            <w:r w:rsidRPr="00C712B7">
              <w:rPr>
                <w:rFonts w:eastAsia="Calibri"/>
                <w:sz w:val="24"/>
              </w:rPr>
              <w:t>2,408 hrs</w:t>
            </w:r>
            <w:r w:rsidRPr="00C712B7" w:rsidR="006E6DC1">
              <w:rPr>
                <w:rFonts w:eastAsia="Calibri"/>
                <w:sz w:val="24"/>
              </w:rPr>
              <w:t>.;</w:t>
            </w:r>
          </w:p>
          <w:p w:rsidR="00A61DA2" w:rsidRPr="00C712B7" w:rsidP="00A61DA2" w14:paraId="6E291BE5" w14:textId="194FE987">
            <w:pPr>
              <w:spacing w:line="256" w:lineRule="auto"/>
              <w:jc w:val="right"/>
              <w:rPr>
                <w:rFonts w:eastAsia="Calibri"/>
                <w:sz w:val="24"/>
              </w:rPr>
            </w:pPr>
            <w:r w:rsidRPr="00C712B7">
              <w:rPr>
                <w:rFonts w:eastAsia="Calibri"/>
                <w:sz w:val="24"/>
              </w:rPr>
              <w:t>$</w:t>
            </w:r>
            <w:r w:rsidR="000472D7">
              <w:rPr>
                <w:rFonts w:eastAsia="Calibri"/>
                <w:sz w:val="24"/>
              </w:rPr>
              <w:t>163,4</w:t>
            </w:r>
            <w:r w:rsidR="004B4F2D">
              <w:rPr>
                <w:rFonts w:eastAsia="Calibri"/>
                <w:sz w:val="24"/>
              </w:rPr>
              <w:t>30.96</w:t>
            </w:r>
          </w:p>
        </w:tc>
      </w:tr>
      <w:tr w14:paraId="6EBA307E" w14:textId="77777777" w:rsidTr="003B4897">
        <w:tblPrEx>
          <w:tblW w:w="10075" w:type="dxa"/>
          <w:jc w:val="center"/>
          <w:tblLayout w:type="fixed"/>
          <w:tblLook w:val="01E0"/>
        </w:tblPrEx>
        <w:trPr>
          <w:cantSplit/>
          <w:trHeight w:val="299"/>
          <w:jc w:val="center"/>
        </w:trPr>
        <w:tc>
          <w:tcPr>
            <w:tcW w:w="1975" w:type="dxa"/>
            <w:tcBorders>
              <w:top w:val="single" w:sz="4" w:space="0" w:color="auto"/>
              <w:left w:val="single" w:sz="4" w:space="0" w:color="auto"/>
              <w:bottom w:val="single" w:sz="4" w:space="0" w:color="auto"/>
              <w:right w:val="single" w:sz="4" w:space="0" w:color="auto"/>
            </w:tcBorders>
            <w:hideMark/>
          </w:tcPr>
          <w:p w:rsidR="00A61DA2" w:rsidRPr="00480DDB" w:rsidP="00A61DA2" w14:paraId="19FAA97C" w14:textId="1BC8EFB9">
            <w:pPr>
              <w:spacing w:line="256" w:lineRule="auto"/>
              <w:rPr>
                <w:rFonts w:eastAsia="Calibri"/>
                <w:b/>
                <w:bCs/>
                <w:sz w:val="24"/>
              </w:rPr>
            </w:pPr>
            <w:r w:rsidRPr="00480DDB">
              <w:rPr>
                <w:rFonts w:eastAsia="Calibri"/>
                <w:b/>
                <w:bCs/>
                <w:sz w:val="24"/>
              </w:rPr>
              <w:t>FERC-725A</w:t>
            </w:r>
            <w:r w:rsidRPr="00480DDB" w:rsidR="004B5440">
              <w:rPr>
                <w:rFonts w:eastAsia="Calibri"/>
                <w:b/>
                <w:bCs/>
                <w:sz w:val="24"/>
              </w:rPr>
              <w:t>(1D)</w:t>
            </w:r>
            <w:r w:rsidRPr="00480DDB">
              <w:rPr>
                <w:rFonts w:eastAsia="Calibri"/>
                <w:b/>
                <w:bCs/>
                <w:sz w:val="24"/>
              </w:rPr>
              <w:t xml:space="preserve"> for TOP-003-6.1 Total </w:t>
            </w:r>
            <w:r w:rsidRPr="00480DDB" w:rsidR="00B829ED">
              <w:rPr>
                <w:rFonts w:eastAsia="Calibri"/>
                <w:b/>
                <w:bCs/>
                <w:sz w:val="24"/>
              </w:rPr>
              <w:t>Years 1&amp;2</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61DA2" w:rsidRPr="00480DDB" w:rsidP="00A61DA2" w14:paraId="4044B83D" w14:textId="77777777">
            <w:pPr>
              <w:spacing w:line="256" w:lineRule="auto"/>
              <w:jc w:val="right"/>
              <w:rPr>
                <w:rFonts w:eastAsia="Calibri"/>
                <w:b/>
                <w:bCs/>
                <w:sz w:val="24"/>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A61DA2" w:rsidRPr="00480DDB" w:rsidP="00A61DA2" w14:paraId="275CCCDC" w14:textId="77777777">
            <w:pPr>
              <w:spacing w:line="256" w:lineRule="auto"/>
              <w:jc w:val="right"/>
              <w:rPr>
                <w:rFonts w:eastAsia="Calibri"/>
                <w:b/>
                <w:bCs/>
                <w:sz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61DA2" w:rsidRPr="00480DDB" w:rsidP="00A61DA2" w14:paraId="2E2BDF73" w14:textId="3C8F0FF7">
            <w:pPr>
              <w:spacing w:line="256" w:lineRule="auto"/>
              <w:jc w:val="right"/>
              <w:rPr>
                <w:rFonts w:eastAsia="Calibri"/>
                <w:b/>
                <w:bCs/>
                <w:sz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61DA2" w:rsidRPr="00480DDB" w:rsidP="00A61DA2" w14:paraId="64281C36" w14:textId="77777777">
            <w:pPr>
              <w:spacing w:line="256" w:lineRule="auto"/>
              <w:jc w:val="right"/>
              <w:rPr>
                <w:rFonts w:eastAsia="Calibri"/>
                <w:b/>
                <w:bCs/>
                <w:sz w:val="24"/>
              </w:rPr>
            </w:pPr>
          </w:p>
        </w:tc>
        <w:tc>
          <w:tcPr>
            <w:tcW w:w="2790" w:type="dxa"/>
            <w:tcBorders>
              <w:top w:val="single" w:sz="4" w:space="0" w:color="auto"/>
              <w:left w:val="single" w:sz="4" w:space="0" w:color="auto"/>
              <w:bottom w:val="single" w:sz="4" w:space="0" w:color="auto"/>
              <w:right w:val="single" w:sz="4" w:space="0" w:color="auto"/>
            </w:tcBorders>
            <w:hideMark/>
          </w:tcPr>
          <w:p w:rsidR="00A61DA2" w:rsidRPr="00480DDB" w:rsidP="00A61DA2" w14:paraId="71CF30DC" w14:textId="41859BB3">
            <w:pPr>
              <w:spacing w:line="256" w:lineRule="auto"/>
              <w:jc w:val="right"/>
              <w:rPr>
                <w:rFonts w:eastAsia="Calibri"/>
                <w:b/>
                <w:bCs/>
                <w:sz w:val="24"/>
              </w:rPr>
            </w:pPr>
            <w:r w:rsidRPr="00480DDB">
              <w:rPr>
                <w:rFonts w:eastAsia="Calibri"/>
                <w:b/>
                <w:bCs/>
                <w:sz w:val="24"/>
              </w:rPr>
              <w:t>43,440</w:t>
            </w:r>
            <w:r w:rsidRPr="00480DDB" w:rsidR="000337DA">
              <w:rPr>
                <w:rFonts w:eastAsia="Calibri"/>
                <w:b/>
                <w:bCs/>
                <w:sz w:val="24"/>
              </w:rPr>
              <w:t xml:space="preserve"> </w:t>
            </w:r>
            <w:r w:rsidRPr="00480DDB">
              <w:rPr>
                <w:rFonts w:eastAsia="Calibri"/>
                <w:b/>
                <w:bCs/>
                <w:sz w:val="24"/>
              </w:rPr>
              <w:t>hrs.;</w:t>
            </w:r>
            <w:r w:rsidRPr="00480DDB">
              <w:rPr>
                <w:rFonts w:eastAsia="Calibri"/>
                <w:b/>
                <w:bCs/>
                <w:sz w:val="24"/>
              </w:rPr>
              <w:br/>
              <w:t>$</w:t>
            </w:r>
            <w:r w:rsidRPr="00480DDB" w:rsidR="009C21AB">
              <w:rPr>
                <w:rFonts w:eastAsia="Calibri"/>
                <w:b/>
                <w:bCs/>
                <w:sz w:val="24"/>
              </w:rPr>
              <w:t>2,94</w:t>
            </w:r>
            <w:r w:rsidRPr="00480DDB" w:rsidR="004B4F2D">
              <w:rPr>
                <w:rFonts w:eastAsia="Calibri"/>
                <w:b/>
                <w:bCs/>
                <w:sz w:val="24"/>
              </w:rPr>
              <w:t>8,272.80</w:t>
            </w:r>
          </w:p>
          <w:p w:rsidR="00A61DA2" w:rsidRPr="00480DDB" w:rsidP="00A61DA2" w14:paraId="349261AE" w14:textId="7E8FA2CA">
            <w:pPr>
              <w:spacing w:line="256" w:lineRule="auto"/>
              <w:jc w:val="right"/>
              <w:rPr>
                <w:rFonts w:eastAsia="Calibri"/>
                <w:b/>
                <w:bCs/>
                <w:sz w:val="24"/>
              </w:rPr>
            </w:pPr>
          </w:p>
        </w:tc>
      </w:tr>
      <w:tr w14:paraId="123A56F5" w14:textId="77777777" w:rsidTr="003B4897">
        <w:tblPrEx>
          <w:tblW w:w="10075" w:type="dxa"/>
          <w:jc w:val="center"/>
          <w:tblLayout w:type="fixed"/>
          <w:tblLook w:val="01E0"/>
        </w:tblPrEx>
        <w:trPr>
          <w:cantSplit/>
          <w:trHeight w:val="299"/>
          <w:jc w:val="center"/>
        </w:trPr>
        <w:tc>
          <w:tcPr>
            <w:tcW w:w="1975" w:type="dxa"/>
            <w:tcBorders>
              <w:top w:val="single" w:sz="4" w:space="0" w:color="auto"/>
              <w:left w:val="single" w:sz="4" w:space="0" w:color="auto"/>
              <w:bottom w:val="single" w:sz="4" w:space="0" w:color="auto"/>
              <w:right w:val="single" w:sz="4" w:space="0" w:color="auto"/>
            </w:tcBorders>
          </w:tcPr>
          <w:p w:rsidR="0097630F" w:rsidRPr="00480DDB" w:rsidP="00A61DA2" w14:paraId="48C5086C" w14:textId="22C6316A">
            <w:pPr>
              <w:spacing w:line="256" w:lineRule="auto"/>
              <w:rPr>
                <w:rFonts w:eastAsia="Calibri"/>
                <w:b/>
                <w:bCs/>
                <w:sz w:val="24"/>
              </w:rPr>
            </w:pPr>
            <w:r w:rsidRPr="00480DDB">
              <w:rPr>
                <w:rFonts w:eastAsia="Calibri"/>
                <w:b/>
                <w:bCs/>
                <w:sz w:val="24"/>
              </w:rPr>
              <w:t>FERC-725A</w:t>
            </w:r>
            <w:r w:rsidRPr="00480DDB" w:rsidR="004B5440">
              <w:rPr>
                <w:rFonts w:eastAsia="Calibri"/>
                <w:b/>
                <w:bCs/>
                <w:sz w:val="24"/>
              </w:rPr>
              <w:t>(1D)</w:t>
            </w:r>
            <w:r w:rsidRPr="00480DDB">
              <w:rPr>
                <w:rFonts w:eastAsia="Calibri"/>
                <w:b/>
                <w:bCs/>
                <w:sz w:val="24"/>
              </w:rPr>
              <w:t xml:space="preserve"> for TOP-003-6.1 Total Year 3 and beyond</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97630F" w:rsidRPr="00480DDB" w:rsidP="00A61DA2" w14:paraId="49E10335" w14:textId="77777777">
            <w:pPr>
              <w:spacing w:line="256" w:lineRule="auto"/>
              <w:jc w:val="right"/>
              <w:rPr>
                <w:rFonts w:eastAsia="Calibri"/>
                <w:b/>
                <w:bCs/>
                <w:sz w:val="24"/>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7630F" w:rsidRPr="00480DDB" w:rsidP="00A61DA2" w14:paraId="5844D847" w14:textId="77777777">
            <w:pPr>
              <w:spacing w:line="256" w:lineRule="auto"/>
              <w:jc w:val="right"/>
              <w:rPr>
                <w:rFonts w:eastAsia="Calibri"/>
                <w:b/>
                <w:bCs/>
                <w:sz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630F" w:rsidRPr="00480DDB" w:rsidP="00A61DA2" w14:paraId="6429F555" w14:textId="77777777">
            <w:pPr>
              <w:spacing w:line="256" w:lineRule="auto"/>
              <w:jc w:val="right"/>
              <w:rPr>
                <w:rFonts w:eastAsia="Calibri"/>
                <w:b/>
                <w:bCs/>
                <w:sz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97630F" w:rsidRPr="00480DDB" w:rsidP="00A61DA2" w14:paraId="38B59A0B" w14:textId="77777777">
            <w:pPr>
              <w:spacing w:line="256" w:lineRule="auto"/>
              <w:jc w:val="right"/>
              <w:rPr>
                <w:rFonts w:eastAsia="Calibri"/>
                <w:b/>
                <w:bCs/>
                <w:sz w:val="24"/>
              </w:rPr>
            </w:pPr>
          </w:p>
        </w:tc>
        <w:tc>
          <w:tcPr>
            <w:tcW w:w="2790" w:type="dxa"/>
            <w:tcBorders>
              <w:top w:val="single" w:sz="4" w:space="0" w:color="auto"/>
              <w:left w:val="single" w:sz="4" w:space="0" w:color="auto"/>
              <w:bottom w:val="single" w:sz="4" w:space="0" w:color="auto"/>
              <w:right w:val="single" w:sz="4" w:space="0" w:color="auto"/>
            </w:tcBorders>
          </w:tcPr>
          <w:p w:rsidR="0097630F" w:rsidRPr="00480DDB" w:rsidP="004B3992" w14:paraId="29E35B82" w14:textId="423A5625">
            <w:pPr>
              <w:spacing w:line="256" w:lineRule="auto"/>
              <w:jc w:val="right"/>
              <w:rPr>
                <w:rFonts w:eastAsia="Calibri"/>
                <w:b/>
                <w:bCs/>
                <w:sz w:val="24"/>
              </w:rPr>
            </w:pPr>
            <w:r w:rsidRPr="00480DDB">
              <w:rPr>
                <w:rFonts w:eastAsia="Calibri"/>
                <w:b/>
                <w:bCs/>
                <w:sz w:val="24"/>
              </w:rPr>
              <w:t xml:space="preserve">No Change to existing burden </w:t>
            </w:r>
          </w:p>
        </w:tc>
      </w:tr>
    </w:tbl>
    <w:p w:rsidR="00A23612" w:rsidRPr="00C712B7" w:rsidP="00177704" w14:paraId="097C707C" w14:textId="63EA47BC">
      <w:pPr>
        <w:rPr>
          <w:sz w:val="24"/>
        </w:rPr>
      </w:pPr>
    </w:p>
    <w:p w:rsidR="00165EF4" w:rsidRPr="00C712B7" w:rsidP="00177704" w14:paraId="2DCED542" w14:textId="3E2BA643">
      <w:pPr>
        <w:rPr>
          <w:sz w:val="24"/>
        </w:rPr>
      </w:pPr>
    </w:p>
    <w:p w:rsidR="00165EF4" w:rsidRPr="00C712B7" w:rsidP="00177704" w14:paraId="2B962D29" w14:textId="2E4128EA">
      <w:pPr>
        <w:rPr>
          <w:sz w:val="24"/>
        </w:rPr>
      </w:pPr>
    </w:p>
    <w:p w:rsidR="00165EF4" w:rsidRPr="00C712B7" w:rsidP="00177704" w14:paraId="14CB6A9C" w14:textId="77777777">
      <w:pPr>
        <w:rPr>
          <w:sz w:val="24"/>
        </w:rPr>
      </w:pPr>
    </w:p>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8"/>
        <w:gridCol w:w="1830"/>
        <w:gridCol w:w="1496"/>
        <w:gridCol w:w="1407"/>
        <w:gridCol w:w="1314"/>
        <w:gridCol w:w="2324"/>
      </w:tblGrid>
      <w:tr w14:paraId="3D88399A" w14:textId="77777777" w:rsidTr="00C712B7">
        <w:tblPrEx>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rsidR="001118E4" w:rsidRPr="00C712B7" w:rsidP="001118E4" w14:paraId="5EF99C6B" w14:textId="25A90D6A">
            <w:pPr>
              <w:spacing w:line="252" w:lineRule="auto"/>
              <w:ind w:left="-351"/>
              <w:jc w:val="center"/>
              <w:rPr>
                <w:b/>
                <w:bCs/>
                <w:sz w:val="24"/>
              </w:rPr>
            </w:pPr>
            <w:r w:rsidRPr="00C712B7">
              <w:rPr>
                <w:b/>
                <w:bCs/>
                <w:sz w:val="24"/>
              </w:rPr>
              <w:t xml:space="preserve">        IRO-010-5 – Reliability Coordinator Data and Information Specification and Collection </w:t>
            </w:r>
            <w:r w:rsidRPr="00C712B7" w:rsidR="006C3221">
              <w:rPr>
                <w:b/>
                <w:bCs/>
                <w:sz w:val="24"/>
              </w:rPr>
              <w:t>for</w:t>
            </w:r>
            <w:r w:rsidRPr="00C712B7">
              <w:rPr>
                <w:b/>
                <w:bCs/>
                <w:sz w:val="24"/>
              </w:rPr>
              <w:t xml:space="preserve"> Years 1 and 2</w:t>
            </w:r>
          </w:p>
          <w:p w:rsidR="001118E4" w:rsidRPr="00C712B7" w:rsidP="008212DA" w14:paraId="2F9D385E" w14:textId="77777777">
            <w:pPr>
              <w:jc w:val="center"/>
              <w:rPr>
                <w:rFonts w:eastAsia="Calibri"/>
                <w:b/>
                <w:sz w:val="24"/>
              </w:rPr>
            </w:pPr>
          </w:p>
        </w:tc>
      </w:tr>
      <w:tr w14:paraId="1CD224F9" w14:textId="77777777" w:rsidTr="00C712B7">
        <w:tblPrEx>
          <w:tblW w:w="5390" w:type="pct"/>
          <w:tblInd w:w="-365" w:type="dxa"/>
          <w:tblLayout w:type="fixed"/>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rsidR="006C3221" w:rsidRPr="00C712B7" w:rsidP="001118E4" w14:paraId="4F7D8131" w14:textId="50CE94F8">
            <w:pPr>
              <w:spacing w:line="252" w:lineRule="auto"/>
              <w:ind w:left="-351"/>
              <w:jc w:val="center"/>
              <w:rPr>
                <w:b/>
                <w:bCs/>
                <w:sz w:val="24"/>
              </w:rPr>
            </w:pPr>
            <w:r w:rsidRPr="00C712B7">
              <w:rPr>
                <w:b/>
                <w:bCs/>
                <w:sz w:val="24"/>
              </w:rPr>
              <w:t>FERC-725Z, OMB Control No. 1902-0276</w:t>
            </w:r>
          </w:p>
        </w:tc>
      </w:tr>
      <w:tr w14:paraId="36308322" w14:textId="77777777" w:rsidTr="003B4897">
        <w:tblPrEx>
          <w:tblW w:w="5390" w:type="pct"/>
          <w:tblInd w:w="-365" w:type="dxa"/>
          <w:tblLayout w:type="fixed"/>
          <w:tblLook w:val="01E0"/>
        </w:tblPrEx>
        <w:trPr>
          <w:cantSplit/>
        </w:trPr>
        <w:tc>
          <w:tcPr>
            <w:tcW w:w="847" w:type="pct"/>
            <w:tcBorders>
              <w:top w:val="single" w:sz="4" w:space="0" w:color="auto"/>
              <w:left w:val="single" w:sz="4" w:space="0" w:color="auto"/>
              <w:bottom w:val="single" w:sz="4" w:space="0" w:color="auto"/>
              <w:right w:val="single" w:sz="4" w:space="0" w:color="auto"/>
            </w:tcBorders>
            <w:shd w:val="clear" w:color="auto" w:fill="D9D9D9"/>
            <w:vAlign w:val="bottom"/>
          </w:tcPr>
          <w:p w:rsidR="001118E4" w:rsidRPr="00C712B7" w:rsidP="008212DA" w14:paraId="29B93B94" w14:textId="2C592A1C">
            <w:pPr>
              <w:jc w:val="center"/>
              <w:rPr>
                <w:rFonts w:eastAsia="Calibri"/>
                <w:b/>
                <w:sz w:val="24"/>
              </w:rPr>
            </w:pPr>
            <w:r>
              <w:rPr>
                <w:rFonts w:eastAsia="Calibri"/>
                <w:b/>
                <w:sz w:val="24"/>
              </w:rPr>
              <w:t>Type of Entity</w:t>
            </w:r>
          </w:p>
        </w:tc>
        <w:tc>
          <w:tcPr>
            <w:tcW w:w="90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1118E4" w:rsidRPr="00C712B7" w:rsidP="008212DA" w14:paraId="422F5350" w14:textId="52FA45CF">
            <w:pPr>
              <w:jc w:val="center"/>
              <w:rPr>
                <w:rFonts w:eastAsia="Calibri"/>
                <w:b/>
                <w:sz w:val="24"/>
              </w:rPr>
            </w:pPr>
            <w:r w:rsidRPr="00C712B7">
              <w:rPr>
                <w:rFonts w:eastAsia="Calibri"/>
                <w:b/>
                <w:sz w:val="24"/>
              </w:rPr>
              <w:t>Number of Respondents</w:t>
            </w:r>
            <w:r>
              <w:rPr>
                <w:rStyle w:val="FootnoteReference"/>
                <w:rFonts w:eastAsia="Calibri"/>
                <w:b w:val="0"/>
                <w:sz w:val="24"/>
                <w:szCs w:val="24"/>
              </w:rPr>
              <w:footnoteReference w:id="8"/>
            </w:r>
            <w:r w:rsidRPr="00C712B7">
              <w:rPr>
                <w:rFonts w:eastAsia="Calibri"/>
                <w:b/>
                <w:sz w:val="24"/>
              </w:rPr>
              <w:br/>
              <w:t>(1)</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1118E4" w:rsidRPr="00C712B7" w:rsidP="008212DA" w14:paraId="2C9C06E5" w14:textId="77777777">
            <w:pPr>
              <w:jc w:val="center"/>
              <w:rPr>
                <w:rFonts w:eastAsia="Calibri"/>
                <w:b/>
                <w:sz w:val="24"/>
              </w:rPr>
            </w:pPr>
            <w:r w:rsidRPr="00C712B7">
              <w:rPr>
                <w:rFonts w:eastAsia="Calibri"/>
                <w:b/>
                <w:sz w:val="24"/>
              </w:rPr>
              <w:t>Annual Number of Responses per Respondent</w:t>
            </w:r>
          </w:p>
          <w:p w:rsidR="001118E4" w:rsidRPr="00C712B7" w:rsidP="008212DA" w14:paraId="78C14911" w14:textId="77777777">
            <w:pPr>
              <w:jc w:val="center"/>
              <w:rPr>
                <w:rFonts w:eastAsia="Calibri"/>
                <w:b/>
                <w:sz w:val="24"/>
              </w:rPr>
            </w:pPr>
            <w:r w:rsidRPr="00C712B7">
              <w:rPr>
                <w:rFonts w:eastAsia="Calibri"/>
                <w:b/>
                <w:sz w:val="24"/>
              </w:rPr>
              <w:t>(2)</w:t>
            </w:r>
          </w:p>
        </w:tc>
        <w:tc>
          <w:tcPr>
            <w:tcW w:w="69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1118E4" w:rsidRPr="00C712B7" w:rsidP="008212DA" w14:paraId="2A1D1520" w14:textId="77777777">
            <w:pPr>
              <w:jc w:val="center"/>
              <w:rPr>
                <w:rFonts w:eastAsia="Calibri"/>
                <w:b/>
                <w:sz w:val="24"/>
              </w:rPr>
            </w:pPr>
            <w:r w:rsidRPr="00C712B7">
              <w:rPr>
                <w:rFonts w:eastAsia="Calibri"/>
                <w:b/>
                <w:sz w:val="24"/>
              </w:rPr>
              <w:t>Total Number of Responses (1)*(2)=(3)</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1118E4" w:rsidRPr="00C712B7" w:rsidP="008212DA" w14:paraId="38C04185" w14:textId="77777777">
            <w:pPr>
              <w:jc w:val="center"/>
              <w:rPr>
                <w:rFonts w:eastAsia="Calibri"/>
                <w:b/>
                <w:sz w:val="24"/>
              </w:rPr>
            </w:pPr>
            <w:r w:rsidRPr="00C712B7">
              <w:rPr>
                <w:rFonts w:eastAsia="Calibri"/>
                <w:b/>
                <w:sz w:val="24"/>
              </w:rPr>
              <w:t>Average Burden &amp; Cost Per Response</w:t>
            </w:r>
          </w:p>
          <w:p w:rsidR="001118E4" w:rsidRPr="00C712B7" w:rsidP="008212DA" w14:paraId="429E5D70" w14:textId="441787EA">
            <w:pPr>
              <w:jc w:val="center"/>
              <w:rPr>
                <w:rFonts w:eastAsia="Calibri"/>
                <w:b/>
                <w:sz w:val="24"/>
              </w:rPr>
            </w:pPr>
            <w:r w:rsidRPr="00C712B7">
              <w:rPr>
                <w:rFonts w:eastAsia="Calibri"/>
                <w:b/>
                <w:sz w:val="24"/>
              </w:rPr>
              <w:t>(4)</w:t>
            </w:r>
            <w:r>
              <w:rPr>
                <w:rStyle w:val="FootnoteReference"/>
                <w:rFonts w:eastAsia="Calibri"/>
                <w:b w:val="0"/>
              </w:rPr>
              <w:footnoteReference w:id="9"/>
            </w:r>
          </w:p>
        </w:tc>
        <w:tc>
          <w:tcPr>
            <w:tcW w:w="115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1118E4" w:rsidRPr="00C712B7" w:rsidP="008212DA" w14:paraId="50736E86" w14:textId="77777777">
            <w:pPr>
              <w:jc w:val="center"/>
              <w:rPr>
                <w:rFonts w:eastAsia="Calibri"/>
                <w:b/>
                <w:sz w:val="24"/>
              </w:rPr>
            </w:pPr>
            <w:r w:rsidRPr="00C712B7">
              <w:rPr>
                <w:rFonts w:eastAsia="Calibri"/>
                <w:b/>
                <w:sz w:val="24"/>
              </w:rPr>
              <w:t>Total Annual Burden Hours &amp; Total Annual Cost</w:t>
            </w:r>
          </w:p>
          <w:p w:rsidR="001118E4" w:rsidRPr="00C712B7" w:rsidP="008212DA" w14:paraId="7763E68A" w14:textId="77777777">
            <w:pPr>
              <w:jc w:val="center"/>
              <w:rPr>
                <w:rFonts w:eastAsia="Calibri"/>
                <w:b/>
                <w:sz w:val="24"/>
              </w:rPr>
            </w:pPr>
            <w:r w:rsidRPr="00C712B7">
              <w:rPr>
                <w:rFonts w:eastAsia="Calibri"/>
                <w:b/>
                <w:sz w:val="24"/>
              </w:rPr>
              <w:t>(3)*(4)=(5)</w:t>
            </w:r>
          </w:p>
        </w:tc>
      </w:tr>
      <w:tr w14:paraId="5B3ACF54" w14:textId="77777777" w:rsidTr="00C712B7">
        <w:tblPrEx>
          <w:tblW w:w="5390" w:type="pct"/>
          <w:tblInd w:w="-365" w:type="dxa"/>
          <w:tblLayout w:type="fixed"/>
          <w:tblLook w:val="01E0"/>
        </w:tblPrEx>
        <w:trPr>
          <w:cantSplit/>
        </w:trPr>
        <w:tc>
          <w:tcPr>
            <w:tcW w:w="847" w:type="pct"/>
            <w:tcBorders>
              <w:left w:val="single" w:sz="4" w:space="0" w:color="auto"/>
              <w:right w:val="single" w:sz="4" w:space="0" w:color="auto"/>
            </w:tcBorders>
            <w:shd w:val="clear" w:color="auto" w:fill="FFFFFF" w:themeFill="background1"/>
            <w:vAlign w:val="bottom"/>
            <w:hideMark/>
          </w:tcPr>
          <w:p w:rsidR="001118E4" w:rsidRPr="00C712B7" w:rsidP="00647D2A" w14:paraId="05A30F72" w14:textId="7DFB0751">
            <w:pPr>
              <w:rPr>
                <w:rFonts w:eastAsia="Calibri"/>
                <w:sz w:val="24"/>
              </w:rPr>
            </w:pPr>
            <w:r w:rsidRPr="00C712B7">
              <w:rPr>
                <w:sz w:val="24"/>
              </w:rPr>
              <w:t>RC</w:t>
            </w: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8E4" w:rsidRPr="00C712B7" w:rsidP="00647D2A" w14:paraId="6148E5CF" w14:textId="1A9EE3A8">
            <w:pPr>
              <w:jc w:val="center"/>
              <w:rPr>
                <w:rFonts w:eastAsia="Calibri"/>
                <w:sz w:val="24"/>
              </w:rPr>
            </w:pPr>
            <w:r w:rsidRPr="00C712B7">
              <w:rPr>
                <w:rFonts w:eastAsia="Calibri"/>
                <w:sz w:val="24"/>
              </w:rPr>
              <w:t xml:space="preserve"> 12</w:t>
            </w: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8E4" w:rsidRPr="00C712B7" w:rsidP="00647D2A" w14:paraId="44A51A14" w14:textId="77777777">
            <w:pPr>
              <w:jc w:val="center"/>
              <w:rPr>
                <w:rFonts w:eastAsia="Calibri"/>
                <w:sz w:val="24"/>
              </w:rPr>
            </w:pPr>
            <w:r w:rsidRPr="00C712B7">
              <w:rPr>
                <w:rFonts w:eastAsia="Calibri"/>
                <w:sz w:val="24"/>
              </w:rPr>
              <w:t>1</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8E4" w:rsidRPr="00C712B7" w:rsidP="00A61DA2" w14:paraId="0CE64FFA" w14:textId="7D549C44">
            <w:pPr>
              <w:jc w:val="center"/>
              <w:rPr>
                <w:rFonts w:eastAsia="Calibri"/>
                <w:sz w:val="24"/>
              </w:rPr>
            </w:pPr>
            <w:r w:rsidRPr="00C712B7">
              <w:rPr>
                <w:rFonts w:eastAsia="Calibri"/>
                <w:sz w:val="24"/>
              </w:rPr>
              <w:t>12</w:t>
            </w:r>
          </w:p>
        </w:tc>
        <w:tc>
          <w:tcPr>
            <w:tcW w:w="652"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8E4" w:rsidRPr="00C712B7" w:rsidP="00647D2A" w14:paraId="5F01B0C5" w14:textId="63DCA9C5">
            <w:pPr>
              <w:spacing w:line="276" w:lineRule="auto"/>
              <w:jc w:val="right"/>
              <w:rPr>
                <w:rFonts w:eastAsia="Calibri"/>
                <w:sz w:val="24"/>
              </w:rPr>
            </w:pPr>
            <w:r w:rsidRPr="00C712B7">
              <w:rPr>
                <w:rFonts w:eastAsia="Calibri"/>
                <w:sz w:val="24"/>
              </w:rPr>
              <w:t>80hrs.;</w:t>
            </w:r>
          </w:p>
          <w:p w:rsidR="001118E4" w:rsidRPr="00C712B7" w:rsidP="00647D2A" w14:paraId="0C1E56F8" w14:textId="62592219">
            <w:pPr>
              <w:jc w:val="right"/>
              <w:rPr>
                <w:rFonts w:eastAsia="Calibri"/>
                <w:sz w:val="24"/>
              </w:rPr>
            </w:pPr>
            <w:r w:rsidRPr="00C712B7">
              <w:rPr>
                <w:rFonts w:eastAsia="Calibri"/>
                <w:sz w:val="24"/>
              </w:rPr>
              <w:t>$</w:t>
            </w:r>
            <w:r w:rsidR="008E5F88">
              <w:rPr>
                <w:rFonts w:eastAsia="Calibri"/>
                <w:sz w:val="24"/>
              </w:rPr>
              <w:t>5,429.60</w:t>
            </w:r>
          </w:p>
        </w:tc>
        <w:tc>
          <w:tcPr>
            <w:tcW w:w="1153"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8E4" w:rsidRPr="00C712B7" w:rsidP="00647D2A" w14:paraId="02FB2876" w14:textId="5B123CF4">
            <w:pPr>
              <w:jc w:val="right"/>
              <w:rPr>
                <w:rFonts w:eastAsia="Calibri"/>
                <w:sz w:val="24"/>
              </w:rPr>
            </w:pPr>
            <w:r w:rsidRPr="00C712B7">
              <w:rPr>
                <w:rFonts w:eastAsia="Calibri"/>
                <w:sz w:val="24"/>
              </w:rPr>
              <w:t>960 hrs.;</w:t>
            </w:r>
          </w:p>
          <w:p w:rsidR="001118E4" w:rsidRPr="00C712B7" w:rsidP="00647D2A" w14:paraId="784BEB77" w14:textId="7B6CEAC3">
            <w:pPr>
              <w:jc w:val="right"/>
              <w:rPr>
                <w:rFonts w:eastAsia="Calibri"/>
                <w:sz w:val="24"/>
              </w:rPr>
            </w:pPr>
            <w:r w:rsidRPr="00C712B7">
              <w:rPr>
                <w:rFonts w:eastAsia="Calibri"/>
                <w:sz w:val="24"/>
              </w:rPr>
              <w:t>$</w:t>
            </w:r>
            <w:r w:rsidR="00B323DC">
              <w:rPr>
                <w:rFonts w:eastAsia="Calibri"/>
                <w:sz w:val="24"/>
              </w:rPr>
              <w:t>65,1</w:t>
            </w:r>
            <w:r w:rsidR="00E646B8">
              <w:rPr>
                <w:rFonts w:eastAsia="Calibri"/>
                <w:sz w:val="24"/>
              </w:rPr>
              <w:t>5</w:t>
            </w:r>
            <w:r w:rsidR="00B323DC">
              <w:rPr>
                <w:rFonts w:eastAsia="Calibri"/>
                <w:sz w:val="24"/>
              </w:rPr>
              <w:t>5.</w:t>
            </w:r>
            <w:r w:rsidR="00E646B8">
              <w:rPr>
                <w:rFonts w:eastAsia="Calibri"/>
                <w:sz w:val="24"/>
              </w:rPr>
              <w:t>2</w:t>
            </w:r>
            <w:r w:rsidR="00232B11">
              <w:rPr>
                <w:rFonts w:eastAsia="Calibri"/>
                <w:sz w:val="24"/>
              </w:rPr>
              <w:t>0</w:t>
            </w:r>
          </w:p>
        </w:tc>
      </w:tr>
      <w:tr w14:paraId="6689CC34" w14:textId="77777777" w:rsidTr="00C712B7">
        <w:tblPrEx>
          <w:tblW w:w="5390" w:type="pct"/>
          <w:tblInd w:w="-365" w:type="dxa"/>
          <w:tblLayout w:type="fixed"/>
          <w:tblLook w:val="01E0"/>
        </w:tblPrEx>
        <w:trPr>
          <w:cantSplit/>
        </w:trPr>
        <w:tc>
          <w:tcPr>
            <w:tcW w:w="847" w:type="pct"/>
            <w:tcBorders>
              <w:left w:val="single" w:sz="4" w:space="0" w:color="auto"/>
              <w:right w:val="single" w:sz="4" w:space="0" w:color="auto"/>
            </w:tcBorders>
            <w:vAlign w:val="bottom"/>
          </w:tcPr>
          <w:p w:rsidR="001118E4" w:rsidRPr="00C712B7" w:rsidP="00647D2A" w14:paraId="0C64A33F" w14:textId="2838CCA6">
            <w:pPr>
              <w:rPr>
                <w:rFonts w:eastAsia="Calibri"/>
                <w:sz w:val="24"/>
              </w:rPr>
            </w:pPr>
            <w:r w:rsidRPr="00C712B7">
              <w:rPr>
                <w:sz w:val="24"/>
              </w:rPr>
              <w:t>BA</w:t>
            </w:r>
          </w:p>
        </w:tc>
        <w:tc>
          <w:tcPr>
            <w:tcW w:w="908" w:type="pct"/>
            <w:tcBorders>
              <w:top w:val="single" w:sz="4" w:space="0" w:color="auto"/>
              <w:left w:val="single" w:sz="4" w:space="0" w:color="auto"/>
              <w:bottom w:val="single" w:sz="4" w:space="0" w:color="auto"/>
              <w:right w:val="single" w:sz="4" w:space="0" w:color="auto"/>
            </w:tcBorders>
            <w:vAlign w:val="bottom"/>
          </w:tcPr>
          <w:p w:rsidR="001118E4" w:rsidRPr="00C712B7" w:rsidP="00647D2A" w14:paraId="0BD75F30" w14:textId="452F8C4B">
            <w:pPr>
              <w:jc w:val="center"/>
              <w:rPr>
                <w:rFonts w:eastAsia="Calibri"/>
                <w:sz w:val="24"/>
              </w:rPr>
            </w:pPr>
            <w:r w:rsidRPr="00C712B7">
              <w:rPr>
                <w:rFonts w:eastAsia="Calibri"/>
                <w:sz w:val="24"/>
              </w:rPr>
              <w:t>98</w:t>
            </w:r>
          </w:p>
        </w:tc>
        <w:tc>
          <w:tcPr>
            <w:tcW w:w="742" w:type="pct"/>
            <w:tcBorders>
              <w:top w:val="single" w:sz="4" w:space="0" w:color="auto"/>
              <w:left w:val="single" w:sz="4" w:space="0" w:color="auto"/>
              <w:bottom w:val="single" w:sz="4" w:space="0" w:color="auto"/>
              <w:right w:val="single" w:sz="4" w:space="0" w:color="auto"/>
            </w:tcBorders>
            <w:vAlign w:val="bottom"/>
          </w:tcPr>
          <w:p w:rsidR="001118E4" w:rsidRPr="00C712B7" w:rsidP="00647D2A" w14:paraId="606B69DC" w14:textId="11162634">
            <w:pPr>
              <w:jc w:val="center"/>
              <w:rPr>
                <w:rFonts w:eastAsia="Calibri"/>
                <w:sz w:val="24"/>
              </w:rPr>
            </w:pPr>
            <w:r w:rsidRPr="00C712B7">
              <w:rPr>
                <w:rFonts w:eastAsia="Calibri"/>
                <w:sz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1118E4" w:rsidRPr="00C712B7" w:rsidP="00A61DA2" w14:paraId="13C90A52" w14:textId="79B07498">
            <w:pPr>
              <w:jc w:val="center"/>
              <w:rPr>
                <w:rFonts w:eastAsia="Calibri"/>
                <w:sz w:val="24"/>
              </w:rPr>
            </w:pPr>
            <w:r w:rsidRPr="00C712B7">
              <w:rPr>
                <w:rFonts w:eastAsia="Calibri"/>
                <w:sz w:val="24"/>
              </w:rPr>
              <w:t>98</w:t>
            </w:r>
          </w:p>
        </w:tc>
        <w:tc>
          <w:tcPr>
            <w:tcW w:w="65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31EB1ACC" w14:textId="76DE056E">
            <w:pPr>
              <w:spacing w:line="276" w:lineRule="auto"/>
              <w:jc w:val="right"/>
              <w:rPr>
                <w:rFonts w:eastAsia="Calibri"/>
                <w:sz w:val="24"/>
              </w:rPr>
            </w:pPr>
            <w:r w:rsidRPr="00C712B7">
              <w:rPr>
                <w:rFonts w:eastAsia="Calibri"/>
                <w:sz w:val="24"/>
              </w:rPr>
              <w:t>8</w:t>
            </w:r>
            <w:r w:rsidRPr="00C712B7">
              <w:rPr>
                <w:rFonts w:eastAsia="Calibri"/>
                <w:sz w:val="24"/>
              </w:rPr>
              <w:t>hrs.;</w:t>
            </w:r>
          </w:p>
          <w:p w:rsidR="001118E4" w:rsidRPr="00C712B7" w:rsidP="00647D2A" w14:paraId="229DA6C2" w14:textId="27335B69">
            <w:pPr>
              <w:jc w:val="right"/>
              <w:rPr>
                <w:rFonts w:eastAsia="Calibri"/>
                <w:sz w:val="24"/>
              </w:rPr>
            </w:pPr>
            <w:r>
              <w:rPr>
                <w:rFonts w:eastAsia="Calibri"/>
                <w:sz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1118E4" w:rsidRPr="00C712B7" w:rsidP="002E542E" w14:paraId="49EE190E" w14:textId="6F851672">
            <w:pPr>
              <w:jc w:val="right"/>
              <w:rPr>
                <w:rFonts w:eastAsia="Calibri"/>
                <w:sz w:val="24"/>
              </w:rPr>
            </w:pPr>
            <w:r w:rsidRPr="00C712B7">
              <w:rPr>
                <w:rFonts w:eastAsia="Calibri"/>
                <w:sz w:val="24"/>
              </w:rPr>
              <w:t xml:space="preserve"> 784 </w:t>
            </w:r>
            <w:r w:rsidRPr="00C712B7">
              <w:rPr>
                <w:rFonts w:eastAsia="Calibri"/>
                <w:sz w:val="24"/>
              </w:rPr>
              <w:t>hrs.;</w:t>
            </w:r>
          </w:p>
          <w:p w:rsidR="001118E4" w:rsidRPr="00C712B7" w:rsidP="002E542E" w14:paraId="15133872" w14:textId="1B97A447">
            <w:pPr>
              <w:jc w:val="right"/>
              <w:rPr>
                <w:rFonts w:eastAsia="Calibri"/>
                <w:sz w:val="24"/>
              </w:rPr>
            </w:pPr>
            <w:r w:rsidRPr="00C712B7">
              <w:rPr>
                <w:rFonts w:eastAsia="Calibri"/>
                <w:sz w:val="24"/>
              </w:rPr>
              <w:t xml:space="preserve"> $</w:t>
            </w:r>
            <w:r w:rsidR="00694E8B">
              <w:rPr>
                <w:rFonts w:eastAsia="Calibri"/>
                <w:sz w:val="24"/>
              </w:rPr>
              <w:t>53,2</w:t>
            </w:r>
            <w:r w:rsidR="00E646B8">
              <w:rPr>
                <w:rFonts w:eastAsia="Calibri"/>
                <w:sz w:val="24"/>
              </w:rPr>
              <w:t>10.08</w:t>
            </w:r>
          </w:p>
        </w:tc>
      </w:tr>
      <w:tr w14:paraId="0D868C84" w14:textId="77777777" w:rsidTr="00C712B7">
        <w:tblPrEx>
          <w:tblW w:w="5390" w:type="pct"/>
          <w:tblInd w:w="-365" w:type="dxa"/>
          <w:tblLayout w:type="fixed"/>
          <w:tblLook w:val="01E0"/>
        </w:tblPrEx>
        <w:trPr>
          <w:cantSplit/>
        </w:trPr>
        <w:tc>
          <w:tcPr>
            <w:tcW w:w="847" w:type="pct"/>
            <w:tcBorders>
              <w:left w:val="single" w:sz="4" w:space="0" w:color="auto"/>
              <w:right w:val="single" w:sz="4" w:space="0" w:color="auto"/>
            </w:tcBorders>
            <w:vAlign w:val="bottom"/>
          </w:tcPr>
          <w:p w:rsidR="001118E4" w:rsidRPr="00C712B7" w:rsidP="001118E4" w14:paraId="61B9866F" w14:textId="31922276">
            <w:pPr>
              <w:rPr>
                <w:rFonts w:eastAsia="Calibri"/>
                <w:sz w:val="24"/>
              </w:rPr>
            </w:pPr>
            <w:r w:rsidRPr="00C712B7">
              <w:rPr>
                <w:sz w:val="24"/>
              </w:rPr>
              <w:t>GO</w:t>
            </w:r>
          </w:p>
        </w:tc>
        <w:tc>
          <w:tcPr>
            <w:tcW w:w="908"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25672EE3" w14:textId="2CBA41AF">
            <w:pPr>
              <w:jc w:val="center"/>
              <w:rPr>
                <w:rFonts w:eastAsia="Calibri"/>
                <w:sz w:val="24"/>
              </w:rPr>
            </w:pPr>
            <w:r w:rsidRPr="00C712B7">
              <w:rPr>
                <w:rFonts w:eastAsia="Calibri"/>
                <w:sz w:val="24"/>
              </w:rPr>
              <w:t>1,164</w:t>
            </w:r>
          </w:p>
        </w:tc>
        <w:tc>
          <w:tcPr>
            <w:tcW w:w="74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027E76C9" w14:textId="5EF34493">
            <w:pPr>
              <w:jc w:val="center"/>
              <w:rPr>
                <w:rFonts w:eastAsia="Calibri"/>
                <w:sz w:val="24"/>
              </w:rPr>
            </w:pPr>
            <w:r w:rsidRPr="00C712B7">
              <w:rPr>
                <w:rFonts w:eastAsia="Calibri"/>
                <w:sz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1118E4" w:rsidRPr="00C712B7" w:rsidP="00A61DA2" w14:paraId="489FB8F6" w14:textId="22D8D9DA">
            <w:pPr>
              <w:jc w:val="center"/>
              <w:rPr>
                <w:rFonts w:eastAsia="Calibri"/>
                <w:sz w:val="24"/>
              </w:rPr>
            </w:pPr>
            <w:r w:rsidRPr="00C712B7">
              <w:rPr>
                <w:rFonts w:eastAsia="Calibri"/>
                <w:sz w:val="24"/>
              </w:rPr>
              <w:t>1,164</w:t>
            </w:r>
          </w:p>
        </w:tc>
        <w:tc>
          <w:tcPr>
            <w:tcW w:w="65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323CAED3" w14:textId="77777777">
            <w:pPr>
              <w:spacing w:line="276" w:lineRule="auto"/>
              <w:jc w:val="right"/>
              <w:rPr>
                <w:rFonts w:eastAsia="Calibri"/>
                <w:sz w:val="24"/>
              </w:rPr>
            </w:pPr>
            <w:r w:rsidRPr="00C712B7">
              <w:rPr>
                <w:rFonts w:eastAsia="Calibri"/>
                <w:sz w:val="24"/>
              </w:rPr>
              <w:t>8hrs.;</w:t>
            </w:r>
          </w:p>
          <w:p w:rsidR="001118E4" w:rsidRPr="00C712B7" w:rsidP="001118E4" w14:paraId="32879B33" w14:textId="3052C4F8">
            <w:pPr>
              <w:jc w:val="right"/>
              <w:rPr>
                <w:rFonts w:eastAsia="Calibri"/>
                <w:sz w:val="24"/>
              </w:rPr>
            </w:pPr>
            <w:r w:rsidRPr="00C712B7">
              <w:rPr>
                <w:rFonts w:eastAsia="Calibri"/>
                <w:sz w:val="24"/>
              </w:rPr>
              <w:t>$</w:t>
            </w:r>
            <w:r w:rsidR="008E5F88">
              <w:rPr>
                <w:rFonts w:eastAsia="Calibri"/>
                <w:sz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337DA" w:rsidRPr="00C712B7" w:rsidP="000337DA" w14:paraId="04638204" w14:textId="1464D638">
            <w:pPr>
              <w:spacing w:line="256" w:lineRule="auto"/>
              <w:jc w:val="right"/>
              <w:rPr>
                <w:rFonts w:eastAsia="Calibri"/>
                <w:sz w:val="24"/>
              </w:rPr>
            </w:pPr>
            <w:r w:rsidRPr="00C712B7">
              <w:rPr>
                <w:rFonts w:eastAsia="Calibri"/>
                <w:sz w:val="24"/>
              </w:rPr>
              <w:t>9,312 hrs</w:t>
            </w:r>
            <w:r w:rsidRPr="00C712B7" w:rsidR="00425402">
              <w:rPr>
                <w:rFonts w:eastAsia="Calibri"/>
                <w:sz w:val="24"/>
              </w:rPr>
              <w:t>.;</w:t>
            </w:r>
          </w:p>
          <w:p w:rsidR="001118E4" w:rsidRPr="00C712B7" w:rsidP="001118E4" w14:paraId="1759B83D" w14:textId="2FE5DECB">
            <w:pPr>
              <w:jc w:val="right"/>
              <w:rPr>
                <w:rFonts w:eastAsia="Calibri"/>
                <w:sz w:val="24"/>
              </w:rPr>
            </w:pPr>
            <w:r w:rsidRPr="00C712B7">
              <w:rPr>
                <w:rFonts w:eastAsia="Calibri"/>
                <w:sz w:val="24"/>
              </w:rPr>
              <w:t>$</w:t>
            </w:r>
            <w:r w:rsidR="00061E7D">
              <w:rPr>
                <w:rFonts w:eastAsia="Calibri"/>
                <w:sz w:val="24"/>
              </w:rPr>
              <w:t>63</w:t>
            </w:r>
            <w:r w:rsidR="00E646B8">
              <w:rPr>
                <w:rFonts w:eastAsia="Calibri"/>
                <w:sz w:val="24"/>
              </w:rPr>
              <w:t>2,005.44</w:t>
            </w:r>
          </w:p>
        </w:tc>
      </w:tr>
      <w:tr w14:paraId="15A27B5E" w14:textId="77777777" w:rsidTr="00C712B7">
        <w:tblPrEx>
          <w:tblW w:w="5390" w:type="pct"/>
          <w:tblInd w:w="-365" w:type="dxa"/>
          <w:tblLayout w:type="fixed"/>
          <w:tblLook w:val="01E0"/>
        </w:tblPrEx>
        <w:trPr>
          <w:cantSplit/>
        </w:trPr>
        <w:tc>
          <w:tcPr>
            <w:tcW w:w="847" w:type="pct"/>
            <w:tcBorders>
              <w:left w:val="single" w:sz="4" w:space="0" w:color="auto"/>
              <w:bottom w:val="single" w:sz="4" w:space="0" w:color="auto"/>
              <w:right w:val="single" w:sz="4" w:space="0" w:color="auto"/>
            </w:tcBorders>
            <w:vAlign w:val="bottom"/>
          </w:tcPr>
          <w:p w:rsidR="001118E4" w:rsidRPr="00C712B7" w:rsidP="001118E4" w14:paraId="3CA80018" w14:textId="46262DC8">
            <w:pPr>
              <w:rPr>
                <w:rFonts w:eastAsia="Calibri"/>
                <w:sz w:val="24"/>
              </w:rPr>
            </w:pPr>
            <w:r w:rsidRPr="00C712B7">
              <w:rPr>
                <w:sz w:val="24"/>
              </w:rPr>
              <w:t>GOP</w:t>
            </w:r>
          </w:p>
        </w:tc>
        <w:tc>
          <w:tcPr>
            <w:tcW w:w="908"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14187BDA" w14:textId="732E40FF">
            <w:pPr>
              <w:jc w:val="center"/>
              <w:rPr>
                <w:rFonts w:eastAsia="Calibri"/>
                <w:sz w:val="24"/>
              </w:rPr>
            </w:pPr>
            <w:r w:rsidRPr="00C712B7">
              <w:rPr>
                <w:rFonts w:eastAsia="Calibri"/>
                <w:sz w:val="24"/>
              </w:rPr>
              <w:t xml:space="preserve"> 1,002</w:t>
            </w:r>
          </w:p>
        </w:tc>
        <w:tc>
          <w:tcPr>
            <w:tcW w:w="74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0A541997" w14:textId="219766F6">
            <w:pPr>
              <w:jc w:val="center"/>
              <w:rPr>
                <w:rFonts w:eastAsia="Calibri"/>
                <w:sz w:val="24"/>
              </w:rPr>
            </w:pPr>
            <w:r w:rsidRPr="00C712B7">
              <w:rPr>
                <w:rFonts w:eastAsia="Calibri"/>
                <w:sz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1118E4" w:rsidRPr="00C712B7" w:rsidP="00A61DA2" w14:paraId="57665C98" w14:textId="15153C3E">
            <w:pPr>
              <w:jc w:val="center"/>
              <w:rPr>
                <w:rFonts w:eastAsia="Calibri"/>
                <w:sz w:val="24"/>
              </w:rPr>
            </w:pPr>
            <w:r w:rsidRPr="00C712B7">
              <w:rPr>
                <w:rFonts w:eastAsia="Calibri"/>
                <w:sz w:val="24"/>
              </w:rPr>
              <w:t xml:space="preserve"> 1,002</w:t>
            </w:r>
          </w:p>
        </w:tc>
        <w:tc>
          <w:tcPr>
            <w:tcW w:w="65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3B609FD3" w14:textId="77777777">
            <w:pPr>
              <w:spacing w:line="276" w:lineRule="auto"/>
              <w:jc w:val="right"/>
              <w:rPr>
                <w:rFonts w:eastAsia="Calibri"/>
                <w:sz w:val="24"/>
              </w:rPr>
            </w:pPr>
            <w:r w:rsidRPr="00C712B7">
              <w:rPr>
                <w:rFonts w:eastAsia="Calibri"/>
                <w:sz w:val="24"/>
              </w:rPr>
              <w:t>8hrs.;</w:t>
            </w:r>
          </w:p>
          <w:p w:rsidR="001118E4" w:rsidRPr="00C712B7" w:rsidP="001118E4" w14:paraId="0CFB098A" w14:textId="2D74EB49">
            <w:pPr>
              <w:jc w:val="right"/>
              <w:rPr>
                <w:rFonts w:eastAsia="Calibri"/>
                <w:sz w:val="24"/>
              </w:rPr>
            </w:pPr>
            <w:r w:rsidRPr="00C712B7">
              <w:rPr>
                <w:rFonts w:eastAsia="Calibri"/>
                <w:sz w:val="24"/>
              </w:rPr>
              <w:t>$</w:t>
            </w:r>
            <w:r w:rsidR="008E5F88">
              <w:rPr>
                <w:rFonts w:eastAsia="Calibri"/>
                <w:sz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337DA" w:rsidRPr="00C712B7" w:rsidP="000337DA" w14:paraId="2A797821" w14:textId="062F9BE7">
            <w:pPr>
              <w:spacing w:line="256" w:lineRule="auto"/>
              <w:jc w:val="right"/>
              <w:rPr>
                <w:rFonts w:eastAsia="Calibri"/>
                <w:sz w:val="24"/>
              </w:rPr>
            </w:pPr>
            <w:r w:rsidRPr="00C712B7">
              <w:rPr>
                <w:rFonts w:eastAsia="Calibri"/>
                <w:sz w:val="24"/>
              </w:rPr>
              <w:t>8,016 hrs</w:t>
            </w:r>
            <w:r w:rsidRPr="00C712B7" w:rsidR="00425402">
              <w:rPr>
                <w:rFonts w:eastAsia="Calibri"/>
                <w:sz w:val="24"/>
              </w:rPr>
              <w:t>.;</w:t>
            </w:r>
          </w:p>
          <w:p w:rsidR="001118E4" w:rsidRPr="00C712B7" w:rsidP="001118E4" w14:paraId="15A9B034" w14:textId="1ACB0552">
            <w:pPr>
              <w:jc w:val="right"/>
              <w:rPr>
                <w:rFonts w:eastAsia="Calibri"/>
                <w:sz w:val="24"/>
              </w:rPr>
            </w:pPr>
            <w:r w:rsidRPr="00C712B7">
              <w:rPr>
                <w:rFonts w:eastAsia="Calibri"/>
                <w:sz w:val="24"/>
              </w:rPr>
              <w:t>$</w:t>
            </w:r>
            <w:r w:rsidR="006509A2">
              <w:rPr>
                <w:rFonts w:eastAsia="Calibri"/>
                <w:sz w:val="24"/>
              </w:rPr>
              <w:t>54</w:t>
            </w:r>
            <w:r w:rsidR="00E646B8">
              <w:rPr>
                <w:rFonts w:eastAsia="Calibri"/>
                <w:sz w:val="24"/>
              </w:rPr>
              <w:t>4,045.92</w:t>
            </w:r>
          </w:p>
        </w:tc>
      </w:tr>
      <w:tr w14:paraId="13B73596" w14:textId="77777777" w:rsidTr="00C712B7">
        <w:tblPrEx>
          <w:tblW w:w="5390" w:type="pct"/>
          <w:tblInd w:w="-365" w:type="dxa"/>
          <w:tblLayout w:type="fixed"/>
          <w:tblLook w:val="01E0"/>
        </w:tblPrEx>
        <w:trPr>
          <w:cantSplit/>
          <w:trHeight w:val="530"/>
        </w:trPr>
        <w:tc>
          <w:tcPr>
            <w:tcW w:w="847" w:type="pct"/>
            <w:tcBorders>
              <w:left w:val="single" w:sz="4" w:space="0" w:color="auto"/>
              <w:bottom w:val="single" w:sz="4" w:space="0" w:color="auto"/>
              <w:right w:val="single" w:sz="4" w:space="0" w:color="auto"/>
            </w:tcBorders>
            <w:vAlign w:val="bottom"/>
          </w:tcPr>
          <w:p w:rsidR="001118E4" w:rsidRPr="00C712B7" w:rsidP="001118E4" w14:paraId="260D0239" w14:textId="349E7EE4">
            <w:pPr>
              <w:rPr>
                <w:rFonts w:eastAsia="Calibri"/>
                <w:sz w:val="24"/>
              </w:rPr>
            </w:pPr>
            <w:r w:rsidRPr="00C712B7">
              <w:rPr>
                <w:sz w:val="24"/>
              </w:rPr>
              <w:t>TOP</w:t>
            </w:r>
          </w:p>
        </w:tc>
        <w:tc>
          <w:tcPr>
            <w:tcW w:w="908"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5C1B0332" w14:textId="083A5235">
            <w:pPr>
              <w:jc w:val="center"/>
              <w:rPr>
                <w:rFonts w:eastAsia="Calibri"/>
                <w:sz w:val="24"/>
              </w:rPr>
            </w:pPr>
            <w:r w:rsidRPr="00C712B7">
              <w:rPr>
                <w:rFonts w:eastAsia="Calibri"/>
                <w:sz w:val="24"/>
              </w:rPr>
              <w:t>166</w:t>
            </w:r>
          </w:p>
        </w:tc>
        <w:tc>
          <w:tcPr>
            <w:tcW w:w="74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135681BD" w14:textId="6BD2F184">
            <w:pPr>
              <w:jc w:val="center"/>
              <w:rPr>
                <w:rFonts w:eastAsia="Calibri"/>
                <w:sz w:val="24"/>
              </w:rPr>
            </w:pPr>
            <w:r w:rsidRPr="00C712B7">
              <w:rPr>
                <w:rFonts w:eastAsia="Calibri"/>
                <w:sz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1118E4" w:rsidRPr="00C712B7" w:rsidP="00A61DA2" w14:paraId="78BBEAB3" w14:textId="349F34B5">
            <w:pPr>
              <w:jc w:val="center"/>
              <w:rPr>
                <w:rFonts w:eastAsia="Calibri"/>
                <w:sz w:val="24"/>
              </w:rPr>
            </w:pPr>
            <w:r w:rsidRPr="00C712B7">
              <w:rPr>
                <w:rFonts w:eastAsia="Calibri"/>
                <w:sz w:val="24"/>
              </w:rPr>
              <w:t>166</w:t>
            </w:r>
          </w:p>
        </w:tc>
        <w:tc>
          <w:tcPr>
            <w:tcW w:w="65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40F5A037" w14:textId="77777777">
            <w:pPr>
              <w:spacing w:line="276" w:lineRule="auto"/>
              <w:jc w:val="right"/>
              <w:rPr>
                <w:rFonts w:eastAsia="Calibri"/>
                <w:sz w:val="24"/>
              </w:rPr>
            </w:pPr>
            <w:r w:rsidRPr="00C712B7">
              <w:rPr>
                <w:rFonts w:eastAsia="Calibri"/>
                <w:sz w:val="24"/>
              </w:rPr>
              <w:t>8hrs.;</w:t>
            </w:r>
          </w:p>
          <w:p w:rsidR="001118E4" w:rsidRPr="00C712B7" w:rsidP="001118E4" w14:paraId="5C27DA53" w14:textId="6AF4DD20">
            <w:pPr>
              <w:spacing w:line="276" w:lineRule="auto"/>
              <w:jc w:val="right"/>
              <w:rPr>
                <w:rFonts w:eastAsia="Calibri"/>
                <w:sz w:val="24"/>
              </w:rPr>
            </w:pPr>
            <w:r w:rsidRPr="00C712B7">
              <w:rPr>
                <w:rFonts w:eastAsia="Calibri"/>
                <w:sz w:val="24"/>
              </w:rPr>
              <w:t>$</w:t>
            </w:r>
            <w:r w:rsidR="008E5F88">
              <w:rPr>
                <w:rFonts w:eastAsia="Calibri"/>
                <w:sz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7FE62C2F" w14:textId="5D19F471">
            <w:pPr>
              <w:jc w:val="right"/>
              <w:rPr>
                <w:rFonts w:eastAsia="Calibri"/>
                <w:sz w:val="24"/>
              </w:rPr>
            </w:pPr>
            <w:r w:rsidRPr="00C712B7">
              <w:rPr>
                <w:rFonts w:eastAsia="Calibri"/>
                <w:sz w:val="24"/>
              </w:rPr>
              <w:t xml:space="preserve">1,328 </w:t>
            </w:r>
            <w:r w:rsidRPr="00C712B7">
              <w:rPr>
                <w:rFonts w:eastAsia="Calibri"/>
                <w:sz w:val="24"/>
              </w:rPr>
              <w:t>hrs.;</w:t>
            </w:r>
          </w:p>
          <w:p w:rsidR="001118E4" w:rsidRPr="00C712B7" w:rsidP="001118E4" w14:paraId="7FEF8162" w14:textId="2E032718">
            <w:pPr>
              <w:jc w:val="right"/>
              <w:rPr>
                <w:rFonts w:eastAsia="Calibri"/>
                <w:sz w:val="24"/>
              </w:rPr>
            </w:pPr>
            <w:r w:rsidRPr="00C712B7">
              <w:rPr>
                <w:rFonts w:eastAsia="Calibri"/>
                <w:sz w:val="24"/>
              </w:rPr>
              <w:t>$</w:t>
            </w:r>
            <w:r w:rsidR="002122B1">
              <w:rPr>
                <w:rFonts w:eastAsia="Calibri"/>
                <w:sz w:val="24"/>
              </w:rPr>
              <w:t>90,</w:t>
            </w:r>
            <w:r w:rsidR="00393420">
              <w:rPr>
                <w:rFonts w:eastAsia="Calibri"/>
                <w:sz w:val="24"/>
              </w:rPr>
              <w:t>1</w:t>
            </w:r>
            <w:r w:rsidR="00E646B8">
              <w:rPr>
                <w:rFonts w:eastAsia="Calibri"/>
                <w:sz w:val="24"/>
              </w:rPr>
              <w:t>31.36</w:t>
            </w:r>
          </w:p>
        </w:tc>
      </w:tr>
      <w:tr w14:paraId="31313468" w14:textId="77777777" w:rsidTr="00C712B7">
        <w:tblPrEx>
          <w:tblW w:w="5390" w:type="pct"/>
          <w:tblInd w:w="-365" w:type="dxa"/>
          <w:tblLayout w:type="fixed"/>
          <w:tblLook w:val="01E0"/>
        </w:tblPrEx>
        <w:trPr>
          <w:cantSplit/>
          <w:trHeight w:val="530"/>
        </w:trPr>
        <w:tc>
          <w:tcPr>
            <w:tcW w:w="847" w:type="pct"/>
            <w:tcBorders>
              <w:left w:val="single" w:sz="4" w:space="0" w:color="auto"/>
              <w:bottom w:val="single" w:sz="4" w:space="0" w:color="auto"/>
              <w:right w:val="single" w:sz="4" w:space="0" w:color="auto"/>
            </w:tcBorders>
            <w:vAlign w:val="bottom"/>
          </w:tcPr>
          <w:p w:rsidR="001118E4" w:rsidRPr="00C712B7" w:rsidP="001118E4" w14:paraId="2BD4634E" w14:textId="6EEA0C16">
            <w:pPr>
              <w:rPr>
                <w:rFonts w:eastAsia="Calibri"/>
                <w:sz w:val="24"/>
              </w:rPr>
            </w:pPr>
            <w:r w:rsidRPr="00C712B7">
              <w:rPr>
                <w:sz w:val="24"/>
              </w:rPr>
              <w:t>TO</w:t>
            </w:r>
          </w:p>
        </w:tc>
        <w:tc>
          <w:tcPr>
            <w:tcW w:w="908"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0DF28094" w14:textId="6F94F244">
            <w:pPr>
              <w:jc w:val="center"/>
              <w:rPr>
                <w:rFonts w:eastAsia="Calibri"/>
                <w:sz w:val="24"/>
              </w:rPr>
            </w:pPr>
            <w:r w:rsidRPr="00C712B7">
              <w:rPr>
                <w:rFonts w:eastAsia="Calibri"/>
                <w:sz w:val="24"/>
              </w:rPr>
              <w:t>323</w:t>
            </w:r>
          </w:p>
        </w:tc>
        <w:tc>
          <w:tcPr>
            <w:tcW w:w="74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2B3B6E0E" w14:textId="4B5B1AD8">
            <w:pPr>
              <w:jc w:val="center"/>
              <w:rPr>
                <w:rFonts w:eastAsia="Calibri"/>
                <w:sz w:val="24"/>
              </w:rPr>
            </w:pPr>
            <w:r w:rsidRPr="00C712B7">
              <w:rPr>
                <w:rFonts w:eastAsia="Calibri"/>
                <w:sz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1118E4" w:rsidRPr="00C712B7" w:rsidP="00A61DA2" w14:paraId="21F9E315" w14:textId="0D22ABFB">
            <w:pPr>
              <w:jc w:val="center"/>
              <w:rPr>
                <w:rFonts w:eastAsia="Calibri"/>
                <w:sz w:val="24"/>
              </w:rPr>
            </w:pPr>
            <w:r w:rsidRPr="00C712B7">
              <w:rPr>
                <w:rFonts w:eastAsia="Calibri"/>
                <w:sz w:val="24"/>
              </w:rPr>
              <w:t>323</w:t>
            </w:r>
          </w:p>
        </w:tc>
        <w:tc>
          <w:tcPr>
            <w:tcW w:w="65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6E38CC40" w14:textId="3331AA97">
            <w:pPr>
              <w:spacing w:line="276" w:lineRule="auto"/>
              <w:jc w:val="right"/>
              <w:rPr>
                <w:rFonts w:eastAsia="Calibri"/>
                <w:sz w:val="24"/>
              </w:rPr>
            </w:pPr>
            <w:r w:rsidRPr="00C712B7">
              <w:rPr>
                <w:rFonts w:eastAsia="Calibri"/>
                <w:sz w:val="24"/>
              </w:rPr>
              <w:t>8hrs.;</w:t>
            </w:r>
          </w:p>
          <w:p w:rsidR="001118E4" w:rsidRPr="00C712B7" w:rsidP="001118E4" w14:paraId="0A8967DC" w14:textId="05CBACD4">
            <w:pPr>
              <w:spacing w:line="276" w:lineRule="auto"/>
              <w:jc w:val="right"/>
              <w:rPr>
                <w:rFonts w:eastAsia="Calibri"/>
                <w:sz w:val="24"/>
              </w:rPr>
            </w:pPr>
            <w:r w:rsidRPr="00C712B7">
              <w:rPr>
                <w:rFonts w:eastAsia="Calibri"/>
                <w:sz w:val="24"/>
              </w:rPr>
              <w:t>$</w:t>
            </w:r>
            <w:r w:rsidR="008E5F88">
              <w:rPr>
                <w:rFonts w:eastAsia="Calibri"/>
                <w:sz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337DA" w:rsidRPr="00C712B7" w:rsidP="000337DA" w14:paraId="4EAF4036" w14:textId="65C24A0D">
            <w:pPr>
              <w:spacing w:line="256" w:lineRule="auto"/>
              <w:jc w:val="right"/>
              <w:rPr>
                <w:rFonts w:eastAsia="Calibri"/>
                <w:sz w:val="24"/>
              </w:rPr>
            </w:pPr>
            <w:r w:rsidRPr="00C712B7">
              <w:rPr>
                <w:rFonts w:eastAsia="Calibri"/>
                <w:sz w:val="24"/>
              </w:rPr>
              <w:t>2,584</w:t>
            </w:r>
            <w:r w:rsidRPr="00C712B7">
              <w:rPr>
                <w:rFonts w:eastAsia="Calibri"/>
                <w:sz w:val="24"/>
              </w:rPr>
              <w:t xml:space="preserve"> hrs.</w:t>
            </w:r>
            <w:r w:rsidRPr="00C712B7">
              <w:rPr>
                <w:rFonts w:eastAsia="Calibri"/>
                <w:sz w:val="24"/>
              </w:rPr>
              <w:t>;</w:t>
            </w:r>
          </w:p>
          <w:p w:rsidR="001118E4" w:rsidRPr="00C712B7" w:rsidP="001118E4" w14:paraId="5462247C" w14:textId="1611A932">
            <w:pPr>
              <w:jc w:val="right"/>
              <w:rPr>
                <w:rFonts w:eastAsia="Calibri"/>
                <w:sz w:val="24"/>
              </w:rPr>
            </w:pPr>
            <w:r w:rsidRPr="00C712B7">
              <w:rPr>
                <w:rFonts w:eastAsia="Calibri"/>
                <w:sz w:val="24"/>
              </w:rPr>
              <w:t>$</w:t>
            </w:r>
            <w:r w:rsidR="00180AFE">
              <w:rPr>
                <w:rFonts w:eastAsia="Calibri"/>
                <w:sz w:val="24"/>
              </w:rPr>
              <w:t>175,</w:t>
            </w:r>
            <w:r w:rsidR="00C9486A">
              <w:rPr>
                <w:rFonts w:eastAsia="Calibri"/>
                <w:sz w:val="24"/>
              </w:rPr>
              <w:t>3</w:t>
            </w:r>
            <w:r w:rsidR="00E646B8">
              <w:rPr>
                <w:rFonts w:eastAsia="Calibri"/>
                <w:sz w:val="24"/>
              </w:rPr>
              <w:t>76.08</w:t>
            </w:r>
          </w:p>
        </w:tc>
      </w:tr>
      <w:tr w14:paraId="67BC666D" w14:textId="77777777" w:rsidTr="00C712B7">
        <w:tblPrEx>
          <w:tblW w:w="5390" w:type="pct"/>
          <w:tblInd w:w="-365" w:type="dxa"/>
          <w:tblLayout w:type="fixed"/>
          <w:tblLook w:val="01E0"/>
        </w:tblPrEx>
        <w:trPr>
          <w:cantSplit/>
          <w:trHeight w:val="530"/>
        </w:trPr>
        <w:tc>
          <w:tcPr>
            <w:tcW w:w="847" w:type="pct"/>
            <w:tcBorders>
              <w:left w:val="single" w:sz="4" w:space="0" w:color="auto"/>
              <w:bottom w:val="single" w:sz="4" w:space="0" w:color="auto"/>
              <w:right w:val="single" w:sz="4" w:space="0" w:color="auto"/>
            </w:tcBorders>
            <w:vAlign w:val="bottom"/>
          </w:tcPr>
          <w:p w:rsidR="001118E4" w:rsidRPr="00C712B7" w:rsidP="001118E4" w14:paraId="41773148" w14:textId="30E99FA2">
            <w:pPr>
              <w:rPr>
                <w:rFonts w:eastAsia="Calibri"/>
                <w:sz w:val="24"/>
              </w:rPr>
            </w:pPr>
            <w:r w:rsidRPr="00C712B7">
              <w:rPr>
                <w:sz w:val="24"/>
              </w:rPr>
              <w:t>DP</w:t>
            </w:r>
          </w:p>
        </w:tc>
        <w:tc>
          <w:tcPr>
            <w:tcW w:w="908"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14AA6409" w14:textId="00EB0ECF">
            <w:pPr>
              <w:jc w:val="center"/>
              <w:rPr>
                <w:rFonts w:eastAsia="Calibri"/>
                <w:sz w:val="24"/>
              </w:rPr>
            </w:pPr>
            <w:r w:rsidRPr="00C712B7">
              <w:rPr>
                <w:rFonts w:eastAsia="Calibri"/>
                <w:sz w:val="24"/>
              </w:rPr>
              <w:t>301</w:t>
            </w:r>
          </w:p>
        </w:tc>
        <w:tc>
          <w:tcPr>
            <w:tcW w:w="74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67CC6EAE" w14:textId="2859D41F">
            <w:pPr>
              <w:jc w:val="center"/>
              <w:rPr>
                <w:rFonts w:eastAsia="Calibri"/>
                <w:sz w:val="24"/>
              </w:rPr>
            </w:pPr>
            <w:r w:rsidRPr="00C712B7">
              <w:rPr>
                <w:rFonts w:eastAsia="Calibri"/>
                <w:sz w:val="24"/>
              </w:rPr>
              <w:t>1</w:t>
            </w:r>
          </w:p>
        </w:tc>
        <w:tc>
          <w:tcPr>
            <w:tcW w:w="698" w:type="pct"/>
            <w:tcBorders>
              <w:top w:val="single" w:sz="4" w:space="0" w:color="auto"/>
              <w:left w:val="single" w:sz="4" w:space="0" w:color="auto"/>
              <w:bottom w:val="single" w:sz="4" w:space="0" w:color="auto"/>
              <w:right w:val="single" w:sz="4" w:space="0" w:color="auto"/>
            </w:tcBorders>
            <w:vAlign w:val="bottom"/>
          </w:tcPr>
          <w:p w:rsidR="001118E4" w:rsidRPr="00C712B7" w:rsidP="00A61DA2" w14:paraId="28BEF901" w14:textId="73E0DFC0">
            <w:pPr>
              <w:jc w:val="center"/>
              <w:rPr>
                <w:rFonts w:eastAsia="Calibri"/>
                <w:sz w:val="24"/>
              </w:rPr>
            </w:pPr>
            <w:r w:rsidRPr="00C712B7">
              <w:rPr>
                <w:rFonts w:eastAsia="Calibri"/>
                <w:sz w:val="24"/>
              </w:rPr>
              <w:t>301</w:t>
            </w:r>
          </w:p>
        </w:tc>
        <w:tc>
          <w:tcPr>
            <w:tcW w:w="652" w:type="pct"/>
            <w:tcBorders>
              <w:top w:val="single" w:sz="4" w:space="0" w:color="auto"/>
              <w:left w:val="single" w:sz="4" w:space="0" w:color="auto"/>
              <w:bottom w:val="single" w:sz="4" w:space="0" w:color="auto"/>
              <w:right w:val="single" w:sz="4" w:space="0" w:color="auto"/>
            </w:tcBorders>
            <w:vAlign w:val="bottom"/>
          </w:tcPr>
          <w:p w:rsidR="001118E4" w:rsidRPr="00C712B7" w:rsidP="001118E4" w14:paraId="6D0D31FD" w14:textId="77777777">
            <w:pPr>
              <w:spacing w:line="276" w:lineRule="auto"/>
              <w:jc w:val="right"/>
              <w:rPr>
                <w:rFonts w:eastAsia="Calibri"/>
                <w:sz w:val="24"/>
              </w:rPr>
            </w:pPr>
            <w:r w:rsidRPr="00C712B7">
              <w:rPr>
                <w:rFonts w:eastAsia="Calibri"/>
                <w:sz w:val="24"/>
              </w:rPr>
              <w:t>8hrs.;</w:t>
            </w:r>
          </w:p>
          <w:p w:rsidR="001118E4" w:rsidRPr="00C712B7" w:rsidP="001118E4" w14:paraId="41637581" w14:textId="009A0CB1">
            <w:pPr>
              <w:spacing w:line="276" w:lineRule="auto"/>
              <w:jc w:val="right"/>
              <w:rPr>
                <w:rFonts w:eastAsia="Calibri"/>
                <w:sz w:val="24"/>
              </w:rPr>
            </w:pPr>
            <w:r w:rsidRPr="00C712B7">
              <w:rPr>
                <w:rFonts w:eastAsia="Calibri"/>
                <w:sz w:val="24"/>
              </w:rPr>
              <w:t>$</w:t>
            </w:r>
            <w:r w:rsidR="008E5F88">
              <w:rPr>
                <w:rFonts w:eastAsia="Calibri"/>
                <w:sz w:val="24"/>
              </w:rPr>
              <w:t>542.96</w:t>
            </w:r>
          </w:p>
        </w:tc>
        <w:tc>
          <w:tcPr>
            <w:tcW w:w="1153" w:type="pct"/>
            <w:tcBorders>
              <w:top w:val="single" w:sz="4" w:space="0" w:color="auto"/>
              <w:left w:val="single" w:sz="4" w:space="0" w:color="auto"/>
              <w:bottom w:val="single" w:sz="4" w:space="0" w:color="auto"/>
              <w:right w:val="single" w:sz="4" w:space="0" w:color="auto"/>
            </w:tcBorders>
            <w:vAlign w:val="bottom"/>
          </w:tcPr>
          <w:p w:rsidR="000337DA" w:rsidRPr="00C712B7" w:rsidP="000337DA" w14:paraId="3AB67E66" w14:textId="5F6AF8BC">
            <w:pPr>
              <w:spacing w:line="256" w:lineRule="auto"/>
              <w:jc w:val="right"/>
              <w:rPr>
                <w:rFonts w:eastAsia="Calibri"/>
                <w:sz w:val="24"/>
              </w:rPr>
            </w:pPr>
            <w:r w:rsidRPr="00C712B7">
              <w:rPr>
                <w:rFonts w:eastAsia="Calibri"/>
                <w:sz w:val="24"/>
              </w:rPr>
              <w:t>2,408 hrs</w:t>
            </w:r>
            <w:r w:rsidRPr="00C712B7" w:rsidR="00425402">
              <w:rPr>
                <w:rFonts w:eastAsia="Calibri"/>
                <w:sz w:val="24"/>
              </w:rPr>
              <w:t>.;</w:t>
            </w:r>
          </w:p>
          <w:p w:rsidR="001118E4" w:rsidRPr="00C712B7" w:rsidP="001118E4" w14:paraId="1F9F9D0C" w14:textId="338E0448">
            <w:pPr>
              <w:jc w:val="right"/>
              <w:rPr>
                <w:rFonts w:eastAsia="Calibri"/>
                <w:sz w:val="24"/>
              </w:rPr>
            </w:pPr>
            <w:r w:rsidRPr="00C712B7">
              <w:rPr>
                <w:rFonts w:eastAsia="Calibri"/>
                <w:sz w:val="24"/>
              </w:rPr>
              <w:t>$</w:t>
            </w:r>
            <w:r w:rsidR="004F1B6A">
              <w:rPr>
                <w:rFonts w:eastAsia="Calibri"/>
                <w:sz w:val="24"/>
              </w:rPr>
              <w:t>163,4</w:t>
            </w:r>
            <w:r w:rsidR="00E646B8">
              <w:rPr>
                <w:rFonts w:eastAsia="Calibri"/>
                <w:sz w:val="24"/>
              </w:rPr>
              <w:t>30.96</w:t>
            </w:r>
          </w:p>
        </w:tc>
      </w:tr>
      <w:tr w14:paraId="4EBB9C5B" w14:textId="77777777" w:rsidTr="00C712B7">
        <w:tblPrEx>
          <w:tblW w:w="5390" w:type="pct"/>
          <w:tblInd w:w="-365" w:type="dxa"/>
          <w:tblLayout w:type="fixed"/>
          <w:tblLook w:val="01E0"/>
        </w:tblPrEx>
        <w:trPr>
          <w:cantSplit/>
          <w:trHeight w:val="485"/>
        </w:trPr>
        <w:tc>
          <w:tcPr>
            <w:tcW w:w="847" w:type="pct"/>
            <w:tcBorders>
              <w:top w:val="single" w:sz="4" w:space="0" w:color="auto"/>
              <w:left w:val="single" w:sz="4" w:space="0" w:color="auto"/>
              <w:bottom w:val="single" w:sz="4" w:space="0" w:color="auto"/>
              <w:right w:val="single" w:sz="4" w:space="0" w:color="auto"/>
            </w:tcBorders>
            <w:hideMark/>
          </w:tcPr>
          <w:p w:rsidR="001118E4" w:rsidRPr="00C712B7" w:rsidP="008212DA" w14:paraId="7A30BAA7" w14:textId="45D8A1AF">
            <w:pPr>
              <w:rPr>
                <w:rFonts w:eastAsia="Calibri"/>
                <w:b/>
                <w:sz w:val="24"/>
              </w:rPr>
            </w:pPr>
            <w:r w:rsidRPr="00C712B7">
              <w:rPr>
                <w:rFonts w:eastAsia="Calibri"/>
                <w:b/>
                <w:sz w:val="24"/>
              </w:rPr>
              <w:t>FERC-725</w:t>
            </w:r>
            <w:r w:rsidRPr="00C712B7" w:rsidR="006C3221">
              <w:rPr>
                <w:rFonts w:eastAsia="Calibri"/>
                <w:b/>
                <w:sz w:val="24"/>
              </w:rPr>
              <w:t>Z</w:t>
            </w:r>
            <w:r w:rsidRPr="00C712B7">
              <w:rPr>
                <w:rFonts w:eastAsia="Calibri"/>
                <w:b/>
                <w:sz w:val="24"/>
              </w:rPr>
              <w:t xml:space="preserve"> for IRO-010-5 </w:t>
            </w:r>
            <w:r w:rsidRPr="00C712B7">
              <w:rPr>
                <w:rFonts w:eastAsia="Calibri"/>
                <w:b/>
                <w:sz w:val="24"/>
              </w:rPr>
              <w:br/>
              <w:t xml:space="preserve">Total </w:t>
            </w:r>
            <w:r w:rsidR="00B829ED">
              <w:rPr>
                <w:rFonts w:eastAsia="Calibri"/>
                <w:b/>
                <w:bCs/>
                <w:sz w:val="24"/>
              </w:rPr>
              <w:t>Years 1&amp;2</w:t>
            </w:r>
          </w:p>
        </w:tc>
        <w:tc>
          <w:tcPr>
            <w:tcW w:w="3000" w:type="pct"/>
            <w:gridSpan w:val="4"/>
            <w:tcBorders>
              <w:top w:val="single" w:sz="4" w:space="0" w:color="auto"/>
              <w:left w:val="single" w:sz="4" w:space="0" w:color="auto"/>
              <w:bottom w:val="single" w:sz="4" w:space="0" w:color="auto"/>
              <w:right w:val="single" w:sz="4" w:space="0" w:color="auto"/>
            </w:tcBorders>
            <w:shd w:val="clear" w:color="auto" w:fill="D9D9D9"/>
          </w:tcPr>
          <w:p w:rsidR="001118E4" w:rsidRPr="00C712B7" w:rsidP="008212DA" w14:paraId="3A75A383" w14:textId="77777777">
            <w:pPr>
              <w:jc w:val="right"/>
              <w:rPr>
                <w:rFonts w:eastAsia="Calibri"/>
                <w:sz w:val="24"/>
              </w:rPr>
            </w:pPr>
          </w:p>
        </w:tc>
        <w:tc>
          <w:tcPr>
            <w:tcW w:w="1153" w:type="pct"/>
            <w:tcBorders>
              <w:top w:val="single" w:sz="4" w:space="0" w:color="auto"/>
              <w:left w:val="single" w:sz="4" w:space="0" w:color="auto"/>
              <w:bottom w:val="single" w:sz="4" w:space="0" w:color="auto"/>
              <w:right w:val="single" w:sz="4" w:space="0" w:color="auto"/>
            </w:tcBorders>
            <w:hideMark/>
          </w:tcPr>
          <w:p w:rsidR="001118E4" w:rsidRPr="00C712B7" w:rsidP="008212DA" w14:paraId="4E0EA265" w14:textId="3FBFCDDB">
            <w:pPr>
              <w:jc w:val="right"/>
              <w:rPr>
                <w:rFonts w:eastAsia="Calibri"/>
                <w:b/>
                <w:sz w:val="24"/>
              </w:rPr>
            </w:pPr>
            <w:r>
              <w:rPr>
                <w:rFonts w:eastAsia="Calibri"/>
                <w:b/>
                <w:sz w:val="24"/>
              </w:rPr>
              <w:t>25,392</w:t>
            </w:r>
            <w:r w:rsidRPr="00C712B7">
              <w:rPr>
                <w:rFonts w:eastAsia="Calibri"/>
                <w:b/>
                <w:sz w:val="24"/>
              </w:rPr>
              <w:t xml:space="preserve"> hrs.;</w:t>
            </w:r>
          </w:p>
          <w:p w:rsidR="001118E4" w:rsidRPr="00C712B7" w:rsidP="008212DA" w14:paraId="2278D350" w14:textId="5C132462">
            <w:pPr>
              <w:jc w:val="right"/>
              <w:rPr>
                <w:rFonts w:eastAsia="Calibri"/>
                <w:b/>
                <w:sz w:val="24"/>
              </w:rPr>
            </w:pPr>
            <w:r w:rsidRPr="00C712B7">
              <w:rPr>
                <w:rFonts w:eastAsia="Calibri"/>
                <w:b/>
                <w:sz w:val="24"/>
              </w:rPr>
              <w:t>$</w:t>
            </w:r>
            <w:r w:rsidR="002B5F10">
              <w:rPr>
                <w:rFonts w:eastAsia="Calibri"/>
                <w:b/>
                <w:sz w:val="24"/>
              </w:rPr>
              <w:t>1,723,</w:t>
            </w:r>
            <w:r w:rsidR="004B4F2D">
              <w:rPr>
                <w:rFonts w:eastAsia="Calibri"/>
                <w:b/>
                <w:sz w:val="24"/>
              </w:rPr>
              <w:t>355.04</w:t>
            </w:r>
          </w:p>
        </w:tc>
      </w:tr>
      <w:tr w14:paraId="624D1E43" w14:textId="77777777" w:rsidTr="00C712B7">
        <w:tblPrEx>
          <w:tblW w:w="5390" w:type="pct"/>
          <w:tblInd w:w="-365" w:type="dxa"/>
          <w:tblLayout w:type="fixed"/>
          <w:tblLook w:val="01E0"/>
        </w:tblPrEx>
        <w:trPr>
          <w:cantSplit/>
          <w:trHeight w:val="485"/>
        </w:trPr>
        <w:tc>
          <w:tcPr>
            <w:tcW w:w="847" w:type="pct"/>
            <w:tcBorders>
              <w:top w:val="single" w:sz="4" w:space="0" w:color="auto"/>
              <w:left w:val="single" w:sz="4" w:space="0" w:color="auto"/>
              <w:bottom w:val="single" w:sz="4" w:space="0" w:color="auto"/>
              <w:right w:val="single" w:sz="4" w:space="0" w:color="auto"/>
            </w:tcBorders>
          </w:tcPr>
          <w:p w:rsidR="0097630F" w:rsidRPr="0097630F" w:rsidP="008212DA" w14:paraId="2CD00186" w14:textId="7D3EAC9D">
            <w:pPr>
              <w:rPr>
                <w:rFonts w:eastAsia="Calibri"/>
                <w:b/>
                <w:sz w:val="24"/>
              </w:rPr>
            </w:pPr>
            <w:r w:rsidRPr="00B20F56">
              <w:rPr>
                <w:rFonts w:eastAsia="Calibri"/>
                <w:b/>
                <w:sz w:val="24"/>
              </w:rPr>
              <w:t xml:space="preserve">FERC-725Z for IRO-010-5 </w:t>
            </w:r>
            <w:r w:rsidRPr="00B20F56">
              <w:rPr>
                <w:rFonts w:eastAsia="Calibri"/>
                <w:b/>
                <w:sz w:val="24"/>
              </w:rPr>
              <w:br/>
              <w:t xml:space="preserve">Total </w:t>
            </w:r>
            <w:r>
              <w:rPr>
                <w:rFonts w:eastAsia="Calibri"/>
                <w:b/>
                <w:bCs/>
                <w:sz w:val="24"/>
              </w:rPr>
              <w:t>Year 3 and beyond</w:t>
            </w:r>
          </w:p>
        </w:tc>
        <w:tc>
          <w:tcPr>
            <w:tcW w:w="3000" w:type="pct"/>
            <w:gridSpan w:val="4"/>
            <w:tcBorders>
              <w:top w:val="single" w:sz="4" w:space="0" w:color="auto"/>
              <w:left w:val="single" w:sz="4" w:space="0" w:color="auto"/>
              <w:bottom w:val="single" w:sz="4" w:space="0" w:color="auto"/>
              <w:right w:val="single" w:sz="4" w:space="0" w:color="auto"/>
            </w:tcBorders>
            <w:shd w:val="clear" w:color="auto" w:fill="D9D9D9"/>
          </w:tcPr>
          <w:p w:rsidR="0097630F" w:rsidRPr="0097630F" w:rsidP="008212DA" w14:paraId="42D74560" w14:textId="77777777">
            <w:pPr>
              <w:jc w:val="right"/>
              <w:rPr>
                <w:rFonts w:eastAsia="Calibri"/>
                <w:sz w:val="24"/>
              </w:rPr>
            </w:pPr>
          </w:p>
        </w:tc>
        <w:tc>
          <w:tcPr>
            <w:tcW w:w="1153" w:type="pct"/>
            <w:tcBorders>
              <w:top w:val="single" w:sz="4" w:space="0" w:color="auto"/>
              <w:left w:val="single" w:sz="4" w:space="0" w:color="auto"/>
              <w:bottom w:val="single" w:sz="4" w:space="0" w:color="auto"/>
              <w:right w:val="single" w:sz="4" w:space="0" w:color="auto"/>
            </w:tcBorders>
          </w:tcPr>
          <w:p w:rsidR="0097630F" w:rsidRPr="0097630F" w:rsidP="004B4F2D" w14:paraId="578D4998" w14:textId="135CA26B">
            <w:pPr>
              <w:jc w:val="right"/>
              <w:rPr>
                <w:rFonts w:eastAsia="Calibri"/>
                <w:b/>
                <w:sz w:val="24"/>
              </w:rPr>
            </w:pPr>
            <w:r>
              <w:rPr>
                <w:rFonts w:eastAsia="Calibri"/>
                <w:b/>
                <w:sz w:val="24"/>
              </w:rPr>
              <w:t>No Change to existing burden</w:t>
            </w:r>
          </w:p>
        </w:tc>
      </w:tr>
    </w:tbl>
    <w:p w:rsidR="00C71475" w:rsidRPr="008212DA" w:rsidP="00177704" w14:paraId="0CDAE90A" w14:textId="6488C0E9"/>
    <w:p w:rsidR="008212DA" w:rsidRPr="008212DA" w:rsidP="0042688C" w14:paraId="469CFFE4" w14:textId="77777777"/>
    <w:p w:rsidR="008212DA" w:rsidRPr="006E6DC1" w:rsidP="008212DA" w14:paraId="1011A619" w14:textId="6C20D3D2">
      <w:pPr>
        <w:tabs>
          <w:tab w:val="left" w:pos="7725"/>
        </w:tabs>
        <w:spacing w:line="480" w:lineRule="auto"/>
        <w:rPr>
          <w:szCs w:val="26"/>
        </w:rPr>
      </w:pPr>
      <w:r w:rsidRPr="006E6DC1">
        <w:rPr>
          <w:szCs w:val="26"/>
        </w:rPr>
        <w:t>The total annual estimated burden and cost for the FERC-725</w:t>
      </w:r>
      <w:r w:rsidRPr="006E6DC1" w:rsidR="006C60E0">
        <w:rPr>
          <w:szCs w:val="26"/>
        </w:rPr>
        <w:t>A</w:t>
      </w:r>
      <w:r w:rsidR="004B5440">
        <w:rPr>
          <w:szCs w:val="26"/>
        </w:rPr>
        <w:t>(1D)</w:t>
      </w:r>
      <w:r w:rsidRPr="006E6DC1">
        <w:rPr>
          <w:szCs w:val="26"/>
        </w:rPr>
        <w:t xml:space="preserve"> information collection is </w:t>
      </w:r>
      <w:r w:rsidRPr="006E6DC1" w:rsidR="006E6DC1">
        <w:rPr>
          <w:rFonts w:eastAsia="Calibri"/>
          <w:szCs w:val="26"/>
        </w:rPr>
        <w:t>43,440</w:t>
      </w:r>
      <w:r w:rsidRPr="006E6DC1">
        <w:rPr>
          <w:szCs w:val="26"/>
        </w:rPr>
        <w:t xml:space="preserve"> hours and </w:t>
      </w:r>
      <w:r w:rsidRPr="006E6DC1" w:rsidR="006E6DC1">
        <w:rPr>
          <w:rFonts w:eastAsia="Calibri"/>
          <w:szCs w:val="26"/>
        </w:rPr>
        <w:t>$</w:t>
      </w:r>
      <w:r w:rsidR="00C712B7">
        <w:rPr>
          <w:rFonts w:eastAsia="Calibri"/>
          <w:szCs w:val="26"/>
        </w:rPr>
        <w:t>2</w:t>
      </w:r>
      <w:r w:rsidR="00480DDB">
        <w:rPr>
          <w:rFonts w:eastAsia="Calibri"/>
          <w:szCs w:val="26"/>
        </w:rPr>
        <w:t>,948,272</w:t>
      </w:r>
      <w:r w:rsidR="00C712B7">
        <w:rPr>
          <w:rFonts w:eastAsia="Calibri"/>
          <w:szCs w:val="26"/>
        </w:rPr>
        <w:t>.</w:t>
      </w:r>
      <w:r w:rsidR="00480DDB">
        <w:rPr>
          <w:rFonts w:eastAsia="Calibri"/>
          <w:szCs w:val="26"/>
        </w:rPr>
        <w:t>8</w:t>
      </w:r>
      <w:r w:rsidR="00AF1DC6">
        <w:rPr>
          <w:rFonts w:eastAsia="Calibri"/>
          <w:szCs w:val="26"/>
        </w:rPr>
        <w:t>0</w:t>
      </w:r>
      <w:r w:rsidR="003A5DD4">
        <w:rPr>
          <w:rFonts w:eastAsia="Calibri"/>
          <w:szCs w:val="26"/>
        </w:rPr>
        <w:t xml:space="preserve">. </w:t>
      </w:r>
      <w:r w:rsidRPr="003A5DD4" w:rsidR="003A5DD4">
        <w:rPr>
          <w:rFonts w:eastAsia="Calibri"/>
          <w:szCs w:val="26"/>
        </w:rPr>
        <w:t xml:space="preserve"> FERC 725Z </w:t>
      </w:r>
      <w:r w:rsidR="003A5DD4">
        <w:rPr>
          <w:rFonts w:eastAsia="Calibri"/>
          <w:szCs w:val="26"/>
        </w:rPr>
        <w:t xml:space="preserve">is </w:t>
      </w:r>
      <w:r w:rsidRPr="006E6DC1" w:rsidR="006E6DC1">
        <w:rPr>
          <w:rFonts w:eastAsia="Calibri"/>
          <w:szCs w:val="26"/>
        </w:rPr>
        <w:t xml:space="preserve"> </w:t>
      </w:r>
      <w:r w:rsidR="00393420">
        <w:rPr>
          <w:rFonts w:eastAsia="Calibri"/>
          <w:szCs w:val="26"/>
        </w:rPr>
        <w:t>25,392</w:t>
      </w:r>
      <w:r w:rsidRPr="006E6DC1" w:rsidR="006E6DC1">
        <w:rPr>
          <w:rFonts w:eastAsia="Calibri"/>
          <w:szCs w:val="26"/>
        </w:rPr>
        <w:t xml:space="preserve"> hours and $1,7</w:t>
      </w:r>
      <w:r w:rsidR="00C712B7">
        <w:rPr>
          <w:rFonts w:eastAsia="Calibri"/>
          <w:szCs w:val="26"/>
        </w:rPr>
        <w:t>23</w:t>
      </w:r>
      <w:r w:rsidRPr="006E6DC1" w:rsidR="006E6DC1">
        <w:rPr>
          <w:rFonts w:eastAsia="Calibri"/>
          <w:szCs w:val="26"/>
        </w:rPr>
        <w:t>,</w:t>
      </w:r>
      <w:r w:rsidR="004B4F2D">
        <w:rPr>
          <w:rFonts w:eastAsia="Calibri"/>
          <w:szCs w:val="26"/>
        </w:rPr>
        <w:t>355.04</w:t>
      </w:r>
      <w:r w:rsidRPr="006E6DC1">
        <w:rPr>
          <w:szCs w:val="26"/>
        </w:rPr>
        <w:t xml:space="preserve"> respectively.</w:t>
      </w:r>
    </w:p>
    <w:p w:rsidR="00881405" w:rsidP="00AE1F12" w14:paraId="40735770" w14:textId="19BFF2D0">
      <w:pPr>
        <w:spacing w:line="480" w:lineRule="auto"/>
      </w:pPr>
      <w:r>
        <w:rPr>
          <w:i/>
        </w:rPr>
        <w:t xml:space="preserve">Comments:  </w:t>
      </w:r>
      <w:r>
        <w:t>Comments are invited on:  (1) whether the collection</w:t>
      </w:r>
      <w:r w:rsidR="00AF1DC6">
        <w:t>s</w:t>
      </w:r>
      <w:r>
        <w:t xml:space="preserve"> of information </w:t>
      </w:r>
      <w:r w:rsidR="00AF1DC6">
        <w:t xml:space="preserve">are </w:t>
      </w:r>
      <w:r>
        <w:t>necessary for the proper performance of the functions of the Commission, including whether the information will have practical utility; (2) the accuracy of the agency’s estimate of the burden</w:t>
      </w:r>
      <w:r w:rsidR="00232B11">
        <w:t>s</w:t>
      </w:r>
      <w:r>
        <w:t xml:space="preserve"> and cost</w:t>
      </w:r>
      <w:r w:rsidR="00232B11">
        <w:t>s</w:t>
      </w:r>
      <w:r>
        <w:t xml:space="preserve"> of the collection</w:t>
      </w:r>
      <w:r w:rsidR="00232B11">
        <w:t>s</w:t>
      </w:r>
      <w:r>
        <w:t xml:space="preserve"> of information, including the validity of the methodology and assumptions used; (3) ways to enhance the quality, utility and clarity of the information collection</w:t>
      </w:r>
      <w:r w:rsidR="00232B11">
        <w:t>s</w:t>
      </w:r>
      <w:r>
        <w:t xml:space="preserve">; and (4) ways to minimize the burden of the </w:t>
      </w:r>
    </w:p>
    <w:p w:rsidR="00AE1F12" w:rsidP="00AE1F12" w14:paraId="23EE29AC" w14:textId="5FB47CCB">
      <w:pPr>
        <w:spacing w:line="480" w:lineRule="auto"/>
      </w:pPr>
      <w:r>
        <w:t>collection</w:t>
      </w:r>
      <w:r w:rsidR="00232B11">
        <w:t>s</w:t>
      </w:r>
      <w:r>
        <w:t xml:space="preserve">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E1F12" w14:paraId="4A2BE181" w14:textId="77777777">
      <w:pPr>
        <w:ind w:firstLine="2174"/>
        <w:jc w:val="center"/>
      </w:pPr>
      <w:r w:rsidRPr="00AB4DBF">
        <w:t>Kimberly D. Bose,</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1174F">
      <w:headerReference w:type="default" r:id="rId13"/>
      <w:pgSz w:w="12240" w:h="15840"/>
      <w:pgMar w:top="1440" w:right="1440" w:bottom="153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1A58" w:rsidP="00B01B16" w14:paraId="4BBAA2A0" w14:textId="77777777">
      <w:r>
        <w:separator/>
      </w:r>
    </w:p>
  </w:footnote>
  <w:footnote w:type="continuationSeparator" w:id="1">
    <w:p w:rsidR="00861A58" w:rsidP="00B01B16" w14:paraId="0AABDE0E" w14:textId="77777777">
      <w:r>
        <w:continuationSeparator/>
      </w:r>
    </w:p>
  </w:footnote>
  <w:footnote w:type="continuationNotice" w:id="2">
    <w:p w:rsidR="00861A58" w14:paraId="078DB0E5" w14:textId="77777777"/>
  </w:footnote>
  <w:footnote w:id="3">
    <w:p w:rsidR="00F82EE1" w:rsidRPr="000317C5" w:rsidP="000317C5" w14:paraId="20E2538E" w14:textId="77777777">
      <w:pPr>
        <w:pStyle w:val="FootnoteText"/>
        <w:ind w:firstLine="720"/>
        <w:rPr>
          <w:sz w:val="26"/>
          <w:szCs w:val="26"/>
        </w:rPr>
      </w:pPr>
      <w:r w:rsidRPr="000317C5">
        <w:rPr>
          <w:rStyle w:val="FootnoteReference"/>
        </w:rPr>
        <w:footnoteRef/>
      </w:r>
      <w:r w:rsidRPr="000317C5">
        <w:rPr>
          <w:b/>
          <w:sz w:val="26"/>
          <w:szCs w:val="26"/>
        </w:rPr>
        <w:t xml:space="preserve"> </w:t>
      </w:r>
      <w:r w:rsidRPr="000317C5">
        <w:rPr>
          <w:sz w:val="26"/>
          <w:szCs w:val="26"/>
        </w:rPr>
        <w:t xml:space="preserve">In subsequent portions of this notice, the following acronyms will be used: </w:t>
      </w:r>
    </w:p>
    <w:p w:rsidR="00F82EE1" w:rsidRPr="000317C5" w:rsidP="008212DA" w14:paraId="25AC4548" w14:textId="4BDCAFB4">
      <w:pPr>
        <w:pStyle w:val="FootnoteText"/>
        <w:rPr>
          <w:sz w:val="26"/>
          <w:szCs w:val="26"/>
        </w:rPr>
      </w:pPr>
      <w:bookmarkStart w:id="4" w:name="_Hlk67668498"/>
      <w:r w:rsidRPr="000317C5">
        <w:rPr>
          <w:sz w:val="26"/>
          <w:szCs w:val="26"/>
        </w:rPr>
        <w:t xml:space="preserve">DP </w:t>
      </w:r>
      <w:r w:rsidRPr="000317C5">
        <w:rPr>
          <w:sz w:val="26"/>
          <w:szCs w:val="26"/>
        </w:rPr>
        <w:t xml:space="preserve">= </w:t>
      </w:r>
      <w:r w:rsidRPr="000317C5">
        <w:rPr>
          <w:sz w:val="26"/>
          <w:szCs w:val="26"/>
        </w:rPr>
        <w:t>Distribution Provider</w:t>
      </w:r>
      <w:r w:rsidRPr="000317C5">
        <w:rPr>
          <w:sz w:val="26"/>
          <w:szCs w:val="26"/>
        </w:rPr>
        <w:t>, BA = Balancing Authority, R</w:t>
      </w:r>
      <w:r w:rsidRPr="000317C5" w:rsidR="00F1410A">
        <w:rPr>
          <w:sz w:val="26"/>
          <w:szCs w:val="26"/>
        </w:rPr>
        <w:t>C</w:t>
      </w:r>
      <w:r w:rsidRPr="000317C5">
        <w:rPr>
          <w:sz w:val="26"/>
          <w:szCs w:val="26"/>
        </w:rPr>
        <w:t xml:space="preserve"> = </w:t>
      </w:r>
      <w:r w:rsidRPr="000317C5" w:rsidR="00F1410A">
        <w:rPr>
          <w:sz w:val="26"/>
          <w:szCs w:val="26"/>
        </w:rPr>
        <w:t>Reliability Coordinator</w:t>
      </w:r>
      <w:r w:rsidRPr="000317C5">
        <w:rPr>
          <w:sz w:val="26"/>
          <w:szCs w:val="26"/>
        </w:rPr>
        <w:t xml:space="preserve">, </w:t>
      </w:r>
      <w:r w:rsidRPr="000317C5" w:rsidR="00554E17">
        <w:rPr>
          <w:sz w:val="26"/>
          <w:szCs w:val="26"/>
        </w:rPr>
        <w:t xml:space="preserve">TOP </w:t>
      </w:r>
      <w:r w:rsidRPr="000317C5">
        <w:rPr>
          <w:sz w:val="26"/>
          <w:szCs w:val="26"/>
        </w:rPr>
        <w:t xml:space="preserve">= Transmission </w:t>
      </w:r>
      <w:r w:rsidRPr="000317C5" w:rsidR="00554E17">
        <w:rPr>
          <w:sz w:val="26"/>
          <w:szCs w:val="26"/>
        </w:rPr>
        <w:t>Owner</w:t>
      </w:r>
      <w:r w:rsidRPr="000317C5">
        <w:rPr>
          <w:sz w:val="26"/>
          <w:szCs w:val="26"/>
        </w:rPr>
        <w:t xml:space="preserve">, </w:t>
      </w:r>
      <w:r w:rsidRPr="000317C5" w:rsidR="00DC0539">
        <w:rPr>
          <w:sz w:val="26"/>
          <w:szCs w:val="26"/>
        </w:rPr>
        <w:t xml:space="preserve">GO = </w:t>
      </w:r>
      <w:r w:rsidRPr="000317C5" w:rsidR="007B2DED">
        <w:rPr>
          <w:sz w:val="26"/>
          <w:szCs w:val="26"/>
        </w:rPr>
        <w:t xml:space="preserve">Generator Owner, </w:t>
      </w:r>
      <w:r w:rsidRPr="000317C5" w:rsidR="00DC0539">
        <w:rPr>
          <w:sz w:val="26"/>
          <w:szCs w:val="26"/>
        </w:rPr>
        <w:t xml:space="preserve">GOP = </w:t>
      </w:r>
      <w:r w:rsidRPr="000317C5" w:rsidR="007B2DED">
        <w:rPr>
          <w:sz w:val="26"/>
          <w:szCs w:val="26"/>
        </w:rPr>
        <w:t xml:space="preserve">Generator Operator, </w:t>
      </w:r>
      <w:r w:rsidRPr="000317C5">
        <w:rPr>
          <w:sz w:val="26"/>
          <w:szCs w:val="26"/>
        </w:rPr>
        <w:t>TOP = Transmission Operator.</w:t>
      </w:r>
      <w:bookmarkEnd w:id="4"/>
    </w:p>
  </w:footnote>
  <w:footnote w:id="4">
    <w:p w:rsidR="00F82EE1" w:rsidRPr="000317C5" w:rsidP="000317C5" w14:paraId="5CEA94B3" w14:textId="77777777">
      <w:pPr>
        <w:pStyle w:val="FootnoteText"/>
        <w:ind w:firstLine="720"/>
        <w:rPr>
          <w:sz w:val="26"/>
          <w:szCs w:val="26"/>
        </w:rPr>
      </w:pPr>
      <w:r w:rsidRPr="000317C5">
        <w:rPr>
          <w:rStyle w:val="FootnoteReference"/>
        </w:rPr>
        <w:footnoteRef/>
      </w:r>
      <w:r w:rsidRPr="000317C5">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5">
    <w:p w:rsidR="00F82EE1" w:rsidRPr="000317C5" w:rsidP="000317C5" w14:paraId="1914B15A" w14:textId="7D9D09A9">
      <w:pPr>
        <w:pStyle w:val="FootnoteText"/>
        <w:ind w:firstLine="720"/>
        <w:rPr>
          <w:color w:val="0000FF"/>
          <w:sz w:val="26"/>
          <w:szCs w:val="26"/>
          <w:u w:val="single"/>
        </w:rPr>
      </w:pPr>
      <w:r w:rsidRPr="000317C5">
        <w:rPr>
          <w:rStyle w:val="FootnoteReference"/>
          <w:shd w:val="clear" w:color="auto" w:fill="D9D9D9" w:themeFill="background1" w:themeFillShade="D9"/>
        </w:rPr>
        <w:footnoteRef/>
      </w:r>
      <w:hyperlink r:id="rId1" w:history="1">
        <w:r w:rsidRPr="000317C5" w:rsidR="001F288D">
          <w:rPr>
            <w:rStyle w:val="Hyperlink"/>
            <w:sz w:val="26"/>
            <w:szCs w:val="26"/>
            <w:shd w:val="clear" w:color="auto" w:fill="D9D9D9" w:themeFill="background1" w:themeFillShade="D9"/>
          </w:rPr>
          <w:t>htt</w:t>
        </w:r>
        <w:r w:rsidRPr="000317C5" w:rsidR="001F288D">
          <w:rPr>
            <w:rStyle w:val="Hyperlink"/>
            <w:sz w:val="26"/>
            <w:szCs w:val="26"/>
          </w:rPr>
          <w:t>ps://www.nerc.com/FilingsOrders/us/NERC%20Filings%20to%20FERC%20DL/Petition%20for%20Approval%20of%20IRO-010%20and%20TOP-003_final.pdf</w:t>
        </w:r>
      </w:hyperlink>
      <w:r w:rsidRPr="000317C5" w:rsidR="001F288D">
        <w:rPr>
          <w:sz w:val="26"/>
          <w:szCs w:val="26"/>
        </w:rPr>
        <w:t xml:space="preserve"> </w:t>
      </w:r>
    </w:p>
  </w:footnote>
  <w:footnote w:id="6">
    <w:p w:rsidR="00D97C6A" w:rsidRPr="000317C5" w:rsidP="000317C5" w14:paraId="54ECFE74" w14:textId="275253AA">
      <w:pPr>
        <w:pStyle w:val="FootnoteText"/>
        <w:ind w:firstLine="720"/>
        <w:rPr>
          <w:sz w:val="26"/>
          <w:szCs w:val="26"/>
        </w:rPr>
      </w:pPr>
      <w:r w:rsidRPr="000317C5">
        <w:rPr>
          <w:rStyle w:val="FootnoteReference"/>
        </w:rPr>
        <w:footnoteRef/>
      </w:r>
      <w:r w:rsidRPr="000317C5">
        <w:rPr>
          <w:sz w:val="26"/>
          <w:szCs w:val="26"/>
        </w:rPr>
        <w:t xml:space="preserve"> Values represent unique US entities as based on the NERC compliance registry information as of September 22, 2023.</w:t>
      </w:r>
    </w:p>
  </w:footnote>
  <w:footnote w:id="7">
    <w:p w:rsidR="00986C03" w:rsidRPr="000317C5" w:rsidP="000317C5" w14:paraId="5AD2A91A" w14:textId="4CF7C5A3">
      <w:pPr>
        <w:pStyle w:val="FootnoteText"/>
        <w:ind w:firstLine="720"/>
        <w:rPr>
          <w:sz w:val="26"/>
          <w:szCs w:val="26"/>
        </w:rPr>
      </w:pPr>
      <w:r w:rsidRPr="000317C5">
        <w:rPr>
          <w:rStyle w:val="FootnoteReference"/>
        </w:rPr>
        <w:footnoteRef/>
      </w:r>
      <w:r w:rsidRPr="000317C5">
        <w:rPr>
          <w:sz w:val="26"/>
          <w:szCs w:val="26"/>
        </w:rPr>
        <w:t xml:space="preserve"> The estimated hourly cost (salary plus benefits) is a combination based on the Bureau of Labor Statistics (BLS), as of 202</w:t>
      </w:r>
      <w:r w:rsidRPr="000317C5" w:rsidR="00C712B7">
        <w:rPr>
          <w:sz w:val="26"/>
          <w:szCs w:val="26"/>
        </w:rPr>
        <w:t>3</w:t>
      </w:r>
      <w:r w:rsidRPr="000317C5">
        <w:rPr>
          <w:sz w:val="26"/>
          <w:szCs w:val="26"/>
        </w:rPr>
        <w:t>, for 75% of the average of an Electrical Engineer (17-2071) $77.29/</w:t>
      </w:r>
      <w:r w:rsidRPr="000317C5" w:rsidR="005E1D24">
        <w:rPr>
          <w:sz w:val="26"/>
          <w:szCs w:val="26"/>
        </w:rPr>
        <w:t>hr.</w:t>
      </w:r>
      <w:r w:rsidRPr="000317C5">
        <w:rPr>
          <w:sz w:val="26"/>
          <w:szCs w:val="26"/>
        </w:rPr>
        <w:t>,  7</w:t>
      </w:r>
      <w:r w:rsidRPr="000317C5" w:rsidR="0048253E">
        <w:rPr>
          <w:sz w:val="26"/>
          <w:szCs w:val="26"/>
        </w:rPr>
        <w:t>7</w:t>
      </w:r>
      <w:r w:rsidRPr="000317C5">
        <w:rPr>
          <w:sz w:val="26"/>
          <w:szCs w:val="26"/>
        </w:rPr>
        <w:t>.29 x .75 = 57.9</w:t>
      </w:r>
      <w:r w:rsidRPr="000317C5" w:rsidR="0048253E">
        <w:rPr>
          <w:sz w:val="26"/>
          <w:szCs w:val="26"/>
        </w:rPr>
        <w:t>675</w:t>
      </w:r>
      <w:r w:rsidRPr="000317C5">
        <w:rPr>
          <w:sz w:val="26"/>
          <w:szCs w:val="26"/>
        </w:rPr>
        <w:t xml:space="preserve"> ($57.9</w:t>
      </w:r>
      <w:r w:rsidRPr="000317C5" w:rsidR="0048253E">
        <w:rPr>
          <w:sz w:val="26"/>
          <w:szCs w:val="26"/>
        </w:rPr>
        <w:t>7</w:t>
      </w:r>
      <w:r w:rsidRPr="000317C5">
        <w:rPr>
          <w:sz w:val="26"/>
          <w:szCs w:val="26"/>
        </w:rPr>
        <w:t>-rounded) ($57.9</w:t>
      </w:r>
      <w:r w:rsidRPr="000317C5" w:rsidR="00480DDB">
        <w:rPr>
          <w:sz w:val="26"/>
          <w:szCs w:val="26"/>
        </w:rPr>
        <w:t>7</w:t>
      </w:r>
      <w:r w:rsidRPr="000317C5">
        <w:rPr>
          <w:sz w:val="26"/>
          <w:szCs w:val="26"/>
        </w:rPr>
        <w:t>/hour) and 25% of an Information and Record Clerk (43-4199) $39.58/hr, $39.58 x .25% = 9.895 ($9.90 rounded) ($9.90/hour), for a total ($57.9</w:t>
      </w:r>
      <w:r w:rsidRPr="000317C5" w:rsidR="0048253E">
        <w:rPr>
          <w:sz w:val="26"/>
          <w:szCs w:val="26"/>
        </w:rPr>
        <w:t>7</w:t>
      </w:r>
      <w:r w:rsidRPr="000317C5">
        <w:rPr>
          <w:sz w:val="26"/>
          <w:szCs w:val="26"/>
        </w:rPr>
        <w:t>+$9.90 = $67.8</w:t>
      </w:r>
      <w:r w:rsidRPr="000317C5" w:rsidR="0048253E">
        <w:rPr>
          <w:sz w:val="26"/>
          <w:szCs w:val="26"/>
        </w:rPr>
        <w:t>7</w:t>
      </w:r>
      <w:r w:rsidRPr="000317C5">
        <w:rPr>
          <w:sz w:val="26"/>
          <w:szCs w:val="26"/>
        </w:rPr>
        <w:t>/hour)</w:t>
      </w:r>
    </w:p>
  </w:footnote>
  <w:footnote w:id="8">
    <w:p w:rsidR="006E6DC1" w:rsidRPr="000317C5" w:rsidP="000317C5" w14:paraId="665502C5" w14:textId="429FCB7B">
      <w:pPr>
        <w:pStyle w:val="FootnoteText"/>
        <w:ind w:firstLine="720"/>
        <w:rPr>
          <w:sz w:val="26"/>
          <w:szCs w:val="26"/>
        </w:rPr>
      </w:pPr>
      <w:r w:rsidRPr="000317C5">
        <w:rPr>
          <w:rStyle w:val="FootnoteReference"/>
        </w:rPr>
        <w:footnoteRef/>
      </w:r>
      <w:r w:rsidRPr="000317C5">
        <w:rPr>
          <w:sz w:val="26"/>
          <w:szCs w:val="26"/>
        </w:rPr>
        <w:t xml:space="preserve"> Values represent unique US entities as based on the NERC compliance registry information as of September 22, 2023.</w:t>
      </w:r>
    </w:p>
  </w:footnote>
  <w:footnote w:id="9">
    <w:p w:rsidR="00986C03" w:rsidRPr="000317C5" w:rsidP="000317C5" w14:paraId="3A1D2E99" w14:textId="15E68D59">
      <w:pPr>
        <w:pStyle w:val="FootnoteText"/>
        <w:ind w:firstLine="720"/>
        <w:rPr>
          <w:sz w:val="26"/>
          <w:szCs w:val="26"/>
        </w:rPr>
      </w:pPr>
      <w:r w:rsidRPr="000317C5">
        <w:rPr>
          <w:rStyle w:val="FootnoteReference"/>
        </w:rPr>
        <w:footnoteRef/>
      </w:r>
      <w:r w:rsidRPr="000317C5">
        <w:rPr>
          <w:sz w:val="26"/>
          <w:szCs w:val="26"/>
        </w:rPr>
        <w:t xml:space="preserve"> </w:t>
      </w:r>
      <w:bookmarkStart w:id="5" w:name="_Hlk151547586"/>
      <w:r w:rsidRPr="000317C5">
        <w:rPr>
          <w:sz w:val="26"/>
          <w:szCs w:val="26"/>
        </w:rPr>
        <w:t>The estimated hourly cost (salary plus benefits) is a combination based on the Bureau of Labor Statistics (BLS), as of 2022, for 75% of the average of an Electrical Engineer (17-2071) $77.29/</w:t>
      </w:r>
      <w:r w:rsidRPr="000317C5" w:rsidR="005E1D24">
        <w:rPr>
          <w:sz w:val="26"/>
          <w:szCs w:val="26"/>
        </w:rPr>
        <w:t>hr.</w:t>
      </w:r>
      <w:r w:rsidRPr="000317C5">
        <w:rPr>
          <w:sz w:val="26"/>
          <w:szCs w:val="26"/>
        </w:rPr>
        <w:t>,  7</w:t>
      </w:r>
      <w:r w:rsidRPr="000317C5" w:rsidR="0048253E">
        <w:rPr>
          <w:sz w:val="26"/>
          <w:szCs w:val="26"/>
        </w:rPr>
        <w:t>7</w:t>
      </w:r>
      <w:r w:rsidRPr="000317C5" w:rsidR="004B5440">
        <w:rPr>
          <w:sz w:val="26"/>
          <w:szCs w:val="26"/>
        </w:rPr>
        <w:t>.</w:t>
      </w:r>
      <w:r w:rsidRPr="000317C5">
        <w:rPr>
          <w:sz w:val="26"/>
          <w:szCs w:val="26"/>
        </w:rPr>
        <w:t>29 x .75 = 57.9</w:t>
      </w:r>
      <w:r w:rsidRPr="000317C5" w:rsidR="00480DDB">
        <w:rPr>
          <w:sz w:val="26"/>
          <w:szCs w:val="26"/>
        </w:rPr>
        <w:t>675</w:t>
      </w:r>
      <w:r w:rsidRPr="000317C5">
        <w:rPr>
          <w:sz w:val="26"/>
          <w:szCs w:val="26"/>
        </w:rPr>
        <w:t xml:space="preserve"> ($57.9</w:t>
      </w:r>
      <w:r w:rsidRPr="000317C5" w:rsidR="00480DDB">
        <w:rPr>
          <w:sz w:val="26"/>
          <w:szCs w:val="26"/>
        </w:rPr>
        <w:t>7</w:t>
      </w:r>
      <w:r w:rsidRPr="000317C5">
        <w:rPr>
          <w:sz w:val="26"/>
          <w:szCs w:val="26"/>
        </w:rPr>
        <w:t>-rounded) ($57.9</w:t>
      </w:r>
      <w:r w:rsidRPr="000317C5" w:rsidR="00480DDB">
        <w:rPr>
          <w:sz w:val="26"/>
          <w:szCs w:val="26"/>
        </w:rPr>
        <w:t>7</w:t>
      </w:r>
      <w:r w:rsidRPr="000317C5">
        <w:rPr>
          <w:sz w:val="26"/>
          <w:szCs w:val="26"/>
        </w:rPr>
        <w:t>/hour) and 25% of an Information and Record Clerk (43-4199) $39.58/hr, $39.58 x .25% = 9.895 ($9.90 rounded) ($9.90/hour), for a total ($57.9</w:t>
      </w:r>
      <w:r w:rsidRPr="000317C5" w:rsidR="00F542E6">
        <w:rPr>
          <w:sz w:val="26"/>
          <w:szCs w:val="26"/>
        </w:rPr>
        <w:t>7</w:t>
      </w:r>
      <w:r w:rsidRPr="000317C5">
        <w:rPr>
          <w:sz w:val="26"/>
          <w:szCs w:val="26"/>
        </w:rPr>
        <w:t>+$9.90 = $67.8</w:t>
      </w:r>
      <w:r w:rsidRPr="000317C5" w:rsidR="00E646B8">
        <w:rPr>
          <w:sz w:val="26"/>
          <w:szCs w:val="26"/>
        </w:rPr>
        <w:t>7</w:t>
      </w:r>
      <w:r w:rsidRPr="000317C5">
        <w:rPr>
          <w:sz w:val="26"/>
          <w:szCs w:val="26"/>
        </w:rPr>
        <w:t>/hour)</w:t>
      </w:r>
      <w:bookmarkEnd w:id="5"/>
    </w:p>
    <w:p w:rsidR="00551CC8" w:rsidRPr="000317C5" w14:paraId="55C5F685" w14:textId="0C9178A1">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7C5" w14:paraId="25AF7522" w14:textId="5A18C3D7">
    <w:pPr>
      <w:pStyle w:val="Header"/>
    </w:pPr>
    <w:r w:rsidRPr="00980E58">
      <w:t xml:space="preserve">Docket No. </w:t>
    </w:r>
    <w:r>
      <w:t>RD23</w:t>
    </w:r>
    <w:r w:rsidRPr="00974530">
      <w:t>-</w:t>
    </w:r>
    <w:r>
      <w:t>6</w:t>
    </w:r>
    <w:r w:rsidRPr="00974530">
      <w:t>-</w:t>
    </w:r>
    <w:r>
      <w:t>000</w:t>
    </w:r>
    <w:r>
      <w:tab/>
    </w:r>
    <w:sdt>
      <w:sdtPr>
        <w:id w:val="-251839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F82EE1" w:rsidRPr="000317C5" w:rsidP="000317C5" w14:paraId="0E155F8B" w14:textId="74CCA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709652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102953">
    <w:abstractNumId w:val="1"/>
  </w:num>
  <w:num w:numId="3" w16cid:durableId="224608849">
    <w:abstractNumId w:val="4"/>
  </w:num>
  <w:num w:numId="4" w16cid:durableId="2015180201">
    <w:abstractNumId w:val="3"/>
  </w:num>
  <w:num w:numId="5" w16cid:durableId="130682172">
    <w:abstractNumId w:val="6"/>
  </w:num>
  <w:num w:numId="6" w16cid:durableId="310214045">
    <w:abstractNumId w:val="0"/>
  </w:num>
  <w:num w:numId="7" w16cid:durableId="1001853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0DF9"/>
    <w:rsid w:val="000033F2"/>
    <w:rsid w:val="0000758F"/>
    <w:rsid w:val="00014343"/>
    <w:rsid w:val="00026C2D"/>
    <w:rsid w:val="00030F75"/>
    <w:rsid w:val="000317C5"/>
    <w:rsid w:val="00032719"/>
    <w:rsid w:val="000337DA"/>
    <w:rsid w:val="00036FC2"/>
    <w:rsid w:val="00040484"/>
    <w:rsid w:val="000459B6"/>
    <w:rsid w:val="000467D4"/>
    <w:rsid w:val="000472D7"/>
    <w:rsid w:val="00061E7D"/>
    <w:rsid w:val="00062427"/>
    <w:rsid w:val="00063DA3"/>
    <w:rsid w:val="0007151E"/>
    <w:rsid w:val="000725FA"/>
    <w:rsid w:val="00077349"/>
    <w:rsid w:val="0008692A"/>
    <w:rsid w:val="000A0250"/>
    <w:rsid w:val="000A6F37"/>
    <w:rsid w:val="000A7E68"/>
    <w:rsid w:val="000B06C8"/>
    <w:rsid w:val="000B2E67"/>
    <w:rsid w:val="000B5C78"/>
    <w:rsid w:val="000C0D68"/>
    <w:rsid w:val="000C2986"/>
    <w:rsid w:val="000D18DE"/>
    <w:rsid w:val="000D1FAB"/>
    <w:rsid w:val="000D318C"/>
    <w:rsid w:val="000E2568"/>
    <w:rsid w:val="000E287F"/>
    <w:rsid w:val="000F58A4"/>
    <w:rsid w:val="000F606E"/>
    <w:rsid w:val="0010330A"/>
    <w:rsid w:val="001118E4"/>
    <w:rsid w:val="00116326"/>
    <w:rsid w:val="00125991"/>
    <w:rsid w:val="00130B6F"/>
    <w:rsid w:val="0013788B"/>
    <w:rsid w:val="00143887"/>
    <w:rsid w:val="00146F5F"/>
    <w:rsid w:val="0015445B"/>
    <w:rsid w:val="00156BBB"/>
    <w:rsid w:val="001600DF"/>
    <w:rsid w:val="00164215"/>
    <w:rsid w:val="00165EF4"/>
    <w:rsid w:val="00170D65"/>
    <w:rsid w:val="00171725"/>
    <w:rsid w:val="00172D4F"/>
    <w:rsid w:val="0017684C"/>
    <w:rsid w:val="00177704"/>
    <w:rsid w:val="00180AFE"/>
    <w:rsid w:val="00181BF7"/>
    <w:rsid w:val="00183848"/>
    <w:rsid w:val="00184A26"/>
    <w:rsid w:val="00184B43"/>
    <w:rsid w:val="00191BF8"/>
    <w:rsid w:val="0019402A"/>
    <w:rsid w:val="00194304"/>
    <w:rsid w:val="00197435"/>
    <w:rsid w:val="0019795F"/>
    <w:rsid w:val="001A06D0"/>
    <w:rsid w:val="001A1792"/>
    <w:rsid w:val="001A2F2A"/>
    <w:rsid w:val="001A4C93"/>
    <w:rsid w:val="001A6645"/>
    <w:rsid w:val="001A6AD6"/>
    <w:rsid w:val="001A7AF2"/>
    <w:rsid w:val="001B30E6"/>
    <w:rsid w:val="001B78B8"/>
    <w:rsid w:val="001C2D11"/>
    <w:rsid w:val="001C46D5"/>
    <w:rsid w:val="001C7064"/>
    <w:rsid w:val="001C7D79"/>
    <w:rsid w:val="001D63D6"/>
    <w:rsid w:val="001E63BA"/>
    <w:rsid w:val="001F1CDF"/>
    <w:rsid w:val="001F288D"/>
    <w:rsid w:val="00202E41"/>
    <w:rsid w:val="0020410D"/>
    <w:rsid w:val="00210125"/>
    <w:rsid w:val="002122B1"/>
    <w:rsid w:val="002131D0"/>
    <w:rsid w:val="00224BF8"/>
    <w:rsid w:val="00226ACF"/>
    <w:rsid w:val="00232B11"/>
    <w:rsid w:val="002369EB"/>
    <w:rsid w:val="0023703B"/>
    <w:rsid w:val="0024287A"/>
    <w:rsid w:val="0024309C"/>
    <w:rsid w:val="0025259E"/>
    <w:rsid w:val="00253F98"/>
    <w:rsid w:val="00257CC2"/>
    <w:rsid w:val="00266431"/>
    <w:rsid w:val="00282B07"/>
    <w:rsid w:val="0028594D"/>
    <w:rsid w:val="00297211"/>
    <w:rsid w:val="002A4AD3"/>
    <w:rsid w:val="002A69BA"/>
    <w:rsid w:val="002B5F10"/>
    <w:rsid w:val="002C3223"/>
    <w:rsid w:val="002C3579"/>
    <w:rsid w:val="002C3F39"/>
    <w:rsid w:val="002C521A"/>
    <w:rsid w:val="002C5BAB"/>
    <w:rsid w:val="002D17E5"/>
    <w:rsid w:val="002E06A0"/>
    <w:rsid w:val="002E0A38"/>
    <w:rsid w:val="002E5282"/>
    <w:rsid w:val="002E542E"/>
    <w:rsid w:val="002E6DAA"/>
    <w:rsid w:val="002F3236"/>
    <w:rsid w:val="002F4401"/>
    <w:rsid w:val="00303516"/>
    <w:rsid w:val="00304546"/>
    <w:rsid w:val="00306318"/>
    <w:rsid w:val="0031059A"/>
    <w:rsid w:val="00311D90"/>
    <w:rsid w:val="00314219"/>
    <w:rsid w:val="003149BC"/>
    <w:rsid w:val="00336AD9"/>
    <w:rsid w:val="003425B9"/>
    <w:rsid w:val="00365468"/>
    <w:rsid w:val="003658A2"/>
    <w:rsid w:val="003673EC"/>
    <w:rsid w:val="00373A2E"/>
    <w:rsid w:val="00376525"/>
    <w:rsid w:val="00381543"/>
    <w:rsid w:val="00393420"/>
    <w:rsid w:val="00397ABE"/>
    <w:rsid w:val="003A2C3F"/>
    <w:rsid w:val="003A5C44"/>
    <w:rsid w:val="003A5DD4"/>
    <w:rsid w:val="003A66FC"/>
    <w:rsid w:val="003B0CD9"/>
    <w:rsid w:val="003B29FB"/>
    <w:rsid w:val="003B435C"/>
    <w:rsid w:val="003B4897"/>
    <w:rsid w:val="003B5B0B"/>
    <w:rsid w:val="003C0852"/>
    <w:rsid w:val="003C08DE"/>
    <w:rsid w:val="003C3E7A"/>
    <w:rsid w:val="003C3FA6"/>
    <w:rsid w:val="003D088B"/>
    <w:rsid w:val="003D24FC"/>
    <w:rsid w:val="003D28D2"/>
    <w:rsid w:val="003E1657"/>
    <w:rsid w:val="003E1B5A"/>
    <w:rsid w:val="003E40B2"/>
    <w:rsid w:val="003E44AD"/>
    <w:rsid w:val="003F0FE7"/>
    <w:rsid w:val="003F2E32"/>
    <w:rsid w:val="003F570B"/>
    <w:rsid w:val="004057E7"/>
    <w:rsid w:val="00411B62"/>
    <w:rsid w:val="00413D4F"/>
    <w:rsid w:val="0041749A"/>
    <w:rsid w:val="004177CD"/>
    <w:rsid w:val="004218EE"/>
    <w:rsid w:val="00425402"/>
    <w:rsid w:val="0042688C"/>
    <w:rsid w:val="004271C1"/>
    <w:rsid w:val="0042765E"/>
    <w:rsid w:val="00427AE5"/>
    <w:rsid w:val="004301EA"/>
    <w:rsid w:val="00431B5A"/>
    <w:rsid w:val="0044268A"/>
    <w:rsid w:val="00443282"/>
    <w:rsid w:val="004449C6"/>
    <w:rsid w:val="00450D1C"/>
    <w:rsid w:val="00455618"/>
    <w:rsid w:val="0045562E"/>
    <w:rsid w:val="004562F1"/>
    <w:rsid w:val="004628F2"/>
    <w:rsid w:val="00465F84"/>
    <w:rsid w:val="0046640D"/>
    <w:rsid w:val="00471921"/>
    <w:rsid w:val="004735E6"/>
    <w:rsid w:val="00477A84"/>
    <w:rsid w:val="00477B16"/>
    <w:rsid w:val="00480DDB"/>
    <w:rsid w:val="0048253E"/>
    <w:rsid w:val="00491543"/>
    <w:rsid w:val="004A0CD9"/>
    <w:rsid w:val="004A661D"/>
    <w:rsid w:val="004B3992"/>
    <w:rsid w:val="004B443D"/>
    <w:rsid w:val="004B4F2D"/>
    <w:rsid w:val="004B5440"/>
    <w:rsid w:val="004B60CF"/>
    <w:rsid w:val="004C0BC3"/>
    <w:rsid w:val="004C70C8"/>
    <w:rsid w:val="004E1DCF"/>
    <w:rsid w:val="004E1E5F"/>
    <w:rsid w:val="004E4537"/>
    <w:rsid w:val="004E67CD"/>
    <w:rsid w:val="004E683E"/>
    <w:rsid w:val="004F1B6A"/>
    <w:rsid w:val="00502124"/>
    <w:rsid w:val="005023C2"/>
    <w:rsid w:val="00504FAB"/>
    <w:rsid w:val="005156A5"/>
    <w:rsid w:val="00524164"/>
    <w:rsid w:val="00525B53"/>
    <w:rsid w:val="00526E31"/>
    <w:rsid w:val="00527733"/>
    <w:rsid w:val="00531000"/>
    <w:rsid w:val="005401E0"/>
    <w:rsid w:val="005410BC"/>
    <w:rsid w:val="00544424"/>
    <w:rsid w:val="00546C0B"/>
    <w:rsid w:val="0054746C"/>
    <w:rsid w:val="00550714"/>
    <w:rsid w:val="00551CC8"/>
    <w:rsid w:val="00554474"/>
    <w:rsid w:val="00554E17"/>
    <w:rsid w:val="00565830"/>
    <w:rsid w:val="00565B5E"/>
    <w:rsid w:val="00566B5F"/>
    <w:rsid w:val="0057156E"/>
    <w:rsid w:val="00587D1F"/>
    <w:rsid w:val="00593E91"/>
    <w:rsid w:val="005953A1"/>
    <w:rsid w:val="005A2F24"/>
    <w:rsid w:val="005B4DA4"/>
    <w:rsid w:val="005C0475"/>
    <w:rsid w:val="005C180F"/>
    <w:rsid w:val="005C1A71"/>
    <w:rsid w:val="005C22FB"/>
    <w:rsid w:val="005C39C5"/>
    <w:rsid w:val="005C77BE"/>
    <w:rsid w:val="005D238D"/>
    <w:rsid w:val="005E0B1A"/>
    <w:rsid w:val="005E1D24"/>
    <w:rsid w:val="005E45C6"/>
    <w:rsid w:val="006018D0"/>
    <w:rsid w:val="00601A2D"/>
    <w:rsid w:val="006073F5"/>
    <w:rsid w:val="00607A1F"/>
    <w:rsid w:val="006128A5"/>
    <w:rsid w:val="00613169"/>
    <w:rsid w:val="00614916"/>
    <w:rsid w:val="0062572C"/>
    <w:rsid w:val="00627E06"/>
    <w:rsid w:val="00630E07"/>
    <w:rsid w:val="00632216"/>
    <w:rsid w:val="0063784F"/>
    <w:rsid w:val="00637F43"/>
    <w:rsid w:val="006412E9"/>
    <w:rsid w:val="00644A1B"/>
    <w:rsid w:val="00647D2A"/>
    <w:rsid w:val="006500BB"/>
    <w:rsid w:val="006509A2"/>
    <w:rsid w:val="006530E0"/>
    <w:rsid w:val="006536D8"/>
    <w:rsid w:val="00654399"/>
    <w:rsid w:val="00654BA4"/>
    <w:rsid w:val="0066195A"/>
    <w:rsid w:val="00664931"/>
    <w:rsid w:val="0066619A"/>
    <w:rsid w:val="006670C8"/>
    <w:rsid w:val="00671C79"/>
    <w:rsid w:val="006841A7"/>
    <w:rsid w:val="00693721"/>
    <w:rsid w:val="00694C22"/>
    <w:rsid w:val="00694E8B"/>
    <w:rsid w:val="006963BC"/>
    <w:rsid w:val="006970F4"/>
    <w:rsid w:val="006A2E15"/>
    <w:rsid w:val="006B14BD"/>
    <w:rsid w:val="006B27C3"/>
    <w:rsid w:val="006C3221"/>
    <w:rsid w:val="006C60E0"/>
    <w:rsid w:val="006E666F"/>
    <w:rsid w:val="006E6DC1"/>
    <w:rsid w:val="006E7CBB"/>
    <w:rsid w:val="006F4BDD"/>
    <w:rsid w:val="006F7028"/>
    <w:rsid w:val="006F749E"/>
    <w:rsid w:val="007024F1"/>
    <w:rsid w:val="00711243"/>
    <w:rsid w:val="007129E0"/>
    <w:rsid w:val="00713417"/>
    <w:rsid w:val="00714EDD"/>
    <w:rsid w:val="00715A9B"/>
    <w:rsid w:val="00723505"/>
    <w:rsid w:val="007263B9"/>
    <w:rsid w:val="00737EB6"/>
    <w:rsid w:val="007446F2"/>
    <w:rsid w:val="00747502"/>
    <w:rsid w:val="0075009F"/>
    <w:rsid w:val="007554CA"/>
    <w:rsid w:val="007637D4"/>
    <w:rsid w:val="00763BAA"/>
    <w:rsid w:val="00774CCE"/>
    <w:rsid w:val="00781E6A"/>
    <w:rsid w:val="007837F7"/>
    <w:rsid w:val="00784F09"/>
    <w:rsid w:val="00791812"/>
    <w:rsid w:val="00796170"/>
    <w:rsid w:val="007B1F57"/>
    <w:rsid w:val="007B2DED"/>
    <w:rsid w:val="007B4938"/>
    <w:rsid w:val="007B6C2E"/>
    <w:rsid w:val="007C19F6"/>
    <w:rsid w:val="007C450E"/>
    <w:rsid w:val="007C5D20"/>
    <w:rsid w:val="007D6CB5"/>
    <w:rsid w:val="007E3706"/>
    <w:rsid w:val="007E4AE7"/>
    <w:rsid w:val="007F3646"/>
    <w:rsid w:val="007F4CD3"/>
    <w:rsid w:val="007F61C2"/>
    <w:rsid w:val="008018DB"/>
    <w:rsid w:val="00803CA2"/>
    <w:rsid w:val="008063A3"/>
    <w:rsid w:val="00807CAC"/>
    <w:rsid w:val="008115BF"/>
    <w:rsid w:val="00816942"/>
    <w:rsid w:val="00820F5C"/>
    <w:rsid w:val="008212DA"/>
    <w:rsid w:val="00821CD9"/>
    <w:rsid w:val="008231C2"/>
    <w:rsid w:val="00824D81"/>
    <w:rsid w:val="00825203"/>
    <w:rsid w:val="00825503"/>
    <w:rsid w:val="00835322"/>
    <w:rsid w:val="00853ABC"/>
    <w:rsid w:val="00861A58"/>
    <w:rsid w:val="00870485"/>
    <w:rsid w:val="00871D53"/>
    <w:rsid w:val="00871DCE"/>
    <w:rsid w:val="00881405"/>
    <w:rsid w:val="0089069F"/>
    <w:rsid w:val="0089318D"/>
    <w:rsid w:val="00895B40"/>
    <w:rsid w:val="00895DA2"/>
    <w:rsid w:val="00897359"/>
    <w:rsid w:val="008A3C1F"/>
    <w:rsid w:val="008A7371"/>
    <w:rsid w:val="008B7EC5"/>
    <w:rsid w:val="008C3C05"/>
    <w:rsid w:val="008D25B7"/>
    <w:rsid w:val="008D312C"/>
    <w:rsid w:val="008D44CE"/>
    <w:rsid w:val="008D5479"/>
    <w:rsid w:val="008E07DF"/>
    <w:rsid w:val="008E0DC0"/>
    <w:rsid w:val="008E0DF5"/>
    <w:rsid w:val="008E0FF3"/>
    <w:rsid w:val="008E2BFB"/>
    <w:rsid w:val="008E3273"/>
    <w:rsid w:val="008E5344"/>
    <w:rsid w:val="008E5F88"/>
    <w:rsid w:val="008F0C45"/>
    <w:rsid w:val="008F21D5"/>
    <w:rsid w:val="008F692C"/>
    <w:rsid w:val="00904B00"/>
    <w:rsid w:val="009117BB"/>
    <w:rsid w:val="00921AA7"/>
    <w:rsid w:val="0092640C"/>
    <w:rsid w:val="00927D32"/>
    <w:rsid w:val="0093400C"/>
    <w:rsid w:val="00937CDA"/>
    <w:rsid w:val="00940C0F"/>
    <w:rsid w:val="0094309C"/>
    <w:rsid w:val="00944FA6"/>
    <w:rsid w:val="00951DC3"/>
    <w:rsid w:val="0095548F"/>
    <w:rsid w:val="00966B96"/>
    <w:rsid w:val="009744C8"/>
    <w:rsid w:val="00974530"/>
    <w:rsid w:val="0097630F"/>
    <w:rsid w:val="00980E58"/>
    <w:rsid w:val="009815BD"/>
    <w:rsid w:val="00981886"/>
    <w:rsid w:val="00983E9F"/>
    <w:rsid w:val="00986C03"/>
    <w:rsid w:val="00990102"/>
    <w:rsid w:val="00990FEC"/>
    <w:rsid w:val="00992257"/>
    <w:rsid w:val="009A1B08"/>
    <w:rsid w:val="009A7DD3"/>
    <w:rsid w:val="009C21AB"/>
    <w:rsid w:val="009C222D"/>
    <w:rsid w:val="009C29EC"/>
    <w:rsid w:val="009C3834"/>
    <w:rsid w:val="009C3CB9"/>
    <w:rsid w:val="009C4A13"/>
    <w:rsid w:val="009C6140"/>
    <w:rsid w:val="009C745D"/>
    <w:rsid w:val="009E184A"/>
    <w:rsid w:val="009F6933"/>
    <w:rsid w:val="009F7DE3"/>
    <w:rsid w:val="00A01D04"/>
    <w:rsid w:val="00A06ACE"/>
    <w:rsid w:val="00A07154"/>
    <w:rsid w:val="00A11868"/>
    <w:rsid w:val="00A127D3"/>
    <w:rsid w:val="00A1386C"/>
    <w:rsid w:val="00A14335"/>
    <w:rsid w:val="00A14B43"/>
    <w:rsid w:val="00A23612"/>
    <w:rsid w:val="00A252C7"/>
    <w:rsid w:val="00A2604E"/>
    <w:rsid w:val="00A30E6E"/>
    <w:rsid w:val="00A32860"/>
    <w:rsid w:val="00A341B7"/>
    <w:rsid w:val="00A417A2"/>
    <w:rsid w:val="00A52189"/>
    <w:rsid w:val="00A57463"/>
    <w:rsid w:val="00A61DA2"/>
    <w:rsid w:val="00A664DF"/>
    <w:rsid w:val="00A71219"/>
    <w:rsid w:val="00A713D0"/>
    <w:rsid w:val="00A722D4"/>
    <w:rsid w:val="00A73539"/>
    <w:rsid w:val="00A75AAA"/>
    <w:rsid w:val="00A80162"/>
    <w:rsid w:val="00A822BA"/>
    <w:rsid w:val="00A82A29"/>
    <w:rsid w:val="00AA14B6"/>
    <w:rsid w:val="00AA516A"/>
    <w:rsid w:val="00AA5B0E"/>
    <w:rsid w:val="00AB09D5"/>
    <w:rsid w:val="00AB4DBF"/>
    <w:rsid w:val="00AB6998"/>
    <w:rsid w:val="00AC0504"/>
    <w:rsid w:val="00AC1DB7"/>
    <w:rsid w:val="00AC3C46"/>
    <w:rsid w:val="00AC664F"/>
    <w:rsid w:val="00AC750B"/>
    <w:rsid w:val="00AD6937"/>
    <w:rsid w:val="00AE1A84"/>
    <w:rsid w:val="00AE1F12"/>
    <w:rsid w:val="00AE24CC"/>
    <w:rsid w:val="00AE4155"/>
    <w:rsid w:val="00AE4B7C"/>
    <w:rsid w:val="00AE66F6"/>
    <w:rsid w:val="00AF17CE"/>
    <w:rsid w:val="00AF1DC6"/>
    <w:rsid w:val="00AF28D0"/>
    <w:rsid w:val="00AF349B"/>
    <w:rsid w:val="00B009E9"/>
    <w:rsid w:val="00B01B16"/>
    <w:rsid w:val="00B1174F"/>
    <w:rsid w:val="00B11D16"/>
    <w:rsid w:val="00B17FD8"/>
    <w:rsid w:val="00B20F56"/>
    <w:rsid w:val="00B24588"/>
    <w:rsid w:val="00B323DC"/>
    <w:rsid w:val="00B33844"/>
    <w:rsid w:val="00B43602"/>
    <w:rsid w:val="00B43BE1"/>
    <w:rsid w:val="00B447D7"/>
    <w:rsid w:val="00B540E0"/>
    <w:rsid w:val="00B61016"/>
    <w:rsid w:val="00B64627"/>
    <w:rsid w:val="00B71BAA"/>
    <w:rsid w:val="00B75DF5"/>
    <w:rsid w:val="00B76A1F"/>
    <w:rsid w:val="00B829ED"/>
    <w:rsid w:val="00B82F8C"/>
    <w:rsid w:val="00B8460F"/>
    <w:rsid w:val="00B91B4B"/>
    <w:rsid w:val="00B95477"/>
    <w:rsid w:val="00BA1D81"/>
    <w:rsid w:val="00BA7130"/>
    <w:rsid w:val="00BA7BC1"/>
    <w:rsid w:val="00BC5213"/>
    <w:rsid w:val="00BD01A8"/>
    <w:rsid w:val="00BD3085"/>
    <w:rsid w:val="00BD74AE"/>
    <w:rsid w:val="00BE01BC"/>
    <w:rsid w:val="00BE0554"/>
    <w:rsid w:val="00BE16BC"/>
    <w:rsid w:val="00BE3FE7"/>
    <w:rsid w:val="00BE5BB2"/>
    <w:rsid w:val="00BE61CC"/>
    <w:rsid w:val="00BF03D4"/>
    <w:rsid w:val="00BF10A5"/>
    <w:rsid w:val="00BF2D74"/>
    <w:rsid w:val="00BF4CC8"/>
    <w:rsid w:val="00BF75B6"/>
    <w:rsid w:val="00C0057E"/>
    <w:rsid w:val="00C02547"/>
    <w:rsid w:val="00C058D5"/>
    <w:rsid w:val="00C1124F"/>
    <w:rsid w:val="00C1686C"/>
    <w:rsid w:val="00C16D65"/>
    <w:rsid w:val="00C244AF"/>
    <w:rsid w:val="00C30DED"/>
    <w:rsid w:val="00C32BFF"/>
    <w:rsid w:val="00C37BFF"/>
    <w:rsid w:val="00C45F17"/>
    <w:rsid w:val="00C4704B"/>
    <w:rsid w:val="00C50D77"/>
    <w:rsid w:val="00C51458"/>
    <w:rsid w:val="00C5189B"/>
    <w:rsid w:val="00C53580"/>
    <w:rsid w:val="00C55838"/>
    <w:rsid w:val="00C56081"/>
    <w:rsid w:val="00C56745"/>
    <w:rsid w:val="00C70563"/>
    <w:rsid w:val="00C70729"/>
    <w:rsid w:val="00C712B7"/>
    <w:rsid w:val="00C71475"/>
    <w:rsid w:val="00C72F6C"/>
    <w:rsid w:val="00C77EF7"/>
    <w:rsid w:val="00C820F1"/>
    <w:rsid w:val="00C85A38"/>
    <w:rsid w:val="00C91512"/>
    <w:rsid w:val="00C9486A"/>
    <w:rsid w:val="00C94A53"/>
    <w:rsid w:val="00CA163C"/>
    <w:rsid w:val="00CA2DE2"/>
    <w:rsid w:val="00CA3A85"/>
    <w:rsid w:val="00CA6636"/>
    <w:rsid w:val="00CA67DB"/>
    <w:rsid w:val="00CA6D76"/>
    <w:rsid w:val="00CB2C19"/>
    <w:rsid w:val="00CB51CC"/>
    <w:rsid w:val="00CC104A"/>
    <w:rsid w:val="00CC1A72"/>
    <w:rsid w:val="00CC540E"/>
    <w:rsid w:val="00CC5692"/>
    <w:rsid w:val="00CC65F3"/>
    <w:rsid w:val="00CD56E5"/>
    <w:rsid w:val="00CE0506"/>
    <w:rsid w:val="00CE0C1B"/>
    <w:rsid w:val="00CE12CC"/>
    <w:rsid w:val="00CE2876"/>
    <w:rsid w:val="00CE4655"/>
    <w:rsid w:val="00CE64F2"/>
    <w:rsid w:val="00CE6666"/>
    <w:rsid w:val="00CF010F"/>
    <w:rsid w:val="00CF0C67"/>
    <w:rsid w:val="00CF0F40"/>
    <w:rsid w:val="00CF19C9"/>
    <w:rsid w:val="00CF2533"/>
    <w:rsid w:val="00CF4753"/>
    <w:rsid w:val="00D0083B"/>
    <w:rsid w:val="00D05177"/>
    <w:rsid w:val="00D172D8"/>
    <w:rsid w:val="00D305AD"/>
    <w:rsid w:val="00D34885"/>
    <w:rsid w:val="00D35B2D"/>
    <w:rsid w:val="00D40817"/>
    <w:rsid w:val="00D44183"/>
    <w:rsid w:val="00D50676"/>
    <w:rsid w:val="00D5276C"/>
    <w:rsid w:val="00D6384D"/>
    <w:rsid w:val="00D653F3"/>
    <w:rsid w:val="00D66B24"/>
    <w:rsid w:val="00D71D4B"/>
    <w:rsid w:val="00D822E8"/>
    <w:rsid w:val="00D872BC"/>
    <w:rsid w:val="00D92054"/>
    <w:rsid w:val="00D97C6A"/>
    <w:rsid w:val="00DA529F"/>
    <w:rsid w:val="00DB5AAE"/>
    <w:rsid w:val="00DB6882"/>
    <w:rsid w:val="00DC0539"/>
    <w:rsid w:val="00DC5017"/>
    <w:rsid w:val="00DC5129"/>
    <w:rsid w:val="00DC76F7"/>
    <w:rsid w:val="00DD7F1B"/>
    <w:rsid w:val="00DF5E1F"/>
    <w:rsid w:val="00E12A7A"/>
    <w:rsid w:val="00E16B75"/>
    <w:rsid w:val="00E24DD1"/>
    <w:rsid w:val="00E2551E"/>
    <w:rsid w:val="00E27FD6"/>
    <w:rsid w:val="00E33A99"/>
    <w:rsid w:val="00E33E4D"/>
    <w:rsid w:val="00E41DB9"/>
    <w:rsid w:val="00E613BB"/>
    <w:rsid w:val="00E646B8"/>
    <w:rsid w:val="00E704B2"/>
    <w:rsid w:val="00E762BB"/>
    <w:rsid w:val="00E81D81"/>
    <w:rsid w:val="00E85B76"/>
    <w:rsid w:val="00E8661B"/>
    <w:rsid w:val="00E9084E"/>
    <w:rsid w:val="00E92AF6"/>
    <w:rsid w:val="00E94AD8"/>
    <w:rsid w:val="00E962E6"/>
    <w:rsid w:val="00EA689F"/>
    <w:rsid w:val="00EB6DDF"/>
    <w:rsid w:val="00EC1434"/>
    <w:rsid w:val="00EC72B0"/>
    <w:rsid w:val="00EC7BCA"/>
    <w:rsid w:val="00EE784A"/>
    <w:rsid w:val="00EF33BE"/>
    <w:rsid w:val="00EF4F97"/>
    <w:rsid w:val="00F00165"/>
    <w:rsid w:val="00F126FC"/>
    <w:rsid w:val="00F12983"/>
    <w:rsid w:val="00F1410A"/>
    <w:rsid w:val="00F15359"/>
    <w:rsid w:val="00F2045C"/>
    <w:rsid w:val="00F245A2"/>
    <w:rsid w:val="00F309CB"/>
    <w:rsid w:val="00F33EEE"/>
    <w:rsid w:val="00F44A0E"/>
    <w:rsid w:val="00F4543F"/>
    <w:rsid w:val="00F4763C"/>
    <w:rsid w:val="00F540BA"/>
    <w:rsid w:val="00F542E6"/>
    <w:rsid w:val="00F64069"/>
    <w:rsid w:val="00F64D6D"/>
    <w:rsid w:val="00F71F2D"/>
    <w:rsid w:val="00F81677"/>
    <w:rsid w:val="00F82EE1"/>
    <w:rsid w:val="00F83A26"/>
    <w:rsid w:val="00F84324"/>
    <w:rsid w:val="00F93134"/>
    <w:rsid w:val="00F94A47"/>
    <w:rsid w:val="00FA194B"/>
    <w:rsid w:val="00FA46A4"/>
    <w:rsid w:val="00FA6BCF"/>
    <w:rsid w:val="00FB078F"/>
    <w:rsid w:val="00FC3F00"/>
    <w:rsid w:val="00FD067B"/>
    <w:rsid w:val="00FD3420"/>
    <w:rsid w:val="00FE23CA"/>
    <w:rsid w:val="00FF1D71"/>
    <w:rsid w:val="00FF67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E5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59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yperlink" Target="https://www.nerc.com/pa/Stand/202105%20Modifications%20to%20IRO010%20and%20TOP003%20DL/2021-06_IRO-010-5_redline_10022023.pdf" TargetMode="External" /><Relationship Id="rId12" Type="http://schemas.openxmlformats.org/officeDocument/2006/relationships/hyperlink" Target="https://www.nerc.com/pa/Stand/202105%20Modifications%20to%20IRO010%20and%20TOP003%20DL/2021-06_TOP-003-6.1_redline_1002023.pdf"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NERC%20Filings%20to%20FERC%20DL/Petition%20for%20Approval%20of%20IRO-010%20and%20TOP-003_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707FD-6674-4446-9751-5F8A53B9D641}">
  <ds:schemaRefs>
    <ds:schemaRef ds:uri="Microsoft.SharePoint.Taxonomy.ContentTypeSync"/>
  </ds:schemaRefs>
</ds:datastoreItem>
</file>

<file path=customXml/itemProps2.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183E558D-C34C-4491-93C8-61EB2E913DB0}">
  <ds:schemaRefs>
    <ds:schemaRef ds:uri="http://schemas.openxmlformats.org/officeDocument/2006/bibliography"/>
  </ds:schemaRefs>
</ds:datastoreItem>
</file>

<file path=customXml/itemProps5.xml><?xml version="1.0" encoding="utf-8"?>
<ds:datastoreItem xmlns:ds="http://schemas.openxmlformats.org/officeDocument/2006/customXml" ds:itemID="{6F50FEFE-3D24-4C7C-9F4D-F6F8889A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1280</Words>
  <Characters>7835</Characters>
  <Application>Microsoft Office Word</Application>
  <DocSecurity>0</DocSecurity>
  <Lines>139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Kayla Williams</cp:lastModifiedBy>
  <cp:revision>2</cp:revision>
  <cp:lastPrinted>2016-12-20T13:40:00Z</cp:lastPrinted>
  <dcterms:created xsi:type="dcterms:W3CDTF">2024-01-23T03:12:00Z</dcterms:created>
  <dcterms:modified xsi:type="dcterms:W3CDTF">2024-01-23T03:12:00Z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ActionId">
    <vt:lpwstr>5c703711-a22e-4b17-814a-56fa80062e04</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2023-08-31T16:19:19Z</vt:lpwstr>
  </property>
  <property fmtid="{D5CDD505-2E9C-101B-9397-08002B2CF9AE}" pid="9" name="MSIP_Label_6155a89b-0f08-4a93-8ea2-8a916d6643b5_SiteId">
    <vt:lpwstr>19caa9e9-04ff-43fa-885f-d77fac387903</vt:lpwstr>
  </property>
</Properties>
</file>