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266F6D" w:rsidRPr="003B2333" w:rsidP="003B2333" w14:paraId="4CA2B3B6" w14:textId="77777777">
      <w:pPr>
        <w:pStyle w:val="NoSpacing"/>
        <w:jc w:val="center"/>
        <w:rPr>
          <w:rFonts w:ascii="Times New Roman" w:hAnsi="Times New Roman"/>
          <w:b/>
          <w:sz w:val="24"/>
          <w:szCs w:val="24"/>
        </w:rPr>
      </w:pPr>
      <w:r w:rsidRPr="003B2333">
        <w:rPr>
          <w:rFonts w:ascii="Times New Roman" w:hAnsi="Times New Roman"/>
          <w:b/>
          <w:sz w:val="24"/>
          <w:szCs w:val="24"/>
        </w:rPr>
        <w:t>Supporting Statement for Paperwork Reduction Act Submissions</w:t>
      </w:r>
    </w:p>
    <w:p w:rsidR="003B2333" w:rsidRPr="003B2333" w:rsidP="003B2333" w14:paraId="18D5363F" w14:textId="77777777">
      <w:pPr>
        <w:pStyle w:val="NoSpacing"/>
        <w:jc w:val="center"/>
        <w:rPr>
          <w:rFonts w:ascii="Times New Roman" w:hAnsi="Times New Roman"/>
          <w:b/>
          <w:sz w:val="24"/>
          <w:szCs w:val="24"/>
        </w:rPr>
      </w:pPr>
      <w:r w:rsidRPr="00831EC5">
        <w:rPr>
          <w:rFonts w:ascii="Times New Roman" w:hAnsi="Times New Roman"/>
          <w:b/>
          <w:noProof/>
          <w:sz w:val="24"/>
          <w:szCs w:val="24"/>
        </w:rPr>
        <w:t>Moving to Work,Asset Building Cohort Evaluation</w:t>
      </w:r>
    </w:p>
    <w:p w:rsidR="003B2333" w:rsidRPr="003B2333" w:rsidP="003B2333" w14:paraId="468EBC4B" w14:textId="77777777">
      <w:pPr>
        <w:pStyle w:val="NoSpacing"/>
        <w:jc w:val="center"/>
        <w:rPr>
          <w:rFonts w:ascii="Times New Roman" w:hAnsi="Times New Roman"/>
          <w:b/>
          <w:sz w:val="24"/>
          <w:szCs w:val="24"/>
        </w:rPr>
      </w:pPr>
      <w:r>
        <w:rPr>
          <w:rFonts w:ascii="Times New Roman" w:hAnsi="Times New Roman"/>
          <w:b/>
          <w:sz w:val="24"/>
          <w:szCs w:val="24"/>
        </w:rPr>
        <w:t xml:space="preserve">OMB # </w:t>
      </w:r>
      <w:r w:rsidR="00831EC5">
        <w:rPr>
          <w:rFonts w:ascii="Times New Roman" w:hAnsi="Times New Roman"/>
          <w:b/>
          <w:sz w:val="24"/>
          <w:szCs w:val="24"/>
        </w:rPr>
        <w:t>2528-NEW</w:t>
      </w:r>
    </w:p>
    <w:p w:rsidR="003B2333" w:rsidRPr="00901CD6" w:rsidP="003B2333" w14:paraId="6CDA65EE" w14:textId="77777777">
      <w:pPr>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rPr>
          <w:b/>
          <w:sz w:val="24"/>
        </w:rPr>
      </w:pPr>
    </w:p>
    <w:p w:rsidR="00266F6D" w:rsidRPr="00B901BE" w:rsidP="00266F6D" w14:paraId="11854FC1" w14:textId="77777777">
      <w:pPr>
        <w:pStyle w:val="NoSpacing"/>
        <w:rPr>
          <w:rFonts w:ascii="Times New Roman" w:hAnsi="Times New Roman"/>
          <w:b/>
          <w:bCs/>
          <w:sz w:val="24"/>
          <w:szCs w:val="24"/>
        </w:rPr>
      </w:pPr>
      <w:r w:rsidRPr="00B901BE">
        <w:rPr>
          <w:rFonts w:ascii="Times New Roman" w:hAnsi="Times New Roman"/>
          <w:b/>
          <w:bCs/>
          <w:sz w:val="24"/>
          <w:szCs w:val="24"/>
        </w:rPr>
        <w:t>B. Collections of Information Employing</w:t>
      </w:r>
      <w:r w:rsidRPr="00B901BE" w:rsidR="00763388">
        <w:rPr>
          <w:rFonts w:ascii="Times New Roman" w:hAnsi="Times New Roman"/>
          <w:b/>
          <w:bCs/>
          <w:sz w:val="24"/>
          <w:szCs w:val="24"/>
        </w:rPr>
        <w:t xml:space="preserve"> </w:t>
      </w:r>
      <w:r w:rsidRPr="00B901BE">
        <w:rPr>
          <w:rFonts w:ascii="Times New Roman" w:hAnsi="Times New Roman"/>
          <w:b/>
          <w:bCs/>
          <w:sz w:val="24"/>
          <w:szCs w:val="24"/>
        </w:rPr>
        <w:t>Statistical Methods</w:t>
      </w:r>
    </w:p>
    <w:p w:rsidR="00B901BE" w:rsidRPr="00B901BE" w:rsidP="00266F6D" w14:paraId="42514EFE" w14:textId="77777777">
      <w:pPr>
        <w:pStyle w:val="NoSpacing"/>
        <w:rPr>
          <w:rFonts w:ascii="Times New Roman" w:hAnsi="Times New Roman"/>
          <w:sz w:val="24"/>
          <w:szCs w:val="24"/>
        </w:rPr>
      </w:pPr>
    </w:p>
    <w:p w:rsidR="00266F6D" w:rsidRPr="00831EC5" w:rsidP="00266F6D" w14:paraId="445042BC" w14:textId="77777777">
      <w:pPr>
        <w:pStyle w:val="NoSpacing"/>
        <w:rPr>
          <w:rFonts w:ascii="Times New Roman" w:hAnsi="Times New Roman"/>
          <w:b/>
          <w:bCs/>
          <w:sz w:val="24"/>
          <w:szCs w:val="24"/>
        </w:rPr>
      </w:pPr>
      <w:r w:rsidRPr="00831EC5">
        <w:rPr>
          <w:rFonts w:ascii="Times New Roman" w:hAnsi="Times New Roman"/>
          <w:b/>
          <w:bCs/>
          <w:sz w:val="24"/>
          <w:szCs w:val="24"/>
        </w:rPr>
        <w:t>The agency should be prepared to justify its decision not to</w:t>
      </w:r>
      <w:r w:rsidRPr="00831EC5" w:rsidR="00763388">
        <w:rPr>
          <w:rFonts w:ascii="Times New Roman" w:hAnsi="Times New Roman"/>
          <w:b/>
          <w:bCs/>
          <w:sz w:val="24"/>
          <w:szCs w:val="24"/>
        </w:rPr>
        <w:t xml:space="preserve"> </w:t>
      </w:r>
      <w:r w:rsidRPr="00831EC5">
        <w:rPr>
          <w:rFonts w:ascii="Times New Roman" w:hAnsi="Times New Roman"/>
          <w:b/>
          <w:bCs/>
          <w:sz w:val="24"/>
          <w:szCs w:val="24"/>
        </w:rPr>
        <w:t>use statistical methods in any case where such methods</w:t>
      </w:r>
      <w:r w:rsidRPr="00831EC5" w:rsidR="00763388">
        <w:rPr>
          <w:rFonts w:ascii="Times New Roman" w:hAnsi="Times New Roman"/>
          <w:b/>
          <w:bCs/>
          <w:sz w:val="24"/>
          <w:szCs w:val="24"/>
        </w:rPr>
        <w:t xml:space="preserve"> </w:t>
      </w:r>
      <w:r w:rsidRPr="00831EC5">
        <w:rPr>
          <w:rFonts w:ascii="Times New Roman" w:hAnsi="Times New Roman"/>
          <w:b/>
          <w:bCs/>
          <w:sz w:val="24"/>
          <w:szCs w:val="24"/>
        </w:rPr>
        <w:t>might reduce burden or improve accuracy of results. When</w:t>
      </w:r>
      <w:r w:rsidRPr="00831EC5" w:rsidR="00763388">
        <w:rPr>
          <w:rFonts w:ascii="Times New Roman" w:hAnsi="Times New Roman"/>
          <w:b/>
          <w:bCs/>
          <w:sz w:val="24"/>
          <w:szCs w:val="24"/>
        </w:rPr>
        <w:t xml:space="preserve"> </w:t>
      </w:r>
      <w:r w:rsidRPr="00831EC5" w:rsidR="00E72113">
        <w:rPr>
          <w:rFonts w:ascii="Times New Roman" w:hAnsi="Times New Roman"/>
          <w:b/>
          <w:bCs/>
          <w:sz w:val="24"/>
          <w:szCs w:val="24"/>
        </w:rPr>
        <w:t>statistical methods</w:t>
      </w:r>
      <w:r w:rsidRPr="00831EC5">
        <w:rPr>
          <w:rFonts w:ascii="Times New Roman" w:hAnsi="Times New Roman"/>
          <w:b/>
          <w:bCs/>
          <w:sz w:val="24"/>
          <w:szCs w:val="24"/>
        </w:rPr>
        <w:t xml:space="preserve"> </w:t>
      </w:r>
      <w:r w:rsidRPr="00831EC5" w:rsidR="00E72113">
        <w:rPr>
          <w:rFonts w:ascii="Times New Roman" w:hAnsi="Times New Roman"/>
          <w:b/>
          <w:bCs/>
          <w:sz w:val="24"/>
          <w:szCs w:val="24"/>
        </w:rPr>
        <w:t>are involved,</w:t>
      </w:r>
      <w:r w:rsidRPr="00831EC5">
        <w:rPr>
          <w:rFonts w:ascii="Times New Roman" w:hAnsi="Times New Roman"/>
          <w:b/>
          <w:bCs/>
          <w:sz w:val="24"/>
          <w:szCs w:val="24"/>
        </w:rPr>
        <w:t xml:space="preserv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 xml:space="preserve">following documentation should be included </w:t>
      </w:r>
      <w:r w:rsidRPr="00831EC5" w:rsidR="00E72113">
        <w:rPr>
          <w:rFonts w:ascii="Times New Roman" w:hAnsi="Times New Roman"/>
          <w:b/>
          <w:bCs/>
          <w:sz w:val="24"/>
          <w:szCs w:val="24"/>
        </w:rPr>
        <w:t xml:space="preserve">with </w:t>
      </w:r>
      <w:r w:rsidRPr="00831EC5">
        <w:rPr>
          <w:rFonts w:ascii="Times New Roman" w:hAnsi="Times New Roman"/>
          <w:b/>
          <w:bCs/>
          <w:sz w:val="24"/>
          <w:szCs w:val="24"/>
        </w:rPr>
        <w:t>the</w:t>
      </w:r>
    </w:p>
    <w:p w:rsidR="00266F6D" w:rsidRPr="00831EC5" w:rsidP="00266F6D" w14:paraId="561D05AE" w14:textId="77777777">
      <w:pPr>
        <w:pStyle w:val="NoSpacing"/>
        <w:rPr>
          <w:rFonts w:ascii="Times New Roman" w:hAnsi="Times New Roman"/>
          <w:b/>
          <w:bCs/>
          <w:sz w:val="24"/>
          <w:szCs w:val="24"/>
        </w:rPr>
      </w:pPr>
      <w:r w:rsidRPr="00831EC5">
        <w:rPr>
          <w:rFonts w:ascii="Times New Roman" w:hAnsi="Times New Roman"/>
          <w:b/>
          <w:bCs/>
          <w:sz w:val="24"/>
          <w:szCs w:val="24"/>
        </w:rPr>
        <w:t xml:space="preserve">Supporting </w:t>
      </w:r>
      <w:r w:rsidRPr="00831EC5" w:rsidR="00E72113">
        <w:rPr>
          <w:rFonts w:ascii="Times New Roman" w:hAnsi="Times New Roman"/>
          <w:b/>
          <w:bCs/>
          <w:sz w:val="24"/>
          <w:szCs w:val="24"/>
        </w:rPr>
        <w:t xml:space="preserve">Statement -A </w:t>
      </w:r>
      <w:r w:rsidRPr="00831EC5">
        <w:rPr>
          <w:rFonts w:ascii="Times New Roman" w:hAnsi="Times New Roman"/>
          <w:b/>
          <w:bCs/>
          <w:sz w:val="24"/>
          <w:szCs w:val="24"/>
        </w:rPr>
        <w:t>to the exten</w:t>
      </w:r>
      <w:r w:rsidRPr="00831EC5" w:rsidR="00357386">
        <w:rPr>
          <w:rFonts w:ascii="Times New Roman" w:hAnsi="Times New Roman"/>
          <w:b/>
          <w:bCs/>
          <w:sz w:val="24"/>
          <w:szCs w:val="24"/>
        </w:rPr>
        <w:t>t</w:t>
      </w:r>
      <w:r w:rsidRPr="00831EC5">
        <w:rPr>
          <w:rFonts w:ascii="Times New Roman" w:hAnsi="Times New Roman"/>
          <w:b/>
          <w:bCs/>
          <w:sz w:val="24"/>
          <w:szCs w:val="24"/>
        </w:rPr>
        <w:t xml:space="preserve"> that it applies to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methods proposed:</w:t>
      </w:r>
    </w:p>
    <w:p w:rsidR="00763388" w:rsidP="00266F6D" w14:paraId="326FC6D1" w14:textId="77777777">
      <w:pPr>
        <w:pStyle w:val="NoSpacing"/>
        <w:rPr>
          <w:rFonts w:ascii="Times New Roman" w:hAnsi="Times New Roman"/>
          <w:sz w:val="24"/>
          <w:szCs w:val="24"/>
        </w:rPr>
      </w:pPr>
    </w:p>
    <w:p w:rsidR="00831EC5" w:rsidRPr="00831EC5" w:rsidP="00266F6D" w14:paraId="052B1B44" w14:textId="77777777">
      <w:pPr>
        <w:pStyle w:val="NoSpacing"/>
        <w:rPr>
          <w:rFonts w:ascii="Times New Roman" w:hAnsi="Times New Roman"/>
          <w:sz w:val="24"/>
          <w:szCs w:val="24"/>
        </w:rPr>
      </w:pPr>
    </w:p>
    <w:p w:rsidR="00831EC5" w:rsidRPr="00831EC5" w:rsidP="00831EC5" w14:paraId="61C1C349" w14:textId="77777777">
      <w:pPr>
        <w:spacing w:after="180" w:line="264" w:lineRule="auto"/>
        <w:rPr>
          <w:rFonts w:ascii="Times New Roman" w:eastAsia="Times New Roman" w:hAnsi="Times New Roman"/>
          <w:sz w:val="24"/>
          <w:szCs w:val="24"/>
        </w:rPr>
      </w:pPr>
      <w:r w:rsidRPr="00831EC5">
        <w:rPr>
          <w:rFonts w:ascii="Times New Roman" w:eastAsia="Times New Roman" w:hAnsi="Times New Roman"/>
          <w:sz w:val="24"/>
          <w:szCs w:val="24"/>
        </w:rPr>
        <w:t>Part B of the Supporting Statement for the Moving to Work, Asset-Building Cohort Evaluation – sponsored by the Office of Policy Development and Research at the U.S. Department of Housing and Urban Development (HUD) – considers the issues pertaining to Collection of Information Employing Statistical Methods. HUD has contracted with MEF Associates and its subcontractor, Abt Associates Inc., to design the evaluation and develop data collection instruments for it. The evaluation team will conduct 1) an impact study, 2) an implementation study, and 3) a qualitative study.</w:t>
      </w:r>
    </w:p>
    <w:p w:rsidR="00831EC5" w:rsidRPr="00831EC5" w:rsidP="00831EC5" w14:paraId="616DC193" w14:textId="77777777">
      <w:pPr>
        <w:spacing w:after="180" w:line="264" w:lineRule="auto"/>
        <w:rPr>
          <w:rFonts w:ascii="Times New Roman" w:eastAsia="Times New Roman" w:hAnsi="Times New Roman"/>
          <w:sz w:val="24"/>
          <w:szCs w:val="24"/>
        </w:rPr>
      </w:pPr>
      <w:r w:rsidRPr="00831EC5">
        <w:rPr>
          <w:rFonts w:ascii="Times New Roman" w:eastAsia="Times New Roman" w:hAnsi="Times New Roman"/>
          <w:sz w:val="24"/>
          <w:szCs w:val="24"/>
        </w:rPr>
        <w:t xml:space="preserve">The Asset-Building Cohort evaluation will describe the programs and policies implemented by the 17 participating PHAs. The evaluation will also test the impact on families of the Opt-Out Savings and Rent Reporting interventions (described in </w:t>
      </w:r>
      <w:hyperlink r:id="rId5" w:history="1">
        <w:r w:rsidRPr="00831EC5">
          <w:rPr>
            <w:rStyle w:val="Hyperlink"/>
            <w:rFonts w:ascii="Times New Roman" w:eastAsia="Times New Roman" w:hAnsi="Times New Roman"/>
            <w:color w:val="auto"/>
            <w:sz w:val="24"/>
            <w:szCs w:val="24"/>
          </w:rPr>
          <w:t>NOTICE PIH 2022-11</w:t>
        </w:r>
      </w:hyperlink>
      <w:r w:rsidRPr="00831EC5">
        <w:rPr>
          <w:rFonts w:ascii="Times New Roman" w:eastAsia="Times New Roman" w:hAnsi="Times New Roman"/>
          <w:sz w:val="24"/>
          <w:szCs w:val="24"/>
        </w:rPr>
        <w:t xml:space="preserve">). The impact of the Opt-Out Savings program on </w:t>
      </w:r>
      <w:r w:rsidRPr="00831EC5">
        <w:rPr>
          <w:rFonts w:ascii="Times New Roman" w:eastAsia="Times New Roman" w:hAnsi="Times New Roman"/>
          <w:sz w:val="24"/>
          <w:szCs w:val="24"/>
        </w:rPr>
        <w:t>households</w:t>
      </w:r>
      <w:r w:rsidRPr="00831EC5">
        <w:rPr>
          <w:rFonts w:ascii="Times New Roman" w:eastAsia="Times New Roman" w:hAnsi="Times New Roman"/>
          <w:sz w:val="24"/>
          <w:szCs w:val="24"/>
        </w:rPr>
        <w:t xml:space="preserve"> emergency savings and financial wellbeing will be assessed with a survey of treatment and control groups created through random selection.  The impact of the Rent Reporting program on credit scores will be assessed through a randomized controlled trial. The implementation study will document the challenges, successes, and costs in developing, starting up, and running these programs. Finally, the qualitative study will document and analyze the context in which the rent reporting  programs are implemented, including understanding the financial lives and perspectives of HUD-assisted residents at PHAs implementing the rent reporting program.</w:t>
      </w:r>
    </w:p>
    <w:p w:rsidR="00831EC5" w:rsidRPr="00831EC5" w:rsidP="00831EC5" w14:paraId="4AA8207C" w14:textId="77777777">
      <w:pPr>
        <w:spacing w:after="120" w:line="240" w:lineRule="auto"/>
        <w:jc w:val="both"/>
        <w:rPr>
          <w:rFonts w:ascii="Times New Roman" w:eastAsia="Times New Roman" w:hAnsi="Times New Roman"/>
          <w:sz w:val="24"/>
          <w:szCs w:val="24"/>
        </w:rPr>
      </w:pPr>
      <w:r w:rsidRPr="00831EC5">
        <w:rPr>
          <w:rFonts w:ascii="Times New Roman" w:eastAsia="Times New Roman" w:hAnsi="Times New Roman"/>
          <w:sz w:val="24"/>
          <w:szCs w:val="24"/>
        </w:rPr>
        <w:t>The evaluation relies on multiple data sources, both secondary data (that is, already existing data) and primary data (that is, new data we will collect as part of this evaluation). The secondary data used in the evaluation is primarily HUD administrative data—notably HUD’s PIC database—as well as the data from cohort PHA’s Management Information Systems.  The impact study will include a survey of program and control households at sites implementing an opt-out savings program. The survey will be submitted as part of a second PRA package. Second round semi-structured interview guides for the implementation study and 3</w:t>
      </w:r>
      <w:r w:rsidRPr="00831EC5">
        <w:rPr>
          <w:rFonts w:ascii="Times New Roman" w:eastAsia="Times New Roman" w:hAnsi="Times New Roman"/>
          <w:sz w:val="24"/>
          <w:szCs w:val="24"/>
          <w:vertAlign w:val="superscript"/>
        </w:rPr>
        <w:t>rd</w:t>
      </w:r>
      <w:r w:rsidRPr="00831EC5">
        <w:rPr>
          <w:rFonts w:ascii="Times New Roman" w:eastAsia="Times New Roman" w:hAnsi="Times New Roman"/>
          <w:sz w:val="24"/>
          <w:szCs w:val="24"/>
        </w:rPr>
        <w:t xml:space="preserve"> and 4</w:t>
      </w:r>
      <w:r w:rsidRPr="00831EC5">
        <w:rPr>
          <w:rFonts w:ascii="Times New Roman" w:eastAsia="Times New Roman" w:hAnsi="Times New Roman"/>
          <w:sz w:val="24"/>
          <w:szCs w:val="24"/>
          <w:vertAlign w:val="superscript"/>
        </w:rPr>
        <w:t>th</w:t>
      </w:r>
      <w:r w:rsidRPr="00831EC5">
        <w:rPr>
          <w:rFonts w:ascii="Times New Roman" w:eastAsia="Times New Roman" w:hAnsi="Times New Roman"/>
          <w:sz w:val="24"/>
          <w:szCs w:val="24"/>
        </w:rPr>
        <w:t xml:space="preserve"> round semi-structured interview guides for the qualitative study will also be included in the second PRA package.</w:t>
      </w:r>
    </w:p>
    <w:p w:rsidR="00831EC5" w:rsidP="00266F6D" w14:paraId="2EF30718" w14:textId="77777777">
      <w:pPr>
        <w:pStyle w:val="NoSpacing"/>
        <w:rPr>
          <w:rFonts w:ascii="Times New Roman" w:hAnsi="Times New Roman"/>
          <w:sz w:val="24"/>
          <w:szCs w:val="24"/>
        </w:rPr>
      </w:pPr>
    </w:p>
    <w:p w:rsidR="00831EC5" w:rsidP="00266F6D" w14:paraId="3C63F996" w14:textId="77777777">
      <w:pPr>
        <w:pStyle w:val="NoSpacing"/>
        <w:rPr>
          <w:rFonts w:ascii="Times New Roman" w:hAnsi="Times New Roman"/>
          <w:sz w:val="24"/>
          <w:szCs w:val="24"/>
        </w:rPr>
      </w:pPr>
    </w:p>
    <w:p w:rsidR="00831EC5" w:rsidRPr="00B901BE" w:rsidP="00266F6D" w14:paraId="626ACF79" w14:textId="77777777">
      <w:pPr>
        <w:pStyle w:val="NoSpacing"/>
        <w:rPr>
          <w:rFonts w:ascii="Times New Roman" w:hAnsi="Times New Roman"/>
          <w:sz w:val="24"/>
          <w:szCs w:val="24"/>
        </w:rPr>
      </w:pPr>
    </w:p>
    <w:p w:rsidR="00266F6D" w:rsidRPr="00831EC5" w:rsidP="00266F6D" w14:paraId="36A648F2" w14:textId="77777777">
      <w:pPr>
        <w:pStyle w:val="NoSpacing"/>
        <w:rPr>
          <w:rFonts w:ascii="Times New Roman" w:hAnsi="Times New Roman"/>
          <w:b/>
          <w:bCs/>
          <w:sz w:val="24"/>
          <w:szCs w:val="24"/>
        </w:rPr>
      </w:pPr>
      <w:r w:rsidRPr="00831EC5">
        <w:rPr>
          <w:rFonts w:ascii="Times New Roman" w:hAnsi="Times New Roman"/>
          <w:b/>
          <w:bCs/>
          <w:sz w:val="24"/>
          <w:szCs w:val="24"/>
        </w:rPr>
        <w:t>1. Describe (including a numerical estimate)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potential respondent universe and any sampling or</w:t>
      </w:r>
      <w:r w:rsidRPr="00831EC5" w:rsidR="00763388">
        <w:rPr>
          <w:rFonts w:ascii="Times New Roman" w:hAnsi="Times New Roman"/>
          <w:b/>
          <w:bCs/>
          <w:sz w:val="24"/>
          <w:szCs w:val="24"/>
        </w:rPr>
        <w:t xml:space="preserve"> </w:t>
      </w:r>
      <w:r w:rsidRPr="00831EC5">
        <w:rPr>
          <w:rFonts w:ascii="Times New Roman" w:hAnsi="Times New Roman"/>
          <w:b/>
          <w:bCs/>
          <w:sz w:val="24"/>
          <w:szCs w:val="24"/>
        </w:rPr>
        <w:t>other respondent selection methods to be used. Data</w:t>
      </w:r>
      <w:r w:rsidRPr="00831EC5" w:rsidR="00763388">
        <w:rPr>
          <w:rFonts w:ascii="Times New Roman" w:hAnsi="Times New Roman"/>
          <w:b/>
          <w:bCs/>
          <w:sz w:val="24"/>
          <w:szCs w:val="24"/>
        </w:rPr>
        <w:t xml:space="preserve"> </w:t>
      </w:r>
      <w:r w:rsidRPr="00831EC5">
        <w:rPr>
          <w:rFonts w:ascii="Times New Roman" w:hAnsi="Times New Roman"/>
          <w:b/>
          <w:bCs/>
          <w:sz w:val="24"/>
          <w:szCs w:val="24"/>
        </w:rPr>
        <w:t>on the number of entities (e.g., establishments, State</w:t>
      </w:r>
      <w:r w:rsidRPr="00831EC5" w:rsidR="00763388">
        <w:rPr>
          <w:rFonts w:ascii="Times New Roman" w:hAnsi="Times New Roman"/>
          <w:b/>
          <w:bCs/>
          <w:sz w:val="24"/>
          <w:szCs w:val="24"/>
        </w:rPr>
        <w:t xml:space="preserve"> </w:t>
      </w:r>
      <w:r w:rsidRPr="00831EC5">
        <w:rPr>
          <w:rFonts w:ascii="Times New Roman" w:hAnsi="Times New Roman"/>
          <w:b/>
          <w:bCs/>
          <w:sz w:val="24"/>
          <w:szCs w:val="24"/>
        </w:rPr>
        <w:t>and local government units, households, or persons)</w:t>
      </w:r>
      <w:r w:rsidRPr="00831EC5" w:rsidR="00763388">
        <w:rPr>
          <w:rFonts w:ascii="Times New Roman" w:hAnsi="Times New Roman"/>
          <w:b/>
          <w:bCs/>
          <w:sz w:val="24"/>
          <w:szCs w:val="24"/>
        </w:rPr>
        <w:t xml:space="preserve"> </w:t>
      </w:r>
      <w:r w:rsidRPr="00831EC5">
        <w:rPr>
          <w:rFonts w:ascii="Times New Roman" w:hAnsi="Times New Roman"/>
          <w:b/>
          <w:bCs/>
          <w:sz w:val="24"/>
          <w:szCs w:val="24"/>
        </w:rPr>
        <w:t>in the universe covered by the collection and in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corresponding sample are to be provided in tabular</w:t>
      </w:r>
      <w:r w:rsidRPr="00831EC5" w:rsidR="00763388">
        <w:rPr>
          <w:rFonts w:ascii="Times New Roman" w:hAnsi="Times New Roman"/>
          <w:b/>
          <w:bCs/>
          <w:sz w:val="24"/>
          <w:szCs w:val="24"/>
        </w:rPr>
        <w:t xml:space="preserve"> </w:t>
      </w:r>
      <w:r w:rsidRPr="00831EC5">
        <w:rPr>
          <w:rFonts w:ascii="Times New Roman" w:hAnsi="Times New Roman"/>
          <w:b/>
          <w:bCs/>
          <w:sz w:val="24"/>
          <w:szCs w:val="24"/>
        </w:rPr>
        <w:t>form for the universe as a whole and for each of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 xml:space="preserve">strata in the proposed sample. Indicate </w:t>
      </w:r>
      <w:r w:rsidRPr="00831EC5">
        <w:rPr>
          <w:rFonts w:ascii="Times New Roman" w:hAnsi="Times New Roman"/>
          <w:b/>
          <w:bCs/>
          <w:sz w:val="24"/>
          <w:szCs w:val="24"/>
        </w:rPr>
        <w:t>expected</w:t>
      </w:r>
    </w:p>
    <w:p w:rsidR="00266F6D" w:rsidP="00266F6D" w14:paraId="24494CA6" w14:textId="77777777">
      <w:pPr>
        <w:pStyle w:val="NoSpacing"/>
        <w:rPr>
          <w:rFonts w:ascii="Times New Roman" w:hAnsi="Times New Roman"/>
          <w:b/>
          <w:bCs/>
          <w:sz w:val="24"/>
          <w:szCs w:val="24"/>
        </w:rPr>
      </w:pPr>
      <w:r w:rsidRPr="00831EC5">
        <w:rPr>
          <w:rFonts w:ascii="Times New Roman" w:hAnsi="Times New Roman"/>
          <w:b/>
          <w:bCs/>
          <w:sz w:val="24"/>
          <w:szCs w:val="24"/>
        </w:rPr>
        <w:t xml:space="preserve">response rates for the </w:t>
      </w:r>
      <w:r w:rsidRPr="00831EC5">
        <w:rPr>
          <w:rFonts w:ascii="Times New Roman" w:hAnsi="Times New Roman"/>
          <w:b/>
          <w:bCs/>
          <w:sz w:val="24"/>
          <w:szCs w:val="24"/>
        </w:rPr>
        <w:t>collection as a whole</w:t>
      </w:r>
      <w:r w:rsidRPr="00831EC5">
        <w:rPr>
          <w:rFonts w:ascii="Times New Roman" w:hAnsi="Times New Roman"/>
          <w:b/>
          <w:bCs/>
          <w:sz w:val="24"/>
          <w:szCs w:val="24"/>
        </w:rPr>
        <w:t>. If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 had been conducted previously, include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actual response rate achieved during the last</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w:t>
      </w:r>
    </w:p>
    <w:p w:rsidR="00831EC5" w:rsidP="00266F6D" w14:paraId="2B0E42E4" w14:textId="77777777">
      <w:pPr>
        <w:pStyle w:val="NoSpacing"/>
        <w:rPr>
          <w:rFonts w:ascii="Times New Roman" w:hAnsi="Times New Roman"/>
          <w:b/>
          <w:bCs/>
          <w:sz w:val="24"/>
          <w:szCs w:val="24"/>
        </w:rPr>
      </w:pPr>
    </w:p>
    <w:p w:rsidR="00831EC5" w:rsidRPr="00831EC5" w:rsidP="00831EC5" w14:paraId="5D28DC59" w14:textId="77777777">
      <w:pPr>
        <w:keepNext/>
        <w:keepLines/>
        <w:widowControl w:val="0"/>
        <w:tabs>
          <w:tab w:val="left" w:pos="1440"/>
        </w:tabs>
        <w:spacing w:after="120" w:line="264" w:lineRule="auto"/>
        <w:rPr>
          <w:rFonts w:ascii="Times New Roman" w:eastAsia="Arial" w:hAnsi="Times New Roman"/>
          <w:color w:val="000000"/>
          <w:sz w:val="24"/>
          <w:szCs w:val="24"/>
        </w:rPr>
      </w:pPr>
      <w:r w:rsidRPr="00831EC5">
        <w:rPr>
          <w:rFonts w:ascii="Times New Roman" w:eastAsia="Arial" w:hAnsi="Times New Roman"/>
          <w:b/>
          <w:bCs/>
          <w:color w:val="000000"/>
          <w:sz w:val="24"/>
          <w:szCs w:val="24"/>
        </w:rPr>
        <w:t xml:space="preserve">Exhibit B-1 </w:t>
      </w:r>
      <w:r w:rsidRPr="00831EC5">
        <w:rPr>
          <w:rFonts w:ascii="Times New Roman" w:eastAsia="Arial" w:hAnsi="Times New Roman"/>
          <w:color w:val="000000"/>
          <w:sz w:val="24"/>
          <w:szCs w:val="24"/>
        </w:rPr>
        <w:t>provides the number of PHAs, rounds of data collection, respondents per round, and response rate for each primary data collection source.</w:t>
      </w:r>
    </w:p>
    <w:p w:rsidR="00831EC5" w:rsidRPr="00831EC5" w:rsidP="00831EC5" w14:paraId="039A3307" w14:textId="77777777">
      <w:pPr>
        <w:keepNext/>
        <w:keepLines/>
        <w:widowControl w:val="0"/>
        <w:tabs>
          <w:tab w:val="left" w:pos="1440"/>
        </w:tabs>
        <w:spacing w:after="120" w:line="264" w:lineRule="auto"/>
        <w:rPr>
          <w:rFonts w:ascii="Times New Roman" w:hAnsi="Times New Roman"/>
          <w:sz w:val="24"/>
          <w:szCs w:val="24"/>
        </w:rPr>
      </w:pPr>
      <w:r w:rsidRPr="00831EC5">
        <w:rPr>
          <w:rFonts w:ascii="Times New Roman" w:eastAsia="Arial" w:hAnsi="Times New Roman"/>
          <w:b/>
          <w:bCs/>
          <w:color w:val="000000"/>
          <w:sz w:val="24"/>
          <w:szCs w:val="24"/>
        </w:rPr>
        <w:t>Exhibit B-1: Sample Sizes and Response Rates by Data Collection Activity</w:t>
      </w: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885"/>
        <w:gridCol w:w="1621"/>
        <w:gridCol w:w="1709"/>
        <w:gridCol w:w="2611"/>
        <w:gridCol w:w="1524"/>
      </w:tblGrid>
      <w:tr w14:paraId="135877A8" w14:textId="77777777" w:rsidTr="00035ADC">
        <w:tblPrEx>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Ex>
        <w:tc>
          <w:tcPr>
            <w:tcW w:w="1008" w:type="pct"/>
            <w:shd w:val="clear" w:color="auto" w:fill="auto"/>
          </w:tcPr>
          <w:p w:rsidR="00831EC5" w:rsidRPr="00035ADC" w:rsidP="00035ADC" w14:paraId="4DA44E36" w14:textId="77777777">
            <w:pPr>
              <w:pStyle w:val="ExhibitColumnHeader"/>
              <w:rPr>
                <w:rFonts w:ascii="Times New Roman" w:hAnsi="Times New Roman" w:cs="Times New Roman"/>
                <w:color w:val="auto"/>
                <w:sz w:val="24"/>
                <w:szCs w:val="24"/>
              </w:rPr>
            </w:pPr>
          </w:p>
        </w:tc>
        <w:tc>
          <w:tcPr>
            <w:tcW w:w="867" w:type="pct"/>
            <w:shd w:val="clear" w:color="auto" w:fill="auto"/>
          </w:tcPr>
          <w:p w:rsidR="00831EC5" w:rsidRPr="00035ADC" w:rsidP="00035ADC" w14:paraId="33595013" w14:textId="77777777">
            <w:pPr>
              <w:pStyle w:val="ExhibitColumnHeader"/>
              <w:rPr>
                <w:rFonts w:ascii="Times New Roman" w:hAnsi="Times New Roman" w:cs="Times New Roman"/>
                <w:color w:val="auto"/>
                <w:sz w:val="24"/>
                <w:szCs w:val="24"/>
              </w:rPr>
            </w:pPr>
            <w:r w:rsidRPr="00035ADC">
              <w:rPr>
                <w:rFonts w:ascii="Times New Roman" w:hAnsi="Times New Roman" w:cs="Times New Roman"/>
                <w:color w:val="auto"/>
                <w:sz w:val="24"/>
                <w:szCs w:val="24"/>
              </w:rPr>
              <w:t>PHAs</w:t>
            </w:r>
          </w:p>
        </w:tc>
        <w:tc>
          <w:tcPr>
            <w:tcW w:w="914" w:type="pct"/>
            <w:shd w:val="clear" w:color="auto" w:fill="auto"/>
          </w:tcPr>
          <w:p w:rsidR="00831EC5" w:rsidRPr="00035ADC" w:rsidP="00035ADC" w14:paraId="0461B64F" w14:textId="77777777">
            <w:pPr>
              <w:pStyle w:val="ExhibitColumnHeader"/>
              <w:rPr>
                <w:rFonts w:ascii="Times New Roman" w:hAnsi="Times New Roman" w:cs="Times New Roman"/>
                <w:color w:val="auto"/>
                <w:sz w:val="24"/>
                <w:szCs w:val="24"/>
              </w:rPr>
            </w:pPr>
            <w:r w:rsidRPr="00035ADC">
              <w:rPr>
                <w:rFonts w:ascii="Times New Roman" w:hAnsi="Times New Roman" w:cs="Times New Roman"/>
                <w:color w:val="auto"/>
                <w:sz w:val="24"/>
                <w:szCs w:val="24"/>
              </w:rPr>
              <w:t>Rounds</w:t>
            </w:r>
          </w:p>
        </w:tc>
        <w:tc>
          <w:tcPr>
            <w:tcW w:w="1396" w:type="pct"/>
            <w:shd w:val="clear" w:color="auto" w:fill="auto"/>
          </w:tcPr>
          <w:p w:rsidR="00831EC5" w:rsidRPr="00035ADC" w:rsidP="00035ADC" w14:paraId="339B9A2A" w14:textId="77777777">
            <w:pPr>
              <w:pStyle w:val="ExhibitColumnHeader"/>
              <w:rPr>
                <w:rFonts w:ascii="Times New Roman" w:hAnsi="Times New Roman" w:cs="Times New Roman"/>
                <w:color w:val="auto"/>
                <w:sz w:val="24"/>
                <w:szCs w:val="24"/>
              </w:rPr>
            </w:pPr>
            <w:r w:rsidRPr="00035ADC">
              <w:rPr>
                <w:rFonts w:ascii="Times New Roman" w:hAnsi="Times New Roman" w:cs="Times New Roman"/>
                <w:color w:val="auto"/>
                <w:sz w:val="24"/>
                <w:szCs w:val="24"/>
              </w:rPr>
              <w:t>Respondents Per Round</w:t>
            </w:r>
          </w:p>
        </w:tc>
        <w:tc>
          <w:tcPr>
            <w:tcW w:w="815" w:type="pct"/>
            <w:shd w:val="clear" w:color="auto" w:fill="auto"/>
          </w:tcPr>
          <w:p w:rsidR="00831EC5" w:rsidRPr="00035ADC" w:rsidP="00035ADC" w14:paraId="73761033" w14:textId="77777777">
            <w:pPr>
              <w:pStyle w:val="ExhibitColumnHeader"/>
              <w:rPr>
                <w:rFonts w:ascii="Times New Roman" w:hAnsi="Times New Roman" w:cs="Times New Roman"/>
                <w:color w:val="auto"/>
                <w:sz w:val="24"/>
                <w:szCs w:val="24"/>
                <w:highlight w:val="yellow"/>
              </w:rPr>
            </w:pPr>
            <w:r w:rsidRPr="00035ADC">
              <w:rPr>
                <w:rFonts w:ascii="Times New Roman" w:hAnsi="Times New Roman" w:cs="Times New Roman"/>
                <w:color w:val="auto"/>
                <w:sz w:val="24"/>
                <w:szCs w:val="24"/>
              </w:rPr>
              <w:t>Response Rate</w:t>
            </w:r>
          </w:p>
        </w:tc>
      </w:tr>
      <w:tr w14:paraId="686B2A58" w14:textId="77777777" w:rsidTr="00035ADC">
        <w:tblPrEx>
          <w:tblW w:w="5000" w:type="pct"/>
          <w:tblLook w:val="04A0"/>
        </w:tblPrEx>
        <w:tc>
          <w:tcPr>
            <w:tcW w:w="1008" w:type="pct"/>
            <w:shd w:val="clear" w:color="auto" w:fill="auto"/>
          </w:tcPr>
          <w:p w:rsidR="00831EC5" w:rsidRPr="00035ADC" w:rsidP="00035ADC" w14:paraId="43F316B6"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Informed Consent Form</w:t>
            </w:r>
          </w:p>
        </w:tc>
        <w:tc>
          <w:tcPr>
            <w:tcW w:w="867" w:type="pct"/>
            <w:shd w:val="clear" w:color="auto" w:fill="auto"/>
          </w:tcPr>
          <w:p w:rsidR="00831EC5" w:rsidRPr="00035ADC" w:rsidP="00035ADC" w14:paraId="5FBB242C"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6</w:t>
            </w:r>
          </w:p>
        </w:tc>
        <w:tc>
          <w:tcPr>
            <w:tcW w:w="914" w:type="pct"/>
            <w:shd w:val="clear" w:color="auto" w:fill="auto"/>
          </w:tcPr>
          <w:p w:rsidR="00831EC5" w:rsidRPr="00035ADC" w:rsidP="00035ADC" w14:paraId="2967A6F2"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w:t>
            </w:r>
          </w:p>
        </w:tc>
        <w:tc>
          <w:tcPr>
            <w:tcW w:w="1396" w:type="pct"/>
            <w:shd w:val="clear" w:color="auto" w:fill="auto"/>
          </w:tcPr>
          <w:p w:rsidR="00831EC5" w:rsidRPr="00035ADC" w:rsidP="00035ADC" w14:paraId="087C482A"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300</w:t>
            </w:r>
          </w:p>
        </w:tc>
        <w:tc>
          <w:tcPr>
            <w:tcW w:w="815" w:type="pct"/>
            <w:shd w:val="clear" w:color="auto" w:fill="auto"/>
          </w:tcPr>
          <w:p w:rsidR="00831EC5" w:rsidRPr="00035ADC" w:rsidP="00035ADC" w14:paraId="22E93A38"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5FF00D4B" w14:textId="77777777" w:rsidTr="00035ADC">
        <w:tblPrEx>
          <w:tblW w:w="5000" w:type="pct"/>
          <w:tblLook w:val="04A0"/>
        </w:tblPrEx>
        <w:tc>
          <w:tcPr>
            <w:tcW w:w="1008" w:type="pct"/>
            <w:shd w:val="clear" w:color="auto" w:fill="auto"/>
          </w:tcPr>
          <w:p w:rsidR="00831EC5" w:rsidRPr="00035ADC" w:rsidP="00035ADC" w14:paraId="72444E0E"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Baseline Information Form</w:t>
            </w:r>
          </w:p>
        </w:tc>
        <w:tc>
          <w:tcPr>
            <w:tcW w:w="867" w:type="pct"/>
            <w:shd w:val="clear" w:color="auto" w:fill="auto"/>
          </w:tcPr>
          <w:p w:rsidR="00831EC5" w:rsidRPr="00035ADC" w:rsidP="00035ADC" w14:paraId="417351FE"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6</w:t>
            </w:r>
          </w:p>
        </w:tc>
        <w:tc>
          <w:tcPr>
            <w:tcW w:w="914" w:type="pct"/>
            <w:shd w:val="clear" w:color="auto" w:fill="auto"/>
          </w:tcPr>
          <w:p w:rsidR="00831EC5" w:rsidRPr="00035ADC" w:rsidP="00035ADC" w14:paraId="001D4E20"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w:t>
            </w:r>
          </w:p>
        </w:tc>
        <w:tc>
          <w:tcPr>
            <w:tcW w:w="1396" w:type="pct"/>
            <w:shd w:val="clear" w:color="auto" w:fill="auto"/>
          </w:tcPr>
          <w:p w:rsidR="00831EC5" w:rsidRPr="00035ADC" w:rsidP="00035ADC" w14:paraId="7F4AD4B9"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300</w:t>
            </w:r>
          </w:p>
        </w:tc>
        <w:tc>
          <w:tcPr>
            <w:tcW w:w="815" w:type="pct"/>
            <w:shd w:val="clear" w:color="auto" w:fill="auto"/>
          </w:tcPr>
          <w:p w:rsidR="00831EC5" w:rsidRPr="00035ADC" w:rsidP="00035ADC" w14:paraId="74CFB8C3"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752D5D93" w14:textId="77777777" w:rsidTr="00035ADC">
        <w:tblPrEx>
          <w:tblW w:w="5000" w:type="pct"/>
          <w:tblLook w:val="04A0"/>
        </w:tblPrEx>
        <w:tc>
          <w:tcPr>
            <w:tcW w:w="1008" w:type="pct"/>
            <w:shd w:val="clear" w:color="auto" w:fill="auto"/>
          </w:tcPr>
          <w:p w:rsidR="00831EC5" w:rsidRPr="00035ADC" w:rsidP="00035ADC" w14:paraId="173AEB36"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PHA Staff Interviews</w:t>
            </w:r>
          </w:p>
        </w:tc>
        <w:tc>
          <w:tcPr>
            <w:tcW w:w="867" w:type="pct"/>
            <w:shd w:val="clear" w:color="auto" w:fill="auto"/>
          </w:tcPr>
          <w:p w:rsidR="00831EC5" w:rsidRPr="00035ADC" w:rsidP="00035ADC" w14:paraId="4A5E3ED9"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17</w:t>
            </w:r>
          </w:p>
        </w:tc>
        <w:tc>
          <w:tcPr>
            <w:tcW w:w="914" w:type="pct"/>
            <w:shd w:val="clear" w:color="auto" w:fill="auto"/>
          </w:tcPr>
          <w:p w:rsidR="00831EC5" w:rsidRPr="00035ADC" w:rsidP="00035ADC" w14:paraId="1C9DE892"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2</w:t>
            </w:r>
          </w:p>
        </w:tc>
        <w:tc>
          <w:tcPr>
            <w:tcW w:w="1396" w:type="pct"/>
            <w:shd w:val="clear" w:color="auto" w:fill="auto"/>
          </w:tcPr>
          <w:p w:rsidR="00831EC5" w:rsidRPr="00035ADC" w:rsidP="00035ADC" w14:paraId="70EFE56E"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51</w:t>
            </w:r>
          </w:p>
        </w:tc>
        <w:tc>
          <w:tcPr>
            <w:tcW w:w="815" w:type="pct"/>
            <w:shd w:val="clear" w:color="auto" w:fill="auto"/>
          </w:tcPr>
          <w:p w:rsidR="00831EC5" w:rsidRPr="00035ADC" w:rsidP="00035ADC" w14:paraId="3E41963C"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4B1B6589" w14:textId="77777777" w:rsidTr="00035ADC">
        <w:tblPrEx>
          <w:tblW w:w="5000" w:type="pct"/>
          <w:tblLook w:val="04A0"/>
        </w:tblPrEx>
        <w:tc>
          <w:tcPr>
            <w:tcW w:w="1008" w:type="pct"/>
            <w:shd w:val="clear" w:color="auto" w:fill="auto"/>
          </w:tcPr>
          <w:p w:rsidR="00831EC5" w:rsidRPr="00035ADC" w:rsidP="00035ADC" w14:paraId="686BD22D"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Implementation Partner Staff Interviews</w:t>
            </w:r>
          </w:p>
        </w:tc>
        <w:tc>
          <w:tcPr>
            <w:tcW w:w="867" w:type="pct"/>
            <w:shd w:val="clear" w:color="auto" w:fill="auto"/>
            <w:vAlign w:val="center"/>
          </w:tcPr>
          <w:p w:rsidR="00831EC5" w:rsidRPr="00035ADC" w:rsidP="00035ADC" w14:paraId="0B6AF945"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4</w:t>
            </w:r>
          </w:p>
        </w:tc>
        <w:tc>
          <w:tcPr>
            <w:tcW w:w="914" w:type="pct"/>
            <w:shd w:val="clear" w:color="auto" w:fill="auto"/>
            <w:vAlign w:val="center"/>
          </w:tcPr>
          <w:p w:rsidR="00831EC5" w:rsidRPr="00035ADC" w:rsidP="00035ADC" w14:paraId="21E97547"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2</w:t>
            </w:r>
          </w:p>
        </w:tc>
        <w:tc>
          <w:tcPr>
            <w:tcW w:w="1396" w:type="pct"/>
            <w:shd w:val="clear" w:color="auto" w:fill="auto"/>
            <w:vAlign w:val="center"/>
          </w:tcPr>
          <w:p w:rsidR="00831EC5" w:rsidRPr="00035ADC" w:rsidP="00035ADC" w14:paraId="1444FAE3"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12</w:t>
            </w:r>
          </w:p>
        </w:tc>
        <w:tc>
          <w:tcPr>
            <w:tcW w:w="815" w:type="pct"/>
            <w:shd w:val="clear" w:color="auto" w:fill="auto"/>
            <w:vAlign w:val="center"/>
          </w:tcPr>
          <w:p w:rsidR="00831EC5" w:rsidRPr="00035ADC" w:rsidP="00035ADC" w14:paraId="3559A4FE"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38077083" w14:textId="77777777" w:rsidTr="00035ADC">
        <w:tblPrEx>
          <w:tblW w:w="5000" w:type="pct"/>
          <w:tblLook w:val="04A0"/>
        </w:tblPrEx>
        <w:tc>
          <w:tcPr>
            <w:tcW w:w="1008" w:type="pct"/>
            <w:shd w:val="clear" w:color="auto" w:fill="auto"/>
          </w:tcPr>
          <w:p w:rsidR="00831EC5" w:rsidRPr="00035ADC" w:rsidP="00035ADC" w14:paraId="75131A9F"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Resident Implementation Study Interviews</w:t>
            </w:r>
          </w:p>
        </w:tc>
        <w:tc>
          <w:tcPr>
            <w:tcW w:w="867" w:type="pct"/>
            <w:shd w:val="clear" w:color="auto" w:fill="auto"/>
            <w:vAlign w:val="center"/>
          </w:tcPr>
          <w:p w:rsidR="00831EC5" w:rsidRPr="00035ADC" w:rsidP="00035ADC" w14:paraId="78F14E81"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2</w:t>
            </w:r>
          </w:p>
        </w:tc>
        <w:tc>
          <w:tcPr>
            <w:tcW w:w="914" w:type="pct"/>
            <w:shd w:val="clear" w:color="auto" w:fill="auto"/>
            <w:vAlign w:val="center"/>
          </w:tcPr>
          <w:p w:rsidR="00831EC5" w:rsidRPr="00035ADC" w:rsidP="00035ADC" w14:paraId="5C5D97BC"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2</w:t>
            </w:r>
          </w:p>
        </w:tc>
        <w:tc>
          <w:tcPr>
            <w:tcW w:w="1396" w:type="pct"/>
            <w:shd w:val="clear" w:color="auto" w:fill="auto"/>
            <w:vAlign w:val="center"/>
          </w:tcPr>
          <w:p w:rsidR="00831EC5" w:rsidRPr="00035ADC" w:rsidP="00035ADC" w14:paraId="0D92DE4B"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w:t>
            </w:r>
          </w:p>
        </w:tc>
        <w:tc>
          <w:tcPr>
            <w:tcW w:w="815" w:type="pct"/>
            <w:shd w:val="clear" w:color="auto" w:fill="auto"/>
            <w:vAlign w:val="center"/>
          </w:tcPr>
          <w:p w:rsidR="00831EC5" w:rsidRPr="00035ADC" w:rsidP="00035ADC" w14:paraId="5666924D"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49C3A710" w14:textId="77777777" w:rsidTr="00035ADC">
        <w:tblPrEx>
          <w:tblW w:w="5000" w:type="pct"/>
          <w:tblLook w:val="04A0"/>
        </w:tblPrEx>
        <w:tc>
          <w:tcPr>
            <w:tcW w:w="1008" w:type="pct"/>
            <w:shd w:val="clear" w:color="auto" w:fill="auto"/>
          </w:tcPr>
          <w:p w:rsidR="00831EC5" w:rsidRPr="00035ADC" w:rsidP="00035ADC" w14:paraId="10741195" w14:textId="77777777">
            <w:pPr>
              <w:pStyle w:val="ExhibitText"/>
              <w:rPr>
                <w:rFonts w:ascii="Times New Roman" w:hAnsi="Times New Roman" w:cs="Times New Roman"/>
                <w:sz w:val="24"/>
                <w:szCs w:val="24"/>
              </w:rPr>
            </w:pPr>
            <w:r w:rsidRPr="00035ADC">
              <w:rPr>
                <w:rFonts w:ascii="Times New Roman" w:hAnsi="Times New Roman" w:cs="Times New Roman"/>
                <w:sz w:val="24"/>
                <w:szCs w:val="24"/>
              </w:rPr>
              <w:t>Resident Qualitative Study Interviews</w:t>
            </w:r>
          </w:p>
        </w:tc>
        <w:tc>
          <w:tcPr>
            <w:tcW w:w="867" w:type="pct"/>
            <w:shd w:val="clear" w:color="auto" w:fill="auto"/>
            <w:vAlign w:val="center"/>
          </w:tcPr>
          <w:p w:rsidR="00831EC5" w:rsidRPr="00035ADC" w:rsidP="00035ADC" w14:paraId="4FD33940"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2</w:t>
            </w:r>
          </w:p>
        </w:tc>
        <w:tc>
          <w:tcPr>
            <w:tcW w:w="914" w:type="pct"/>
            <w:shd w:val="clear" w:color="auto" w:fill="auto"/>
            <w:vAlign w:val="center"/>
          </w:tcPr>
          <w:p w:rsidR="00831EC5" w:rsidRPr="00035ADC" w:rsidP="00035ADC" w14:paraId="754827F6"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4</w:t>
            </w:r>
          </w:p>
        </w:tc>
        <w:tc>
          <w:tcPr>
            <w:tcW w:w="1396" w:type="pct"/>
            <w:shd w:val="clear" w:color="auto" w:fill="auto"/>
            <w:vAlign w:val="center"/>
          </w:tcPr>
          <w:p w:rsidR="00831EC5" w:rsidRPr="00035ADC" w:rsidP="00035ADC" w14:paraId="6C31EECB"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40</w:t>
            </w:r>
          </w:p>
        </w:tc>
        <w:tc>
          <w:tcPr>
            <w:tcW w:w="815" w:type="pct"/>
            <w:shd w:val="clear" w:color="auto" w:fill="auto"/>
            <w:vAlign w:val="center"/>
          </w:tcPr>
          <w:p w:rsidR="00831EC5" w:rsidRPr="00035ADC" w:rsidP="00035ADC" w14:paraId="52A2C746" w14:textId="77777777">
            <w:pPr>
              <w:pStyle w:val="ExhibitText"/>
              <w:jc w:val="center"/>
              <w:rPr>
                <w:rFonts w:ascii="Times New Roman" w:hAnsi="Times New Roman" w:cs="Times New Roman"/>
                <w:sz w:val="24"/>
                <w:szCs w:val="24"/>
              </w:rPr>
            </w:pPr>
            <w:r w:rsidRPr="00035ADC">
              <w:rPr>
                <w:rFonts w:ascii="Times New Roman" w:hAnsi="Times New Roman" w:cs="Times New Roman"/>
                <w:sz w:val="24"/>
                <w:szCs w:val="24"/>
              </w:rPr>
              <w:t>100%</w:t>
            </w:r>
          </w:p>
        </w:tc>
      </w:tr>
      <w:tr w14:paraId="661B4B12" w14:textId="77777777" w:rsidTr="00035ADC">
        <w:tblPrEx>
          <w:tblW w:w="5000" w:type="pct"/>
          <w:tblLook w:val="04A0"/>
        </w:tblPrEx>
        <w:tc>
          <w:tcPr>
            <w:tcW w:w="1008" w:type="pct"/>
            <w:shd w:val="clear" w:color="auto" w:fill="auto"/>
          </w:tcPr>
          <w:p w:rsidR="00831EC5" w:rsidRPr="00035ADC" w:rsidP="00035ADC" w14:paraId="71ECFA75" w14:textId="77777777">
            <w:pPr>
              <w:pStyle w:val="ExhibitText"/>
              <w:rPr>
                <w:rFonts w:ascii="Times New Roman" w:hAnsi="Times New Roman" w:cs="Times New Roman"/>
                <w:b/>
                <w:sz w:val="24"/>
                <w:szCs w:val="24"/>
              </w:rPr>
            </w:pPr>
            <w:r w:rsidRPr="00035ADC">
              <w:rPr>
                <w:rFonts w:ascii="Times New Roman" w:hAnsi="Times New Roman" w:cs="Times New Roman"/>
                <w:b/>
                <w:sz w:val="24"/>
                <w:szCs w:val="24"/>
              </w:rPr>
              <w:t>Total</w:t>
            </w:r>
          </w:p>
        </w:tc>
        <w:tc>
          <w:tcPr>
            <w:tcW w:w="867" w:type="pct"/>
            <w:shd w:val="clear" w:color="auto" w:fill="auto"/>
          </w:tcPr>
          <w:p w:rsidR="00831EC5" w:rsidRPr="00035ADC" w:rsidP="00035ADC" w14:paraId="2B515F0E" w14:textId="77777777">
            <w:pPr>
              <w:pStyle w:val="ExhibitText"/>
              <w:jc w:val="center"/>
              <w:rPr>
                <w:rFonts w:ascii="Times New Roman" w:hAnsi="Times New Roman" w:cs="Times New Roman"/>
                <w:b/>
                <w:sz w:val="24"/>
                <w:szCs w:val="24"/>
              </w:rPr>
            </w:pPr>
          </w:p>
        </w:tc>
        <w:tc>
          <w:tcPr>
            <w:tcW w:w="914" w:type="pct"/>
            <w:shd w:val="clear" w:color="auto" w:fill="auto"/>
          </w:tcPr>
          <w:p w:rsidR="00831EC5" w:rsidRPr="00035ADC" w:rsidP="00035ADC" w14:paraId="6BB85BFF" w14:textId="77777777">
            <w:pPr>
              <w:pStyle w:val="ExhibitText"/>
              <w:jc w:val="center"/>
              <w:rPr>
                <w:rFonts w:ascii="Times New Roman" w:hAnsi="Times New Roman" w:cs="Times New Roman"/>
                <w:b/>
                <w:sz w:val="24"/>
                <w:szCs w:val="24"/>
              </w:rPr>
            </w:pPr>
          </w:p>
        </w:tc>
        <w:tc>
          <w:tcPr>
            <w:tcW w:w="1396" w:type="pct"/>
            <w:shd w:val="clear" w:color="auto" w:fill="auto"/>
          </w:tcPr>
          <w:p w:rsidR="00831EC5" w:rsidRPr="00035ADC" w:rsidP="00035ADC" w14:paraId="1AAE4385" w14:textId="77777777">
            <w:pPr>
              <w:pStyle w:val="ExhibitText"/>
              <w:jc w:val="center"/>
              <w:rPr>
                <w:rFonts w:ascii="Times New Roman" w:hAnsi="Times New Roman" w:cs="Times New Roman"/>
                <w:b/>
                <w:sz w:val="24"/>
                <w:szCs w:val="24"/>
              </w:rPr>
            </w:pPr>
            <w:r w:rsidRPr="00035ADC">
              <w:rPr>
                <w:rFonts w:ascii="Times New Roman" w:hAnsi="Times New Roman" w:cs="Times New Roman"/>
                <w:b/>
                <w:sz w:val="24"/>
                <w:szCs w:val="24"/>
              </w:rPr>
              <w:t xml:space="preserve"> 344</w:t>
            </w:r>
          </w:p>
        </w:tc>
        <w:tc>
          <w:tcPr>
            <w:tcW w:w="815" w:type="pct"/>
            <w:shd w:val="clear" w:color="auto" w:fill="auto"/>
          </w:tcPr>
          <w:p w:rsidR="00831EC5" w:rsidRPr="00035ADC" w:rsidP="00035ADC" w14:paraId="2A60FECA" w14:textId="77777777">
            <w:pPr>
              <w:pStyle w:val="ExhibitText"/>
              <w:jc w:val="center"/>
              <w:rPr>
                <w:rFonts w:ascii="Times New Roman" w:hAnsi="Times New Roman" w:cs="Times New Roman"/>
                <w:b/>
                <w:sz w:val="24"/>
                <w:szCs w:val="24"/>
              </w:rPr>
            </w:pPr>
            <w:r w:rsidRPr="00035ADC">
              <w:rPr>
                <w:rFonts w:ascii="Times New Roman" w:hAnsi="Times New Roman" w:cs="Times New Roman"/>
                <w:b/>
                <w:sz w:val="24"/>
                <w:szCs w:val="24"/>
              </w:rPr>
              <w:t>100%</w:t>
            </w:r>
          </w:p>
        </w:tc>
      </w:tr>
    </w:tbl>
    <w:p w:rsidR="00831EC5" w:rsidP="00831EC5" w14:paraId="401BDA84" w14:textId="77777777">
      <w:pPr>
        <w:rPr>
          <w:rFonts w:cs="Calibri"/>
          <w:b/>
          <w:bCs/>
        </w:rPr>
      </w:pPr>
    </w:p>
    <w:p w:rsidR="00831EC5" w:rsidRPr="00831EC5" w:rsidP="00831EC5" w14:paraId="079ABFCA" w14:textId="77777777">
      <w:pPr>
        <w:keepNext/>
        <w:keepLines/>
        <w:widowControl w:val="0"/>
        <w:tabs>
          <w:tab w:val="left" w:pos="1440"/>
        </w:tabs>
        <w:spacing w:after="120" w:line="264" w:lineRule="auto"/>
        <w:rPr>
          <w:rFonts w:ascii="Times New Roman" w:eastAsia="Arial" w:hAnsi="Times New Roman"/>
          <w:color w:val="000000"/>
          <w:sz w:val="24"/>
          <w:szCs w:val="24"/>
        </w:rPr>
      </w:pPr>
      <w:r w:rsidRPr="00831EC5">
        <w:rPr>
          <w:rFonts w:ascii="Times New Roman" w:eastAsia="Arial" w:hAnsi="Times New Roman"/>
          <w:color w:val="000000"/>
          <w:sz w:val="24"/>
          <w:szCs w:val="24"/>
        </w:rPr>
        <w:t>All of</w:t>
      </w:r>
      <w:r w:rsidRPr="00831EC5">
        <w:rPr>
          <w:rFonts w:ascii="Times New Roman" w:eastAsia="Arial" w:hAnsi="Times New Roman"/>
          <w:color w:val="000000"/>
          <w:sz w:val="24"/>
          <w:szCs w:val="24"/>
        </w:rPr>
        <w:t xml:space="preserve"> the data collection in this ICR will be done by Abt Associates and MEF Associates (the “research team”).  The research team expects to collect the data from key staff at the 17 study PHAs with </w:t>
      </w:r>
      <w:r w:rsidRPr="00831EC5">
        <w:rPr>
          <w:rFonts w:ascii="Times New Roman" w:eastAsia="Arial" w:hAnsi="Times New Roman"/>
          <w:color w:val="000000"/>
          <w:sz w:val="24"/>
          <w:szCs w:val="24"/>
        </w:rPr>
        <w:t>100</w:t>
      </w:r>
      <w:r w:rsidRPr="00831EC5">
        <w:rPr>
          <w:rFonts w:ascii="Times New Roman" w:eastAsia="Arial" w:hAnsi="Times New Roman"/>
          <w:color w:val="000000"/>
          <w:sz w:val="24"/>
          <w:szCs w:val="24"/>
        </w:rPr>
        <w:t xml:space="preserve"> percent response rate.  The staff to be interviewed will include staff who are most knowledgeable about the PHA’s MTW asset building programs.  All PHAs that applied to the MTW Expansion Asset Building Cohort agreed to participate in the evaluation.</w:t>
      </w:r>
    </w:p>
    <w:p w:rsidR="00831EC5" w:rsidRPr="00831EC5" w:rsidP="00266F6D" w14:paraId="56BC66F2" w14:textId="77777777">
      <w:pPr>
        <w:pStyle w:val="NoSpacing"/>
        <w:rPr>
          <w:rFonts w:ascii="Times New Roman" w:hAnsi="Times New Roman"/>
          <w:b/>
          <w:bCs/>
          <w:sz w:val="24"/>
          <w:szCs w:val="24"/>
        </w:rPr>
      </w:pPr>
    </w:p>
    <w:p w:rsidR="002D75E2" w:rsidRPr="00B901BE" w:rsidP="00266F6D" w14:paraId="14C64575" w14:textId="77777777">
      <w:pPr>
        <w:pStyle w:val="NoSpacing"/>
        <w:rPr>
          <w:rFonts w:ascii="Times New Roman" w:hAnsi="Times New Roman"/>
          <w:sz w:val="24"/>
          <w:szCs w:val="24"/>
        </w:rPr>
      </w:pPr>
    </w:p>
    <w:p w:rsidR="00266F6D" w:rsidRPr="00831EC5" w:rsidP="00266F6D" w14:paraId="1563506E" w14:textId="77777777">
      <w:pPr>
        <w:pStyle w:val="NoSpacing"/>
        <w:rPr>
          <w:rFonts w:ascii="Times New Roman" w:hAnsi="Times New Roman"/>
          <w:b/>
          <w:bCs/>
          <w:sz w:val="24"/>
          <w:szCs w:val="24"/>
        </w:rPr>
      </w:pPr>
      <w:r w:rsidRPr="00831EC5">
        <w:rPr>
          <w:rFonts w:ascii="Times New Roman" w:hAnsi="Times New Roman"/>
          <w:b/>
          <w:bCs/>
          <w:sz w:val="24"/>
          <w:szCs w:val="24"/>
        </w:rPr>
        <w:t>2. Describe the procedures for the collection of information</w:t>
      </w:r>
      <w:r w:rsidRPr="00831EC5" w:rsidR="00763388">
        <w:rPr>
          <w:rFonts w:ascii="Times New Roman" w:hAnsi="Times New Roman"/>
          <w:b/>
          <w:bCs/>
          <w:sz w:val="24"/>
          <w:szCs w:val="24"/>
        </w:rPr>
        <w:t xml:space="preserve"> </w:t>
      </w:r>
      <w:r w:rsidRPr="00831EC5">
        <w:rPr>
          <w:rFonts w:ascii="Times New Roman" w:hAnsi="Times New Roman"/>
          <w:b/>
          <w:bCs/>
          <w:sz w:val="24"/>
          <w:szCs w:val="24"/>
        </w:rPr>
        <w:t>including:</w:t>
      </w:r>
    </w:p>
    <w:p w:rsidR="000A251D" w:rsidRPr="00831EC5" w:rsidP="00266F6D" w14:paraId="1E1144E9" w14:textId="77777777">
      <w:pPr>
        <w:pStyle w:val="NoSpacing"/>
        <w:rPr>
          <w:rFonts w:ascii="Times New Roman" w:hAnsi="Times New Roman"/>
          <w:b/>
          <w:bCs/>
          <w:sz w:val="24"/>
          <w:szCs w:val="24"/>
        </w:rPr>
      </w:pPr>
    </w:p>
    <w:p w:rsidR="00266F6D" w:rsidRPr="00831EC5" w:rsidP="000A251D" w14:paraId="178D53EC"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Statistical methodology for stratification and sample</w:t>
      </w:r>
      <w:r w:rsidRPr="00831EC5" w:rsidR="00763388">
        <w:rPr>
          <w:rFonts w:ascii="Times New Roman" w:hAnsi="Times New Roman"/>
          <w:b/>
          <w:bCs/>
          <w:sz w:val="24"/>
          <w:szCs w:val="24"/>
        </w:rPr>
        <w:t xml:space="preserve"> </w:t>
      </w:r>
      <w:r w:rsidRPr="00831EC5">
        <w:rPr>
          <w:rFonts w:ascii="Times New Roman" w:hAnsi="Times New Roman"/>
          <w:b/>
          <w:bCs/>
          <w:sz w:val="24"/>
          <w:szCs w:val="24"/>
        </w:rPr>
        <w:t>selection,</w:t>
      </w:r>
    </w:p>
    <w:p w:rsidR="00266F6D" w:rsidRPr="00831EC5" w:rsidP="000A251D" w14:paraId="23D93DD5"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Estimation procedure,</w:t>
      </w:r>
    </w:p>
    <w:p w:rsidR="00266F6D" w:rsidRPr="00831EC5" w:rsidP="000A251D" w14:paraId="6025D797"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Degree of accuracy needed for the purpose described in</w:t>
      </w:r>
      <w:r w:rsidRPr="00831EC5" w:rsidR="00763388">
        <w:rPr>
          <w:rFonts w:ascii="Times New Roman" w:hAnsi="Times New Roman"/>
          <w:b/>
          <w:bCs/>
          <w:sz w:val="24"/>
          <w:szCs w:val="24"/>
        </w:rPr>
        <w:t xml:space="preserve"> </w:t>
      </w:r>
      <w:r w:rsidRPr="00831EC5">
        <w:rPr>
          <w:rFonts w:ascii="Times New Roman" w:hAnsi="Times New Roman"/>
          <w:b/>
          <w:bCs/>
          <w:sz w:val="24"/>
          <w:szCs w:val="24"/>
        </w:rPr>
        <w:t>the justification,</w:t>
      </w:r>
    </w:p>
    <w:p w:rsidR="00266F6D" w:rsidRPr="00831EC5" w:rsidP="000A251D" w14:paraId="26CC9313"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Unusual problems requiring specialized sampling</w:t>
      </w:r>
      <w:r w:rsidRPr="00831EC5" w:rsidR="00763388">
        <w:rPr>
          <w:rFonts w:ascii="Times New Roman" w:hAnsi="Times New Roman"/>
          <w:b/>
          <w:bCs/>
          <w:sz w:val="24"/>
          <w:szCs w:val="24"/>
        </w:rPr>
        <w:t xml:space="preserve"> </w:t>
      </w:r>
      <w:r w:rsidRPr="00831EC5">
        <w:rPr>
          <w:rFonts w:ascii="Times New Roman" w:hAnsi="Times New Roman"/>
          <w:b/>
          <w:bCs/>
          <w:sz w:val="24"/>
          <w:szCs w:val="24"/>
        </w:rPr>
        <w:t>procedures, and</w:t>
      </w:r>
    </w:p>
    <w:p w:rsidR="00266F6D" w:rsidP="000A251D" w14:paraId="113303DE" w14:textId="77777777">
      <w:pPr>
        <w:pStyle w:val="NoSpacing"/>
        <w:numPr>
          <w:ilvl w:val="0"/>
          <w:numId w:val="3"/>
        </w:numPr>
        <w:rPr>
          <w:rFonts w:ascii="Times New Roman" w:hAnsi="Times New Roman"/>
          <w:b/>
          <w:bCs/>
          <w:sz w:val="24"/>
          <w:szCs w:val="24"/>
        </w:rPr>
      </w:pPr>
      <w:r w:rsidRPr="00831EC5">
        <w:rPr>
          <w:rFonts w:ascii="Times New Roman" w:hAnsi="Times New Roman"/>
          <w:b/>
          <w:bCs/>
          <w:sz w:val="24"/>
          <w:szCs w:val="24"/>
        </w:rPr>
        <w:t>Any use of periodic (less frequent than annual) data</w:t>
      </w:r>
      <w:r w:rsidRPr="00831EC5" w:rsidR="00763388">
        <w:rPr>
          <w:rFonts w:ascii="Times New Roman" w:hAnsi="Times New Roman"/>
          <w:b/>
          <w:bCs/>
          <w:sz w:val="24"/>
          <w:szCs w:val="24"/>
        </w:rPr>
        <w:t xml:space="preserve"> </w:t>
      </w:r>
      <w:r w:rsidRPr="00831EC5">
        <w:rPr>
          <w:rFonts w:ascii="Times New Roman" w:hAnsi="Times New Roman"/>
          <w:b/>
          <w:bCs/>
          <w:sz w:val="24"/>
          <w:szCs w:val="24"/>
        </w:rPr>
        <w:t>collection cycles to reduce burden.</w:t>
      </w:r>
    </w:p>
    <w:p w:rsidR="00831EC5" w:rsidP="00831EC5" w14:paraId="6D280575" w14:textId="77777777">
      <w:pPr>
        <w:pStyle w:val="NoSpacing"/>
        <w:rPr>
          <w:rFonts w:ascii="Times New Roman" w:hAnsi="Times New Roman"/>
          <w:b/>
          <w:bCs/>
          <w:sz w:val="24"/>
          <w:szCs w:val="24"/>
        </w:rPr>
      </w:pPr>
    </w:p>
    <w:p w:rsidR="00831EC5" w:rsidP="00831EC5" w14:paraId="336640FB" w14:textId="77777777">
      <w:pPr>
        <w:pStyle w:val="NoSpacing"/>
        <w:rPr>
          <w:rFonts w:ascii="Times New Roman" w:hAnsi="Times New Roman"/>
          <w:b/>
          <w:bCs/>
          <w:sz w:val="24"/>
          <w:szCs w:val="24"/>
        </w:rPr>
      </w:pPr>
    </w:p>
    <w:p w:rsidR="00831EC5" w:rsidRPr="00831EC5" w:rsidP="00831EC5" w14:paraId="74D7B12D" w14:textId="77777777">
      <w:pPr>
        <w:rPr>
          <w:rFonts w:ascii="Times New Roman" w:hAnsi="Times New Roman"/>
          <w:sz w:val="24"/>
          <w:szCs w:val="24"/>
        </w:rPr>
      </w:pPr>
      <w:r w:rsidRPr="00831EC5">
        <w:rPr>
          <w:rFonts w:ascii="Times New Roman" w:hAnsi="Times New Roman"/>
          <w:sz w:val="24"/>
          <w:szCs w:val="24"/>
        </w:rPr>
        <w:t xml:space="preserve">This submission does not require a statistical methodology plan because the samples are not intended to be the basis for drawing statistical inferences.  The sampling of PHAs, PHA staff, partner staff, and residents is purposive.  </w:t>
      </w:r>
    </w:p>
    <w:p w:rsidR="00831EC5" w:rsidRPr="00831EC5" w:rsidP="00831EC5" w14:paraId="11B4FCF1" w14:textId="77777777">
      <w:pPr>
        <w:rPr>
          <w:rFonts w:ascii="Times New Roman" w:hAnsi="Times New Roman"/>
          <w:sz w:val="24"/>
          <w:szCs w:val="24"/>
        </w:rPr>
      </w:pPr>
      <w:r w:rsidRPr="00831EC5">
        <w:rPr>
          <w:rFonts w:ascii="Times New Roman" w:hAnsi="Times New Roman"/>
          <w:sz w:val="24"/>
          <w:szCs w:val="24"/>
        </w:rPr>
        <w:t xml:space="preserve">The PHAs are not intended to represent all PHAs—instead the PHAs in the MTW Expansion are PHAs that volunteered to join the MTW Asset Building Cohort.  </w:t>
      </w:r>
    </w:p>
    <w:p w:rsidR="00831EC5" w:rsidRPr="00831EC5" w:rsidP="00831EC5" w14:paraId="67586B1C" w14:textId="77777777">
      <w:pPr>
        <w:rPr>
          <w:rFonts w:ascii="Times New Roman" w:hAnsi="Times New Roman"/>
          <w:sz w:val="24"/>
          <w:szCs w:val="24"/>
        </w:rPr>
      </w:pPr>
      <w:r w:rsidRPr="00831EC5">
        <w:rPr>
          <w:rFonts w:ascii="Times New Roman" w:hAnsi="Times New Roman"/>
          <w:sz w:val="24"/>
          <w:szCs w:val="24"/>
        </w:rPr>
        <w:t xml:space="preserve">The research team will work with each PHA’s Executive Director to identify the most relevant staff to answer the study’s research questions; the PHA staff will also help to identify the partner staff respondents who are most knowledgeable about the PHA’s MTW asset building program.  </w:t>
      </w:r>
    </w:p>
    <w:p w:rsidR="00831EC5" w:rsidRPr="00831EC5" w:rsidP="00831EC5" w14:paraId="46120EE7" w14:textId="77777777">
      <w:pPr>
        <w:rPr>
          <w:rFonts w:ascii="Times New Roman" w:hAnsi="Times New Roman"/>
          <w:sz w:val="24"/>
          <w:szCs w:val="24"/>
        </w:rPr>
      </w:pPr>
      <w:r w:rsidRPr="00831EC5">
        <w:rPr>
          <w:rFonts w:ascii="Times New Roman" w:hAnsi="Times New Roman"/>
          <w:sz w:val="24"/>
          <w:szCs w:val="24"/>
        </w:rPr>
        <w:t xml:space="preserve">Residents for the implementation study interviews at two PHAs will also be selected purposively and are not intended to be a representative sample of residents.  </w:t>
      </w:r>
    </w:p>
    <w:p w:rsidR="00831EC5" w:rsidRPr="00831EC5" w:rsidP="00831EC5" w14:paraId="3DD285D1" w14:textId="77777777">
      <w:pPr>
        <w:rPr>
          <w:rFonts w:ascii="Times New Roman" w:hAnsi="Times New Roman"/>
          <w:sz w:val="24"/>
          <w:szCs w:val="24"/>
        </w:rPr>
      </w:pPr>
      <w:r w:rsidRPr="00831EC5">
        <w:rPr>
          <w:rFonts w:ascii="Times New Roman" w:hAnsi="Times New Roman"/>
          <w:sz w:val="24"/>
          <w:szCs w:val="24"/>
        </w:rPr>
        <w:t>Finally, the 300 residents recruited to complete the BIF will all be volunteers and, again, this group will not be statistically representative of any group of HUD-assisted households.  The samples in this submission are not intended to be the basis for drawing statistical inferences.</w:t>
      </w:r>
    </w:p>
    <w:p w:rsidR="00831EC5" w:rsidRPr="00831EC5" w:rsidP="00831EC5" w14:paraId="50646ADB" w14:textId="77777777">
      <w:pPr>
        <w:rPr>
          <w:rFonts w:ascii="Times New Roman" w:hAnsi="Times New Roman"/>
          <w:sz w:val="24"/>
          <w:szCs w:val="24"/>
        </w:rPr>
      </w:pPr>
      <w:r w:rsidRPr="00831EC5">
        <w:rPr>
          <w:rFonts w:ascii="Times New Roman" w:hAnsi="Times New Roman"/>
          <w:sz w:val="24"/>
          <w:szCs w:val="24"/>
        </w:rPr>
        <w:t>PHA staff and partner organization staff and ten of the resident respondents will only be involved in data collection once.  Some PHA staff may be involved in a limited amount of ad-hoc data collection from the research team in the form of short telephone calls or email exchanges, but these are not formal reporting mechanisms, will not follow a standardized script, and will not be burdensome.</w:t>
      </w:r>
    </w:p>
    <w:p w:rsidR="00831EC5" w:rsidRPr="00831EC5" w:rsidP="00831EC5" w14:paraId="37643BC9" w14:textId="77777777">
      <w:pPr>
        <w:rPr>
          <w:rFonts w:ascii="Times New Roman" w:hAnsi="Times New Roman"/>
          <w:sz w:val="24"/>
          <w:szCs w:val="24"/>
        </w:rPr>
      </w:pPr>
      <w:r w:rsidRPr="00831EC5">
        <w:rPr>
          <w:rFonts w:ascii="Times New Roman" w:hAnsi="Times New Roman"/>
          <w:sz w:val="24"/>
          <w:szCs w:val="24"/>
        </w:rPr>
        <w:t xml:space="preserve">The 300 respondents recruited to complete the BIF will be asked to participate in two interviews (resident qualitative interviews) in addition to completing the BIF.   </w:t>
      </w:r>
    </w:p>
    <w:p w:rsidR="00831EC5" w:rsidP="00831EC5" w14:paraId="1B565AE6" w14:textId="77777777">
      <w:pPr>
        <w:rPr>
          <w:rFonts w:cs="Calibri"/>
        </w:rPr>
      </w:pPr>
    </w:p>
    <w:p w:rsidR="00831EC5" w:rsidRPr="00831EC5" w:rsidP="00831EC5" w14:paraId="5AE9EAF7" w14:textId="77777777">
      <w:pPr>
        <w:pStyle w:val="Heading3"/>
        <w:rPr>
          <w:rFonts w:ascii="Times New Roman" w:eastAsia="Arial" w:hAnsi="Times New Roman"/>
          <w:b/>
          <w:bCs/>
          <w:color w:val="auto"/>
        </w:rPr>
      </w:pPr>
      <w:bookmarkStart w:id="0" w:name="_Toc143778006"/>
      <w:r w:rsidRPr="00831EC5">
        <w:rPr>
          <w:rFonts w:ascii="Times New Roman" w:eastAsia="Arial" w:hAnsi="Times New Roman"/>
          <w:b/>
          <w:bCs/>
          <w:color w:val="auto"/>
        </w:rPr>
        <w:t>Procedures with Special Populations</w:t>
      </w:r>
      <w:bookmarkEnd w:id="0"/>
    </w:p>
    <w:p w:rsidR="00831EC5" w:rsidRPr="00831EC5" w:rsidP="00831EC5" w14:paraId="5AE7F586" w14:textId="77777777">
      <w:pPr>
        <w:pStyle w:val="NoSpacing"/>
        <w:rPr>
          <w:rFonts w:ascii="Times New Roman" w:hAnsi="Times New Roman"/>
          <w:b/>
          <w:bCs/>
          <w:sz w:val="24"/>
          <w:szCs w:val="24"/>
        </w:rPr>
      </w:pPr>
      <w:r w:rsidRPr="00831EC5">
        <w:rPr>
          <w:rFonts w:ascii="Times New Roman" w:hAnsi="Times New Roman"/>
          <w:color w:val="000000"/>
          <w:sz w:val="24"/>
          <w:szCs w:val="24"/>
        </w:rPr>
        <w:t>We do not believe we will be communicating with people from special populations</w:t>
      </w:r>
      <w:r>
        <w:rPr>
          <w:rFonts w:ascii="Times New Roman" w:hAnsi="Times New Roman"/>
          <w:color w:val="000000"/>
          <w:sz w:val="24"/>
          <w:szCs w:val="24"/>
        </w:rPr>
        <w:t>.</w:t>
      </w:r>
    </w:p>
    <w:p w:rsidR="000A251D" w:rsidP="00266F6D" w14:paraId="0FC2EFD2" w14:textId="77777777">
      <w:pPr>
        <w:pStyle w:val="NoSpacing"/>
        <w:rPr>
          <w:rFonts w:ascii="Times New Roman" w:hAnsi="Times New Roman"/>
          <w:sz w:val="24"/>
          <w:szCs w:val="24"/>
        </w:rPr>
      </w:pPr>
    </w:p>
    <w:p w:rsidR="00831EC5" w:rsidP="00266F6D" w14:paraId="44771279" w14:textId="77777777">
      <w:pPr>
        <w:pStyle w:val="NoSpacing"/>
        <w:rPr>
          <w:rFonts w:ascii="Times New Roman" w:hAnsi="Times New Roman"/>
          <w:sz w:val="24"/>
          <w:szCs w:val="24"/>
        </w:rPr>
      </w:pPr>
    </w:p>
    <w:p w:rsidR="00831EC5" w:rsidRPr="00831EC5" w:rsidP="00266F6D" w14:paraId="270C74DD" w14:textId="77777777">
      <w:pPr>
        <w:pStyle w:val="NoSpacing"/>
        <w:rPr>
          <w:rFonts w:ascii="Times New Roman" w:hAnsi="Times New Roman"/>
          <w:sz w:val="24"/>
          <w:szCs w:val="24"/>
        </w:rPr>
      </w:pPr>
    </w:p>
    <w:p w:rsidR="00763388" w:rsidP="00266F6D" w14:paraId="23EC1203" w14:textId="77777777">
      <w:pPr>
        <w:pStyle w:val="NoSpacing"/>
        <w:rPr>
          <w:rFonts w:ascii="Times New Roman" w:hAnsi="Times New Roman"/>
          <w:b/>
          <w:bCs/>
          <w:sz w:val="24"/>
          <w:szCs w:val="24"/>
        </w:rPr>
      </w:pPr>
      <w:r w:rsidRPr="00831EC5">
        <w:rPr>
          <w:rFonts w:ascii="Times New Roman" w:hAnsi="Times New Roman"/>
          <w:b/>
          <w:bCs/>
          <w:sz w:val="24"/>
          <w:szCs w:val="24"/>
        </w:rPr>
        <w:t>3. Describe methods to maximize response rates and to</w:t>
      </w:r>
      <w:r w:rsidRPr="00831EC5">
        <w:rPr>
          <w:rFonts w:ascii="Times New Roman" w:hAnsi="Times New Roman"/>
          <w:b/>
          <w:bCs/>
          <w:sz w:val="24"/>
          <w:szCs w:val="24"/>
        </w:rPr>
        <w:t xml:space="preserve"> </w:t>
      </w:r>
      <w:r w:rsidRPr="00831EC5">
        <w:rPr>
          <w:rFonts w:ascii="Times New Roman" w:hAnsi="Times New Roman"/>
          <w:b/>
          <w:bCs/>
          <w:sz w:val="24"/>
          <w:szCs w:val="24"/>
        </w:rPr>
        <w:t>deal with issues of non-response. The accuracy and</w:t>
      </w:r>
      <w:r w:rsidRPr="00831EC5">
        <w:rPr>
          <w:rFonts w:ascii="Times New Roman" w:hAnsi="Times New Roman"/>
          <w:b/>
          <w:bCs/>
          <w:sz w:val="24"/>
          <w:szCs w:val="24"/>
        </w:rPr>
        <w:t xml:space="preserve"> </w:t>
      </w:r>
      <w:r w:rsidRPr="00831EC5">
        <w:rPr>
          <w:rFonts w:ascii="Times New Roman" w:hAnsi="Times New Roman"/>
          <w:b/>
          <w:bCs/>
          <w:sz w:val="24"/>
          <w:szCs w:val="24"/>
        </w:rPr>
        <w:t>reliability of information collected must be shown to be</w:t>
      </w:r>
      <w:r w:rsidRPr="00831EC5">
        <w:rPr>
          <w:rFonts w:ascii="Times New Roman" w:hAnsi="Times New Roman"/>
          <w:b/>
          <w:bCs/>
          <w:sz w:val="24"/>
          <w:szCs w:val="24"/>
        </w:rPr>
        <w:t xml:space="preserve"> </w:t>
      </w:r>
      <w:r w:rsidRPr="00831EC5">
        <w:rPr>
          <w:rFonts w:ascii="Times New Roman" w:hAnsi="Times New Roman"/>
          <w:b/>
          <w:bCs/>
          <w:sz w:val="24"/>
          <w:szCs w:val="24"/>
        </w:rPr>
        <w:t>adequate for intended uses. For collections based on</w:t>
      </w:r>
      <w:r w:rsidRPr="00831EC5">
        <w:rPr>
          <w:rFonts w:ascii="Times New Roman" w:hAnsi="Times New Roman"/>
          <w:b/>
          <w:bCs/>
          <w:sz w:val="24"/>
          <w:szCs w:val="24"/>
        </w:rPr>
        <w:t xml:space="preserve"> </w:t>
      </w:r>
      <w:r w:rsidRPr="00831EC5">
        <w:rPr>
          <w:rFonts w:ascii="Times New Roman" w:hAnsi="Times New Roman"/>
          <w:b/>
          <w:bCs/>
          <w:sz w:val="24"/>
          <w:szCs w:val="24"/>
        </w:rPr>
        <w:t>sampling, a special justification must be provided for any</w:t>
      </w:r>
      <w:r w:rsidRPr="00831EC5">
        <w:rPr>
          <w:rFonts w:ascii="Times New Roman" w:hAnsi="Times New Roman"/>
          <w:b/>
          <w:bCs/>
          <w:sz w:val="24"/>
          <w:szCs w:val="24"/>
        </w:rPr>
        <w:t xml:space="preserve"> </w:t>
      </w:r>
      <w:r w:rsidRPr="00831EC5">
        <w:rPr>
          <w:rFonts w:ascii="Times New Roman" w:hAnsi="Times New Roman"/>
          <w:b/>
          <w:bCs/>
          <w:sz w:val="24"/>
          <w:szCs w:val="24"/>
        </w:rPr>
        <w:t>collection that will not yield "reliable" data that can be</w:t>
      </w:r>
      <w:r w:rsidRPr="00831EC5">
        <w:rPr>
          <w:rFonts w:ascii="Times New Roman" w:hAnsi="Times New Roman"/>
          <w:b/>
          <w:bCs/>
          <w:sz w:val="24"/>
          <w:szCs w:val="24"/>
        </w:rPr>
        <w:t xml:space="preserve"> </w:t>
      </w:r>
      <w:r w:rsidRPr="00831EC5">
        <w:rPr>
          <w:rFonts w:ascii="Times New Roman" w:hAnsi="Times New Roman"/>
          <w:b/>
          <w:bCs/>
          <w:sz w:val="24"/>
          <w:szCs w:val="24"/>
        </w:rPr>
        <w:t>generalized to the universe studied.</w:t>
      </w:r>
    </w:p>
    <w:p w:rsidR="00831EC5" w:rsidP="00266F6D" w14:paraId="327BBAC2" w14:textId="77777777">
      <w:pPr>
        <w:pStyle w:val="NoSpacing"/>
        <w:rPr>
          <w:rFonts w:ascii="Times New Roman" w:hAnsi="Times New Roman"/>
          <w:b/>
          <w:bCs/>
          <w:sz w:val="24"/>
          <w:szCs w:val="24"/>
        </w:rPr>
      </w:pPr>
    </w:p>
    <w:p w:rsidR="00831EC5" w:rsidRPr="00831EC5" w:rsidP="00831EC5" w14:paraId="4FB86AC2" w14:textId="77777777">
      <w:pPr>
        <w:spacing w:after="180" w:line="264" w:lineRule="auto"/>
        <w:rPr>
          <w:rFonts w:ascii="Times New Roman" w:hAnsi="Times New Roman"/>
          <w:color w:val="000000"/>
          <w:sz w:val="24"/>
          <w:szCs w:val="24"/>
        </w:rPr>
      </w:pPr>
      <w:r w:rsidRPr="00831EC5">
        <w:rPr>
          <w:rFonts w:ascii="Times New Roman" w:hAnsi="Times New Roman"/>
          <w:i/>
          <w:iCs/>
          <w:color w:val="000000"/>
          <w:sz w:val="24"/>
          <w:szCs w:val="24"/>
        </w:rPr>
        <w:t>Baseline information form.</w:t>
      </w:r>
      <w:r w:rsidRPr="00831EC5">
        <w:rPr>
          <w:rFonts w:ascii="Times New Roman" w:hAnsi="Times New Roman"/>
          <w:color w:val="000000"/>
          <w:sz w:val="24"/>
          <w:szCs w:val="24"/>
        </w:rPr>
        <w:t xml:space="preserve">  Response rates will be maximized by tying the completion of the baseline information form to the process for enrolling in the study. More specifically, immediately after providing their informed consent during the individual enrollment meeting with PHA staff, study participants will complete the Baseline Information Form. Additionally, we will offer all consenting volunteers a small gift card of $10 for their time going through the informed consent process and completing the BIF.</w:t>
      </w:r>
    </w:p>
    <w:p w:rsidR="00831EC5" w:rsidRPr="00831EC5" w:rsidP="00831EC5" w14:paraId="70E47CD9" w14:textId="77777777">
      <w:pPr>
        <w:spacing w:after="180" w:line="264" w:lineRule="auto"/>
        <w:rPr>
          <w:rFonts w:ascii="Times New Roman" w:hAnsi="Times New Roman"/>
          <w:color w:val="000000"/>
          <w:sz w:val="24"/>
          <w:szCs w:val="24"/>
        </w:rPr>
      </w:pPr>
      <w:r w:rsidRPr="00831EC5">
        <w:rPr>
          <w:rFonts w:ascii="Times New Roman" w:hAnsi="Times New Roman"/>
          <w:i/>
          <w:iCs/>
          <w:color w:val="000000"/>
          <w:sz w:val="24"/>
          <w:szCs w:val="24"/>
        </w:rPr>
        <w:t xml:space="preserve">Interviews with staff, partners, and residents. </w:t>
      </w:r>
      <w:r w:rsidRPr="00831EC5">
        <w:rPr>
          <w:rFonts w:ascii="Times New Roman" w:hAnsi="Times New Roman"/>
          <w:color w:val="000000"/>
          <w:sz w:val="24"/>
          <w:szCs w:val="24"/>
        </w:rPr>
        <w:t xml:space="preserve">As the research team plans to engage with sites throughout the planning and implementation process, the study anticipates 100 percent participation among cohort PHAs. We will plan with management at each site to find a time that works for most or all relevant staff. Because the research team will be working closely with PHA program staff to identify participants for Interviews with implementation partner staff and residents, we also expect a response rate for these groups to be near 100 percent.   </w:t>
      </w:r>
    </w:p>
    <w:p w:rsidR="00831EC5" w:rsidRPr="00831EC5" w:rsidP="00831EC5" w14:paraId="08969203" w14:textId="77777777">
      <w:pPr>
        <w:rPr>
          <w:rFonts w:ascii="Times New Roman" w:hAnsi="Times New Roman"/>
          <w:sz w:val="24"/>
          <w:szCs w:val="24"/>
        </w:rPr>
      </w:pPr>
      <w:r w:rsidRPr="00831EC5">
        <w:rPr>
          <w:rFonts w:ascii="Times New Roman" w:hAnsi="Times New Roman"/>
          <w:sz w:val="24"/>
          <w:szCs w:val="24"/>
        </w:rPr>
        <w:t xml:space="preserve">To avoid non-response bias, we will work with the sites in arranging the visits to try to obtain 100 percent response </w:t>
      </w:r>
      <w:r w:rsidRPr="00831EC5">
        <w:rPr>
          <w:rFonts w:ascii="Times New Roman" w:hAnsi="Times New Roman"/>
          <w:sz w:val="24"/>
          <w:szCs w:val="24"/>
        </w:rPr>
        <w:t>rate, and</w:t>
      </w:r>
      <w:r w:rsidRPr="00831EC5">
        <w:rPr>
          <w:rFonts w:ascii="Times New Roman" w:hAnsi="Times New Roman"/>
          <w:sz w:val="24"/>
          <w:szCs w:val="24"/>
        </w:rPr>
        <w:t xml:space="preserve"> given that we will arrange our site visits in cooperation with the programs, we expect that we will be able to conduct interviews at times that all interviewees are available. If needed, we can schedule follow-up calls with those with whom we are unable to meet in person due to unforeseen circumstances. With regards to the focus groups, we will work with sites to find times and locations that will be convenient for potential participants and offer incentives that will help offset costs of transportation and rearranging work schedules, </w:t>
      </w:r>
      <w:r w:rsidRPr="00831EC5">
        <w:rPr>
          <w:rFonts w:ascii="Times New Roman" w:hAnsi="Times New Roman"/>
          <w:sz w:val="24"/>
          <w:szCs w:val="24"/>
        </w:rPr>
        <w:t>in order to</w:t>
      </w:r>
      <w:r w:rsidRPr="00831EC5">
        <w:rPr>
          <w:rFonts w:ascii="Times New Roman" w:hAnsi="Times New Roman"/>
          <w:sz w:val="24"/>
          <w:szCs w:val="24"/>
        </w:rPr>
        <w:t xml:space="preserve"> avoid nonresponse bias by only including respondents who are more financially able to attend a focus group. We will share information about the focus groups before visits, so that sites may begin outreach to families and youth well in advance and allow attendees time to coordinate their attendance.</w:t>
      </w:r>
    </w:p>
    <w:p w:rsidR="0030106A" w:rsidP="00763388" w14:paraId="136C3643" w14:textId="77777777">
      <w:pPr>
        <w:pStyle w:val="NoSpacing"/>
        <w:rPr>
          <w:rFonts w:ascii="Times New Roman" w:hAnsi="Times New Roman"/>
          <w:b/>
          <w:bCs/>
          <w:sz w:val="24"/>
          <w:szCs w:val="24"/>
        </w:rPr>
      </w:pPr>
      <w:r w:rsidRPr="00831EC5">
        <w:rPr>
          <w:rFonts w:ascii="Times New Roman" w:hAnsi="Times New Roman"/>
          <w:b/>
          <w:bCs/>
          <w:sz w:val="24"/>
          <w:szCs w:val="24"/>
        </w:rPr>
        <w:t>4. Describe any tests of procedures or methods to be</w:t>
      </w:r>
      <w:r w:rsidRPr="00831EC5" w:rsidR="00763388">
        <w:rPr>
          <w:rFonts w:ascii="Times New Roman" w:hAnsi="Times New Roman"/>
          <w:b/>
          <w:bCs/>
          <w:sz w:val="24"/>
          <w:szCs w:val="24"/>
        </w:rPr>
        <w:t xml:space="preserve"> </w:t>
      </w:r>
      <w:r w:rsidRPr="00831EC5">
        <w:rPr>
          <w:rFonts w:ascii="Times New Roman" w:hAnsi="Times New Roman"/>
          <w:b/>
          <w:bCs/>
          <w:sz w:val="24"/>
          <w:szCs w:val="24"/>
        </w:rPr>
        <w:t>undertaken. Testing is encouraged as an effective means</w:t>
      </w:r>
      <w:r w:rsidRPr="00831EC5" w:rsidR="00763388">
        <w:rPr>
          <w:rFonts w:ascii="Times New Roman" w:hAnsi="Times New Roman"/>
          <w:b/>
          <w:bCs/>
          <w:sz w:val="24"/>
          <w:szCs w:val="24"/>
        </w:rPr>
        <w:t xml:space="preserve"> </w:t>
      </w:r>
      <w:r w:rsidRPr="00831EC5">
        <w:rPr>
          <w:rFonts w:ascii="Times New Roman" w:hAnsi="Times New Roman"/>
          <w:b/>
          <w:bCs/>
          <w:sz w:val="24"/>
          <w:szCs w:val="24"/>
        </w:rPr>
        <w:t>of refining collections of information to minimize burden and</w:t>
      </w:r>
      <w:r w:rsidRPr="00831EC5" w:rsidR="00763388">
        <w:rPr>
          <w:rFonts w:ascii="Times New Roman" w:hAnsi="Times New Roman"/>
          <w:b/>
          <w:bCs/>
          <w:sz w:val="24"/>
          <w:szCs w:val="24"/>
        </w:rPr>
        <w:t xml:space="preserve"> </w:t>
      </w:r>
      <w:r w:rsidRPr="00831EC5">
        <w:rPr>
          <w:rFonts w:ascii="Times New Roman" w:hAnsi="Times New Roman"/>
          <w:b/>
          <w:bCs/>
          <w:sz w:val="24"/>
          <w:szCs w:val="24"/>
        </w:rPr>
        <w:t>improve utility. Tests must be approved if they call for</w:t>
      </w:r>
      <w:r w:rsidRPr="00831EC5" w:rsidR="00763388">
        <w:rPr>
          <w:rFonts w:ascii="Times New Roman" w:hAnsi="Times New Roman"/>
          <w:b/>
          <w:bCs/>
          <w:sz w:val="24"/>
          <w:szCs w:val="24"/>
        </w:rPr>
        <w:t xml:space="preserve"> </w:t>
      </w:r>
      <w:r w:rsidRPr="00831EC5">
        <w:rPr>
          <w:rFonts w:ascii="Times New Roman" w:hAnsi="Times New Roman"/>
          <w:b/>
          <w:bCs/>
          <w:sz w:val="24"/>
          <w:szCs w:val="24"/>
        </w:rPr>
        <w:t>answers to identical questions from 10 or more</w:t>
      </w:r>
      <w:r w:rsidRPr="00831EC5" w:rsidR="00763388">
        <w:rPr>
          <w:rFonts w:ascii="Times New Roman" w:hAnsi="Times New Roman"/>
          <w:b/>
          <w:bCs/>
          <w:sz w:val="24"/>
          <w:szCs w:val="24"/>
        </w:rPr>
        <w:t xml:space="preserve"> </w:t>
      </w:r>
      <w:r w:rsidRPr="00831EC5">
        <w:rPr>
          <w:rFonts w:ascii="Times New Roman" w:hAnsi="Times New Roman"/>
          <w:b/>
          <w:bCs/>
          <w:sz w:val="24"/>
          <w:szCs w:val="24"/>
        </w:rPr>
        <w:t xml:space="preserve">respondents. A proposed test or set of </w:t>
      </w:r>
      <w:r w:rsidRPr="00831EC5">
        <w:rPr>
          <w:rFonts w:ascii="Times New Roman" w:hAnsi="Times New Roman"/>
          <w:b/>
          <w:bCs/>
          <w:sz w:val="24"/>
          <w:szCs w:val="24"/>
        </w:rPr>
        <w:t>test</w:t>
      </w:r>
      <w:r w:rsidRPr="00831EC5">
        <w:rPr>
          <w:rFonts w:ascii="Times New Roman" w:hAnsi="Times New Roman"/>
          <w:b/>
          <w:bCs/>
          <w:sz w:val="24"/>
          <w:szCs w:val="24"/>
        </w:rPr>
        <w:t xml:space="preserve"> may be</w:t>
      </w:r>
      <w:r w:rsidRPr="00831EC5" w:rsidR="00763388">
        <w:rPr>
          <w:rFonts w:ascii="Times New Roman" w:hAnsi="Times New Roman"/>
          <w:b/>
          <w:bCs/>
          <w:sz w:val="24"/>
          <w:szCs w:val="24"/>
        </w:rPr>
        <w:t xml:space="preserve"> </w:t>
      </w:r>
      <w:r w:rsidRPr="00831EC5">
        <w:rPr>
          <w:rFonts w:ascii="Times New Roman" w:hAnsi="Times New Roman"/>
          <w:b/>
          <w:bCs/>
          <w:sz w:val="24"/>
          <w:szCs w:val="24"/>
        </w:rPr>
        <w:t>submitted for approval separately or in combination with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main collection of information.</w:t>
      </w:r>
    </w:p>
    <w:p w:rsidR="00831EC5" w:rsidP="00763388" w14:paraId="396A7285" w14:textId="77777777">
      <w:pPr>
        <w:pStyle w:val="NoSpacing"/>
        <w:rPr>
          <w:rFonts w:ascii="Times New Roman" w:hAnsi="Times New Roman"/>
          <w:b/>
          <w:bCs/>
          <w:sz w:val="24"/>
          <w:szCs w:val="24"/>
        </w:rPr>
      </w:pPr>
    </w:p>
    <w:p w:rsidR="00831EC5" w:rsidRPr="00831EC5" w:rsidP="00831EC5" w14:paraId="43B82B69" w14:textId="77777777">
      <w:pPr>
        <w:rPr>
          <w:rFonts w:ascii="Times New Roman" w:hAnsi="Times New Roman"/>
        </w:rPr>
      </w:pPr>
      <w:r w:rsidRPr="00831EC5">
        <w:rPr>
          <w:rFonts w:ascii="Times New Roman" w:hAnsi="Times New Roman"/>
          <w:sz w:val="24"/>
          <w:szCs w:val="24"/>
        </w:rPr>
        <w:t>Early drafts of the interview protocols have been reviewed by HUD personnel, Abt Associates and MEF Associates staff, our Expert Panel, which includes a former HUD-assisted resident and participant in a rent reporting program, and our project consultants to ensure that the instruments are clear, flow well, and are as concise as possible</w:t>
      </w:r>
      <w:r w:rsidRPr="00831EC5">
        <w:rPr>
          <w:rFonts w:ascii="Times New Roman" w:hAnsi="Times New Roman"/>
        </w:rPr>
        <w:t>.</w:t>
      </w:r>
    </w:p>
    <w:p w:rsidR="00831EC5" w:rsidRPr="00831EC5" w:rsidP="00763388" w14:paraId="0B6645D9" w14:textId="77777777">
      <w:pPr>
        <w:pStyle w:val="NoSpacing"/>
        <w:rPr>
          <w:rFonts w:ascii="Times New Roman" w:hAnsi="Times New Roman"/>
          <w:b/>
          <w:bCs/>
          <w:sz w:val="24"/>
          <w:szCs w:val="24"/>
        </w:rPr>
      </w:pPr>
    </w:p>
    <w:p w:rsidR="0030106A" w:rsidRPr="00B901BE" w:rsidP="00763388" w14:paraId="6D923C1E" w14:textId="77777777">
      <w:pPr>
        <w:pStyle w:val="NoSpacing"/>
        <w:rPr>
          <w:rFonts w:ascii="Times New Roman" w:hAnsi="Times New Roman"/>
          <w:sz w:val="24"/>
          <w:szCs w:val="24"/>
        </w:rPr>
      </w:pPr>
    </w:p>
    <w:p w:rsidR="0072310C" w:rsidP="00763388" w14:paraId="1E194423" w14:textId="77777777">
      <w:pPr>
        <w:pStyle w:val="NoSpacing"/>
        <w:rPr>
          <w:rFonts w:ascii="Times New Roman" w:hAnsi="Times New Roman"/>
          <w:b/>
          <w:bCs/>
          <w:sz w:val="24"/>
          <w:szCs w:val="24"/>
        </w:rPr>
      </w:pPr>
      <w:r w:rsidRPr="00831EC5">
        <w:rPr>
          <w:rFonts w:ascii="Times New Roman" w:hAnsi="Times New Roman"/>
          <w:b/>
          <w:bCs/>
          <w:sz w:val="24"/>
          <w:szCs w:val="24"/>
        </w:rPr>
        <w:t>5. Provide the name and telephone number of individuals</w:t>
      </w:r>
      <w:r w:rsidRPr="00831EC5" w:rsidR="00763388">
        <w:rPr>
          <w:rFonts w:ascii="Times New Roman" w:hAnsi="Times New Roman"/>
          <w:b/>
          <w:bCs/>
          <w:sz w:val="24"/>
          <w:szCs w:val="24"/>
        </w:rPr>
        <w:t xml:space="preserve"> </w:t>
      </w:r>
      <w:r w:rsidRPr="00831EC5">
        <w:rPr>
          <w:rFonts w:ascii="Times New Roman" w:hAnsi="Times New Roman"/>
          <w:b/>
          <w:bCs/>
          <w:sz w:val="24"/>
          <w:szCs w:val="24"/>
        </w:rPr>
        <w:t>consulted on statistical aspects of the design and the name</w:t>
      </w:r>
      <w:r w:rsidRPr="00831EC5" w:rsidR="00763388">
        <w:rPr>
          <w:rFonts w:ascii="Times New Roman" w:hAnsi="Times New Roman"/>
          <w:b/>
          <w:bCs/>
          <w:sz w:val="24"/>
          <w:szCs w:val="24"/>
        </w:rPr>
        <w:t xml:space="preserve"> </w:t>
      </w:r>
      <w:r w:rsidRPr="00831EC5">
        <w:rPr>
          <w:rFonts w:ascii="Times New Roman" w:hAnsi="Times New Roman"/>
          <w:b/>
          <w:bCs/>
          <w:sz w:val="24"/>
          <w:szCs w:val="24"/>
        </w:rPr>
        <w:t>of the agency unit, contractor(s), grantee(s), or other</w:t>
      </w:r>
      <w:r w:rsidRPr="00831EC5" w:rsidR="00763388">
        <w:rPr>
          <w:rFonts w:ascii="Times New Roman" w:hAnsi="Times New Roman"/>
          <w:b/>
          <w:bCs/>
          <w:sz w:val="24"/>
          <w:szCs w:val="24"/>
        </w:rPr>
        <w:t xml:space="preserve"> </w:t>
      </w:r>
      <w:r w:rsidRPr="00831EC5">
        <w:rPr>
          <w:rFonts w:ascii="Times New Roman" w:hAnsi="Times New Roman"/>
          <w:b/>
          <w:bCs/>
          <w:sz w:val="24"/>
          <w:szCs w:val="24"/>
        </w:rPr>
        <w:t xml:space="preserve">person(s) who will </w:t>
      </w:r>
      <w:r w:rsidRPr="00831EC5">
        <w:rPr>
          <w:rFonts w:ascii="Times New Roman" w:hAnsi="Times New Roman"/>
          <w:b/>
          <w:bCs/>
          <w:sz w:val="24"/>
          <w:szCs w:val="24"/>
        </w:rPr>
        <w:t>actually collect</w:t>
      </w:r>
      <w:r w:rsidRPr="00831EC5">
        <w:rPr>
          <w:rFonts w:ascii="Times New Roman" w:hAnsi="Times New Roman"/>
          <w:b/>
          <w:bCs/>
          <w:sz w:val="24"/>
          <w:szCs w:val="24"/>
        </w:rPr>
        <w:t xml:space="preserve"> and/or analyze the</w:t>
      </w:r>
      <w:r w:rsidRPr="00831EC5" w:rsidR="00763388">
        <w:rPr>
          <w:rFonts w:ascii="Times New Roman" w:hAnsi="Times New Roman"/>
          <w:b/>
          <w:bCs/>
          <w:sz w:val="24"/>
          <w:szCs w:val="24"/>
        </w:rPr>
        <w:t xml:space="preserve"> </w:t>
      </w:r>
      <w:r w:rsidRPr="00831EC5">
        <w:rPr>
          <w:rFonts w:ascii="Times New Roman" w:hAnsi="Times New Roman"/>
          <w:b/>
          <w:bCs/>
          <w:sz w:val="24"/>
          <w:szCs w:val="24"/>
        </w:rPr>
        <w:t>information for the agency.</w:t>
      </w:r>
    </w:p>
    <w:p w:rsidR="00831EC5" w:rsidRPr="00831EC5" w:rsidP="00763388" w14:paraId="4A57A24B" w14:textId="77777777">
      <w:pPr>
        <w:pStyle w:val="NoSpacing"/>
        <w:rPr>
          <w:rFonts w:ascii="Times New Roman" w:hAnsi="Times New Roman"/>
          <w:b/>
          <w:bCs/>
          <w:sz w:val="24"/>
          <w:szCs w:val="24"/>
        </w:rPr>
      </w:pPr>
    </w:p>
    <w:p w:rsidR="00831EC5" w:rsidRPr="00831EC5" w:rsidP="00831EC5" w14:paraId="1EF9FE33" w14:textId="77777777">
      <w:pPr>
        <w:rPr>
          <w:rFonts w:ascii="Times New Roman" w:hAnsi="Times New Roman"/>
          <w:sz w:val="24"/>
          <w:szCs w:val="24"/>
        </w:rPr>
      </w:pPr>
      <w:r w:rsidRPr="00831EC5">
        <w:rPr>
          <w:rFonts w:ascii="Times New Roman" w:hAnsi="Times New Roman"/>
          <w:sz w:val="24"/>
          <w:szCs w:val="24"/>
        </w:rPr>
        <w:t xml:space="preserve">The individuals listed in Exhibit 2 below </w:t>
      </w:r>
      <w:r w:rsidRPr="00831EC5">
        <w:rPr>
          <w:rFonts w:ascii="Times New Roman" w:hAnsi="Times New Roman"/>
          <w:sz w:val="24"/>
          <w:szCs w:val="24"/>
        </w:rPr>
        <w:t>made a contribution</w:t>
      </w:r>
      <w:r w:rsidRPr="00831EC5">
        <w:rPr>
          <w:rFonts w:ascii="Times New Roman" w:hAnsi="Times New Roman"/>
          <w:sz w:val="24"/>
          <w:szCs w:val="24"/>
        </w:rPr>
        <w:t xml:space="preserve"> to the design of the evaluation. Baseline Information Form (BIF) data collection will be carried out by PHA staff under supervision of the contractor Abt Associates and its sub-contractor MEF Associates. All other data collection activities described in this document will be carried out directly by the staff of Abt Associates and MEF Associates. </w:t>
      </w:r>
    </w:p>
    <w:p w:rsidR="00831EC5" w:rsidRPr="00831EC5" w:rsidP="00831EC5" w14:paraId="7799B407" w14:textId="77777777">
      <w:pPr>
        <w:pStyle w:val="Caption"/>
        <w:rPr>
          <w:rFonts w:ascii="Times New Roman" w:hAnsi="Times New Roman"/>
          <w:sz w:val="24"/>
          <w:szCs w:val="24"/>
        </w:rPr>
      </w:pPr>
      <w:r w:rsidRPr="00831EC5">
        <w:rPr>
          <w:rFonts w:ascii="Times New Roman" w:hAnsi="Times New Roman"/>
          <w:sz w:val="24"/>
          <w:szCs w:val="24"/>
        </w:rPr>
        <w:t>Exhibit 2: Individuals Consulted</w:t>
      </w:r>
    </w:p>
    <w:tbl>
      <w:tblPr>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
      <w:tblGrid>
        <w:gridCol w:w="3120"/>
        <w:gridCol w:w="3120"/>
        <w:gridCol w:w="3120"/>
      </w:tblGrid>
      <w:tr w14:paraId="08A80B01" w14:textId="77777777" w:rsidTr="00035ADC">
        <w:tblPrEx>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tcPr>
          <w:p w:rsidR="00831EC5" w:rsidRPr="00035ADC" w:rsidP="00035ADC" w14:paraId="5E9C7803" w14:textId="77777777">
            <w:pPr>
              <w:pStyle w:val="ExhibitColumnHeader"/>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Name</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tcPr>
          <w:p w:rsidR="00831EC5" w:rsidRPr="00035ADC" w:rsidP="00035ADC" w14:paraId="33B4F484" w14:textId="77777777">
            <w:pPr>
              <w:pStyle w:val="ExhibitColumnHeader"/>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Telephone Number</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tcPr>
          <w:p w:rsidR="00831EC5" w:rsidRPr="00035ADC" w:rsidP="00035ADC" w14:paraId="4015353C" w14:textId="77777777">
            <w:pPr>
              <w:pStyle w:val="ExhibitColumnHeader"/>
              <w:rPr>
                <w:rFonts w:ascii="Times New Roman" w:eastAsia="Arial Narrow" w:hAnsi="Times New Roman" w:cs="Times New Roman"/>
                <w:color w:val="auto"/>
                <w:sz w:val="24"/>
                <w:szCs w:val="24"/>
              </w:rPr>
            </w:pPr>
            <w:r w:rsidRPr="00035ADC">
              <w:rPr>
                <w:rFonts w:ascii="Times New Roman" w:eastAsia="Arial Narrow" w:hAnsi="Times New Roman" w:cs="Times New Roman"/>
                <w:color w:val="auto"/>
                <w:sz w:val="24"/>
                <w:szCs w:val="24"/>
              </w:rPr>
              <w:t>Role in Study</w:t>
            </w:r>
          </w:p>
        </w:tc>
      </w:tr>
      <w:tr w14:paraId="4B00E39D" w14:textId="77777777" w:rsidTr="00035ADC">
        <w:tblPrEx>
          <w:tblW w:w="0" w:type="auto"/>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31BACE6D"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Sam Elkin</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668DF3C0"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703-838-2722</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6ECD09E1"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Senior Advisor</w:t>
            </w:r>
          </w:p>
        </w:tc>
      </w:tr>
      <w:tr w14:paraId="3377BBEF" w14:textId="77777777" w:rsidTr="00035ADC">
        <w:tblPrEx>
          <w:tblW w:w="0" w:type="auto"/>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7C28E702"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Dr. Stephen Nuñez</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483323EC"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650-521-4532</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6CF5F9A9" w14:textId="77777777">
            <w:pPr>
              <w:pStyle w:val="ExhibitText"/>
              <w:spacing w:line="264" w:lineRule="auto"/>
              <w:rPr>
                <w:rFonts w:ascii="Times New Roman" w:eastAsia="Arial Narrow" w:hAnsi="Times New Roman" w:cs="Times New Roman"/>
                <w:sz w:val="24"/>
                <w:szCs w:val="24"/>
              </w:rPr>
            </w:pPr>
            <w:r w:rsidRPr="00035ADC">
              <w:rPr>
                <w:rFonts w:ascii="Times New Roman" w:eastAsia="Arial Narrow" w:hAnsi="Times New Roman" w:cs="Times New Roman"/>
                <w:sz w:val="24"/>
                <w:szCs w:val="24"/>
              </w:rPr>
              <w:t>Project Director (sub-contractor)</w:t>
            </w:r>
          </w:p>
        </w:tc>
      </w:tr>
      <w:tr w14:paraId="34DF15A7" w14:textId="77777777" w:rsidTr="00035ADC">
        <w:tblPrEx>
          <w:tblW w:w="0" w:type="auto"/>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13719D43"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 xml:space="preserve">Prof. Susan Clampet-Lundquist </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08AADA3A"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610-660-1680</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1D82901B"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Expert Panelist</w:t>
            </w:r>
          </w:p>
        </w:tc>
      </w:tr>
      <w:tr w14:paraId="22A36A7A" w14:textId="77777777" w:rsidTr="00035ADC">
        <w:tblPrEx>
          <w:tblW w:w="0" w:type="auto"/>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6D4E8A32"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Prof. J. Michael Collins</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79189AE5"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608-616-0369</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3FFB3169" w14:textId="77777777">
            <w:pPr>
              <w:spacing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Expert Consultant</w:t>
            </w:r>
          </w:p>
        </w:tc>
      </w:tr>
      <w:tr w14:paraId="38E28335" w14:textId="77777777" w:rsidTr="00035ADC">
        <w:tblPrEx>
          <w:tblW w:w="0" w:type="auto"/>
          <w:tblLayout w:type="fixed"/>
          <w:tblLook w:val="04A0"/>
        </w:tblPrEx>
        <w:trPr>
          <w:trHeight w:val="300"/>
        </w:trPr>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7238A249" w14:textId="77777777">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 xml:space="preserve">Dr. Judy Geyer </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01B6ADCE" w14:textId="77777777">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617-520-2952</w:t>
            </w:r>
          </w:p>
        </w:tc>
        <w:tc>
          <w:tcPr>
            <w:tcW w:w="3120" w:type="dxa"/>
            <w:tcBorders>
              <w:top w:val="single" w:sz="6" w:space="0" w:color="7F7F7F"/>
              <w:left w:val="single" w:sz="6" w:space="0" w:color="7F7F7F"/>
              <w:bottom w:val="single" w:sz="6" w:space="0" w:color="7F7F7F"/>
              <w:right w:val="single" w:sz="6" w:space="0" w:color="7F7F7F"/>
            </w:tcBorders>
            <w:shd w:val="clear" w:color="auto" w:fill="auto"/>
            <w:tcMar>
              <w:left w:w="30" w:type="dxa"/>
              <w:right w:w="30" w:type="dxa"/>
            </w:tcMar>
            <w:vAlign w:val="center"/>
          </w:tcPr>
          <w:p w:rsidR="00831EC5" w:rsidRPr="00035ADC" w:rsidP="00035ADC" w14:paraId="58365EDF" w14:textId="77777777">
            <w:pPr>
              <w:spacing w:before="40" w:after="40" w:line="264" w:lineRule="auto"/>
              <w:rPr>
                <w:rFonts w:ascii="Times New Roman" w:eastAsia="Arial Narrow" w:hAnsi="Times New Roman"/>
                <w:color w:val="000000"/>
                <w:sz w:val="24"/>
                <w:szCs w:val="24"/>
              </w:rPr>
            </w:pPr>
            <w:r w:rsidRPr="00035ADC">
              <w:rPr>
                <w:rFonts w:ascii="Times New Roman" w:eastAsia="Arial Narrow" w:hAnsi="Times New Roman"/>
                <w:color w:val="000000"/>
                <w:sz w:val="24"/>
                <w:szCs w:val="24"/>
              </w:rPr>
              <w:t>Co-Principal Investigator</w:t>
            </w:r>
          </w:p>
        </w:tc>
      </w:tr>
    </w:tbl>
    <w:p w:rsidR="00831EC5" w:rsidRPr="00831EC5" w:rsidP="00831EC5" w14:paraId="64D04BD6" w14:textId="77777777">
      <w:pPr>
        <w:spacing w:after="180" w:line="264" w:lineRule="auto"/>
        <w:rPr>
          <w:rFonts w:ascii="Times New Roman" w:eastAsia="Times New Roman" w:hAnsi="Times New Roman"/>
          <w:color w:val="000000"/>
          <w:sz w:val="24"/>
          <w:szCs w:val="24"/>
        </w:rPr>
      </w:pPr>
    </w:p>
    <w:p w:rsidR="00831EC5" w:rsidRPr="00831EC5" w:rsidP="00831EC5" w14:paraId="25FA4ACD" w14:textId="77777777">
      <w:pPr>
        <w:spacing w:after="180" w:line="264" w:lineRule="auto"/>
        <w:rPr>
          <w:rFonts w:ascii="Times New Roman" w:eastAsia="Times New Roman" w:hAnsi="Times New Roman"/>
          <w:color w:val="000000"/>
          <w:sz w:val="24"/>
          <w:szCs w:val="24"/>
        </w:rPr>
      </w:pPr>
      <w:r w:rsidRPr="00831EC5">
        <w:rPr>
          <w:rFonts w:ascii="Times New Roman" w:eastAsia="Times New Roman" w:hAnsi="Times New Roman"/>
          <w:color w:val="000000"/>
          <w:sz w:val="24"/>
          <w:szCs w:val="24"/>
        </w:rPr>
        <w:t>Inquiries regarding the study’s planned analysis should be directed to:</w:t>
      </w:r>
    </w:p>
    <w:tbl>
      <w:tblPr>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
      <w:tblGrid>
        <w:gridCol w:w="3120"/>
        <w:gridCol w:w="3120"/>
        <w:gridCol w:w="3120"/>
      </w:tblGrid>
      <w:tr w14:paraId="7FFCC602" w14:textId="77777777" w:rsidTr="00035ADC">
        <w:tblPrEx>
          <w:tblW w:w="0" w:type="auto"/>
          <w:tblBorders>
            <w:top w:val="single" w:sz="6" w:space="0" w:color="auto"/>
            <w:left w:val="single" w:sz="6" w:space="0" w:color="auto"/>
            <w:bottom w:val="single" w:sz="6" w:space="0" w:color="auto"/>
            <w:right w:val="single" w:sz="6" w:space="0" w:color="auto"/>
            <w:insideH w:val="single" w:sz="4" w:space="0" w:color="000000"/>
            <w:insideV w:val="single" w:sz="4" w:space="0" w:color="000000"/>
          </w:tblBorders>
          <w:tblLayout w:type="fixed"/>
          <w:tblLook w:val="04A0"/>
        </w:tblPrEx>
        <w:trPr>
          <w:trHeight w:val="300"/>
        </w:trPr>
        <w:tc>
          <w:tcPr>
            <w:tcW w:w="3120" w:type="dxa"/>
            <w:tcBorders>
              <w:top w:val="nil"/>
              <w:left w:val="nil"/>
              <w:bottom w:val="nil"/>
              <w:right w:val="nil"/>
            </w:tcBorders>
            <w:shd w:val="clear" w:color="auto" w:fill="auto"/>
            <w:tcMar>
              <w:left w:w="105" w:type="dxa"/>
              <w:right w:w="105" w:type="dxa"/>
            </w:tcMar>
          </w:tcPr>
          <w:p w:rsidR="00831EC5" w:rsidRPr="00035ADC" w:rsidP="00035ADC" w14:paraId="0E147032" w14:textId="7777777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Dr. Judy Geyer</w:t>
            </w:r>
          </w:p>
        </w:tc>
        <w:tc>
          <w:tcPr>
            <w:tcW w:w="3120" w:type="dxa"/>
            <w:tcBorders>
              <w:top w:val="nil"/>
              <w:left w:val="nil"/>
              <w:bottom w:val="nil"/>
              <w:right w:val="nil"/>
            </w:tcBorders>
            <w:shd w:val="clear" w:color="auto" w:fill="auto"/>
            <w:tcMar>
              <w:left w:w="105" w:type="dxa"/>
              <w:right w:w="105" w:type="dxa"/>
            </w:tcMar>
          </w:tcPr>
          <w:p w:rsidR="00831EC5" w:rsidRPr="00035ADC" w:rsidP="00035ADC" w14:paraId="4120D9D9" w14:textId="7777777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Abt Associates, Co-Principal Investigator</w:t>
            </w:r>
          </w:p>
        </w:tc>
        <w:tc>
          <w:tcPr>
            <w:tcW w:w="3120" w:type="dxa"/>
            <w:tcBorders>
              <w:top w:val="nil"/>
              <w:left w:val="nil"/>
              <w:bottom w:val="nil"/>
              <w:right w:val="nil"/>
            </w:tcBorders>
            <w:shd w:val="clear" w:color="auto" w:fill="auto"/>
            <w:tcMar>
              <w:left w:w="105" w:type="dxa"/>
              <w:right w:w="105" w:type="dxa"/>
            </w:tcMar>
          </w:tcPr>
          <w:p w:rsidR="00831EC5" w:rsidRPr="00035ADC" w:rsidP="00035ADC" w14:paraId="24522FB4" w14:textId="77777777">
            <w:pPr>
              <w:spacing w:after="180" w:line="264" w:lineRule="auto"/>
              <w:rPr>
                <w:rFonts w:ascii="Times New Roman" w:eastAsia="Times New Roman" w:hAnsi="Times New Roman"/>
                <w:i/>
                <w:iCs/>
                <w:sz w:val="24"/>
                <w:szCs w:val="24"/>
              </w:rPr>
            </w:pPr>
            <w:r w:rsidRPr="00035ADC">
              <w:rPr>
                <w:rFonts w:ascii="Times New Roman" w:eastAsia="Times New Roman" w:hAnsi="Times New Roman"/>
                <w:i/>
                <w:iCs/>
                <w:sz w:val="24"/>
                <w:szCs w:val="24"/>
              </w:rPr>
              <w:t xml:space="preserve">617-520-2952  </w:t>
            </w:r>
          </w:p>
        </w:tc>
      </w:tr>
      <w:tr w14:paraId="29244133" w14:textId="77777777" w:rsidTr="00035ADC">
        <w:tblPrEx>
          <w:tblW w:w="0" w:type="auto"/>
          <w:tblLayout w:type="fixed"/>
          <w:tblLook w:val="04A0"/>
        </w:tblPrEx>
        <w:trPr>
          <w:trHeight w:val="300"/>
        </w:trPr>
        <w:tc>
          <w:tcPr>
            <w:tcW w:w="3120" w:type="dxa"/>
            <w:tcBorders>
              <w:top w:val="nil"/>
              <w:left w:val="nil"/>
              <w:bottom w:val="nil"/>
              <w:right w:val="nil"/>
            </w:tcBorders>
            <w:shd w:val="clear" w:color="auto" w:fill="auto"/>
            <w:tcMar>
              <w:left w:w="105" w:type="dxa"/>
              <w:right w:w="105" w:type="dxa"/>
            </w:tcMar>
          </w:tcPr>
          <w:p w:rsidR="00831EC5" w:rsidRPr="00035ADC" w:rsidP="00035ADC" w14:paraId="1F452EB8"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Elizabeth Rudd</w:t>
            </w:r>
            <w:r w:rsidR="004C1B96">
              <w:rPr>
                <w:rFonts w:ascii="Times New Roman" w:eastAsia="Times New Roman" w:hAnsi="Times New Roman"/>
                <w:i/>
                <w:iCs/>
                <w:sz w:val="24"/>
                <w:szCs w:val="24"/>
              </w:rPr>
              <w:t>, Ph.D.</w:t>
            </w:r>
          </w:p>
        </w:tc>
        <w:tc>
          <w:tcPr>
            <w:tcW w:w="3120" w:type="dxa"/>
            <w:tcBorders>
              <w:top w:val="nil"/>
              <w:left w:val="nil"/>
              <w:bottom w:val="nil"/>
              <w:right w:val="nil"/>
            </w:tcBorders>
            <w:shd w:val="clear" w:color="auto" w:fill="auto"/>
            <w:tcMar>
              <w:left w:w="105" w:type="dxa"/>
              <w:right w:w="105" w:type="dxa"/>
            </w:tcMar>
          </w:tcPr>
          <w:p w:rsidR="00831EC5" w:rsidRPr="00035ADC" w:rsidP="00035ADC" w14:paraId="3C1E0337"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HUD,</w:t>
            </w:r>
            <w:r w:rsidRPr="00035ADC">
              <w:rPr>
                <w:rFonts w:ascii="Times New Roman" w:eastAsia="Times New Roman" w:hAnsi="Times New Roman"/>
                <w:sz w:val="24"/>
                <w:szCs w:val="24"/>
              </w:rPr>
              <w:t xml:space="preserve"> </w:t>
            </w:r>
            <w:r w:rsidRPr="00035ADC">
              <w:rPr>
                <w:rFonts w:ascii="Times New Roman" w:eastAsia="Times New Roman" w:hAnsi="Times New Roman"/>
                <w:i/>
                <w:iCs/>
                <w:sz w:val="24"/>
                <w:szCs w:val="24"/>
              </w:rPr>
              <w:t>Contracting Officer’s Representative</w:t>
            </w:r>
          </w:p>
        </w:tc>
        <w:tc>
          <w:tcPr>
            <w:tcW w:w="3120" w:type="dxa"/>
            <w:tcBorders>
              <w:top w:val="nil"/>
              <w:left w:val="nil"/>
              <w:bottom w:val="nil"/>
              <w:right w:val="nil"/>
            </w:tcBorders>
            <w:shd w:val="clear" w:color="auto" w:fill="auto"/>
            <w:tcMar>
              <w:left w:w="105" w:type="dxa"/>
              <w:right w:w="105" w:type="dxa"/>
            </w:tcMar>
          </w:tcPr>
          <w:p w:rsidR="00831EC5" w:rsidRPr="00035ADC" w:rsidP="00035ADC" w14:paraId="666E1B90" w14:textId="77777777">
            <w:pPr>
              <w:spacing w:after="180" w:line="264" w:lineRule="auto"/>
              <w:rPr>
                <w:rFonts w:ascii="Times New Roman" w:eastAsia="Times New Roman" w:hAnsi="Times New Roman"/>
                <w:sz w:val="24"/>
                <w:szCs w:val="24"/>
              </w:rPr>
            </w:pPr>
            <w:r w:rsidRPr="00035ADC">
              <w:rPr>
                <w:rFonts w:ascii="Times New Roman" w:eastAsia="Times New Roman" w:hAnsi="Times New Roman"/>
                <w:i/>
                <w:iCs/>
                <w:sz w:val="24"/>
                <w:szCs w:val="24"/>
              </w:rPr>
              <w:t>202-402-7607</w:t>
            </w:r>
          </w:p>
        </w:tc>
      </w:tr>
    </w:tbl>
    <w:p w:rsidR="00831EC5" w:rsidRPr="00831EC5" w:rsidP="00763388" w14:paraId="6EE60BDB" w14:textId="77777777">
      <w:pPr>
        <w:pStyle w:val="NoSpacing"/>
        <w:rPr>
          <w:rFonts w:ascii="Times New Roman" w:hAnsi="Times New Roman"/>
          <w:b/>
          <w:bCs/>
          <w:sz w:val="24"/>
          <w:szCs w:val="24"/>
        </w:rPr>
      </w:pPr>
    </w:p>
    <w:sectPr w:rsidSect="0030106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9CD3532"/>
    <w:multiLevelType w:val="hybridMultilevel"/>
    <w:tmpl w:val="0974E854"/>
    <w:lvl w:ilvl="0">
      <w:start w:val="1"/>
      <w:numFmt w:val="bullet"/>
      <w:lvlText w:val=""/>
      <w:lvlJc w:val="left"/>
      <w:pPr>
        <w:ind w:left="1440" w:hanging="360"/>
      </w:pPr>
      <w:rPr>
        <w:rFonts w:ascii="Symbol" w:hAnsi="Symbol" w:hint="default"/>
      </w:rPr>
    </w:lvl>
    <w:lvl w:ilvl="1" w:tentative="1">
      <w:start w:val="1"/>
      <w:numFmt w:val="bullet"/>
      <w:lvlText w:val="o"/>
      <w:lvlJc w:val="left"/>
      <w:pPr>
        <w:ind w:left="2160" w:hanging="360"/>
      </w:pPr>
      <w:rPr>
        <w:rFonts w:ascii="Courier New" w:hAnsi="Courier New" w:cs="Courier New" w:hint="default"/>
      </w:rPr>
    </w:lvl>
    <w:lvl w:ilvl="2" w:tentative="1">
      <w:start w:val="1"/>
      <w:numFmt w:val="bullet"/>
      <w:lvlText w:val=""/>
      <w:lvlJc w:val="left"/>
      <w:pPr>
        <w:ind w:left="2880" w:hanging="360"/>
      </w:pPr>
      <w:rPr>
        <w:rFonts w:ascii="Wingdings" w:hAnsi="Wingdings" w:hint="default"/>
      </w:rPr>
    </w:lvl>
    <w:lvl w:ilvl="3" w:tentative="1">
      <w:start w:val="1"/>
      <w:numFmt w:val="bullet"/>
      <w:lvlText w:val=""/>
      <w:lvlJc w:val="left"/>
      <w:pPr>
        <w:ind w:left="3600" w:hanging="360"/>
      </w:pPr>
      <w:rPr>
        <w:rFonts w:ascii="Symbol" w:hAnsi="Symbol" w:hint="default"/>
      </w:rPr>
    </w:lvl>
    <w:lvl w:ilvl="4" w:tentative="1">
      <w:start w:val="1"/>
      <w:numFmt w:val="bullet"/>
      <w:lvlText w:val="o"/>
      <w:lvlJc w:val="left"/>
      <w:pPr>
        <w:ind w:left="4320" w:hanging="360"/>
      </w:pPr>
      <w:rPr>
        <w:rFonts w:ascii="Courier New" w:hAnsi="Courier New" w:cs="Courier New" w:hint="default"/>
      </w:rPr>
    </w:lvl>
    <w:lvl w:ilvl="5" w:tentative="1">
      <w:start w:val="1"/>
      <w:numFmt w:val="bullet"/>
      <w:lvlText w:val=""/>
      <w:lvlJc w:val="left"/>
      <w:pPr>
        <w:ind w:left="5040" w:hanging="360"/>
      </w:pPr>
      <w:rPr>
        <w:rFonts w:ascii="Wingdings" w:hAnsi="Wingdings" w:hint="default"/>
      </w:rPr>
    </w:lvl>
    <w:lvl w:ilvl="6" w:tentative="1">
      <w:start w:val="1"/>
      <w:numFmt w:val="bullet"/>
      <w:lvlText w:val=""/>
      <w:lvlJc w:val="left"/>
      <w:pPr>
        <w:ind w:left="5760" w:hanging="360"/>
      </w:pPr>
      <w:rPr>
        <w:rFonts w:ascii="Symbol" w:hAnsi="Symbol" w:hint="default"/>
      </w:rPr>
    </w:lvl>
    <w:lvl w:ilvl="7" w:tentative="1">
      <w:start w:val="1"/>
      <w:numFmt w:val="bullet"/>
      <w:lvlText w:val="o"/>
      <w:lvlJc w:val="left"/>
      <w:pPr>
        <w:ind w:left="6480" w:hanging="360"/>
      </w:pPr>
      <w:rPr>
        <w:rFonts w:ascii="Courier New" w:hAnsi="Courier New" w:cs="Courier New" w:hint="default"/>
      </w:rPr>
    </w:lvl>
    <w:lvl w:ilvl="8" w:tentative="1">
      <w:start w:val="1"/>
      <w:numFmt w:val="bullet"/>
      <w:lvlText w:val=""/>
      <w:lvlJc w:val="left"/>
      <w:pPr>
        <w:ind w:left="7200" w:hanging="360"/>
      </w:pPr>
      <w:rPr>
        <w:rFonts w:ascii="Wingdings" w:hAnsi="Wingdings" w:hint="default"/>
      </w:rPr>
    </w:lvl>
  </w:abstractNum>
  <w:abstractNum w:abstractNumId="1">
    <w:nsid w:val="28D81D62"/>
    <w:multiLevelType w:val="hybridMultilevel"/>
    <w:tmpl w:val="CB86883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DF267AD"/>
    <w:multiLevelType w:val="hybridMultilevel"/>
    <w:tmpl w:val="2F7E82F4"/>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3">
    <w:nsid w:val="2F40783B"/>
    <w:multiLevelType w:val="hybridMultilevel"/>
    <w:tmpl w:val="7EF8526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4">
    <w:nsid w:val="391D58FD"/>
    <w:multiLevelType w:val="hybridMultilevel"/>
    <w:tmpl w:val="317E190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5">
    <w:nsid w:val="63F16DBF"/>
    <w:multiLevelType w:val="hybridMultilevel"/>
    <w:tmpl w:val="70944E02"/>
    <w:lvl w:ilvl="0">
      <w:start w:val="1"/>
      <w:numFmt w:val="bullet"/>
      <w:lvlText w:val=""/>
      <w:lvlJc w:val="left"/>
      <w:pPr>
        <w:ind w:left="360" w:hanging="360"/>
      </w:pPr>
      <w:rPr>
        <w:rFonts w:ascii="Symbol" w:hAnsi="Symbol" w:hint="default"/>
      </w:rPr>
    </w:lvl>
    <w:lvl w:ilvl="1" w:tentative="1">
      <w:start w:val="1"/>
      <w:numFmt w:val="bullet"/>
      <w:lvlText w:val="o"/>
      <w:lvlJc w:val="left"/>
      <w:pPr>
        <w:ind w:left="1080" w:hanging="360"/>
      </w:pPr>
      <w:rPr>
        <w:rFonts w:ascii="Courier New" w:hAnsi="Courier New" w:cs="Courier New" w:hint="default"/>
      </w:rPr>
    </w:lvl>
    <w:lvl w:ilvl="2" w:tentative="1">
      <w:start w:val="1"/>
      <w:numFmt w:val="bullet"/>
      <w:lvlText w:val=""/>
      <w:lvlJc w:val="left"/>
      <w:pPr>
        <w:ind w:left="1800" w:hanging="360"/>
      </w:pPr>
      <w:rPr>
        <w:rFonts w:ascii="Wingdings" w:hAnsi="Wingdings" w:hint="default"/>
      </w:rPr>
    </w:lvl>
    <w:lvl w:ilvl="3" w:tentative="1">
      <w:start w:val="1"/>
      <w:numFmt w:val="bullet"/>
      <w:lvlText w:val=""/>
      <w:lvlJc w:val="left"/>
      <w:pPr>
        <w:ind w:left="2520" w:hanging="360"/>
      </w:pPr>
      <w:rPr>
        <w:rFonts w:ascii="Symbol" w:hAnsi="Symbol" w:hint="default"/>
      </w:rPr>
    </w:lvl>
    <w:lvl w:ilvl="4" w:tentative="1">
      <w:start w:val="1"/>
      <w:numFmt w:val="bullet"/>
      <w:lvlText w:val="o"/>
      <w:lvlJc w:val="left"/>
      <w:pPr>
        <w:ind w:left="3240" w:hanging="360"/>
      </w:pPr>
      <w:rPr>
        <w:rFonts w:ascii="Courier New" w:hAnsi="Courier New" w:cs="Courier New" w:hint="default"/>
      </w:rPr>
    </w:lvl>
    <w:lvl w:ilvl="5" w:tentative="1">
      <w:start w:val="1"/>
      <w:numFmt w:val="bullet"/>
      <w:lvlText w:val=""/>
      <w:lvlJc w:val="left"/>
      <w:pPr>
        <w:ind w:left="3960" w:hanging="360"/>
      </w:pPr>
      <w:rPr>
        <w:rFonts w:ascii="Wingdings" w:hAnsi="Wingdings" w:hint="default"/>
      </w:rPr>
    </w:lvl>
    <w:lvl w:ilvl="6" w:tentative="1">
      <w:start w:val="1"/>
      <w:numFmt w:val="bullet"/>
      <w:lvlText w:val=""/>
      <w:lvlJc w:val="left"/>
      <w:pPr>
        <w:ind w:left="4680" w:hanging="360"/>
      </w:pPr>
      <w:rPr>
        <w:rFonts w:ascii="Symbol" w:hAnsi="Symbol" w:hint="default"/>
      </w:rPr>
    </w:lvl>
    <w:lvl w:ilvl="7" w:tentative="1">
      <w:start w:val="1"/>
      <w:numFmt w:val="bullet"/>
      <w:lvlText w:val="o"/>
      <w:lvlJc w:val="left"/>
      <w:pPr>
        <w:ind w:left="5400" w:hanging="360"/>
      </w:pPr>
      <w:rPr>
        <w:rFonts w:ascii="Courier New" w:hAnsi="Courier New" w:cs="Courier New" w:hint="default"/>
      </w:rPr>
    </w:lvl>
    <w:lvl w:ilvl="8" w:tentative="1">
      <w:start w:val="1"/>
      <w:numFmt w:val="bullet"/>
      <w:lvlText w:val=""/>
      <w:lvlJc w:val="left"/>
      <w:pPr>
        <w:ind w:left="6120" w:hanging="360"/>
      </w:pPr>
      <w:rPr>
        <w:rFonts w:ascii="Wingdings" w:hAnsi="Wingdings" w:hint="default"/>
      </w:rPr>
    </w:lvl>
  </w:abstractNum>
  <w:abstractNum w:abstractNumId="6">
    <w:nsid w:val="6F987841"/>
    <w:multiLevelType w:val="hybridMultilevel"/>
    <w:tmpl w:val="59268D74"/>
    <w:lvl w:ilvl="0">
      <w:start w:val="1"/>
      <w:numFmt w:val="bullet"/>
      <w:lvlText w:val=""/>
      <w:lvlJc w:val="left"/>
      <w:pPr>
        <w:ind w:left="765" w:hanging="360"/>
      </w:pPr>
      <w:rPr>
        <w:rFonts w:ascii="Symbol" w:hAnsi="Symbol" w:hint="default"/>
      </w:rPr>
    </w:lvl>
    <w:lvl w:ilvl="1" w:tentative="1">
      <w:start w:val="1"/>
      <w:numFmt w:val="bullet"/>
      <w:lvlText w:val="o"/>
      <w:lvlJc w:val="left"/>
      <w:pPr>
        <w:ind w:left="1485" w:hanging="360"/>
      </w:pPr>
      <w:rPr>
        <w:rFonts w:ascii="Courier New" w:hAnsi="Courier New" w:cs="Courier New" w:hint="default"/>
      </w:rPr>
    </w:lvl>
    <w:lvl w:ilvl="2" w:tentative="1">
      <w:start w:val="1"/>
      <w:numFmt w:val="bullet"/>
      <w:lvlText w:val=""/>
      <w:lvlJc w:val="left"/>
      <w:pPr>
        <w:ind w:left="2205" w:hanging="360"/>
      </w:pPr>
      <w:rPr>
        <w:rFonts w:ascii="Wingdings" w:hAnsi="Wingdings" w:hint="default"/>
      </w:rPr>
    </w:lvl>
    <w:lvl w:ilvl="3" w:tentative="1">
      <w:start w:val="1"/>
      <w:numFmt w:val="bullet"/>
      <w:lvlText w:val=""/>
      <w:lvlJc w:val="left"/>
      <w:pPr>
        <w:ind w:left="2925" w:hanging="360"/>
      </w:pPr>
      <w:rPr>
        <w:rFonts w:ascii="Symbol" w:hAnsi="Symbol" w:hint="default"/>
      </w:rPr>
    </w:lvl>
    <w:lvl w:ilvl="4" w:tentative="1">
      <w:start w:val="1"/>
      <w:numFmt w:val="bullet"/>
      <w:lvlText w:val="o"/>
      <w:lvlJc w:val="left"/>
      <w:pPr>
        <w:ind w:left="3645" w:hanging="360"/>
      </w:pPr>
      <w:rPr>
        <w:rFonts w:ascii="Courier New" w:hAnsi="Courier New" w:cs="Courier New" w:hint="default"/>
      </w:rPr>
    </w:lvl>
    <w:lvl w:ilvl="5" w:tentative="1">
      <w:start w:val="1"/>
      <w:numFmt w:val="bullet"/>
      <w:lvlText w:val=""/>
      <w:lvlJc w:val="left"/>
      <w:pPr>
        <w:ind w:left="4365" w:hanging="360"/>
      </w:pPr>
      <w:rPr>
        <w:rFonts w:ascii="Wingdings" w:hAnsi="Wingdings" w:hint="default"/>
      </w:rPr>
    </w:lvl>
    <w:lvl w:ilvl="6" w:tentative="1">
      <w:start w:val="1"/>
      <w:numFmt w:val="bullet"/>
      <w:lvlText w:val=""/>
      <w:lvlJc w:val="left"/>
      <w:pPr>
        <w:ind w:left="5085" w:hanging="360"/>
      </w:pPr>
      <w:rPr>
        <w:rFonts w:ascii="Symbol" w:hAnsi="Symbol" w:hint="default"/>
      </w:rPr>
    </w:lvl>
    <w:lvl w:ilvl="7" w:tentative="1">
      <w:start w:val="1"/>
      <w:numFmt w:val="bullet"/>
      <w:lvlText w:val="o"/>
      <w:lvlJc w:val="left"/>
      <w:pPr>
        <w:ind w:left="5805" w:hanging="360"/>
      </w:pPr>
      <w:rPr>
        <w:rFonts w:ascii="Courier New" w:hAnsi="Courier New" w:cs="Courier New" w:hint="default"/>
      </w:rPr>
    </w:lvl>
    <w:lvl w:ilvl="8" w:tentative="1">
      <w:start w:val="1"/>
      <w:numFmt w:val="bullet"/>
      <w:lvlText w:val=""/>
      <w:lvlJc w:val="left"/>
      <w:pPr>
        <w:ind w:left="6525" w:hanging="360"/>
      </w:pPr>
      <w:rPr>
        <w:rFonts w:ascii="Wingdings" w:hAnsi="Wingdings" w:hint="default"/>
      </w:rPr>
    </w:lvl>
  </w:abstractNum>
  <w:num w:numId="1" w16cid:durableId="799960398">
    <w:abstractNumId w:val="5"/>
  </w:num>
  <w:num w:numId="2" w16cid:durableId="633217007">
    <w:abstractNumId w:val="4"/>
  </w:num>
  <w:num w:numId="3" w16cid:durableId="1125583649">
    <w:abstractNumId w:val="2"/>
  </w:num>
  <w:num w:numId="4" w16cid:durableId="665281260">
    <w:abstractNumId w:val="0"/>
  </w:num>
  <w:num w:numId="5" w16cid:durableId="1073235399">
    <w:abstractNumId w:val="1"/>
  </w:num>
  <w:num w:numId="6" w16cid:durableId="658731472">
    <w:abstractNumId w:val="6"/>
  </w:num>
  <w:num w:numId="7" w16cid:durableId="17762437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6F6D"/>
    <w:rsid w:val="00035ADC"/>
    <w:rsid w:val="000A251D"/>
    <w:rsid w:val="00250C5C"/>
    <w:rsid w:val="00266F6D"/>
    <w:rsid w:val="002D75E2"/>
    <w:rsid w:val="0030106A"/>
    <w:rsid w:val="00303909"/>
    <w:rsid w:val="00357386"/>
    <w:rsid w:val="003A45C4"/>
    <w:rsid w:val="003B2333"/>
    <w:rsid w:val="0043499D"/>
    <w:rsid w:val="004C1B96"/>
    <w:rsid w:val="00557ABE"/>
    <w:rsid w:val="00653794"/>
    <w:rsid w:val="007000A9"/>
    <w:rsid w:val="0072310C"/>
    <w:rsid w:val="00763388"/>
    <w:rsid w:val="00774C0E"/>
    <w:rsid w:val="00785D8B"/>
    <w:rsid w:val="007A6E12"/>
    <w:rsid w:val="00831EC5"/>
    <w:rsid w:val="008F6568"/>
    <w:rsid w:val="00901CD6"/>
    <w:rsid w:val="00913903"/>
    <w:rsid w:val="0099300E"/>
    <w:rsid w:val="00A70399"/>
    <w:rsid w:val="00A87030"/>
    <w:rsid w:val="00B6022B"/>
    <w:rsid w:val="00B901BE"/>
    <w:rsid w:val="00BA3091"/>
    <w:rsid w:val="00C67E1B"/>
    <w:rsid w:val="00E629C3"/>
    <w:rsid w:val="00E72113"/>
    <w:rsid w:val="00E954B9"/>
    <w:rsid w:val="00ED1ECE"/>
    <w:rsid w:val="00EE1F15"/>
    <w:rsid w:val="00F33BEB"/>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47BF1092"/>
  <w15:chartTrackingRefBased/>
  <w15:docId w15:val="{CE178FAA-06D6-431D-9551-E399FFF86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70399"/>
    <w:pPr>
      <w:spacing w:after="200" w:line="276" w:lineRule="auto"/>
    </w:pPr>
    <w:rPr>
      <w:sz w:val="22"/>
      <w:szCs w:val="22"/>
    </w:rPr>
  </w:style>
  <w:style w:type="paragraph" w:styleId="Heading1">
    <w:name w:val="heading 1"/>
    <w:basedOn w:val="Normal"/>
    <w:next w:val="Normal"/>
    <w:link w:val="Heading1Char"/>
    <w:qFormat/>
    <w:rsid w:val="003B2333"/>
    <w:pPr>
      <w:keepNext/>
      <w:tabs>
        <w:tab w:val="left" w:pos="36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s>
      <w:overflowPunct w:val="0"/>
      <w:autoSpaceDE w:val="0"/>
      <w:autoSpaceDN w:val="0"/>
      <w:adjustRightInd w:val="0"/>
      <w:spacing w:after="0" w:line="240" w:lineRule="auto"/>
      <w:jc w:val="center"/>
      <w:textAlignment w:val="baseline"/>
      <w:outlineLvl w:val="0"/>
    </w:pPr>
    <w:rPr>
      <w:rFonts w:ascii="Helvetica" w:eastAsia="Times New Roman" w:hAnsi="Helvetica"/>
      <w:b/>
      <w:sz w:val="24"/>
      <w:szCs w:val="20"/>
    </w:rPr>
  </w:style>
  <w:style w:type="paragraph" w:styleId="Heading2">
    <w:name w:val="heading 2"/>
    <w:basedOn w:val="Normal"/>
    <w:next w:val="Normal"/>
    <w:link w:val="Heading2Char"/>
    <w:uiPriority w:val="9"/>
    <w:unhideWhenUsed/>
    <w:qFormat/>
    <w:rsid w:val="00831EC5"/>
    <w:pPr>
      <w:keepNext/>
      <w:keepLines/>
      <w:spacing w:before="40" w:after="0" w:line="259" w:lineRule="auto"/>
      <w:outlineLvl w:val="1"/>
    </w:pPr>
    <w:rPr>
      <w:rFonts w:ascii="Calibri Light" w:eastAsia="MS Gothic" w:hAnsi="Calibri Light"/>
      <w:color w:val="2F5496"/>
      <w:sz w:val="26"/>
      <w:szCs w:val="26"/>
    </w:rPr>
  </w:style>
  <w:style w:type="paragraph" w:styleId="Heading3">
    <w:name w:val="heading 3"/>
    <w:basedOn w:val="Normal"/>
    <w:next w:val="Normal"/>
    <w:link w:val="Heading3Char"/>
    <w:uiPriority w:val="9"/>
    <w:unhideWhenUsed/>
    <w:qFormat/>
    <w:rsid w:val="00831EC5"/>
    <w:pPr>
      <w:keepNext/>
      <w:keepLines/>
      <w:spacing w:before="40" w:after="0" w:line="259" w:lineRule="auto"/>
      <w:outlineLvl w:val="2"/>
    </w:pPr>
    <w:rPr>
      <w:rFonts w:ascii="Calibri Light" w:eastAsia="MS Gothic" w:hAnsi="Calibri Light"/>
      <w:color w:val="1F3763"/>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266F6D"/>
    <w:rPr>
      <w:sz w:val="22"/>
      <w:szCs w:val="22"/>
    </w:rPr>
  </w:style>
  <w:style w:type="character" w:styleId="Hyperlink">
    <w:name w:val="Hyperlink"/>
    <w:uiPriority w:val="99"/>
    <w:unhideWhenUsed/>
    <w:rsid w:val="002D75E2"/>
    <w:rPr>
      <w:rFonts w:ascii="Verdana" w:hAnsi="Verdana" w:hint="default"/>
      <w:strike w:val="0"/>
      <w:dstrike w:val="0"/>
      <w:color w:val="000099"/>
      <w:sz w:val="17"/>
      <w:szCs w:val="17"/>
      <w:u w:val="none"/>
      <w:effect w:val="none"/>
    </w:rPr>
  </w:style>
  <w:style w:type="character" w:customStyle="1" w:styleId="Heading1Char">
    <w:name w:val="Heading 1 Char"/>
    <w:link w:val="Heading1"/>
    <w:rsid w:val="003B2333"/>
    <w:rPr>
      <w:rFonts w:ascii="Helvetica" w:eastAsia="Times New Roman" w:hAnsi="Helvetica"/>
      <w:b/>
      <w:sz w:val="24"/>
    </w:rPr>
  </w:style>
  <w:style w:type="paragraph" w:styleId="Header">
    <w:name w:val="header"/>
    <w:basedOn w:val="Normal"/>
    <w:link w:val="HeaderChar"/>
    <w:uiPriority w:val="99"/>
    <w:unhideWhenUsed/>
    <w:rsid w:val="00557ABE"/>
    <w:pPr>
      <w:tabs>
        <w:tab w:val="center" w:pos="4680"/>
        <w:tab w:val="right" w:pos="9360"/>
      </w:tabs>
    </w:pPr>
  </w:style>
  <w:style w:type="character" w:customStyle="1" w:styleId="HeaderChar">
    <w:name w:val="Header Char"/>
    <w:link w:val="Header"/>
    <w:uiPriority w:val="99"/>
    <w:rsid w:val="00557ABE"/>
    <w:rPr>
      <w:sz w:val="22"/>
      <w:szCs w:val="22"/>
    </w:rPr>
  </w:style>
  <w:style w:type="paragraph" w:styleId="Footer">
    <w:name w:val="footer"/>
    <w:basedOn w:val="Normal"/>
    <w:link w:val="FooterChar"/>
    <w:uiPriority w:val="99"/>
    <w:unhideWhenUsed/>
    <w:rsid w:val="00557ABE"/>
    <w:pPr>
      <w:tabs>
        <w:tab w:val="center" w:pos="4680"/>
        <w:tab w:val="right" w:pos="9360"/>
      </w:tabs>
    </w:pPr>
  </w:style>
  <w:style w:type="character" w:customStyle="1" w:styleId="FooterChar">
    <w:name w:val="Footer Char"/>
    <w:link w:val="Footer"/>
    <w:uiPriority w:val="99"/>
    <w:rsid w:val="00557ABE"/>
    <w:rPr>
      <w:sz w:val="22"/>
      <w:szCs w:val="22"/>
    </w:rPr>
  </w:style>
  <w:style w:type="paragraph" w:styleId="BalloonText">
    <w:name w:val="Balloon Text"/>
    <w:basedOn w:val="Normal"/>
    <w:link w:val="BalloonTextChar"/>
    <w:uiPriority w:val="99"/>
    <w:semiHidden/>
    <w:unhideWhenUsed/>
    <w:rsid w:val="00557ABE"/>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557ABE"/>
    <w:rPr>
      <w:rFonts w:ascii="Tahoma" w:hAnsi="Tahoma" w:cs="Tahoma"/>
      <w:sz w:val="16"/>
      <w:szCs w:val="16"/>
    </w:rPr>
  </w:style>
  <w:style w:type="paragraph" w:customStyle="1" w:styleId="ExhibitColumnHeader">
    <w:name w:val="Exhibit Column Header"/>
    <w:basedOn w:val="Normal"/>
    <w:qFormat/>
    <w:rsid w:val="00831EC5"/>
    <w:pPr>
      <w:spacing w:before="40" w:after="40" w:line="259" w:lineRule="auto"/>
      <w:jc w:val="center"/>
    </w:pPr>
    <w:rPr>
      <w:rFonts w:ascii="Arial Narrow" w:eastAsia="Times New Roman" w:hAnsi="Arial Narrow" w:cs="Arial"/>
      <w:b/>
      <w:bCs/>
      <w:color w:val="000000"/>
      <w:sz w:val="18"/>
      <w:szCs w:val="18"/>
    </w:rPr>
  </w:style>
  <w:style w:type="paragraph" w:customStyle="1" w:styleId="ExhibitText">
    <w:name w:val="Exhibit Text"/>
    <w:basedOn w:val="Normal"/>
    <w:qFormat/>
    <w:rsid w:val="00831EC5"/>
    <w:pPr>
      <w:spacing w:before="40" w:after="40" w:line="259" w:lineRule="auto"/>
    </w:pPr>
    <w:rPr>
      <w:rFonts w:ascii="Arial Narrow" w:eastAsia="Times New Roman" w:hAnsi="Arial Narrow" w:cs="Arial"/>
      <w:color w:val="000000"/>
      <w:sz w:val="18"/>
      <w:szCs w:val="18"/>
    </w:rPr>
  </w:style>
  <w:style w:type="table" w:styleId="TableGrid">
    <w:name w:val="Table Grid"/>
    <w:basedOn w:val="TableNormal"/>
    <w:uiPriority w:val="39"/>
    <w:rsid w:val="00831EC5"/>
    <w:rPr>
      <w:rFonts w:cs="Arial"/>
      <w:sz w:val="22"/>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3Char">
    <w:name w:val="Heading 3 Char"/>
    <w:link w:val="Heading3"/>
    <w:uiPriority w:val="9"/>
    <w:rsid w:val="00831EC5"/>
    <w:rPr>
      <w:rFonts w:ascii="Calibri Light" w:eastAsia="MS Gothic" w:hAnsi="Calibri Light"/>
      <w:color w:val="1F3763"/>
      <w:sz w:val="24"/>
      <w:szCs w:val="24"/>
    </w:rPr>
  </w:style>
  <w:style w:type="paragraph" w:styleId="ListParagraph">
    <w:name w:val="List Paragraph"/>
    <w:basedOn w:val="Normal"/>
    <w:uiPriority w:val="34"/>
    <w:qFormat/>
    <w:rsid w:val="00831EC5"/>
    <w:pPr>
      <w:spacing w:after="160" w:line="259" w:lineRule="auto"/>
      <w:ind w:left="720"/>
      <w:contextualSpacing/>
    </w:pPr>
    <w:rPr>
      <w:rFonts w:cs="Arial"/>
    </w:rPr>
  </w:style>
  <w:style w:type="character" w:customStyle="1" w:styleId="Heading2Char">
    <w:name w:val="Heading 2 Char"/>
    <w:link w:val="Heading2"/>
    <w:uiPriority w:val="9"/>
    <w:rsid w:val="00831EC5"/>
    <w:rPr>
      <w:rFonts w:ascii="Calibri Light" w:eastAsia="MS Gothic" w:hAnsi="Calibri Light"/>
      <w:color w:val="2F5496"/>
      <w:sz w:val="26"/>
      <w:szCs w:val="26"/>
    </w:rPr>
  </w:style>
  <w:style w:type="character" w:styleId="Mention">
    <w:name w:val="Mention"/>
    <w:uiPriority w:val="99"/>
    <w:unhideWhenUsed/>
    <w:rsid w:val="00831EC5"/>
    <w:rPr>
      <w:color w:val="2B579A"/>
      <w:shd w:val="clear" w:color="auto" w:fill="E6E6E6"/>
    </w:rPr>
  </w:style>
  <w:style w:type="paragraph" w:styleId="CommentText">
    <w:name w:val="annotation text"/>
    <w:basedOn w:val="Normal"/>
    <w:link w:val="CommentTextChar"/>
    <w:uiPriority w:val="99"/>
    <w:unhideWhenUsed/>
    <w:rsid w:val="00831EC5"/>
    <w:pPr>
      <w:spacing w:after="160" w:line="240" w:lineRule="auto"/>
    </w:pPr>
    <w:rPr>
      <w:rFonts w:cs="Arial"/>
      <w:sz w:val="20"/>
      <w:szCs w:val="20"/>
    </w:rPr>
  </w:style>
  <w:style w:type="character" w:customStyle="1" w:styleId="CommentTextChar">
    <w:name w:val="Comment Text Char"/>
    <w:link w:val="CommentText"/>
    <w:uiPriority w:val="99"/>
    <w:rsid w:val="00831EC5"/>
    <w:rPr>
      <w:rFonts w:cs="Arial"/>
    </w:rPr>
  </w:style>
  <w:style w:type="character" w:styleId="CommentReference">
    <w:name w:val="annotation reference"/>
    <w:uiPriority w:val="99"/>
    <w:semiHidden/>
    <w:unhideWhenUsed/>
    <w:rsid w:val="00831EC5"/>
    <w:rPr>
      <w:sz w:val="16"/>
      <w:szCs w:val="16"/>
    </w:rPr>
  </w:style>
  <w:style w:type="paragraph" w:styleId="Caption">
    <w:name w:val="caption"/>
    <w:basedOn w:val="Normal"/>
    <w:next w:val="Normal"/>
    <w:link w:val="CaptionChar"/>
    <w:qFormat/>
    <w:rsid w:val="00831EC5"/>
    <w:pPr>
      <w:keepNext/>
      <w:keepLines/>
      <w:widowControl w:val="0"/>
      <w:tabs>
        <w:tab w:val="left" w:pos="1440"/>
      </w:tabs>
      <w:spacing w:after="120" w:line="264" w:lineRule="auto"/>
    </w:pPr>
    <w:rPr>
      <w:rFonts w:ascii="Arial" w:eastAsia="Times New Roman" w:hAnsi="Arial"/>
      <w:b/>
      <w:bCs/>
      <w:sz w:val="20"/>
      <w:szCs w:val="20"/>
    </w:rPr>
  </w:style>
  <w:style w:type="character" w:customStyle="1" w:styleId="CaptionChar">
    <w:name w:val="Caption Char"/>
    <w:link w:val="Caption"/>
    <w:locked/>
    <w:rsid w:val="00831EC5"/>
    <w:rPr>
      <w:rFonts w:ascii="Arial" w:eastAsia="Times New Roman"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yperlink" Target="https://www.hud.gov/sites/dfiles/PIH/documents/PIH2022-11.pdf" TargetMode="Externa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8D8F9A4-6FFD-4AB7-8566-9865C0D0264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1665</Words>
  <Characters>9495</Characters>
  <Application>Microsoft Office Word</Application>
  <DocSecurity>0</DocSecurity>
  <Lines>79</Lines>
  <Paragraphs>22</Paragraphs>
  <ScaleCrop>false</ScaleCrop>
  <HeadingPairs>
    <vt:vector size="2" baseType="variant">
      <vt:variant>
        <vt:lpstr>Title</vt:lpstr>
      </vt:variant>
      <vt:variant>
        <vt:i4>1</vt:i4>
      </vt:variant>
    </vt:vector>
  </HeadingPairs>
  <TitlesOfParts>
    <vt:vector size="1" baseType="lpstr">
      <vt:lpstr/>
    </vt:vector>
  </TitlesOfParts>
  <Company>Housing and Urban Development</Company>
  <LinksUpToDate>false</LinksUpToDate>
  <CharactersWithSpaces>11138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h03483</dc:creator>
  <cp:lastModifiedBy>Guido, Anna P</cp:lastModifiedBy>
  <cp:revision>2</cp:revision>
  <cp:lastPrinted>2016-10-19T20:20:00Z</cp:lastPrinted>
  <dcterms:created xsi:type="dcterms:W3CDTF">2023-11-14T19:28:00Z</dcterms:created>
  <dcterms:modified xsi:type="dcterms:W3CDTF">2023-11-14T19:28:00Z</dcterms:modified>
</cp:coreProperties>
</file>