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60117" w:rsidRPr="00F60117" w:rsidP="00F60117" w14:paraId="599BE99F" w14:textId="6B7212D3">
      <w:pPr>
        <w:rPr>
          <w:rFonts w:eastAsia="Times New Roman"/>
          <w:color w:val="auto"/>
          <w:szCs w:val="20"/>
        </w:rPr>
      </w:pP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 w:rsidR="00E05650">
        <w:rPr>
          <w:rFonts w:eastAsia="Times New Roman"/>
          <w:color w:val="auto"/>
          <w:szCs w:val="20"/>
        </w:rPr>
        <w:t>June 8</w:t>
      </w:r>
      <w:r w:rsidR="00B5201E">
        <w:rPr>
          <w:rFonts w:eastAsia="Times New Roman"/>
          <w:color w:val="auto"/>
          <w:szCs w:val="20"/>
        </w:rPr>
        <w:t>, 2023</w:t>
      </w:r>
    </w:p>
    <w:p w:rsidR="00F60117" w:rsidRPr="00F60117" w:rsidP="00F60117" w14:paraId="4D5E597E" w14:textId="77777777">
      <w:pPr>
        <w:rPr>
          <w:rFonts w:eastAsia="Times New Roman"/>
          <w:color w:val="auto"/>
          <w:szCs w:val="20"/>
        </w:rPr>
      </w:pPr>
    </w:p>
    <w:p w:rsidR="00F60117" w:rsidRPr="00F60117" w:rsidP="00F60117" w14:paraId="379C23B8" w14:textId="77777777">
      <w:pPr>
        <w:rPr>
          <w:rFonts w:eastAsia="Times New Roman"/>
          <w:color w:val="auto"/>
          <w:szCs w:val="20"/>
        </w:rPr>
      </w:pPr>
      <w:r w:rsidRPr="00F60117">
        <w:rPr>
          <w:rFonts w:eastAsia="Times New Roman"/>
          <w:color w:val="auto"/>
          <w:szCs w:val="20"/>
        </w:rPr>
        <w:t> </w:t>
      </w:r>
    </w:p>
    <w:p w:rsidR="00F60117" w:rsidRPr="00F60117" w:rsidP="00F60117" w14:paraId="7C1327BA" w14:textId="77777777">
      <w:pPr>
        <w:rPr>
          <w:rFonts w:eastAsia="Times New Roman"/>
          <w:color w:val="auto"/>
          <w:szCs w:val="20"/>
        </w:rPr>
      </w:pPr>
      <w:r w:rsidRPr="00F60117">
        <w:rPr>
          <w:rFonts w:eastAsia="Times New Roman"/>
          <w:color w:val="auto"/>
          <w:szCs w:val="20"/>
        </w:rPr>
        <w:t>Memorandum to:</w:t>
      </w:r>
      <w:r w:rsidRPr="00F60117"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>William E. Bestani</w:t>
      </w:r>
      <w:bookmarkStart w:id="0" w:name="_GoBack"/>
      <w:bookmarkEnd w:id="0"/>
    </w:p>
    <w:p w:rsidR="00F60117" w:rsidRPr="00F60117" w:rsidP="00F60117" w14:paraId="05E7FB44" w14:textId="77777777">
      <w:pPr>
        <w:rPr>
          <w:rFonts w:eastAsia="Times New Roman"/>
          <w:color w:val="auto"/>
          <w:szCs w:val="20"/>
        </w:rPr>
      </w:pP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>Policy Analyst</w:t>
      </w:r>
    </w:p>
    <w:p w:rsidR="00F60117" w:rsidP="00F60117" w14:paraId="2F9F1A60" w14:textId="77777777">
      <w:pPr>
        <w:rPr>
          <w:rFonts w:eastAsia="Times New Roman"/>
          <w:color w:val="auto"/>
          <w:szCs w:val="20"/>
        </w:rPr>
      </w:pP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>Office of Information and Regulatory Affairs</w:t>
      </w:r>
    </w:p>
    <w:p w:rsidR="00F60117" w:rsidP="00F60117" w14:paraId="05C390F9" w14:textId="77777777">
      <w:pPr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  <w:t>Office of Management and Budget</w:t>
      </w:r>
    </w:p>
    <w:p w:rsidR="00F60117" w:rsidRPr="00F60117" w:rsidP="00F60117" w14:paraId="3A9D477F" w14:textId="77777777">
      <w:pPr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  <w:t>Executive Office of the President</w:t>
      </w:r>
      <w:r w:rsidRPr="00F60117">
        <w:rPr>
          <w:rFonts w:eastAsia="Times New Roman"/>
          <w:color w:val="auto"/>
          <w:szCs w:val="20"/>
        </w:rPr>
        <w:t>                            </w:t>
      </w:r>
      <w:r w:rsidRPr="00F60117">
        <w:rPr>
          <w:rFonts w:eastAsia="Times New Roman"/>
          <w:color w:val="auto"/>
          <w:szCs w:val="20"/>
        </w:rPr>
        <w:tab/>
      </w:r>
    </w:p>
    <w:p w:rsidR="00F60117" w:rsidRPr="00F60117" w:rsidP="00F60117" w14:paraId="3ECC9EF7" w14:textId="77777777">
      <w:pPr>
        <w:rPr>
          <w:rFonts w:eastAsia="Times New Roman"/>
          <w:color w:val="auto"/>
          <w:szCs w:val="20"/>
        </w:rPr>
      </w:pPr>
      <w:r w:rsidRPr="00F60117">
        <w:rPr>
          <w:rFonts w:eastAsia="Times New Roman"/>
          <w:color w:val="auto"/>
          <w:szCs w:val="20"/>
        </w:rPr>
        <w:t>                                    </w:t>
      </w:r>
    </w:p>
    <w:p w:rsidR="00F60117" w:rsidP="00F60117" w14:paraId="4AFB3CAD" w14:textId="77777777">
      <w:pPr>
        <w:rPr>
          <w:rFonts w:eastAsia="Times New Roman"/>
          <w:color w:val="auto"/>
          <w:szCs w:val="20"/>
        </w:rPr>
      </w:pPr>
      <w:r w:rsidRPr="00F60117">
        <w:rPr>
          <w:rFonts w:eastAsia="Times New Roman"/>
          <w:color w:val="auto"/>
          <w:szCs w:val="20"/>
        </w:rPr>
        <w:t>From:</w:t>
      </w: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>Manny Cabeza</w:t>
      </w:r>
    </w:p>
    <w:p w:rsidR="00F60117" w:rsidRPr="00F60117" w:rsidP="00F60117" w14:paraId="2353959C" w14:textId="77777777">
      <w:pPr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  <w:t>Regulatory Counsel</w:t>
      </w:r>
    </w:p>
    <w:p w:rsidR="00F60117" w:rsidP="00F60117" w14:paraId="589F5691" w14:textId="77777777">
      <w:pPr>
        <w:rPr>
          <w:rFonts w:eastAsia="Times New Roman"/>
          <w:color w:val="auto"/>
          <w:szCs w:val="20"/>
        </w:rPr>
      </w:pP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>Assessments and Legislation Group</w:t>
      </w:r>
    </w:p>
    <w:p w:rsidR="00F60117" w:rsidP="00F60117" w14:paraId="73C8CACB" w14:textId="77777777">
      <w:pPr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  <w:t>Legal Division</w:t>
      </w:r>
    </w:p>
    <w:p w:rsidR="00F60117" w:rsidRPr="00F60117" w:rsidP="00F60117" w14:paraId="7918D0F1" w14:textId="77777777">
      <w:pPr>
        <w:ind w:left="1440" w:firstLine="72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Federal Deposit Insurance Corporation</w:t>
      </w:r>
      <w:r w:rsidRPr="00F60117">
        <w:rPr>
          <w:rFonts w:eastAsia="Times New Roman"/>
          <w:color w:val="auto"/>
          <w:szCs w:val="20"/>
        </w:rPr>
        <w:t>      </w:t>
      </w:r>
    </w:p>
    <w:p w:rsidR="00F60117" w:rsidRPr="00F60117" w:rsidP="00F60117" w14:paraId="4814AFDA" w14:textId="77777777">
      <w:pPr>
        <w:rPr>
          <w:rFonts w:eastAsia="Times New Roman"/>
          <w:color w:val="auto"/>
          <w:szCs w:val="20"/>
        </w:rPr>
      </w:pP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</w:r>
      <w:r w:rsidRPr="00F60117">
        <w:rPr>
          <w:rFonts w:eastAsia="Times New Roman"/>
          <w:color w:val="auto"/>
          <w:szCs w:val="20"/>
        </w:rPr>
        <w:tab/>
        <w:t xml:space="preserve">      </w:t>
      </w:r>
    </w:p>
    <w:p w:rsidR="00F60117" w:rsidRPr="00F60117" w:rsidP="00F60117" w14:paraId="5CAB133D" w14:textId="77777777">
      <w:pPr>
        <w:rPr>
          <w:rFonts w:eastAsia="Times New Roman"/>
          <w:color w:val="auto"/>
          <w:szCs w:val="20"/>
        </w:rPr>
      </w:pPr>
    </w:p>
    <w:p w:rsidR="00F60117" w:rsidP="00B46249" w14:paraId="2A0DEB38" w14:textId="2B66D640">
      <w:pPr>
        <w:ind w:left="720" w:hanging="720"/>
        <w:rPr>
          <w:rFonts w:eastAsia="Times New Roman"/>
          <w:color w:val="auto"/>
          <w:szCs w:val="20"/>
          <w:u w:val="single"/>
        </w:rPr>
      </w:pPr>
      <w:r w:rsidRPr="00F60117">
        <w:rPr>
          <w:rFonts w:eastAsia="Times New Roman"/>
          <w:color w:val="auto"/>
          <w:szCs w:val="20"/>
        </w:rPr>
        <w:t xml:space="preserve">RE:  </w:t>
      </w:r>
      <w:r w:rsidR="00B46249">
        <w:rPr>
          <w:rFonts w:eastAsia="Times New Roman"/>
          <w:color w:val="auto"/>
          <w:szCs w:val="20"/>
        </w:rPr>
        <w:tab/>
      </w:r>
      <w:r w:rsidRPr="00E05650" w:rsidR="00FA7A20">
        <w:rPr>
          <w:rFonts w:eastAsia="Calibri" w:hAnsi="Calibri"/>
        </w:rPr>
        <w:t xml:space="preserve"> Listening Sessions Regarding FDIC Deposit Insurance Public Awareness Campaign.</w:t>
      </w:r>
    </w:p>
    <w:p w:rsidR="00F60117" w:rsidRPr="00F60117" w:rsidP="00F60117" w14:paraId="730597EF" w14:textId="77777777">
      <w:pPr>
        <w:rPr>
          <w:rFonts w:eastAsia="Times New Roman"/>
          <w:color w:val="auto"/>
          <w:szCs w:val="20"/>
        </w:rPr>
      </w:pPr>
    </w:p>
    <w:p w:rsidR="006D19DD" w:rsidRPr="0053759F" w:rsidP="00F60117" w14:paraId="38A2AECD" w14:textId="46140822">
      <w:pPr>
        <w:rPr>
          <w:rFonts w:eastAsia="Calibri"/>
          <w:color w:val="auto"/>
        </w:rPr>
      </w:pPr>
      <w:r w:rsidRPr="0053759F">
        <w:rPr>
          <w:rFonts w:eastAsia="Calibri"/>
          <w:color w:val="auto"/>
        </w:rPr>
        <w:t xml:space="preserve">Under FDIC </w:t>
      </w:r>
      <w:r w:rsidR="007F0A5B">
        <w:rPr>
          <w:rFonts w:eastAsia="Calibri"/>
          <w:color w:val="auto"/>
        </w:rPr>
        <w:t xml:space="preserve">clearance entitled </w:t>
      </w:r>
      <w:r w:rsidR="007F0A5B">
        <w:t>“Generic Information Collection for Qualitative Research” (OMB Control Number 3064-0198; Expiration Date: January 31, 2024)</w:t>
      </w:r>
      <w:r w:rsidRPr="0053759F">
        <w:rPr>
          <w:rFonts w:eastAsia="Calibri"/>
          <w:color w:val="auto"/>
        </w:rPr>
        <w:t xml:space="preserve">, the FDIC hereby submits for OMB review our plan for conducting listening sessions regarding the FDIC </w:t>
      </w:r>
      <w:r w:rsidRPr="0053759F" w:rsidR="00A80730">
        <w:rPr>
          <w:rFonts w:eastAsia="Calibri"/>
          <w:color w:val="auto"/>
        </w:rPr>
        <w:t xml:space="preserve">Deposit Insurance public awareness campaign.  </w:t>
      </w:r>
    </w:p>
    <w:p w:rsidR="006D19DD" w:rsidRPr="0053759F" w:rsidP="00F60117" w14:paraId="5418B56E" w14:textId="77777777">
      <w:pPr>
        <w:rPr>
          <w:rFonts w:eastAsia="Calibri"/>
          <w:color w:val="auto"/>
        </w:rPr>
      </w:pPr>
    </w:p>
    <w:p w:rsidR="00A80730" w:rsidRPr="0053759F" w:rsidP="00F60117" w14:paraId="43890925" w14:textId="33237F3F">
      <w:pPr>
        <w:rPr>
          <w:rFonts w:eastAsia="Times New Roman"/>
          <w:color w:val="auto"/>
        </w:rPr>
      </w:pPr>
      <w:r w:rsidRPr="0053759F">
        <w:rPr>
          <w:rFonts w:eastAsia="Calibri"/>
          <w:color w:val="auto"/>
        </w:rPr>
        <w:t xml:space="preserve">The FDIC’s Office of Communications (OCOM) is seeking information to improve the user experience of FDIC’s </w:t>
      </w:r>
      <w:r w:rsidRPr="0053759F">
        <w:rPr>
          <w:rFonts w:eastAsia="Calibri"/>
          <w:color w:val="auto"/>
        </w:rPr>
        <w:t>Deposit Insurance materials, including messaging related to a public awareness campaign</w:t>
      </w:r>
      <w:r w:rsidRPr="0053759F" w:rsidR="007D3265">
        <w:rPr>
          <w:rFonts w:eastAsia="Calibri"/>
          <w:color w:val="auto"/>
        </w:rPr>
        <w:t xml:space="preserve"> (see Attachment 1)</w:t>
      </w:r>
      <w:r w:rsidRPr="0053759F">
        <w:rPr>
          <w:rFonts w:eastAsia="Calibri"/>
          <w:color w:val="auto"/>
        </w:rPr>
        <w:t xml:space="preserve">. </w:t>
      </w:r>
      <w:r w:rsidRPr="0053759F">
        <w:rPr>
          <w:rFonts w:eastAsia="Calibri"/>
          <w:color w:val="auto"/>
        </w:rPr>
        <w:t xml:space="preserve">The focus groups will help us </w:t>
      </w:r>
      <w:r w:rsidRPr="0053759F">
        <w:rPr>
          <w:rFonts w:eastAsia="Times New Roman"/>
          <w:color w:val="auto"/>
        </w:rPr>
        <w:t>evaluate the campaign messaging with a focus on appeal and clarity</w:t>
      </w:r>
      <w:r w:rsidRPr="0053759F" w:rsidR="00626518">
        <w:rPr>
          <w:rFonts w:eastAsia="Times New Roman"/>
          <w:color w:val="auto"/>
        </w:rPr>
        <w:t>, and t</w:t>
      </w:r>
      <w:r w:rsidRPr="0053759F">
        <w:rPr>
          <w:rFonts w:eastAsia="Times New Roman"/>
          <w:color w:val="auto"/>
        </w:rPr>
        <w:t>hese insights will help determine opportunities to improve comm</w:t>
      </w:r>
      <w:r w:rsidRPr="0053759F" w:rsidR="00626518">
        <w:rPr>
          <w:rFonts w:eastAsia="Times New Roman"/>
          <w:color w:val="auto"/>
        </w:rPr>
        <w:t>unication</w:t>
      </w:r>
      <w:r w:rsidRPr="0053759F">
        <w:rPr>
          <w:rFonts w:eastAsia="Times New Roman"/>
          <w:color w:val="auto"/>
        </w:rPr>
        <w:t>s materials</w:t>
      </w:r>
      <w:r w:rsidRPr="0053759F" w:rsidR="00626518">
        <w:rPr>
          <w:rFonts w:eastAsia="Times New Roman"/>
          <w:color w:val="auto"/>
        </w:rPr>
        <w:t xml:space="preserve"> </w:t>
      </w:r>
      <w:r w:rsidR="00570457">
        <w:rPr>
          <w:rFonts w:eastAsia="Times New Roman"/>
          <w:color w:val="auto"/>
        </w:rPr>
        <w:t>through multiple channels</w:t>
      </w:r>
      <w:r w:rsidR="000A6F70">
        <w:rPr>
          <w:rFonts w:eastAsia="Times New Roman"/>
          <w:color w:val="auto"/>
        </w:rPr>
        <w:t xml:space="preserve"> as materials evolve</w:t>
      </w:r>
      <w:r w:rsidRPr="0053759F" w:rsidR="00626518">
        <w:rPr>
          <w:rFonts w:eastAsia="Times New Roman"/>
          <w:color w:val="auto"/>
        </w:rPr>
        <w:t xml:space="preserve">. </w:t>
      </w:r>
    </w:p>
    <w:p w:rsidR="00A80730" w:rsidP="00F60117" w14:paraId="1474842B" w14:textId="77777777">
      <w:pPr>
        <w:rPr>
          <w:rFonts w:eastAsia="Times New Roman"/>
        </w:rPr>
      </w:pPr>
    </w:p>
    <w:p w:rsidR="00593542" w:rsidP="00F60117" w14:paraId="6417C83C" w14:textId="5AC231FC">
      <w:pPr>
        <w:rPr>
          <w:rFonts w:eastAsia="Calibri" w:hAnsi="Calibri"/>
        </w:rPr>
      </w:pPr>
      <w:r>
        <w:rPr>
          <w:rFonts w:eastAsia="Calibri" w:hAnsi="Calibri"/>
        </w:rPr>
        <w:t>Focus groups may occur at multiple intervals, including in the p</w:t>
      </w:r>
      <w:r w:rsidR="00626518">
        <w:rPr>
          <w:rFonts w:eastAsia="Calibri" w:hAnsi="Calibri"/>
        </w:rPr>
        <w:t xml:space="preserve">re-building process through </w:t>
      </w:r>
      <w:r w:rsidR="007F0A5B">
        <w:rPr>
          <w:rFonts w:eastAsia="Calibri" w:hAnsi="Calibri"/>
        </w:rPr>
        <w:t>the campaign and to updating materials based on what we have learned</w:t>
      </w:r>
      <w:r>
        <w:rPr>
          <w:rFonts w:eastAsia="Calibri" w:hAnsi="Calibri"/>
        </w:rPr>
        <w:t>.  The</w:t>
      </w:r>
      <w:r w:rsidR="007F0A5B">
        <w:rPr>
          <w:rFonts w:eastAsia="Calibri" w:hAnsi="Calibri"/>
        </w:rPr>
        <w:t xml:space="preserve"> focus groups</w:t>
      </w:r>
      <w:r>
        <w:rPr>
          <w:rFonts w:eastAsia="Calibri" w:hAnsi="Calibri"/>
        </w:rPr>
        <w:t xml:space="preserve"> would be informal conversations meant to help guide the process and gather information. </w:t>
      </w:r>
      <w:r>
        <w:rPr>
          <w:rFonts w:eastAsia="Calibri" w:hAnsi="Calibri"/>
        </w:rPr>
        <w:t xml:space="preserve">Participants would not be paid.  </w:t>
      </w:r>
    </w:p>
    <w:p w:rsidR="00F60117" w:rsidRPr="00F60117" w:rsidP="00F60117" w14:paraId="6CD40705" w14:textId="77777777">
      <w:pPr>
        <w:rPr>
          <w:rFonts w:eastAsia="Times New Roman"/>
          <w:color w:val="auto"/>
          <w:szCs w:val="20"/>
        </w:rPr>
      </w:pPr>
    </w:p>
    <w:p w:rsidR="006D19DD" w:rsidRPr="0003290E" w:rsidP="006D19DD" w14:paraId="1D1E4AB9" w14:textId="233618D6">
      <w:pPr>
        <w:rPr>
          <w:rFonts w:eastAsia="Times New Roman"/>
          <w:color w:val="auto"/>
          <w:szCs w:val="20"/>
        </w:rPr>
      </w:pPr>
      <w:r w:rsidRPr="0003290E">
        <w:rPr>
          <w:rFonts w:eastAsia="Times New Roman"/>
          <w:color w:val="auto"/>
          <w:szCs w:val="20"/>
        </w:rPr>
        <w:t xml:space="preserve">The FDIC estimates that its </w:t>
      </w:r>
      <w:r>
        <w:rPr>
          <w:rFonts w:eastAsia="Times New Roman"/>
          <w:color w:val="auto"/>
          <w:szCs w:val="20"/>
        </w:rPr>
        <w:t xml:space="preserve">Office of Communications </w:t>
      </w:r>
      <w:r w:rsidRPr="0003290E">
        <w:rPr>
          <w:rFonts w:eastAsia="Times New Roman"/>
          <w:color w:val="auto"/>
          <w:szCs w:val="20"/>
        </w:rPr>
        <w:t xml:space="preserve">will conduct </w:t>
      </w:r>
      <w:r>
        <w:rPr>
          <w:rFonts w:eastAsia="Times New Roman"/>
          <w:color w:val="auto"/>
          <w:szCs w:val="20"/>
        </w:rPr>
        <w:t xml:space="preserve">approximately </w:t>
      </w:r>
      <w:r w:rsidR="00626518">
        <w:rPr>
          <w:rFonts w:eastAsia="Times New Roman"/>
          <w:color w:val="auto"/>
          <w:szCs w:val="20"/>
        </w:rPr>
        <w:t>12</w:t>
      </w:r>
      <w:r>
        <w:rPr>
          <w:rFonts w:eastAsia="Times New Roman"/>
          <w:color w:val="auto"/>
          <w:szCs w:val="20"/>
        </w:rPr>
        <w:t xml:space="preserve"> focus groups through 202</w:t>
      </w:r>
      <w:r w:rsidR="00626518">
        <w:rPr>
          <w:rFonts w:eastAsia="Times New Roman"/>
          <w:color w:val="auto"/>
          <w:szCs w:val="20"/>
        </w:rPr>
        <w:t>4</w:t>
      </w:r>
      <w:r>
        <w:rPr>
          <w:rFonts w:eastAsia="Times New Roman"/>
          <w:color w:val="auto"/>
          <w:szCs w:val="20"/>
        </w:rPr>
        <w:t>. FDIC estimates th</w:t>
      </w:r>
      <w:r w:rsidR="00626518">
        <w:rPr>
          <w:rFonts w:eastAsia="Times New Roman"/>
          <w:color w:val="auto"/>
          <w:szCs w:val="20"/>
        </w:rPr>
        <w:t>at there will be an average of 1</w:t>
      </w:r>
      <w:r>
        <w:rPr>
          <w:rFonts w:eastAsia="Times New Roman"/>
          <w:color w:val="auto"/>
          <w:szCs w:val="20"/>
        </w:rPr>
        <w:t>0 participants per meeting, which may</w:t>
      </w:r>
      <w:r w:rsidR="00997B8B">
        <w:rPr>
          <w:rFonts w:eastAsia="Times New Roman"/>
          <w:color w:val="auto"/>
          <w:szCs w:val="20"/>
        </w:rPr>
        <w:t xml:space="preserve"> average approximately</w:t>
      </w:r>
      <w:r>
        <w:rPr>
          <w:rFonts w:eastAsia="Times New Roman"/>
          <w:color w:val="auto"/>
          <w:szCs w:val="20"/>
        </w:rPr>
        <w:t xml:space="preserve"> 60 minutes each.</w:t>
      </w:r>
    </w:p>
    <w:p w:rsidR="006D19DD" w:rsidRPr="0003290E" w:rsidP="006D19DD" w14:paraId="2E255115" w14:textId="77777777">
      <w:pPr>
        <w:rPr>
          <w:rFonts w:eastAsia="Times New Roman"/>
          <w:color w:val="auto"/>
          <w:szCs w:val="20"/>
        </w:rPr>
      </w:pPr>
    </w:p>
    <w:p w:rsidR="006D19DD" w:rsidRPr="0003290E" w:rsidP="006D19DD" w14:paraId="68A45D1B" w14:textId="77777777">
      <w:pPr>
        <w:rPr>
          <w:rFonts w:eastAsia="Times New Roman"/>
          <w:color w:val="auto"/>
          <w:szCs w:val="20"/>
        </w:rPr>
      </w:pPr>
      <w:r w:rsidRPr="0003290E">
        <w:rPr>
          <w:rFonts w:eastAsia="Times New Roman"/>
          <w:color w:val="auto"/>
          <w:szCs w:val="20"/>
        </w:rPr>
        <w:t xml:space="preserve">The estimated annual burden is as follows:  </w:t>
      </w:r>
    </w:p>
    <w:p w:rsidR="006D19DD" w:rsidRPr="0003290E" w:rsidP="006D19DD" w14:paraId="0494C3C8" w14:textId="77777777">
      <w:pPr>
        <w:rPr>
          <w:rFonts w:eastAsia="Times New Roman"/>
          <w:color w:val="auto"/>
          <w:szCs w:val="20"/>
        </w:rPr>
      </w:pPr>
    </w:p>
    <w:p w:rsidR="006D19DD" w:rsidP="006D19DD" w14:paraId="5A278381" w14:textId="77777777">
      <w:pPr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ab/>
      </w:r>
    </w:p>
    <w:p w:rsidR="006D19DD" w:rsidP="006D19DD" w14:paraId="38ECE061" w14:textId="36D37F34">
      <w:pPr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 xml:space="preserve">Estimated Number of Focus Groups </w:t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 w:rsidR="00626518">
        <w:rPr>
          <w:rFonts w:eastAsia="Times New Roman"/>
          <w:i/>
          <w:color w:val="auto"/>
          <w:szCs w:val="20"/>
        </w:rPr>
        <w:t>12</w:t>
      </w:r>
    </w:p>
    <w:p w:rsidR="006D19DD" w:rsidP="006D19DD" w14:paraId="7268AE05" w14:textId="650C7DC5">
      <w:pPr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Estimated Average Number of Respondents per Event</w:t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 w:rsidR="00626518">
        <w:rPr>
          <w:rFonts w:eastAsia="Times New Roman"/>
          <w:i/>
          <w:color w:val="auto"/>
          <w:szCs w:val="20"/>
        </w:rPr>
        <w:t>10</w:t>
      </w:r>
    </w:p>
    <w:p w:rsidR="000C320D" w:rsidP="006D19DD" w14:paraId="2B41E7BA" w14:textId="738F3B6E">
      <w:pPr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Estimated Total Number of Respondents</w:t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  <w:t>120</w:t>
      </w:r>
    </w:p>
    <w:p w:rsidR="006D19DD" w:rsidP="006D19DD" w14:paraId="34E8EC47" w14:textId="77777777">
      <w:pPr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Estimated Average per meeting</w:t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  <w:t>60 minutes</w:t>
      </w:r>
    </w:p>
    <w:p w:rsidR="006D19DD" w:rsidRPr="00F60117" w:rsidP="006D19DD" w14:paraId="66BD4060" w14:textId="462206A6">
      <w:pPr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Total Estimated Burden:</w:t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>
        <w:rPr>
          <w:rFonts w:eastAsia="Times New Roman"/>
          <w:i/>
          <w:color w:val="auto"/>
          <w:szCs w:val="20"/>
        </w:rPr>
        <w:tab/>
      </w:r>
      <w:r w:rsidR="00626518">
        <w:rPr>
          <w:rFonts w:ascii="Times New Roman Italic" w:eastAsia="Times New Roman" w:hAnsi="Times New Roman Italic"/>
          <w:i/>
          <w:color w:val="auto"/>
          <w:szCs w:val="20"/>
          <w:u w:val="double"/>
        </w:rPr>
        <w:t>12</w:t>
      </w:r>
      <w:r>
        <w:rPr>
          <w:rFonts w:ascii="Times New Roman Italic" w:eastAsia="Times New Roman" w:hAnsi="Times New Roman Italic"/>
          <w:i/>
          <w:color w:val="auto"/>
          <w:szCs w:val="20"/>
          <w:u w:val="double"/>
        </w:rPr>
        <w:t>0</w:t>
      </w:r>
      <w:r>
        <w:rPr>
          <w:rFonts w:eastAsia="Times New Roman"/>
          <w:i/>
          <w:color w:val="auto"/>
          <w:szCs w:val="20"/>
        </w:rPr>
        <w:t xml:space="preserve"> hours</w:t>
      </w:r>
    </w:p>
    <w:p w:rsidR="006D19DD" w:rsidRPr="00F60117" w:rsidP="006D19DD" w14:paraId="055B81E3" w14:textId="77777777">
      <w:pPr>
        <w:rPr>
          <w:rFonts w:eastAsia="Times New Roman"/>
          <w:color w:val="auto"/>
          <w:szCs w:val="20"/>
        </w:rPr>
      </w:pPr>
    </w:p>
    <w:p w:rsidR="00E761A7" w14:paraId="567FCE79" w14:textId="79C79C79">
      <w:pPr>
        <w:rPr>
          <w:rFonts w:eastAsia="Times New Roman"/>
          <w:color w:val="auto"/>
          <w:szCs w:val="20"/>
        </w:rPr>
      </w:pPr>
      <w:r w:rsidRPr="00F60117">
        <w:rPr>
          <w:rFonts w:eastAsia="Times New Roman"/>
          <w:color w:val="auto"/>
          <w:szCs w:val="20"/>
        </w:rPr>
        <w:t xml:space="preserve">Total estimated </w:t>
      </w:r>
      <w:r>
        <w:rPr>
          <w:rFonts w:eastAsia="Times New Roman"/>
          <w:color w:val="auto"/>
          <w:szCs w:val="20"/>
        </w:rPr>
        <w:t xml:space="preserve">annual </w:t>
      </w:r>
      <w:r w:rsidRPr="00F60117">
        <w:rPr>
          <w:rFonts w:eastAsia="Times New Roman"/>
          <w:color w:val="auto"/>
          <w:szCs w:val="20"/>
        </w:rPr>
        <w:t xml:space="preserve">burden for the </w:t>
      </w:r>
      <w:r w:rsidR="00626518">
        <w:rPr>
          <w:rFonts w:eastAsia="Times New Roman"/>
          <w:color w:val="auto"/>
          <w:szCs w:val="20"/>
        </w:rPr>
        <w:t>evaluation form is 12</w:t>
      </w:r>
      <w:r>
        <w:rPr>
          <w:rFonts w:eastAsia="Times New Roman"/>
          <w:color w:val="auto"/>
          <w:szCs w:val="20"/>
        </w:rPr>
        <w:t>0</w:t>
      </w:r>
      <w:r w:rsidRPr="00F60117">
        <w:rPr>
          <w:rFonts w:eastAsia="Times New Roman"/>
          <w:color w:val="auto"/>
          <w:szCs w:val="20"/>
        </w:rPr>
        <w:t xml:space="preserve"> hours.  If you have any questions, please let me know.  Thank you for your consideration.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440" w:left="1440" w:header="432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A00002EF" w:usb1="4000207B" w:usb2="00000000" w:usb3="00000000" w:csb0="FFFFFF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Bold">
    <w:panose1 w:val="020B0704020202020204"/>
    <w:charset w:val="00"/>
    <w:family w:val="auto"/>
    <w:pitch w:val="variable"/>
    <w:sig w:usb0="A00002EF" w:usb1="4000207B" w:usb2="00000000" w:usb3="00000000" w:csb0="FFFFFF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5650" w14:paraId="1635AF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5650" w14:paraId="3FE5FA1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5650" w14:paraId="300750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14:paraId="4FC4C7AA" w14:textId="1A449E5F">
    <w:pPr>
      <w:pStyle w:val="Header1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12" name="MSIPCM07784fb8933a197dbf17fc67" descr="{&quot;HashCode&quot;:-606924510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F1FAA" w:rsidRPr="00DF1FAA" w:rsidP="00DF1FAA" w14:textId="2EBD34E5">
                          <w:pPr>
                            <w:jc w:val="center"/>
                            <w:rPr>
                              <w:rFonts w:ascii="Source Sans Pro Semibold" w:hAnsi="Source Sans Pro Semibold"/>
                            </w:rPr>
                          </w:pPr>
                          <w:r w:rsidRPr="00DF1FAA">
                            <w:rPr>
                              <w:rFonts w:ascii="Source Sans Pro Semibold" w:hAnsi="Source Sans Pro Semibold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7784fb8933a197dbf17fc67" o:spid="_x0000_s2049" type="#_x0000_t202" alt="{&quot;HashCode&quot;:-606924510,&quot;Height&quot;:792.0,&quot;Width&quot;:612.0,&quot;Placement&quot;:&quot;Header&quot;,&quot;Index&quot;:&quot;OddAndEven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80768" o:allowincell="f" filled="f" stroked="f" strokeweight="0.5pt">
              <v:textbox inset=",0,,0">
                <w:txbxContent>
                  <w:p w:rsidR="00DF1FAA" w:rsidRPr="00DF1FAA" w:rsidP="00DF1FAA" w14:paraId="39D10643" w14:textId="2EBD34E5">
                    <w:pPr>
                      <w:jc w:val="center"/>
                      <w:rPr>
                        <w:rFonts w:ascii="Source Sans Pro Semibold" w:hAnsi="Source Sans Pro Semibold"/>
                      </w:rPr>
                    </w:pPr>
                    <w:r w:rsidRPr="00DF1FAA">
                      <w:rPr>
                        <w:rFonts w:ascii="Source Sans Pro Semibold" w:hAnsi="Source Sans Pro Semibold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</w:p>
  <w:p w:rsidR="00BF402E" w14:paraId="4B2C989A" w14:textId="77777777">
    <w:pPr>
      <w:pStyle w:val="Header1"/>
    </w:pPr>
  </w:p>
  <w:p w:rsidR="00BF402E" w14:paraId="08E72F9B" w14:textId="77777777">
    <w:pPr>
      <w:pStyle w:val="Header1"/>
    </w:pPr>
  </w:p>
  <w:p w:rsidR="00BF402E" w14:paraId="2819F0C0" w14:textId="77777777">
    <w:pPr>
      <w:pStyle w:val="Header1"/>
    </w:pPr>
  </w:p>
  <w:p w:rsidR="00BF402E" w14:paraId="0635CC5F" w14:textId="77777777">
    <w:pPr>
      <w:pStyle w:val="Header1"/>
    </w:pPr>
  </w:p>
  <w:p w:rsidR="00BF402E" w14:paraId="58EE0B16" w14:textId="77777777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2050" style="width:196pt;height:21.6pt;margin-top:1in;margin-left:6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stroke joinstyle="round"/>
              <v:path arrowok="t"/>
              <v:textbox inset="3pt,3pt,3pt,3pt">
                <w:txbxContent>
                  <w:p w:rsidR="00BF402E" w14:paraId="7F9B9A40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2051" style="width:116pt;height:20pt;margin-top:1in;margin-left:41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stroke joinstyle="round"/>
              <v:path arrowok="t"/>
              <v:textbox inset="3pt,3pt,3pt,3pt">
                <w:txbxContent>
                  <w:p w:rsidR="00BF402E" w14:paraId="43FFD6CD" w14:textId="77777777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14:paraId="1F0BC8D5" w14:textId="5659EE81">
    <w:pPr>
      <w:pStyle w:val="Header1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10" name="MSIPCMc8d34e32baed1b85b0c7f990" descr="{&quot;HashCode&quot;:-60692451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F1FAA" w:rsidRPr="00DF1FAA" w:rsidP="00DF1FAA" w14:textId="1CF84839">
                          <w:pPr>
                            <w:jc w:val="center"/>
                            <w:rPr>
                              <w:rFonts w:ascii="Source Sans Pro Semibold" w:hAnsi="Source Sans Pro Semibold"/>
                            </w:rPr>
                          </w:pPr>
                          <w:r w:rsidRPr="00DF1FAA">
                            <w:rPr>
                              <w:rFonts w:ascii="Source Sans Pro Semibold" w:hAnsi="Source Sans Pro Semibold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8d34e32baed1b85b0c7f990" o:spid="_x0000_s2052" type="#_x0000_t202" alt="{&quot;HashCode&quot;:-606924510,&quot;Height&quot;:792.0,&quot;Width&quot;:612.0,&quot;Placement&quot;:&quot;Header&quot;,&quot;Index&quot;:&quot;Primary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76672" o:allowincell="f" filled="f" stroked="f" strokeweight="0.5pt">
              <v:textbox inset=",0,,0">
                <w:txbxContent>
                  <w:p w:rsidR="00DF1FAA" w:rsidRPr="00DF1FAA" w:rsidP="00DF1FAA" w14:paraId="3C6D489C" w14:textId="1CF84839">
                    <w:pPr>
                      <w:jc w:val="center"/>
                      <w:rPr>
                        <w:rFonts w:ascii="Source Sans Pro Semibold" w:hAnsi="Source Sans Pro Semibold"/>
                      </w:rPr>
                    </w:pPr>
                    <w:r w:rsidRPr="00DF1FAA">
                      <w:rPr>
                        <w:rFonts w:ascii="Source Sans Pro Semibold" w:hAnsi="Source Sans Pro Semibold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</w:p>
  <w:p w:rsidR="00BF402E" w14:paraId="22245D1C" w14:textId="77777777">
    <w:pPr>
      <w:pStyle w:val="Header1"/>
    </w:pPr>
  </w:p>
  <w:p w:rsidR="00BF402E" w14:paraId="6814CAD2" w14:textId="77777777">
    <w:pPr>
      <w:pStyle w:val="Header1"/>
    </w:pPr>
  </w:p>
  <w:p w:rsidR="00BF402E" w14:paraId="00B5B75B" w14:textId="77777777">
    <w:pPr>
      <w:pStyle w:val="Header1"/>
    </w:pPr>
  </w:p>
  <w:p w:rsidR="00BF402E" w14:paraId="5647C219" w14:textId="77777777">
    <w:pPr>
      <w:pStyle w:val="Header1"/>
    </w:pPr>
  </w:p>
  <w:p w:rsidR="00BF402E" w14:paraId="19EE2116" w14:textId="77777777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53" style="width:196pt;height:21.6pt;margin-top:1in;margin-left:6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stroke joinstyle="round"/>
              <v:path arrowok="t"/>
              <v:textbox inset="3pt,3pt,3pt,3pt">
                <w:txbxContent>
                  <w:p w:rsidR="00BF402E" w14:paraId="5DE39C59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0020DDA4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2054" style="width:116pt;height:20pt;margin-top:1in;margin-left:41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stroke joinstyle="round"/>
              <v:path arrowok="t"/>
              <v:textbox inset="3pt,3pt,3pt,3pt">
                <w:txbxContent>
                  <w:p w:rsidR="00BF402E" w14:paraId="7FF98EBA" w14:textId="0020DDA4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14:paraId="2B7E7B2C" w14:textId="31839AB3">
    <w:pPr>
      <w:spacing w:line="203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80670"/>
              <wp:effectExtent l="0" t="0" r="0" b="5080"/>
              <wp:wrapNone/>
              <wp:docPr id="11" name="MSIPCM2bf84dae98623efd6ad5dc83" descr="{&quot;HashCode&quot;:-606924510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F1FAA" w:rsidRPr="00DF1FAA" w:rsidP="00DF1FAA" w14:textId="38E70970">
                          <w:pPr>
                            <w:jc w:val="center"/>
                            <w:rPr>
                              <w:rFonts w:ascii="Source Sans Pro Semibold" w:hAnsi="Source Sans Pro Semibold"/>
                            </w:rPr>
                          </w:pPr>
                          <w:r w:rsidRPr="00DF1FAA">
                            <w:rPr>
                              <w:rFonts w:ascii="Source Sans Pro Semibold" w:hAnsi="Source Sans Pro Semibold"/>
                            </w:rPr>
                            <w:t>NONPUBLIC//FDIC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bf84dae98623efd6ad5dc83" o:spid="_x0000_s2055" type="#_x0000_t202" alt="{&quot;HashCode&quot;:-606924510,&quot;Height&quot;:792.0,&quot;Width&quot;:612.0,&quot;Placement&quot;:&quot;Header&quot;,&quot;Index&quot;:&quot;FirstPage&quot;,&quot;Section&quot;:1,&quot;Top&quot;:0.0,&quot;Left&quot;:0.0}" style="width:612pt;height:22.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78720" o:allowincell="f" filled="f" stroked="f" strokeweight="0.5pt">
              <v:textbox inset=",0,,0">
                <w:txbxContent>
                  <w:p w:rsidR="00DF1FAA" w:rsidRPr="00DF1FAA" w:rsidP="00DF1FAA" w14:paraId="22C3B279" w14:textId="38E70970">
                    <w:pPr>
                      <w:jc w:val="center"/>
                      <w:rPr>
                        <w:rFonts w:ascii="Source Sans Pro Semibold" w:hAnsi="Source Sans Pro Semibold"/>
                      </w:rPr>
                    </w:pPr>
                    <w:r w:rsidRPr="00DF1FAA">
                      <w:rPr>
                        <w:rFonts w:ascii="Source Sans Pro Semibold" w:hAnsi="Source Sans Pro Semibold"/>
                      </w:rPr>
                      <w:t>NONPUBLIC//FDIC BUSINESS</w:t>
                    </w:r>
                  </w:p>
                </w:txbxContent>
              </v:textbox>
            </v:shape>
          </w:pict>
        </mc:Fallback>
      </mc:AlternateContent>
    </w:r>
  </w:p>
  <w:p w:rsidR="00BF402E" w14:paraId="2E4810DD" w14:textId="77777777">
    <w:pPr>
      <w:spacing w:line="203" w:lineRule="auto"/>
    </w:pPr>
  </w:p>
  <w:p w:rsidR="00BF402E" w14:paraId="1DBBCBDF" w14:textId="77777777">
    <w:pPr>
      <w:pStyle w:val="Header1"/>
      <w:rPr>
        <w:rFonts w:ascii="Arial Bold" w:hAnsi="Arial Bold"/>
      </w:rPr>
    </w:pPr>
  </w:p>
  <w:p w:rsidR="00BF402E" w14:paraId="4888FED5" w14:textId="77777777">
    <w:pPr>
      <w:pStyle w:val="Header1"/>
      <w:rPr>
        <w:rFonts w:ascii="Arial Bold" w:hAnsi="Arial Bold"/>
      </w:rPr>
    </w:pPr>
  </w:p>
  <w:p w:rsidR="00BF402E" w14:paraId="4AA4FC88" w14:textId="77777777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2056" style="width:251pt;height:11pt;margin-top:53.3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stroke joinstyle="round"/>
              <v:path arrowok="t"/>
              <v:textbox inset="0,0,0,0">
                <w:txbxContent>
                  <w:p w:rsidR="00BF402E" w14:paraId="32EA1570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6976" from="70.55pt,79.2pt" to="534.95pt,79.2pt"/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2058" style="width:281.8pt;height:10.8pt;margin-top:64.7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3904" stroked="f">
              <v:stroke joinstyle="round"/>
              <v:path arrowok="t"/>
              <v:textbox inset="0,0,0,0">
                <w:txbxContent>
                  <w:p w:rsidR="00BF402E" w14:paraId="51AC7EAC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14:textId="77777777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2059" style="width:202.6pt;height:10.8pt;margin-top:66.2pt;margin-left:33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1856" stroked="f">
              <v:stroke joinstyle="round"/>
              <v:path arrowok="t"/>
              <v:textbox inset="0,0,0,0">
                <w:txbxContent>
                  <w:p w:rsidR="00BF402E" w14:paraId="2E2E3D25" w14:textId="77777777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AF4285"/>
    <w:multiLevelType w:val="hybridMultilevel"/>
    <w:tmpl w:val="61DEE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stylePaneFormatFilter w:val="2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EmbedSmartTags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F"/>
    <w:rsid w:val="0003290E"/>
    <w:rsid w:val="00041821"/>
    <w:rsid w:val="00091AAF"/>
    <w:rsid w:val="000A1EA8"/>
    <w:rsid w:val="000A6F70"/>
    <w:rsid w:val="000B59D1"/>
    <w:rsid w:val="000C320D"/>
    <w:rsid w:val="001011DA"/>
    <w:rsid w:val="00103D4D"/>
    <w:rsid w:val="00124D94"/>
    <w:rsid w:val="00127DF3"/>
    <w:rsid w:val="0018506F"/>
    <w:rsid w:val="001A2298"/>
    <w:rsid w:val="001B770C"/>
    <w:rsid w:val="001C77DF"/>
    <w:rsid w:val="001F0C8F"/>
    <w:rsid w:val="002146E2"/>
    <w:rsid w:val="002151CA"/>
    <w:rsid w:val="00217C61"/>
    <w:rsid w:val="00234034"/>
    <w:rsid w:val="00235E11"/>
    <w:rsid w:val="00294C85"/>
    <w:rsid w:val="002969EF"/>
    <w:rsid w:val="002A24F1"/>
    <w:rsid w:val="002F4CF1"/>
    <w:rsid w:val="00360D9B"/>
    <w:rsid w:val="003A31E1"/>
    <w:rsid w:val="003C01EF"/>
    <w:rsid w:val="003D321B"/>
    <w:rsid w:val="003E0A8A"/>
    <w:rsid w:val="00401028"/>
    <w:rsid w:val="00420FB0"/>
    <w:rsid w:val="00423511"/>
    <w:rsid w:val="0043703F"/>
    <w:rsid w:val="00471558"/>
    <w:rsid w:val="00494F5C"/>
    <w:rsid w:val="004A15B5"/>
    <w:rsid w:val="004A23D5"/>
    <w:rsid w:val="004A2C97"/>
    <w:rsid w:val="004A3101"/>
    <w:rsid w:val="004A49E7"/>
    <w:rsid w:val="004D08A6"/>
    <w:rsid w:val="004D377C"/>
    <w:rsid w:val="00506AFA"/>
    <w:rsid w:val="0052096F"/>
    <w:rsid w:val="0053759F"/>
    <w:rsid w:val="005523B4"/>
    <w:rsid w:val="00566575"/>
    <w:rsid w:val="00570457"/>
    <w:rsid w:val="005712A5"/>
    <w:rsid w:val="00572D23"/>
    <w:rsid w:val="00592AE6"/>
    <w:rsid w:val="00593542"/>
    <w:rsid w:val="005B4878"/>
    <w:rsid w:val="005D7477"/>
    <w:rsid w:val="006135A6"/>
    <w:rsid w:val="0062607F"/>
    <w:rsid w:val="00626518"/>
    <w:rsid w:val="00634775"/>
    <w:rsid w:val="006D19DD"/>
    <w:rsid w:val="006D7A10"/>
    <w:rsid w:val="00700560"/>
    <w:rsid w:val="00737C13"/>
    <w:rsid w:val="00751695"/>
    <w:rsid w:val="00752659"/>
    <w:rsid w:val="007C7CD8"/>
    <w:rsid w:val="007D3265"/>
    <w:rsid w:val="007E6ADD"/>
    <w:rsid w:val="007F0A5B"/>
    <w:rsid w:val="008231A1"/>
    <w:rsid w:val="00862BF2"/>
    <w:rsid w:val="008D19B9"/>
    <w:rsid w:val="008D303D"/>
    <w:rsid w:val="00920DEE"/>
    <w:rsid w:val="00936FDF"/>
    <w:rsid w:val="00995B1D"/>
    <w:rsid w:val="00997B8B"/>
    <w:rsid w:val="00997D46"/>
    <w:rsid w:val="009A28D8"/>
    <w:rsid w:val="009B2D78"/>
    <w:rsid w:val="009B2F12"/>
    <w:rsid w:val="009B787B"/>
    <w:rsid w:val="009E4BF9"/>
    <w:rsid w:val="009F7DE9"/>
    <w:rsid w:val="00A026B6"/>
    <w:rsid w:val="00A1338E"/>
    <w:rsid w:val="00A1676B"/>
    <w:rsid w:val="00A21AFE"/>
    <w:rsid w:val="00A34542"/>
    <w:rsid w:val="00A42008"/>
    <w:rsid w:val="00A80730"/>
    <w:rsid w:val="00A95EBD"/>
    <w:rsid w:val="00AC7767"/>
    <w:rsid w:val="00AD2CDD"/>
    <w:rsid w:val="00B320F6"/>
    <w:rsid w:val="00B44100"/>
    <w:rsid w:val="00B46249"/>
    <w:rsid w:val="00B5201E"/>
    <w:rsid w:val="00B61B73"/>
    <w:rsid w:val="00BA4D29"/>
    <w:rsid w:val="00BC7FFB"/>
    <w:rsid w:val="00BF402E"/>
    <w:rsid w:val="00C33312"/>
    <w:rsid w:val="00C46A38"/>
    <w:rsid w:val="00C55694"/>
    <w:rsid w:val="00CD0E8C"/>
    <w:rsid w:val="00CD145C"/>
    <w:rsid w:val="00D2432A"/>
    <w:rsid w:val="00D24551"/>
    <w:rsid w:val="00D43735"/>
    <w:rsid w:val="00D748A5"/>
    <w:rsid w:val="00D82CAB"/>
    <w:rsid w:val="00D90B94"/>
    <w:rsid w:val="00D91F61"/>
    <w:rsid w:val="00DA0B47"/>
    <w:rsid w:val="00DF0133"/>
    <w:rsid w:val="00DF1FAA"/>
    <w:rsid w:val="00E05068"/>
    <w:rsid w:val="00E05650"/>
    <w:rsid w:val="00E07CD5"/>
    <w:rsid w:val="00E138D4"/>
    <w:rsid w:val="00E21631"/>
    <w:rsid w:val="00E220A6"/>
    <w:rsid w:val="00E34FAF"/>
    <w:rsid w:val="00E64FC7"/>
    <w:rsid w:val="00E761A7"/>
    <w:rsid w:val="00E8127F"/>
    <w:rsid w:val="00EA4629"/>
    <w:rsid w:val="00EC7D3E"/>
    <w:rsid w:val="00ED2B9D"/>
    <w:rsid w:val="00EF1957"/>
    <w:rsid w:val="00EF4558"/>
    <w:rsid w:val="00F06A97"/>
    <w:rsid w:val="00F13331"/>
    <w:rsid w:val="00F46D50"/>
    <w:rsid w:val="00F529DB"/>
    <w:rsid w:val="00F60117"/>
    <w:rsid w:val="00FA7A20"/>
    <w:rsid w:val="00FC1FBC"/>
    <w:rsid w:val="00FC7902"/>
    <w:rsid w:val="00FE03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E58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character" w:styleId="Hyperlink">
    <w:name w:val="Hyperlink"/>
    <w:basedOn w:val="DefaultParagraphFont"/>
    <w:unhideWhenUsed/>
    <w:locked/>
    <w:rsid w:val="006D19D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locked/>
    <w:rsid w:val="00E761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7E7AAAF765E428BFBC070CDC9EC05" ma:contentTypeVersion="12" ma:contentTypeDescription="Create a new document." ma:contentTypeScope="" ma:versionID="15d68794662f976ce0745c15363a571b">
  <xsd:schema xmlns:xsd="http://www.w3.org/2001/XMLSchema" xmlns:xs="http://www.w3.org/2001/XMLSchema" xmlns:p="http://schemas.microsoft.com/office/2006/metadata/properties" xmlns:ns3="8d72cafe-4c1c-4b36-a92a-c9c9d81c6fae" xmlns:ns4="e3e6b158-5914-4524-8e28-7040ca83b573" targetNamespace="http://schemas.microsoft.com/office/2006/metadata/properties" ma:root="true" ma:fieldsID="343ec4f1aca2abcda4749d3117072c5f" ns3:_="" ns4:_="">
    <xsd:import namespace="8d72cafe-4c1c-4b36-a92a-c9c9d81c6fae"/>
    <xsd:import namespace="e3e6b158-5914-4524-8e28-7040ca83b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2cafe-4c1c-4b36-a92a-c9c9d81c6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b158-5914-4524-8e28-7040ca83b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e6b158-5914-4524-8e28-7040ca83b573" xsi:nil="true"/>
  </documentManagement>
</p:properties>
</file>

<file path=customXml/itemProps1.xml><?xml version="1.0" encoding="utf-8"?>
<ds:datastoreItem xmlns:ds="http://schemas.openxmlformats.org/officeDocument/2006/customXml" ds:itemID="{CECC3CDB-ACF2-4F9E-A4FD-6EC55C581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2F116-798E-48C3-92E9-4EB2CC622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2cafe-4c1c-4b36-a92a-c9c9d81c6fae"/>
    <ds:schemaRef ds:uri="e3e6b158-5914-4524-8e28-7040ca83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5D91F-385A-4231-B26D-B6F7B6D24DD1}">
  <ds:schemaRefs>
    <ds:schemaRef ds:uri="http://schemas.microsoft.com/office/2006/documentManagement/types"/>
    <ds:schemaRef ds:uri="e3e6b158-5914-4524-8e28-7040ca83b57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d72cafe-4c1c-4b36-a92a-c9c9d81c6fa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2023-06-08T20:14:00Z</dcterms:created>
  <dcterms:modified xsi:type="dcterms:W3CDTF">2023-06-08T20:14:00Z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0x010100D7C7E7AAAF765E428BFBC070CDC9EC05</vt:lpwstr>
  </property>
  <property fmtid="{D5CDD505-2E9C-101B-9397-08002B2CF9AE}" pid="3" name="MSIP_Label_aebbef76-9622-4179-ad18-7a6b88e0dc7a_ActionId">
    <vt:lpwstr>9910fb70-630f-4314-9bec-980d07529a07</vt:lpwstr>
  </property>
  <property fmtid="{D5CDD505-2E9C-101B-9397-08002B2CF9AE}" pid="4" name="MSIP_Label_aebbef76-9622-4179-ad18-7a6b88e0dc7a_ContentBits">
    <vt:lpwstr>1</vt:lpwstr>
  </property>
  <property fmtid="{D5CDD505-2E9C-101B-9397-08002B2CF9AE}" pid="5" name="MSIP_Label_aebbef76-9622-4179-ad18-7a6b88e0dc7a_Enabled">
    <vt:lpwstr>true</vt:lpwstr>
  </property>
  <property fmtid="{D5CDD505-2E9C-101B-9397-08002B2CF9AE}" pid="6" name="MSIP_Label_aebbef76-9622-4179-ad18-7a6b88e0dc7a_Method">
    <vt:lpwstr>Privileged</vt:lpwstr>
  </property>
  <property fmtid="{D5CDD505-2E9C-101B-9397-08002B2CF9AE}" pid="7" name="MSIP_Label_aebbef76-9622-4179-ad18-7a6b88e0dc7a_Name">
    <vt:lpwstr>aebbef76-9622-4179-ad18-7a6b88e0dc7a</vt:lpwstr>
  </property>
  <property fmtid="{D5CDD505-2E9C-101B-9397-08002B2CF9AE}" pid="8" name="MSIP_Label_aebbef76-9622-4179-ad18-7a6b88e0dc7a_SetDate">
    <vt:lpwstr>2023-06-08T20:13:39Z</vt:lpwstr>
  </property>
  <property fmtid="{D5CDD505-2E9C-101B-9397-08002B2CF9AE}" pid="9" name="MSIP_Label_aebbef76-9622-4179-ad18-7a6b88e0dc7a_SiteId">
    <vt:lpwstr>26c83bc9-31c1-4d77-a523-0816095aba31</vt:lpwstr>
  </property>
</Properties>
</file>