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75F6E" w:rsidRPr="00AE48AD" w:rsidP="00675F6E" w14:paraId="4FB2F81B" w14:textId="604FABD3">
      <w:pPr>
        <w:tabs>
          <w:tab w:val="left" w:pos="5040"/>
        </w:tabs>
        <w:rPr>
          <w:rFonts w:ascii="Source Sans Pro" w:hAnsi="Source Sans Pro"/>
          <w:b/>
          <w:sz w:val="22"/>
          <w:szCs w:val="22"/>
        </w:rPr>
      </w:pPr>
      <w:r>
        <w:rPr>
          <w:rFonts w:ascii="Source Sans Pro" w:hAnsi="Source Sans Pro"/>
          <w:b/>
          <w:sz w:val="22"/>
          <w:szCs w:val="22"/>
        </w:rPr>
        <w:t xml:space="preserve">March </w:t>
      </w:r>
      <w:r w:rsidRPr="00703DCB">
        <w:rPr>
          <w:rFonts w:ascii="Source Sans Pro" w:hAnsi="Source Sans Pro"/>
          <w:b/>
          <w:sz w:val="22"/>
          <w:szCs w:val="22"/>
          <w:highlight w:val="yellow"/>
        </w:rPr>
        <w:t>X</w:t>
      </w:r>
      <w:r w:rsidRPr="00AE48AD">
        <w:rPr>
          <w:rFonts w:ascii="Source Sans Pro" w:hAnsi="Source Sans Pro"/>
          <w:b/>
          <w:sz w:val="22"/>
          <w:szCs w:val="22"/>
        </w:rPr>
        <w:t xml:space="preserve">, </w:t>
      </w:r>
      <w:r>
        <w:rPr>
          <w:rFonts w:ascii="Source Sans Pro" w:hAnsi="Source Sans Pro"/>
          <w:b/>
          <w:sz w:val="22"/>
          <w:szCs w:val="22"/>
        </w:rPr>
        <w:t>2023</w:t>
      </w:r>
    </w:p>
    <w:p w:rsidR="00675F6E" w:rsidRPr="00AE48AD" w:rsidP="00675F6E" w14:paraId="1FE51314" w14:textId="77777777">
      <w:pPr>
        <w:tabs>
          <w:tab w:val="left" w:pos="5040"/>
        </w:tabs>
        <w:rPr>
          <w:rFonts w:ascii="Source Sans Pro" w:hAnsi="Source Sans Pro"/>
          <w:sz w:val="22"/>
          <w:szCs w:val="22"/>
        </w:rPr>
      </w:pPr>
    </w:p>
    <w:p w:rsidR="00675F6E" w:rsidRPr="00AE48AD" w:rsidP="00675F6E" w14:paraId="1F678EF1" w14:textId="25675AE8">
      <w:pPr>
        <w:rPr>
          <w:rFonts w:ascii="Source Sans Pro" w:hAnsi="Source Sans Pro"/>
          <w:sz w:val="22"/>
          <w:szCs w:val="22"/>
        </w:rPr>
      </w:pPr>
      <w:r w:rsidRPr="00AE48AD">
        <w:rPr>
          <w:rFonts w:ascii="Source Sans Pro" w:hAnsi="Source Sans Pro"/>
          <w:b/>
          <w:sz w:val="22"/>
          <w:szCs w:val="22"/>
        </w:rPr>
        <w:t>Memorandum to:</w:t>
      </w:r>
      <w:r w:rsidRPr="00AE48AD">
        <w:rPr>
          <w:rFonts w:ascii="Source Sans Pro" w:hAnsi="Source Sans Pro"/>
          <w:sz w:val="22"/>
          <w:szCs w:val="22"/>
        </w:rPr>
        <w:t>      </w:t>
      </w:r>
      <w:r w:rsidR="00AE48AD">
        <w:rPr>
          <w:rFonts w:ascii="Source Sans Pro" w:hAnsi="Source Sans Pro"/>
          <w:sz w:val="22"/>
          <w:szCs w:val="22"/>
        </w:rPr>
        <w:tab/>
      </w:r>
      <w:r w:rsidRPr="00AE48AD" w:rsidR="00582955">
        <w:rPr>
          <w:rFonts w:ascii="Source Sans Pro" w:hAnsi="Source Sans Pro"/>
          <w:sz w:val="22"/>
          <w:szCs w:val="22"/>
        </w:rPr>
        <w:t>William E. Bestani</w:t>
      </w:r>
      <w:r w:rsidR="00AE48AD">
        <w:rPr>
          <w:rFonts w:ascii="Source Sans Pro" w:hAnsi="Source Sans Pro"/>
          <w:sz w:val="22"/>
          <w:szCs w:val="22"/>
        </w:rPr>
        <w:t xml:space="preserve">, </w:t>
      </w:r>
      <w:r w:rsidRPr="00AE48AD" w:rsidR="00AE48AD">
        <w:rPr>
          <w:rFonts w:ascii="Source Sans Pro" w:hAnsi="Source Sans Pro"/>
          <w:sz w:val="22"/>
          <w:szCs w:val="22"/>
        </w:rPr>
        <w:t>FDIC Desk Officer              </w:t>
      </w:r>
    </w:p>
    <w:p w:rsidR="00675F6E" w:rsidRPr="00AE48AD" w:rsidP="00675F6E" w14:paraId="4BC5C8C1" w14:textId="0D1F9DC4">
      <w:pPr>
        <w:rPr>
          <w:rFonts w:ascii="Source Sans Pro" w:hAnsi="Source Sans Pro"/>
          <w:sz w:val="22"/>
          <w:szCs w:val="22"/>
        </w:rPr>
      </w:pPr>
      <w:r w:rsidRPr="00AE48AD">
        <w:rPr>
          <w:rFonts w:ascii="Source Sans Pro" w:hAnsi="Source Sans Pro"/>
          <w:sz w:val="22"/>
          <w:szCs w:val="22"/>
        </w:rPr>
        <w:t>    </w:t>
      </w:r>
      <w:r w:rsidR="00AE48AD">
        <w:rPr>
          <w:rFonts w:ascii="Source Sans Pro" w:hAnsi="Source Sans Pro"/>
          <w:sz w:val="22"/>
          <w:szCs w:val="22"/>
        </w:rPr>
        <w:t>                              </w:t>
      </w:r>
      <w:r w:rsidR="00AE48AD">
        <w:rPr>
          <w:rFonts w:ascii="Source Sans Pro" w:hAnsi="Source Sans Pro"/>
          <w:sz w:val="22"/>
          <w:szCs w:val="22"/>
        </w:rPr>
        <w:tab/>
      </w:r>
      <w:r w:rsidRPr="00AE48AD">
        <w:rPr>
          <w:rFonts w:ascii="Source Sans Pro" w:hAnsi="Source Sans Pro"/>
          <w:sz w:val="22"/>
          <w:szCs w:val="22"/>
        </w:rPr>
        <w:t>Office of Information and Regulatory Affairs</w:t>
      </w:r>
    </w:p>
    <w:p w:rsidR="00675F6E" w:rsidRPr="00AE48AD" w:rsidP="00675F6E" w14:paraId="7DB36EEC" w14:textId="7DF86501">
      <w:pPr>
        <w:rPr>
          <w:rFonts w:ascii="Source Sans Pro" w:hAnsi="Source Sans Pro"/>
          <w:sz w:val="22"/>
          <w:szCs w:val="22"/>
        </w:rPr>
      </w:pPr>
      <w:r w:rsidRPr="00AE48AD">
        <w:rPr>
          <w:rFonts w:ascii="Source Sans Pro" w:hAnsi="Source Sans Pro"/>
          <w:sz w:val="22"/>
          <w:szCs w:val="22"/>
        </w:rPr>
        <w:t>                                   </w:t>
      </w:r>
      <w:r w:rsidRPr="00AE48AD">
        <w:rPr>
          <w:rFonts w:ascii="Source Sans Pro" w:hAnsi="Source Sans Pro"/>
          <w:sz w:val="22"/>
          <w:szCs w:val="22"/>
        </w:rPr>
        <w:tab/>
        <w:t>Office of Management and Budget</w:t>
      </w:r>
    </w:p>
    <w:p w:rsidR="00675F6E" w:rsidRPr="00AE48AD" w:rsidP="00675F6E" w14:paraId="67B359A1" w14:textId="77777777">
      <w:pPr>
        <w:rPr>
          <w:rFonts w:ascii="Source Sans Pro" w:hAnsi="Source Sans Pro"/>
          <w:sz w:val="22"/>
          <w:szCs w:val="22"/>
        </w:rPr>
      </w:pPr>
      <w:r w:rsidRPr="00AE48AD">
        <w:rPr>
          <w:rFonts w:ascii="Source Sans Pro" w:hAnsi="Source Sans Pro"/>
          <w:sz w:val="22"/>
          <w:szCs w:val="22"/>
        </w:rPr>
        <w:t> </w:t>
      </w:r>
    </w:p>
    <w:p w:rsidR="00675F6E" w:rsidRPr="00AE48AD" w:rsidP="00675F6E" w14:paraId="6682661A" w14:textId="26389F29">
      <w:pPr>
        <w:rPr>
          <w:rFonts w:ascii="Source Sans Pro" w:hAnsi="Source Sans Pro"/>
          <w:sz w:val="22"/>
          <w:szCs w:val="22"/>
        </w:rPr>
      </w:pPr>
      <w:r w:rsidRPr="00AE48AD">
        <w:rPr>
          <w:rFonts w:ascii="Source Sans Pro" w:hAnsi="Source Sans Pro"/>
          <w:b/>
          <w:sz w:val="22"/>
          <w:szCs w:val="22"/>
        </w:rPr>
        <w:t>From:</w:t>
      </w:r>
      <w:r w:rsidRPr="00AE48AD">
        <w:rPr>
          <w:rFonts w:ascii="Source Sans Pro" w:hAnsi="Source Sans Pro"/>
          <w:sz w:val="22"/>
          <w:szCs w:val="22"/>
        </w:rPr>
        <w:t>   </w:t>
      </w:r>
      <w:r w:rsidRPr="00AE48AD">
        <w:rPr>
          <w:rFonts w:ascii="Source Sans Pro" w:hAnsi="Source Sans Pro"/>
          <w:sz w:val="22"/>
          <w:szCs w:val="22"/>
        </w:rPr>
        <w:tab/>
        <w:t>             </w:t>
      </w:r>
      <w:r w:rsidR="00AE48AD">
        <w:rPr>
          <w:rFonts w:ascii="Source Sans Pro" w:hAnsi="Source Sans Pro"/>
          <w:sz w:val="22"/>
          <w:szCs w:val="22"/>
        </w:rPr>
        <w:tab/>
      </w:r>
      <w:r w:rsidR="007E2010">
        <w:rPr>
          <w:rFonts w:ascii="Source Sans Pro" w:hAnsi="Source Sans Pro"/>
          <w:sz w:val="22"/>
          <w:szCs w:val="22"/>
        </w:rPr>
        <w:tab/>
      </w:r>
      <w:r w:rsidRPr="00AE48AD" w:rsidR="00EA7EA3">
        <w:rPr>
          <w:rFonts w:ascii="Source Sans Pro" w:hAnsi="Source Sans Pro"/>
          <w:sz w:val="22"/>
          <w:szCs w:val="22"/>
        </w:rPr>
        <w:t>Manuel E. Cabeza</w:t>
      </w:r>
      <w:r w:rsidR="00AE48AD">
        <w:rPr>
          <w:rFonts w:ascii="Source Sans Pro" w:hAnsi="Source Sans Pro"/>
          <w:sz w:val="22"/>
          <w:szCs w:val="22"/>
        </w:rPr>
        <w:t>, Counsel</w:t>
      </w:r>
    </w:p>
    <w:p w:rsidR="00C8468B" w:rsidRPr="00AE48AD" w:rsidP="007E2010" w14:paraId="4DFF9897" w14:textId="3364FE25">
      <w:pPr>
        <w:ind w:left="1440" w:firstLine="720"/>
        <w:rPr>
          <w:rFonts w:ascii="Source Sans Pro" w:hAnsi="Source Sans Pro"/>
          <w:sz w:val="22"/>
          <w:szCs w:val="22"/>
        </w:rPr>
      </w:pPr>
      <w:r w:rsidRPr="00AE48AD">
        <w:rPr>
          <w:rFonts w:ascii="Source Sans Pro" w:hAnsi="Source Sans Pro"/>
          <w:sz w:val="22"/>
          <w:szCs w:val="22"/>
        </w:rPr>
        <w:t>Assessments and Legislation Unit</w:t>
      </w:r>
    </w:p>
    <w:p w:rsidR="00675F6E" w:rsidRPr="00AE48AD" w:rsidP="00675F6E" w14:paraId="618DA5E1" w14:textId="653EBDC3">
      <w:pPr>
        <w:rPr>
          <w:rFonts w:ascii="Source Sans Pro" w:hAnsi="Source Sans Pro"/>
          <w:sz w:val="22"/>
          <w:szCs w:val="22"/>
        </w:rPr>
      </w:pPr>
      <w:r w:rsidRPr="00AE48AD">
        <w:rPr>
          <w:rFonts w:ascii="Source Sans Pro" w:hAnsi="Source Sans Pro"/>
          <w:sz w:val="22"/>
          <w:szCs w:val="22"/>
        </w:rPr>
        <w:t>                                 </w:t>
      </w:r>
      <w:r w:rsidR="007E2010">
        <w:rPr>
          <w:rFonts w:ascii="Source Sans Pro" w:hAnsi="Source Sans Pro"/>
          <w:sz w:val="22"/>
          <w:szCs w:val="22"/>
        </w:rPr>
        <w:tab/>
      </w:r>
      <w:r w:rsidRPr="00AE48AD">
        <w:rPr>
          <w:rFonts w:ascii="Source Sans Pro" w:hAnsi="Source Sans Pro"/>
          <w:sz w:val="22"/>
          <w:szCs w:val="22"/>
        </w:rPr>
        <w:t>Federal Deposit Insurance Corporation</w:t>
      </w:r>
    </w:p>
    <w:p w:rsidR="00675F6E" w:rsidRPr="00AE48AD" w:rsidP="00675F6E" w14:paraId="2EC88954" w14:textId="181D664D">
      <w:pPr>
        <w:rPr>
          <w:rFonts w:ascii="Source Sans Pro" w:hAnsi="Source Sans Pro"/>
          <w:sz w:val="22"/>
          <w:szCs w:val="22"/>
        </w:rPr>
      </w:pPr>
      <w:r w:rsidRPr="00AE48AD">
        <w:rPr>
          <w:rFonts w:ascii="Source Sans Pro" w:hAnsi="Source Sans Pro"/>
          <w:sz w:val="22"/>
          <w:szCs w:val="22"/>
        </w:rPr>
        <w:t> </w:t>
      </w:r>
    </w:p>
    <w:p w:rsidR="00675F6E" w:rsidRPr="00AE48AD" w:rsidP="00675F6E" w14:paraId="5E493667" w14:textId="1B578603">
      <w:pPr>
        <w:spacing w:after="200" w:line="276" w:lineRule="auto"/>
        <w:rPr>
          <w:rFonts w:ascii="Source Sans Pro" w:eastAsia="Calibri" w:hAnsi="Source Sans Pro"/>
          <w:b/>
          <w:sz w:val="22"/>
          <w:szCs w:val="22"/>
        </w:rPr>
      </w:pPr>
      <w:r w:rsidRPr="00AE48AD">
        <w:rPr>
          <w:rFonts w:ascii="Source Sans Pro" w:eastAsia="Calibri" w:hAnsi="Source Sans Pro"/>
          <w:b/>
          <w:sz w:val="22"/>
          <w:szCs w:val="22"/>
        </w:rPr>
        <w:t xml:space="preserve">RE:  </w:t>
      </w:r>
      <w:r w:rsidR="007E2010">
        <w:rPr>
          <w:rFonts w:ascii="Source Sans Pro" w:eastAsia="Calibri" w:hAnsi="Source Sans Pro"/>
          <w:b/>
          <w:sz w:val="22"/>
          <w:szCs w:val="22"/>
        </w:rPr>
        <w:t xml:space="preserve">FDIC </w:t>
      </w:r>
      <w:r w:rsidR="00761C7C">
        <w:rPr>
          <w:rFonts w:ascii="Source Sans Pro" w:eastAsia="Calibri" w:hAnsi="Source Sans Pro"/>
          <w:b/>
          <w:sz w:val="22"/>
          <w:szCs w:val="22"/>
        </w:rPr>
        <w:t xml:space="preserve">Survey of </w:t>
      </w:r>
      <w:r w:rsidRPr="00AE48AD" w:rsidR="00FC73D0">
        <w:rPr>
          <w:rFonts w:ascii="Source Sans Pro" w:eastAsia="Calibri" w:hAnsi="Source Sans Pro"/>
          <w:b/>
          <w:sz w:val="22"/>
          <w:szCs w:val="22"/>
        </w:rPr>
        <w:t>Volunteer Income Tax Assistance</w:t>
      </w:r>
      <w:r w:rsidRPr="00AE48AD">
        <w:rPr>
          <w:rFonts w:ascii="Source Sans Pro" w:eastAsia="Calibri" w:hAnsi="Source Sans Pro"/>
          <w:b/>
          <w:sz w:val="22"/>
          <w:szCs w:val="22"/>
        </w:rPr>
        <w:t xml:space="preserve"> </w:t>
      </w:r>
      <w:r w:rsidR="00AE48AD">
        <w:rPr>
          <w:rFonts w:ascii="Source Sans Pro" w:eastAsia="Calibri" w:hAnsi="Source Sans Pro"/>
          <w:b/>
          <w:sz w:val="22"/>
          <w:szCs w:val="22"/>
        </w:rPr>
        <w:t>(VITA) Providers</w:t>
      </w:r>
    </w:p>
    <w:p w:rsidR="00703DCB" w:rsidP="00675F6E" w14:paraId="6F89EC5D" w14:textId="7F903736">
      <w:pPr>
        <w:rPr>
          <w:rFonts w:ascii="Source Sans Pro" w:eastAsia="Calibri" w:hAnsi="Source Sans Pro"/>
          <w:sz w:val="22"/>
          <w:szCs w:val="22"/>
        </w:rPr>
      </w:pPr>
      <w:r w:rsidRPr="007F513C">
        <w:rPr>
          <w:rFonts w:ascii="Source Sans Pro" w:eastAsia="Calibri" w:hAnsi="Source Sans Pro"/>
          <w:sz w:val="22"/>
          <w:szCs w:val="22"/>
        </w:rPr>
        <w:t>Volunteer Income Tax Assistance (VITA</w:t>
      </w:r>
      <w:r>
        <w:rPr>
          <w:rFonts w:ascii="Source Sans Pro" w:eastAsia="Calibri" w:hAnsi="Source Sans Pro"/>
          <w:sz w:val="22"/>
          <w:szCs w:val="22"/>
        </w:rPr>
        <w:t>)</w:t>
      </w:r>
      <w:r w:rsidRPr="007F513C">
        <w:rPr>
          <w:rFonts w:ascii="Source Sans Pro" w:eastAsia="Calibri" w:hAnsi="Source Sans Pro"/>
          <w:sz w:val="22"/>
          <w:szCs w:val="22"/>
        </w:rPr>
        <w:t xml:space="preserve"> providers</w:t>
      </w:r>
      <w:r>
        <w:rPr>
          <w:rFonts w:ascii="Source Sans Pro" w:eastAsia="Calibri" w:hAnsi="Source Sans Pro"/>
          <w:sz w:val="22"/>
          <w:szCs w:val="22"/>
        </w:rPr>
        <w:t xml:space="preserve"> assist </w:t>
      </w:r>
      <w:r w:rsidRPr="007F513C">
        <w:rPr>
          <w:rFonts w:ascii="Source Sans Pro" w:eastAsia="Calibri" w:hAnsi="Source Sans Pro"/>
          <w:sz w:val="22"/>
          <w:szCs w:val="22"/>
        </w:rPr>
        <w:t>low-income households</w:t>
      </w:r>
      <w:r>
        <w:rPr>
          <w:rFonts w:ascii="Source Sans Pro" w:eastAsia="Calibri" w:hAnsi="Source Sans Pro"/>
          <w:sz w:val="22"/>
          <w:szCs w:val="22"/>
        </w:rPr>
        <w:t xml:space="preserve"> in filling out their federal tax returns. </w:t>
      </w:r>
      <w:r>
        <w:rPr>
          <w:rFonts w:ascii="Source Sans Pro" w:eastAsia="Calibri" w:hAnsi="Source Sans Pro"/>
          <w:sz w:val="22"/>
          <w:szCs w:val="22"/>
        </w:rPr>
        <w:t>The</w:t>
      </w:r>
      <w:r w:rsidR="009C75C0">
        <w:rPr>
          <w:rFonts w:ascii="Source Sans Pro" w:eastAsia="Calibri" w:hAnsi="Source Sans Pro"/>
          <w:sz w:val="22"/>
          <w:szCs w:val="22"/>
        </w:rPr>
        <w:t>se</w:t>
      </w:r>
      <w:r>
        <w:rPr>
          <w:rFonts w:ascii="Source Sans Pro" w:eastAsia="Calibri" w:hAnsi="Source Sans Pro"/>
          <w:sz w:val="22"/>
          <w:szCs w:val="22"/>
        </w:rPr>
        <w:t xml:space="preserve"> providers </w:t>
      </w:r>
      <w:r>
        <w:rPr>
          <w:rFonts w:ascii="Source Sans Pro" w:eastAsia="Calibri" w:hAnsi="Source Sans Pro"/>
          <w:sz w:val="22"/>
          <w:szCs w:val="22"/>
        </w:rPr>
        <w:t xml:space="preserve">offer a unique </w:t>
      </w:r>
      <w:r>
        <w:rPr>
          <w:rFonts w:ascii="Source Sans Pro" w:eastAsia="Calibri" w:hAnsi="Source Sans Pro"/>
          <w:sz w:val="22"/>
          <w:szCs w:val="22"/>
        </w:rPr>
        <w:t xml:space="preserve">opportunity to </w:t>
      </w:r>
      <w:r>
        <w:rPr>
          <w:rFonts w:ascii="Source Sans Pro" w:eastAsia="Calibri" w:hAnsi="Source Sans Pro"/>
          <w:sz w:val="22"/>
          <w:szCs w:val="22"/>
        </w:rPr>
        <w:t xml:space="preserve">potentially </w:t>
      </w:r>
      <w:r>
        <w:rPr>
          <w:rFonts w:ascii="Source Sans Pro" w:eastAsia="Calibri" w:hAnsi="Source Sans Pro"/>
          <w:sz w:val="22"/>
          <w:szCs w:val="22"/>
        </w:rPr>
        <w:t xml:space="preserve">increase </w:t>
      </w:r>
      <w:r w:rsidR="00656F83">
        <w:rPr>
          <w:rFonts w:ascii="Source Sans Pro" w:eastAsia="Calibri" w:hAnsi="Source Sans Pro"/>
          <w:sz w:val="22"/>
          <w:szCs w:val="22"/>
        </w:rPr>
        <w:t xml:space="preserve">economic </w:t>
      </w:r>
      <w:r>
        <w:rPr>
          <w:rFonts w:ascii="Source Sans Pro" w:eastAsia="Calibri" w:hAnsi="Source Sans Pro"/>
          <w:sz w:val="22"/>
          <w:szCs w:val="22"/>
        </w:rPr>
        <w:t xml:space="preserve">inclusion </w:t>
      </w:r>
      <w:r>
        <w:rPr>
          <w:rFonts w:ascii="Source Sans Pro" w:eastAsia="Calibri" w:hAnsi="Source Sans Pro"/>
          <w:sz w:val="22"/>
          <w:szCs w:val="22"/>
        </w:rPr>
        <w:t xml:space="preserve">by connecting unbanked households served at VITA sites with banks or credit unions, </w:t>
      </w:r>
      <w:r w:rsidR="009C75C0">
        <w:rPr>
          <w:rFonts w:ascii="Source Sans Pro" w:eastAsia="Calibri" w:hAnsi="Source Sans Pro"/>
          <w:sz w:val="22"/>
          <w:szCs w:val="22"/>
        </w:rPr>
        <w:t xml:space="preserve">which allows </w:t>
      </w:r>
      <w:r w:rsidR="007E2010">
        <w:rPr>
          <w:rFonts w:ascii="Source Sans Pro" w:eastAsia="Calibri" w:hAnsi="Source Sans Pro"/>
          <w:sz w:val="22"/>
          <w:szCs w:val="22"/>
        </w:rPr>
        <w:t xml:space="preserve">these </w:t>
      </w:r>
      <w:r>
        <w:rPr>
          <w:rFonts w:ascii="Source Sans Pro" w:eastAsia="Calibri" w:hAnsi="Source Sans Pro"/>
          <w:sz w:val="22"/>
          <w:szCs w:val="22"/>
        </w:rPr>
        <w:t xml:space="preserve">households to </w:t>
      </w:r>
      <w:r w:rsidR="009C75C0">
        <w:rPr>
          <w:rFonts w:ascii="Source Sans Pro" w:eastAsia="Calibri" w:hAnsi="Source Sans Pro"/>
          <w:sz w:val="22"/>
          <w:szCs w:val="22"/>
        </w:rPr>
        <w:t xml:space="preserve">more </w:t>
      </w:r>
      <w:r>
        <w:rPr>
          <w:rFonts w:ascii="Source Sans Pro" w:eastAsia="Calibri" w:hAnsi="Source Sans Pro"/>
          <w:sz w:val="22"/>
          <w:szCs w:val="22"/>
        </w:rPr>
        <w:t xml:space="preserve">quickly and safely access refunds through direct deposit. </w:t>
      </w:r>
    </w:p>
    <w:p w:rsidR="00703DCB" w:rsidP="00675F6E" w14:paraId="6E86C00A" w14:textId="77777777">
      <w:pPr>
        <w:rPr>
          <w:rFonts w:ascii="Source Sans Pro" w:eastAsia="Calibri" w:hAnsi="Source Sans Pro"/>
          <w:sz w:val="22"/>
          <w:szCs w:val="22"/>
        </w:rPr>
      </w:pPr>
    </w:p>
    <w:p w:rsidR="00AA44A1" w:rsidP="00AA44A1" w14:paraId="3AF94DDE" w14:textId="6AEEC35C">
      <w:pPr>
        <w:rPr>
          <w:rFonts w:ascii="Source Sans Pro" w:eastAsia="Calibri" w:hAnsi="Source Sans Pro"/>
          <w:sz w:val="22"/>
          <w:szCs w:val="22"/>
        </w:rPr>
      </w:pPr>
      <w:r w:rsidRPr="00AE48AD">
        <w:rPr>
          <w:rFonts w:ascii="Source Sans Pro" w:eastAsia="Calibri" w:hAnsi="Source Sans Pro"/>
          <w:sz w:val="22"/>
          <w:szCs w:val="22"/>
        </w:rPr>
        <w:t>Under the generic clearance titled, “</w:t>
      </w:r>
      <w:r w:rsidRPr="00AE48AD" w:rsidR="006643A8">
        <w:rPr>
          <w:rFonts w:ascii="Source Sans Pro" w:eastAsia="Calibri" w:hAnsi="Source Sans Pro"/>
          <w:sz w:val="22"/>
          <w:szCs w:val="22"/>
        </w:rPr>
        <w:t>Generic Information Collection for Qualitative Research</w:t>
      </w:r>
      <w:r w:rsidRPr="00AE48AD">
        <w:rPr>
          <w:rFonts w:ascii="Source Sans Pro" w:eastAsia="Calibri" w:hAnsi="Source Sans Pro"/>
          <w:sz w:val="22"/>
          <w:szCs w:val="22"/>
        </w:rPr>
        <w:t>” (3064-01</w:t>
      </w:r>
      <w:r w:rsidRPr="00AE48AD" w:rsidR="006643A8">
        <w:rPr>
          <w:rFonts w:ascii="Source Sans Pro" w:eastAsia="Calibri" w:hAnsi="Source Sans Pro"/>
          <w:sz w:val="22"/>
          <w:szCs w:val="22"/>
        </w:rPr>
        <w:t>98</w:t>
      </w:r>
      <w:r w:rsidRPr="00AE48AD">
        <w:rPr>
          <w:rFonts w:ascii="Source Sans Pro" w:eastAsia="Calibri" w:hAnsi="Source Sans Pro"/>
          <w:sz w:val="22"/>
          <w:szCs w:val="22"/>
        </w:rPr>
        <w:t xml:space="preserve">), the FDIC </w:t>
      </w:r>
      <w:r w:rsidRPr="00AE48AD" w:rsidR="00601F22">
        <w:rPr>
          <w:rFonts w:ascii="Source Sans Pro" w:eastAsia="Calibri" w:hAnsi="Source Sans Pro"/>
          <w:sz w:val="22"/>
          <w:szCs w:val="22"/>
        </w:rPr>
        <w:t xml:space="preserve">submits for OMB review a </w:t>
      </w:r>
      <w:r w:rsidR="00761C7C">
        <w:rPr>
          <w:rFonts w:ascii="Source Sans Pro" w:eastAsia="Calibri" w:hAnsi="Source Sans Pro"/>
          <w:sz w:val="22"/>
          <w:szCs w:val="22"/>
        </w:rPr>
        <w:t xml:space="preserve">request to field a </w:t>
      </w:r>
      <w:r w:rsidR="00C233EC">
        <w:rPr>
          <w:rFonts w:ascii="Source Sans Pro" w:eastAsia="Calibri" w:hAnsi="Source Sans Pro"/>
          <w:sz w:val="22"/>
          <w:szCs w:val="22"/>
        </w:rPr>
        <w:t xml:space="preserve">one-time </w:t>
      </w:r>
      <w:bookmarkStart w:id="0" w:name="_GoBack"/>
      <w:bookmarkEnd w:id="0"/>
      <w:r w:rsidRPr="00AE48AD" w:rsidR="00601F22">
        <w:rPr>
          <w:rFonts w:ascii="Source Sans Pro" w:eastAsia="Calibri" w:hAnsi="Source Sans Pro"/>
          <w:sz w:val="22"/>
          <w:szCs w:val="22"/>
        </w:rPr>
        <w:t xml:space="preserve">generic survey of </w:t>
      </w:r>
      <w:r w:rsidR="00761C7C">
        <w:rPr>
          <w:rFonts w:ascii="Source Sans Pro" w:eastAsia="Calibri" w:hAnsi="Source Sans Pro"/>
          <w:sz w:val="22"/>
          <w:szCs w:val="22"/>
        </w:rPr>
        <w:t>VITA</w:t>
      </w:r>
      <w:r w:rsidR="00AE48AD">
        <w:rPr>
          <w:rFonts w:ascii="Source Sans Pro" w:eastAsia="Calibri" w:hAnsi="Source Sans Pro"/>
          <w:sz w:val="22"/>
          <w:szCs w:val="22"/>
        </w:rPr>
        <w:t xml:space="preserve"> </w:t>
      </w:r>
      <w:r w:rsidRPr="00AE48AD" w:rsidR="00601F22">
        <w:rPr>
          <w:rFonts w:ascii="Source Sans Pro" w:eastAsia="Calibri" w:hAnsi="Source Sans Pro"/>
          <w:sz w:val="22"/>
          <w:szCs w:val="22"/>
        </w:rPr>
        <w:t>providers</w:t>
      </w:r>
      <w:r w:rsidR="00703DCB">
        <w:rPr>
          <w:rFonts w:ascii="Source Sans Pro" w:eastAsia="Calibri" w:hAnsi="Source Sans Pro"/>
          <w:sz w:val="22"/>
          <w:szCs w:val="22"/>
        </w:rPr>
        <w:t xml:space="preserve">. </w:t>
      </w:r>
      <w:r>
        <w:rPr>
          <w:rFonts w:ascii="Source Sans Pro" w:eastAsia="Calibri" w:hAnsi="Source Sans Pro"/>
          <w:sz w:val="22"/>
          <w:szCs w:val="22"/>
        </w:rPr>
        <w:t xml:space="preserve">The purpose of the survey </w:t>
      </w:r>
      <w:r w:rsidRPr="00AA44A1">
        <w:rPr>
          <w:rFonts w:ascii="Source Sans Pro" w:eastAsia="Calibri" w:hAnsi="Source Sans Pro"/>
          <w:sz w:val="22"/>
          <w:szCs w:val="22"/>
        </w:rPr>
        <w:t xml:space="preserve">is to better understand efforts in place </w:t>
      </w:r>
      <w:r w:rsidR="00703DCB">
        <w:rPr>
          <w:rFonts w:ascii="Source Sans Pro" w:eastAsia="Calibri" w:hAnsi="Source Sans Pro"/>
          <w:sz w:val="22"/>
          <w:szCs w:val="22"/>
        </w:rPr>
        <w:t xml:space="preserve">by VITA providers </w:t>
      </w:r>
      <w:r w:rsidRPr="00AA44A1">
        <w:rPr>
          <w:rFonts w:ascii="Source Sans Pro" w:eastAsia="Calibri" w:hAnsi="Source Sans Pro"/>
          <w:sz w:val="22"/>
          <w:szCs w:val="22"/>
        </w:rPr>
        <w:t xml:space="preserve">to help </w:t>
      </w:r>
      <w:r w:rsidR="00703DCB">
        <w:rPr>
          <w:rFonts w:ascii="Source Sans Pro" w:eastAsia="Calibri" w:hAnsi="Source Sans Pro"/>
          <w:sz w:val="22"/>
          <w:szCs w:val="22"/>
        </w:rPr>
        <w:t xml:space="preserve">their </w:t>
      </w:r>
      <w:r w:rsidRPr="00AA44A1">
        <w:rPr>
          <w:rFonts w:ascii="Source Sans Pro" w:eastAsia="Calibri" w:hAnsi="Source Sans Pro"/>
          <w:sz w:val="22"/>
          <w:szCs w:val="22"/>
        </w:rPr>
        <w:t xml:space="preserve">unbanked clients open checking or savings accounts. </w:t>
      </w:r>
      <w:r w:rsidR="00703DCB">
        <w:rPr>
          <w:rFonts w:ascii="Source Sans Pro" w:eastAsia="Calibri" w:hAnsi="Source Sans Pro"/>
          <w:sz w:val="22"/>
          <w:szCs w:val="22"/>
        </w:rPr>
        <w:t xml:space="preserve">Of </w:t>
      </w:r>
      <w:r>
        <w:rPr>
          <w:rFonts w:ascii="Source Sans Pro" w:eastAsia="Calibri" w:hAnsi="Source Sans Pro"/>
          <w:sz w:val="22"/>
          <w:szCs w:val="22"/>
        </w:rPr>
        <w:t xml:space="preserve">VITA providers </w:t>
      </w:r>
      <w:r w:rsidR="006B37A4">
        <w:rPr>
          <w:rFonts w:ascii="Source Sans Pro" w:eastAsia="Calibri" w:hAnsi="Source Sans Pro"/>
          <w:sz w:val="22"/>
          <w:szCs w:val="22"/>
        </w:rPr>
        <w:t xml:space="preserve">that </w:t>
      </w:r>
      <w:r>
        <w:rPr>
          <w:rFonts w:ascii="Source Sans Pro" w:eastAsia="Calibri" w:hAnsi="Source Sans Pro"/>
          <w:sz w:val="22"/>
          <w:szCs w:val="22"/>
        </w:rPr>
        <w:t>currently partner with banks or credit unions</w:t>
      </w:r>
      <w:r w:rsidR="00703DCB">
        <w:rPr>
          <w:rFonts w:ascii="Source Sans Pro" w:eastAsia="Calibri" w:hAnsi="Source Sans Pro"/>
          <w:sz w:val="22"/>
          <w:szCs w:val="22"/>
        </w:rPr>
        <w:t>,</w:t>
      </w:r>
      <w:r>
        <w:rPr>
          <w:rFonts w:ascii="Source Sans Pro" w:eastAsia="Calibri" w:hAnsi="Source Sans Pro"/>
          <w:sz w:val="22"/>
          <w:szCs w:val="22"/>
        </w:rPr>
        <w:t xml:space="preserve"> we will ask about their practices and </w:t>
      </w:r>
      <w:r w:rsidR="00703DCB">
        <w:rPr>
          <w:rFonts w:ascii="Source Sans Pro" w:eastAsia="Calibri" w:hAnsi="Source Sans Pro"/>
          <w:sz w:val="22"/>
          <w:szCs w:val="22"/>
        </w:rPr>
        <w:t xml:space="preserve">which </w:t>
      </w:r>
      <w:r>
        <w:rPr>
          <w:rFonts w:ascii="Source Sans Pro" w:eastAsia="Calibri" w:hAnsi="Source Sans Pro"/>
          <w:sz w:val="22"/>
          <w:szCs w:val="22"/>
        </w:rPr>
        <w:t xml:space="preserve">practices clients </w:t>
      </w:r>
      <w:r w:rsidR="009C75C0">
        <w:rPr>
          <w:rFonts w:ascii="Source Sans Pro" w:eastAsia="Calibri" w:hAnsi="Source Sans Pro"/>
          <w:sz w:val="22"/>
          <w:szCs w:val="22"/>
        </w:rPr>
        <w:t xml:space="preserve">are </w:t>
      </w:r>
      <w:r>
        <w:rPr>
          <w:rFonts w:ascii="Source Sans Pro" w:eastAsia="Calibri" w:hAnsi="Source Sans Pro"/>
          <w:sz w:val="22"/>
          <w:szCs w:val="22"/>
        </w:rPr>
        <w:t xml:space="preserve">most </w:t>
      </w:r>
      <w:r w:rsidR="009C75C0">
        <w:rPr>
          <w:rFonts w:ascii="Source Sans Pro" w:eastAsia="Calibri" w:hAnsi="Source Sans Pro"/>
          <w:sz w:val="22"/>
          <w:szCs w:val="22"/>
        </w:rPr>
        <w:t>interested in (20 minute survey)</w:t>
      </w:r>
      <w:r>
        <w:rPr>
          <w:rFonts w:ascii="Source Sans Pro" w:eastAsia="Calibri" w:hAnsi="Source Sans Pro"/>
          <w:sz w:val="22"/>
          <w:szCs w:val="22"/>
        </w:rPr>
        <w:t xml:space="preserve">. </w:t>
      </w:r>
      <w:r w:rsidR="00703DCB">
        <w:rPr>
          <w:rFonts w:ascii="Source Sans Pro" w:eastAsia="Calibri" w:hAnsi="Source Sans Pro"/>
          <w:sz w:val="22"/>
          <w:szCs w:val="22"/>
        </w:rPr>
        <w:t xml:space="preserve">Of </w:t>
      </w:r>
      <w:r>
        <w:rPr>
          <w:rFonts w:ascii="Source Sans Pro" w:eastAsia="Calibri" w:hAnsi="Source Sans Pro"/>
          <w:sz w:val="22"/>
          <w:szCs w:val="22"/>
        </w:rPr>
        <w:t xml:space="preserve">VITA providers </w:t>
      </w:r>
      <w:r w:rsidR="009C75C0">
        <w:rPr>
          <w:rFonts w:ascii="Source Sans Pro" w:eastAsia="Calibri" w:hAnsi="Source Sans Pro"/>
          <w:sz w:val="22"/>
          <w:szCs w:val="22"/>
        </w:rPr>
        <w:t xml:space="preserve">that </w:t>
      </w:r>
      <w:r>
        <w:rPr>
          <w:rFonts w:ascii="Source Sans Pro" w:eastAsia="Calibri" w:hAnsi="Source Sans Pro"/>
          <w:sz w:val="22"/>
          <w:szCs w:val="22"/>
        </w:rPr>
        <w:t xml:space="preserve">do not currently partner with </w:t>
      </w:r>
      <w:r w:rsidR="006B37A4">
        <w:rPr>
          <w:rFonts w:ascii="Source Sans Pro" w:eastAsia="Calibri" w:hAnsi="Source Sans Pro"/>
          <w:sz w:val="22"/>
          <w:szCs w:val="22"/>
        </w:rPr>
        <w:t>banks or credit unions</w:t>
      </w:r>
      <w:r w:rsidR="009C75C0">
        <w:rPr>
          <w:rFonts w:ascii="Source Sans Pro" w:eastAsia="Calibri" w:hAnsi="Source Sans Pro"/>
          <w:sz w:val="22"/>
          <w:szCs w:val="22"/>
        </w:rPr>
        <w:t>,</w:t>
      </w:r>
      <w:r>
        <w:rPr>
          <w:rFonts w:ascii="Source Sans Pro" w:eastAsia="Calibri" w:hAnsi="Source Sans Pro"/>
          <w:sz w:val="22"/>
          <w:szCs w:val="22"/>
        </w:rPr>
        <w:t xml:space="preserve"> we will ask questions re</w:t>
      </w:r>
      <w:r w:rsidR="00CA65C8">
        <w:rPr>
          <w:rFonts w:ascii="Source Sans Pro" w:eastAsia="Calibri" w:hAnsi="Source Sans Pro"/>
          <w:sz w:val="22"/>
          <w:szCs w:val="22"/>
        </w:rPr>
        <w:t xml:space="preserve">lated to </w:t>
      </w:r>
      <w:r>
        <w:rPr>
          <w:rFonts w:ascii="Source Sans Pro" w:eastAsia="Calibri" w:hAnsi="Source Sans Pro"/>
          <w:sz w:val="22"/>
          <w:szCs w:val="22"/>
        </w:rPr>
        <w:t xml:space="preserve">the barriers </w:t>
      </w:r>
      <w:r w:rsidR="00703DCB">
        <w:rPr>
          <w:rFonts w:ascii="Source Sans Pro" w:eastAsia="Calibri" w:hAnsi="Source Sans Pro"/>
          <w:sz w:val="22"/>
          <w:szCs w:val="22"/>
        </w:rPr>
        <w:t xml:space="preserve">they perceive </w:t>
      </w:r>
      <w:r w:rsidR="00CA65C8">
        <w:rPr>
          <w:rFonts w:ascii="Source Sans Pro" w:eastAsia="Calibri" w:hAnsi="Source Sans Pro"/>
          <w:sz w:val="22"/>
          <w:szCs w:val="22"/>
        </w:rPr>
        <w:t xml:space="preserve">in </w:t>
      </w:r>
      <w:r>
        <w:rPr>
          <w:rFonts w:ascii="Source Sans Pro" w:eastAsia="Calibri" w:hAnsi="Source Sans Pro"/>
          <w:sz w:val="22"/>
          <w:szCs w:val="22"/>
        </w:rPr>
        <w:t>forming partnerships</w:t>
      </w:r>
      <w:r w:rsidR="009C75C0">
        <w:rPr>
          <w:rFonts w:ascii="Source Sans Pro" w:eastAsia="Calibri" w:hAnsi="Source Sans Pro"/>
          <w:sz w:val="22"/>
          <w:szCs w:val="22"/>
        </w:rPr>
        <w:t xml:space="preserve"> (15 minute survey)</w:t>
      </w:r>
      <w:r>
        <w:rPr>
          <w:rFonts w:ascii="Source Sans Pro" w:eastAsia="Calibri" w:hAnsi="Source Sans Pro"/>
          <w:sz w:val="22"/>
          <w:szCs w:val="22"/>
        </w:rPr>
        <w:t>.</w:t>
      </w:r>
    </w:p>
    <w:p w:rsidR="007F513C" w:rsidP="00AA44A1" w14:paraId="7BE8E0D1" w14:textId="352CB4E9">
      <w:pPr>
        <w:rPr>
          <w:rFonts w:ascii="Source Sans Pro" w:eastAsia="Calibri" w:hAnsi="Source Sans Pro"/>
          <w:sz w:val="22"/>
          <w:szCs w:val="22"/>
        </w:rPr>
      </w:pPr>
    </w:p>
    <w:p w:rsidR="007F513C" w:rsidP="00AA44A1" w14:paraId="66FCEF19" w14:textId="62692D5E">
      <w:pPr>
        <w:rPr>
          <w:rFonts w:ascii="Source Sans Pro" w:eastAsia="Calibri" w:hAnsi="Source Sans Pro"/>
          <w:sz w:val="22"/>
          <w:szCs w:val="22"/>
        </w:rPr>
      </w:pPr>
      <w:r>
        <w:rPr>
          <w:rFonts w:ascii="Source Sans Pro" w:eastAsia="Calibri" w:hAnsi="Source Sans Pro"/>
          <w:sz w:val="22"/>
          <w:szCs w:val="22"/>
        </w:rPr>
        <w:t xml:space="preserve">The FDIC would like to </w:t>
      </w:r>
      <w:r w:rsidR="00703DCB">
        <w:rPr>
          <w:rFonts w:ascii="Source Sans Pro" w:eastAsia="Calibri" w:hAnsi="Source Sans Pro"/>
          <w:sz w:val="22"/>
          <w:szCs w:val="22"/>
        </w:rPr>
        <w:t xml:space="preserve">send an invitation to the generic survey on May 1, shortly after the tax season ends, but while the tax season is still fresh on the minds of staff and volunteers. For the 2023 tax season there exists </w:t>
      </w:r>
      <w:r w:rsidRPr="009834CB" w:rsidR="00703DCB">
        <w:rPr>
          <w:rFonts w:ascii="Source Sans Pro" w:eastAsia="Calibri" w:hAnsi="Source Sans Pro"/>
          <w:sz w:val="22"/>
          <w:szCs w:val="22"/>
        </w:rPr>
        <w:t>about 3,</w:t>
      </w:r>
      <w:r w:rsidRPr="009834CB" w:rsidR="009834CB">
        <w:rPr>
          <w:rFonts w:ascii="Source Sans Pro" w:eastAsia="Calibri" w:hAnsi="Source Sans Pro"/>
          <w:sz w:val="22"/>
          <w:szCs w:val="22"/>
        </w:rPr>
        <w:t>7</w:t>
      </w:r>
      <w:r w:rsidRPr="009834CB" w:rsidR="00703DCB">
        <w:rPr>
          <w:rFonts w:ascii="Source Sans Pro" w:eastAsia="Calibri" w:hAnsi="Source Sans Pro"/>
          <w:sz w:val="22"/>
          <w:szCs w:val="22"/>
        </w:rPr>
        <w:t>00</w:t>
      </w:r>
      <w:r w:rsidR="00703DCB">
        <w:rPr>
          <w:rFonts w:ascii="Source Sans Pro" w:eastAsia="Calibri" w:hAnsi="Source Sans Pro"/>
          <w:sz w:val="22"/>
          <w:szCs w:val="22"/>
        </w:rPr>
        <w:t xml:space="preserve"> distinct VITA sites. We will</w:t>
      </w:r>
      <w:r w:rsidR="009834CB">
        <w:rPr>
          <w:rFonts w:ascii="Source Sans Pro" w:eastAsia="Calibri" w:hAnsi="Source Sans Pro"/>
          <w:sz w:val="22"/>
          <w:szCs w:val="22"/>
        </w:rPr>
        <w:t xml:space="preserve"> ask </w:t>
      </w:r>
      <w:r>
        <w:rPr>
          <w:rFonts w:ascii="Source Sans Pro" w:eastAsia="Calibri" w:hAnsi="Source Sans Pro"/>
          <w:sz w:val="22"/>
          <w:szCs w:val="22"/>
        </w:rPr>
        <w:t xml:space="preserve">about </w:t>
      </w:r>
      <w:r w:rsidRPr="007F513C">
        <w:rPr>
          <w:rFonts w:ascii="Source Sans Pro" w:eastAsia="Calibri" w:hAnsi="Source Sans Pro"/>
          <w:sz w:val="22"/>
          <w:szCs w:val="22"/>
        </w:rPr>
        <w:t xml:space="preserve">600 VITA providers to fill out </w:t>
      </w:r>
      <w:r w:rsidR="00CA65C8">
        <w:rPr>
          <w:rFonts w:ascii="Source Sans Pro" w:eastAsia="Calibri" w:hAnsi="Source Sans Pro"/>
          <w:sz w:val="22"/>
          <w:szCs w:val="22"/>
        </w:rPr>
        <w:t xml:space="preserve">the </w:t>
      </w:r>
      <w:r w:rsidRPr="007F513C">
        <w:rPr>
          <w:rFonts w:ascii="Source Sans Pro" w:eastAsia="Calibri" w:hAnsi="Source Sans Pro"/>
          <w:sz w:val="22"/>
          <w:szCs w:val="22"/>
        </w:rPr>
        <w:t xml:space="preserve">survey, with an expectation that approximately 180 sites </w:t>
      </w:r>
      <w:r>
        <w:rPr>
          <w:rFonts w:ascii="Source Sans Pro" w:eastAsia="Calibri" w:hAnsi="Source Sans Pro"/>
          <w:sz w:val="22"/>
          <w:szCs w:val="22"/>
        </w:rPr>
        <w:t xml:space="preserve">will </w:t>
      </w:r>
      <w:r w:rsidRPr="007F513C">
        <w:rPr>
          <w:rFonts w:ascii="Source Sans Pro" w:eastAsia="Calibri" w:hAnsi="Source Sans Pro"/>
          <w:sz w:val="22"/>
          <w:szCs w:val="22"/>
        </w:rPr>
        <w:t>respond.</w:t>
      </w:r>
      <w:r w:rsidR="00E6176D">
        <w:rPr>
          <w:rFonts w:ascii="Source Sans Pro" w:eastAsia="Calibri" w:hAnsi="Source Sans Pro"/>
          <w:sz w:val="22"/>
          <w:szCs w:val="22"/>
        </w:rPr>
        <w:t xml:space="preserve"> </w:t>
      </w:r>
      <w:r w:rsidR="00432E5D">
        <w:rPr>
          <w:rFonts w:ascii="Source Sans Pro" w:eastAsia="Calibri" w:hAnsi="Source Sans Pro"/>
          <w:sz w:val="22"/>
          <w:szCs w:val="22"/>
        </w:rPr>
        <w:t>The invitation will be sen</w:t>
      </w:r>
      <w:r w:rsidR="00CA65C8">
        <w:rPr>
          <w:rFonts w:ascii="Source Sans Pro" w:eastAsia="Calibri" w:hAnsi="Source Sans Pro"/>
          <w:sz w:val="22"/>
          <w:szCs w:val="22"/>
        </w:rPr>
        <w:t>t</w:t>
      </w:r>
      <w:r w:rsidR="00432E5D">
        <w:rPr>
          <w:rFonts w:ascii="Source Sans Pro" w:eastAsia="Calibri" w:hAnsi="Source Sans Pro"/>
          <w:sz w:val="22"/>
          <w:szCs w:val="22"/>
        </w:rPr>
        <w:t xml:space="preserve"> directly to the VITA Site Program Manager, whom we believe is the best person to answer the survey questions.</w:t>
      </w:r>
      <w:r w:rsidR="00CA65C8">
        <w:rPr>
          <w:rFonts w:ascii="Source Sans Pro" w:eastAsia="Calibri" w:hAnsi="Source Sans Pro"/>
          <w:sz w:val="22"/>
          <w:szCs w:val="22"/>
        </w:rPr>
        <w:t xml:space="preserve"> The total estimated burden to the public of the generic survey is 48 hours.</w:t>
      </w:r>
    </w:p>
    <w:p w:rsidR="00432E5D" w:rsidP="00AA44A1" w14:paraId="323DA433" w14:textId="3966F4CA">
      <w:pPr>
        <w:rPr>
          <w:rFonts w:ascii="Source Sans Pro" w:eastAsia="Calibri" w:hAnsi="Source Sans Pro"/>
          <w:sz w:val="22"/>
          <w:szCs w:val="22"/>
        </w:rPr>
      </w:pPr>
    </w:p>
    <w:p w:rsidR="00E6176D" w:rsidRPr="00E6176D" w:rsidP="00E6176D" w14:paraId="6B6A93E3" w14:textId="6793222F">
      <w:pPr>
        <w:jc w:val="center"/>
        <w:rPr>
          <w:rFonts w:ascii="Source Sans Pro" w:hAnsi="Source Sans Pro"/>
          <w:b/>
          <w:sz w:val="22"/>
          <w:szCs w:val="22"/>
        </w:rPr>
      </w:pPr>
      <w:r w:rsidRPr="00E6176D">
        <w:rPr>
          <w:rFonts w:ascii="Source Sans Pro" w:hAnsi="Source Sans Pro"/>
          <w:b/>
          <w:sz w:val="22"/>
          <w:szCs w:val="22"/>
        </w:rPr>
        <w:t xml:space="preserve">The anticipated burden for </w:t>
      </w:r>
      <w:r w:rsidRPr="00E6176D" w:rsidR="006D66F7">
        <w:rPr>
          <w:rFonts w:ascii="Source Sans Pro" w:hAnsi="Source Sans Pro"/>
          <w:b/>
          <w:sz w:val="22"/>
          <w:szCs w:val="22"/>
        </w:rPr>
        <w:t xml:space="preserve">staff from </w:t>
      </w:r>
      <w:r w:rsidRPr="00E6176D" w:rsidR="00D45F59">
        <w:rPr>
          <w:rFonts w:ascii="Source Sans Pro" w:hAnsi="Source Sans Pro"/>
          <w:b/>
          <w:sz w:val="22"/>
          <w:szCs w:val="22"/>
        </w:rPr>
        <w:t>VITA providers</w:t>
      </w:r>
      <w:r w:rsidRPr="00E6176D">
        <w:rPr>
          <w:rFonts w:ascii="Source Sans Pro" w:hAnsi="Source Sans Pro"/>
          <w:b/>
          <w:sz w:val="22"/>
          <w:szCs w:val="22"/>
        </w:rPr>
        <w:t xml:space="preserve"> is</w:t>
      </w:r>
      <w:r w:rsidRPr="00E6176D" w:rsidR="00334D3C">
        <w:rPr>
          <w:rFonts w:ascii="Source Sans Pro" w:hAnsi="Source Sans Pro"/>
          <w:b/>
          <w:sz w:val="22"/>
          <w:szCs w:val="22"/>
        </w:rPr>
        <w:t xml:space="preserve"> calculated as follows</w:t>
      </w:r>
      <w:r w:rsidRPr="00E6176D">
        <w:rPr>
          <w:rFonts w:ascii="Source Sans Pro" w:hAnsi="Source Sans Pro"/>
          <w:b/>
          <w:sz w:val="22"/>
          <w:szCs w:val="22"/>
        </w:rPr>
        <w:t>:</w:t>
      </w:r>
    </w:p>
    <w:tbl>
      <w:tblPr>
        <w:tblStyle w:val="TableGrid"/>
        <w:tblW w:w="0" w:type="auto"/>
        <w:tblLook w:val="04A0"/>
      </w:tblPr>
      <w:tblGrid>
        <w:gridCol w:w="3116"/>
        <w:gridCol w:w="3117"/>
        <w:gridCol w:w="3117"/>
      </w:tblGrid>
      <w:tr w14:paraId="3D480E28" w14:textId="77777777" w:rsidTr="00CA65C8">
        <w:tblPrEx>
          <w:tblW w:w="0" w:type="auto"/>
          <w:tblLook w:val="04A0"/>
        </w:tblPrEx>
        <w:tc>
          <w:tcPr>
            <w:tcW w:w="3116" w:type="dxa"/>
            <w:vAlign w:val="center"/>
          </w:tcPr>
          <w:p w:rsidR="00E6176D" w:rsidRPr="00E6176D" w:rsidP="009C75C0" w14:paraId="43CDB140" w14:textId="6E04C735">
            <w:pPr>
              <w:jc w:val="center"/>
              <w:rPr>
                <w:rFonts w:ascii="Source Sans Pro" w:hAnsi="Source Sans Pro"/>
                <w:b/>
                <w:sz w:val="22"/>
                <w:szCs w:val="22"/>
              </w:rPr>
            </w:pPr>
            <w:r>
              <w:rPr>
                <w:rFonts w:ascii="Source Sans Pro" w:hAnsi="Source Sans Pro"/>
                <w:b/>
                <w:sz w:val="22"/>
                <w:szCs w:val="22"/>
              </w:rPr>
              <w:t>Types of Sites</w:t>
            </w:r>
          </w:p>
        </w:tc>
        <w:tc>
          <w:tcPr>
            <w:tcW w:w="3117" w:type="dxa"/>
            <w:vAlign w:val="center"/>
          </w:tcPr>
          <w:p w:rsidR="00E6176D" w:rsidRPr="00E6176D" w:rsidP="00E6176D" w14:paraId="4515C91B" w14:textId="05F70E4B">
            <w:pPr>
              <w:jc w:val="center"/>
              <w:rPr>
                <w:rFonts w:ascii="Source Sans Pro" w:hAnsi="Source Sans Pro"/>
                <w:b/>
                <w:sz w:val="22"/>
                <w:szCs w:val="22"/>
              </w:rPr>
            </w:pPr>
            <w:r w:rsidRPr="00E6176D">
              <w:rPr>
                <w:rFonts w:ascii="Source Sans Pro" w:hAnsi="Source Sans Pro"/>
                <w:b/>
                <w:sz w:val="22"/>
                <w:szCs w:val="22"/>
              </w:rPr>
              <w:t>Number of Sites Expected to Respond</w:t>
            </w:r>
          </w:p>
        </w:tc>
        <w:tc>
          <w:tcPr>
            <w:tcW w:w="3117" w:type="dxa"/>
            <w:vAlign w:val="center"/>
          </w:tcPr>
          <w:p w:rsidR="00E6176D" w:rsidRPr="00E6176D" w:rsidP="00E6176D" w14:paraId="6FD0EE04" w14:textId="669435C0">
            <w:pPr>
              <w:jc w:val="center"/>
              <w:rPr>
                <w:rFonts w:ascii="Source Sans Pro" w:hAnsi="Source Sans Pro"/>
                <w:b/>
                <w:sz w:val="22"/>
                <w:szCs w:val="22"/>
              </w:rPr>
            </w:pPr>
            <w:r>
              <w:rPr>
                <w:rFonts w:ascii="Source Sans Pro" w:hAnsi="Source Sans Pro"/>
                <w:b/>
                <w:sz w:val="22"/>
                <w:szCs w:val="22"/>
              </w:rPr>
              <w:t>Estimated Time Burden</w:t>
            </w:r>
          </w:p>
        </w:tc>
      </w:tr>
      <w:tr w14:paraId="2E312BC1" w14:textId="77777777" w:rsidTr="00CA65C8">
        <w:tblPrEx>
          <w:tblW w:w="0" w:type="auto"/>
          <w:tblLook w:val="04A0"/>
        </w:tblPrEx>
        <w:tc>
          <w:tcPr>
            <w:tcW w:w="3116" w:type="dxa"/>
            <w:vAlign w:val="center"/>
          </w:tcPr>
          <w:p w:rsidR="00E6176D" w:rsidP="006B37A4" w14:paraId="1053F45E" w14:textId="77FE5F20">
            <w:pPr>
              <w:rPr>
                <w:rFonts w:ascii="Source Sans Pro" w:hAnsi="Source Sans Pro"/>
                <w:sz w:val="22"/>
                <w:szCs w:val="22"/>
              </w:rPr>
            </w:pPr>
            <w:r>
              <w:rPr>
                <w:rFonts w:ascii="Source Sans Pro" w:hAnsi="Source Sans Pro"/>
                <w:sz w:val="22"/>
                <w:szCs w:val="22"/>
              </w:rPr>
              <w:t xml:space="preserve">Sites currently partnering with banks or credit </w:t>
            </w:r>
            <w:r w:rsidR="006B37A4">
              <w:rPr>
                <w:rFonts w:ascii="Source Sans Pro" w:hAnsi="Source Sans Pro"/>
                <w:sz w:val="22"/>
                <w:szCs w:val="22"/>
              </w:rPr>
              <w:t>unions</w:t>
            </w:r>
          </w:p>
        </w:tc>
        <w:tc>
          <w:tcPr>
            <w:tcW w:w="3117" w:type="dxa"/>
            <w:vAlign w:val="center"/>
          </w:tcPr>
          <w:p w:rsidR="00E6176D" w:rsidP="00432E5D" w14:paraId="7FD279D5" w14:textId="33823FDF">
            <w:pPr>
              <w:jc w:val="center"/>
              <w:rPr>
                <w:rFonts w:ascii="Source Sans Pro" w:hAnsi="Source Sans Pro"/>
                <w:sz w:val="22"/>
                <w:szCs w:val="22"/>
              </w:rPr>
            </w:pPr>
            <w:r>
              <w:rPr>
                <w:rFonts w:ascii="Source Sans Pro" w:hAnsi="Source Sans Pro"/>
                <w:sz w:val="22"/>
                <w:szCs w:val="22"/>
              </w:rPr>
              <w:t>36</w:t>
            </w:r>
            <w:r>
              <w:rPr>
                <w:rStyle w:val="FootnoteReference"/>
                <w:rFonts w:ascii="Source Sans Pro" w:hAnsi="Source Sans Pro"/>
                <w:sz w:val="22"/>
                <w:szCs w:val="22"/>
              </w:rPr>
              <w:footnoteReference w:id="2"/>
            </w:r>
          </w:p>
        </w:tc>
        <w:tc>
          <w:tcPr>
            <w:tcW w:w="3117" w:type="dxa"/>
            <w:vAlign w:val="center"/>
          </w:tcPr>
          <w:p w:rsidR="00E6176D" w:rsidP="009C75C0" w14:paraId="4898EFB7" w14:textId="707213D1">
            <w:pPr>
              <w:jc w:val="center"/>
              <w:rPr>
                <w:rFonts w:ascii="Source Sans Pro" w:hAnsi="Source Sans Pro"/>
                <w:sz w:val="22"/>
                <w:szCs w:val="22"/>
              </w:rPr>
            </w:pPr>
            <w:r>
              <w:rPr>
                <w:rFonts w:ascii="Source Sans Pro" w:hAnsi="Source Sans Pro"/>
                <w:sz w:val="22"/>
                <w:szCs w:val="22"/>
              </w:rPr>
              <w:t>20 minute survey x 36 sites = 720 minutes (12 hours)</w:t>
            </w:r>
          </w:p>
        </w:tc>
      </w:tr>
      <w:tr w14:paraId="7968ED6A" w14:textId="77777777" w:rsidTr="00CA65C8">
        <w:tblPrEx>
          <w:tblW w:w="0" w:type="auto"/>
          <w:tblLook w:val="04A0"/>
        </w:tblPrEx>
        <w:tc>
          <w:tcPr>
            <w:tcW w:w="3116" w:type="dxa"/>
            <w:vAlign w:val="center"/>
          </w:tcPr>
          <w:p w:rsidR="00E6176D" w:rsidP="00675F6E" w14:paraId="2F6850A6" w14:textId="45046CC2">
            <w:pPr>
              <w:rPr>
                <w:rFonts w:ascii="Source Sans Pro" w:hAnsi="Source Sans Pro"/>
                <w:sz w:val="22"/>
                <w:szCs w:val="22"/>
              </w:rPr>
            </w:pPr>
            <w:r>
              <w:rPr>
                <w:rFonts w:ascii="Source Sans Pro" w:hAnsi="Source Sans Pro"/>
                <w:sz w:val="22"/>
                <w:szCs w:val="22"/>
              </w:rPr>
              <w:t>Sites with no partnerships</w:t>
            </w:r>
          </w:p>
        </w:tc>
        <w:tc>
          <w:tcPr>
            <w:tcW w:w="3117" w:type="dxa"/>
            <w:vAlign w:val="center"/>
          </w:tcPr>
          <w:p w:rsidR="00E6176D" w:rsidP="00E6176D" w14:paraId="4FEAB95C" w14:textId="1779EC74">
            <w:pPr>
              <w:jc w:val="center"/>
              <w:rPr>
                <w:rFonts w:ascii="Source Sans Pro" w:hAnsi="Source Sans Pro"/>
                <w:sz w:val="22"/>
                <w:szCs w:val="22"/>
              </w:rPr>
            </w:pPr>
            <w:r>
              <w:rPr>
                <w:rFonts w:ascii="Source Sans Pro" w:hAnsi="Source Sans Pro"/>
                <w:sz w:val="22"/>
                <w:szCs w:val="22"/>
              </w:rPr>
              <w:t>144</w:t>
            </w:r>
          </w:p>
        </w:tc>
        <w:tc>
          <w:tcPr>
            <w:tcW w:w="3117" w:type="dxa"/>
            <w:vAlign w:val="center"/>
          </w:tcPr>
          <w:p w:rsidR="00E6176D" w:rsidP="00E6176D" w14:paraId="7AD5DC14" w14:textId="06D85358">
            <w:pPr>
              <w:jc w:val="center"/>
              <w:rPr>
                <w:rFonts w:ascii="Source Sans Pro" w:hAnsi="Source Sans Pro"/>
                <w:sz w:val="22"/>
                <w:szCs w:val="22"/>
              </w:rPr>
            </w:pPr>
            <w:r>
              <w:rPr>
                <w:rFonts w:ascii="Source Sans Pro" w:hAnsi="Source Sans Pro"/>
                <w:sz w:val="22"/>
                <w:szCs w:val="22"/>
              </w:rPr>
              <w:t>15 minute survey x 144 sites = 2,160 minutes (36 hours)</w:t>
            </w:r>
          </w:p>
        </w:tc>
      </w:tr>
      <w:tr w14:paraId="7EA26D5A" w14:textId="77777777" w:rsidTr="00CA65C8">
        <w:tblPrEx>
          <w:tblW w:w="0" w:type="auto"/>
          <w:tblLook w:val="04A0"/>
        </w:tblPrEx>
        <w:tc>
          <w:tcPr>
            <w:tcW w:w="3116" w:type="dxa"/>
            <w:vAlign w:val="center"/>
          </w:tcPr>
          <w:p w:rsidR="00E6176D" w:rsidRPr="00E6176D" w:rsidP="00E6176D" w14:paraId="4968E8FA" w14:textId="29AF6362">
            <w:pPr>
              <w:jc w:val="center"/>
              <w:rPr>
                <w:rFonts w:ascii="Source Sans Pro" w:hAnsi="Source Sans Pro"/>
                <w:b/>
                <w:sz w:val="22"/>
                <w:szCs w:val="22"/>
              </w:rPr>
            </w:pPr>
            <w:r w:rsidRPr="00E6176D">
              <w:rPr>
                <w:rFonts w:ascii="Source Sans Pro" w:hAnsi="Source Sans Pro"/>
                <w:b/>
                <w:sz w:val="22"/>
                <w:szCs w:val="22"/>
              </w:rPr>
              <w:t>Total</w:t>
            </w:r>
          </w:p>
        </w:tc>
        <w:tc>
          <w:tcPr>
            <w:tcW w:w="3117" w:type="dxa"/>
            <w:vAlign w:val="center"/>
          </w:tcPr>
          <w:p w:rsidR="00E6176D" w:rsidRPr="00E6176D" w:rsidP="00E6176D" w14:paraId="58BEA732" w14:textId="761A7516">
            <w:pPr>
              <w:jc w:val="center"/>
              <w:rPr>
                <w:rFonts w:ascii="Source Sans Pro" w:hAnsi="Source Sans Pro"/>
                <w:b/>
                <w:sz w:val="22"/>
                <w:szCs w:val="22"/>
              </w:rPr>
            </w:pPr>
            <w:r>
              <w:rPr>
                <w:rFonts w:ascii="Source Sans Pro" w:hAnsi="Source Sans Pro"/>
                <w:b/>
                <w:sz w:val="22"/>
                <w:szCs w:val="22"/>
              </w:rPr>
              <w:t>180</w:t>
            </w:r>
            <w:r w:rsidR="009C75C0">
              <w:rPr>
                <w:rFonts w:ascii="Source Sans Pro" w:hAnsi="Source Sans Pro"/>
                <w:b/>
                <w:sz w:val="22"/>
                <w:szCs w:val="22"/>
              </w:rPr>
              <w:t xml:space="preserve"> Sites</w:t>
            </w:r>
          </w:p>
        </w:tc>
        <w:tc>
          <w:tcPr>
            <w:tcW w:w="3117" w:type="dxa"/>
            <w:vAlign w:val="center"/>
          </w:tcPr>
          <w:p w:rsidR="00E6176D" w:rsidRPr="00E6176D" w:rsidP="00EE327B" w14:paraId="252103FB" w14:textId="2249768E">
            <w:pPr>
              <w:jc w:val="center"/>
              <w:rPr>
                <w:rFonts w:ascii="Source Sans Pro" w:hAnsi="Source Sans Pro"/>
                <w:b/>
                <w:sz w:val="22"/>
                <w:szCs w:val="22"/>
              </w:rPr>
            </w:pPr>
            <w:r>
              <w:rPr>
                <w:rFonts w:ascii="Source Sans Pro" w:hAnsi="Source Sans Pro"/>
                <w:b/>
                <w:sz w:val="22"/>
                <w:szCs w:val="22"/>
              </w:rPr>
              <w:t xml:space="preserve">48 </w:t>
            </w:r>
            <w:r w:rsidR="00EE327B">
              <w:rPr>
                <w:rFonts w:ascii="Source Sans Pro" w:hAnsi="Source Sans Pro"/>
                <w:b/>
                <w:sz w:val="22"/>
                <w:szCs w:val="22"/>
              </w:rPr>
              <w:t>Hours</w:t>
            </w:r>
          </w:p>
        </w:tc>
      </w:tr>
    </w:tbl>
    <w:p w:rsidR="00E6176D" w:rsidP="00675F6E" w14:paraId="2E0A95A3" w14:textId="77777777">
      <w:pPr>
        <w:rPr>
          <w:rFonts w:ascii="Source Sans Pro" w:hAnsi="Source Sans Pro"/>
          <w:sz w:val="22"/>
          <w:szCs w:val="22"/>
        </w:rPr>
      </w:pPr>
    </w:p>
    <w:p w:rsidR="00751493" w:rsidRPr="00AE48AD" w:rsidP="00AE48AD" w14:paraId="69D8616D" w14:textId="7755EFD6">
      <w:pPr>
        <w:rPr>
          <w:rFonts w:ascii="Source Sans Pro" w:hAnsi="Source Sans Pro"/>
          <w:sz w:val="22"/>
          <w:szCs w:val="22"/>
        </w:rPr>
      </w:pPr>
      <w:r w:rsidRPr="00AE48AD">
        <w:rPr>
          <w:rFonts w:ascii="Source Sans Pro" w:hAnsi="Source Sans Pro"/>
          <w:sz w:val="22"/>
          <w:szCs w:val="22"/>
        </w:rPr>
        <w:t>If you have any questions, please</w:t>
      </w:r>
      <w:r w:rsidR="009C75C0">
        <w:rPr>
          <w:rFonts w:ascii="Source Sans Pro" w:hAnsi="Source Sans Pro"/>
          <w:sz w:val="22"/>
          <w:szCs w:val="22"/>
        </w:rPr>
        <w:t xml:space="preserve"> do</w:t>
      </w:r>
      <w:r w:rsidRPr="00AE48AD">
        <w:rPr>
          <w:rFonts w:ascii="Source Sans Pro" w:hAnsi="Source Sans Pro"/>
          <w:sz w:val="22"/>
          <w:szCs w:val="22"/>
        </w:rPr>
        <w:t xml:space="preserve"> let me know. Thank you for your consideration.</w:t>
      </w:r>
    </w:p>
    <w:sectPr w:rsidSect="009C75C0">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D442B" w14:paraId="130ADED7" w14:textId="245B2699">
    <w:pPr>
      <w:pStyle w:val="Footer"/>
      <w:jc w:val="center"/>
    </w:pPr>
  </w:p>
  <w:p w:rsidR="007D442B" w14:paraId="4F9464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16329" w:rsidP="00ED4575" w14:paraId="56F72DAE" w14:textId="77777777">
      <w:r>
        <w:separator/>
      </w:r>
    </w:p>
  </w:footnote>
  <w:footnote w:type="continuationSeparator" w:id="1">
    <w:p w:rsidR="00316329" w:rsidP="00ED4575" w14:paraId="1880BD51" w14:textId="77777777">
      <w:r>
        <w:continuationSeparator/>
      </w:r>
    </w:p>
  </w:footnote>
  <w:footnote w:id="2">
    <w:p w:rsidR="00432E5D" w:rsidRPr="00432E5D" w14:paraId="4D48B106" w14:textId="57C3DDAE">
      <w:pPr>
        <w:pStyle w:val="FootnoteText"/>
        <w:rPr>
          <w:rFonts w:ascii="Source Sans Pro" w:hAnsi="Source Sans Pro"/>
        </w:rPr>
      </w:pPr>
      <w:r w:rsidRPr="00432E5D">
        <w:rPr>
          <w:rStyle w:val="FootnoteReference"/>
          <w:rFonts w:ascii="Source Sans Pro" w:hAnsi="Source Sans Pro"/>
        </w:rPr>
        <w:footnoteRef/>
      </w:r>
      <w:r w:rsidRPr="00432E5D">
        <w:rPr>
          <w:rFonts w:ascii="Source Sans Pro" w:hAnsi="Source Sans Pro"/>
        </w:rPr>
        <w:t xml:space="preserve"> Prosperity Now, a non-profit that has created the “Tax Opportunity Network” for VITA providers</w:t>
      </w:r>
      <w:r>
        <w:rPr>
          <w:rFonts w:ascii="Source Sans Pro" w:hAnsi="Source Sans Pro"/>
        </w:rPr>
        <w:t>,</w:t>
      </w:r>
      <w:r w:rsidRPr="00432E5D">
        <w:rPr>
          <w:rFonts w:ascii="Source Sans Pro" w:hAnsi="Source Sans Pro"/>
        </w:rPr>
        <w:t xml:space="preserve"> estimates that about 20 percent of VITA umbrella organizations currently operate sites </w:t>
      </w:r>
      <w:r w:rsidR="00CA65C8">
        <w:rPr>
          <w:rFonts w:ascii="Source Sans Pro" w:hAnsi="Source Sans Pro"/>
        </w:rPr>
        <w:t xml:space="preserve">that have </w:t>
      </w:r>
      <w:r w:rsidRPr="00432E5D">
        <w:rPr>
          <w:rFonts w:ascii="Source Sans Pro" w:hAnsi="Source Sans Pro"/>
        </w:rPr>
        <w:t xml:space="preserve">partnerships </w:t>
      </w:r>
      <w:r>
        <w:rPr>
          <w:rFonts w:ascii="Source Sans Pro" w:hAnsi="Source Sans Pro"/>
        </w:rPr>
        <w:t xml:space="preserve">with banks or credit unions. </w:t>
      </w:r>
      <w:r w:rsidR="00CA65C8">
        <w:rPr>
          <w:rFonts w:ascii="Source Sans Pro" w:hAnsi="Source Sans Pro"/>
        </w:rPr>
        <w:t>T</w:t>
      </w:r>
      <w:r>
        <w:rPr>
          <w:rFonts w:ascii="Source Sans Pro" w:hAnsi="Source Sans Pro"/>
        </w:rPr>
        <w:t>herefore</w:t>
      </w:r>
      <w:r w:rsidR="00CA65C8">
        <w:rPr>
          <w:rFonts w:ascii="Source Sans Pro" w:hAnsi="Source Sans Pro"/>
        </w:rPr>
        <w:t>, we</w:t>
      </w:r>
      <w:r>
        <w:rPr>
          <w:rFonts w:ascii="Source Sans Pro" w:hAnsi="Source Sans Pro"/>
        </w:rPr>
        <w:t xml:space="preserve"> estimate </w:t>
      </w:r>
      <w:r w:rsidR="00CA65C8">
        <w:rPr>
          <w:rFonts w:ascii="Source Sans Pro" w:hAnsi="Source Sans Pro"/>
        </w:rPr>
        <w:t xml:space="preserve">that </w:t>
      </w:r>
      <w:r>
        <w:rPr>
          <w:rFonts w:ascii="Source Sans Pro" w:hAnsi="Source Sans Pro"/>
        </w:rPr>
        <w:t xml:space="preserve">about 36 (20 percent of 180) partnered sites </w:t>
      </w:r>
      <w:r w:rsidR="00CA65C8">
        <w:rPr>
          <w:rFonts w:ascii="Source Sans Pro" w:hAnsi="Source Sans Pro"/>
        </w:rPr>
        <w:t xml:space="preserve">will </w:t>
      </w:r>
      <w:r>
        <w:rPr>
          <w:rFonts w:ascii="Source Sans Pro" w:hAnsi="Source Sans Pro"/>
        </w:rPr>
        <w:t>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13957FB"/>
    <w:multiLevelType w:val="hybridMultilevel"/>
    <w:tmpl w:val="E0B647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ADF1459"/>
    <w:multiLevelType w:val="hybridMultilevel"/>
    <w:tmpl w:val="A07AF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8E1841"/>
    <w:multiLevelType w:val="hybridMultilevel"/>
    <w:tmpl w:val="D45C6BD8"/>
    <w:lvl w:ilvl="0">
      <w:start w:val="1"/>
      <w:numFmt w:val="upperRoman"/>
      <w:lvlText w:val="%1."/>
      <w:lvlJc w:val="left"/>
      <w:pPr>
        <w:ind w:left="720" w:hanging="360"/>
      </w:pPr>
      <w:rPr>
        <w:rFonts w:asciiTheme="minorHAnsi" w:eastAsiaTheme="minorHAnsi" w:hAnsiTheme="minorHAnsi" w:cstheme="minorBidi"/>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A25518"/>
    <w:multiLevelType w:val="hybridMultilevel"/>
    <w:tmpl w:val="6138FF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B755DC0"/>
    <w:multiLevelType w:val="hybridMultilevel"/>
    <w:tmpl w:val="001EEAE0"/>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9950FA9"/>
    <w:multiLevelType w:val="hybridMultilevel"/>
    <w:tmpl w:val="0D967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6E"/>
    <w:rsid w:val="0005428A"/>
    <w:rsid w:val="00074153"/>
    <w:rsid w:val="00085E6C"/>
    <w:rsid w:val="000B2081"/>
    <w:rsid w:val="000F4C7B"/>
    <w:rsid w:val="00106457"/>
    <w:rsid w:val="00110A1F"/>
    <w:rsid w:val="0011471C"/>
    <w:rsid w:val="00133314"/>
    <w:rsid w:val="0016475A"/>
    <w:rsid w:val="00187BE3"/>
    <w:rsid w:val="00196F6D"/>
    <w:rsid w:val="001A5993"/>
    <w:rsid w:val="001A5D74"/>
    <w:rsid w:val="001C3ABD"/>
    <w:rsid w:val="001E4C72"/>
    <w:rsid w:val="001F5328"/>
    <w:rsid w:val="00201A7D"/>
    <w:rsid w:val="002237F5"/>
    <w:rsid w:val="00244FF8"/>
    <w:rsid w:val="00256B5C"/>
    <w:rsid w:val="00256D8C"/>
    <w:rsid w:val="00265EE1"/>
    <w:rsid w:val="00274F67"/>
    <w:rsid w:val="00282435"/>
    <w:rsid w:val="002901B8"/>
    <w:rsid w:val="002C2B0C"/>
    <w:rsid w:val="002D7B8E"/>
    <w:rsid w:val="002E3447"/>
    <w:rsid w:val="00316329"/>
    <w:rsid w:val="00317332"/>
    <w:rsid w:val="00334D3C"/>
    <w:rsid w:val="003575DE"/>
    <w:rsid w:val="00395D7E"/>
    <w:rsid w:val="003A2AE4"/>
    <w:rsid w:val="003B4800"/>
    <w:rsid w:val="003C0DF9"/>
    <w:rsid w:val="00431563"/>
    <w:rsid w:val="00432E5D"/>
    <w:rsid w:val="00434902"/>
    <w:rsid w:val="00440832"/>
    <w:rsid w:val="00453351"/>
    <w:rsid w:val="00464EC5"/>
    <w:rsid w:val="004A4B39"/>
    <w:rsid w:val="004B55C9"/>
    <w:rsid w:val="004B7BCE"/>
    <w:rsid w:val="004C18DD"/>
    <w:rsid w:val="004D2AB9"/>
    <w:rsid w:val="004E4A16"/>
    <w:rsid w:val="00540026"/>
    <w:rsid w:val="00582955"/>
    <w:rsid w:val="00594E75"/>
    <w:rsid w:val="005A056D"/>
    <w:rsid w:val="005A4EE9"/>
    <w:rsid w:val="005C139C"/>
    <w:rsid w:val="00601F22"/>
    <w:rsid w:val="006226CC"/>
    <w:rsid w:val="00656F83"/>
    <w:rsid w:val="00661F98"/>
    <w:rsid w:val="006643A8"/>
    <w:rsid w:val="00672C5E"/>
    <w:rsid w:val="00675F6E"/>
    <w:rsid w:val="00697728"/>
    <w:rsid w:val="006B37A4"/>
    <w:rsid w:val="006D1CC0"/>
    <w:rsid w:val="006D66F7"/>
    <w:rsid w:val="006E19C9"/>
    <w:rsid w:val="00703DCB"/>
    <w:rsid w:val="007157B3"/>
    <w:rsid w:val="0072169F"/>
    <w:rsid w:val="00734C32"/>
    <w:rsid w:val="00744E56"/>
    <w:rsid w:val="00751493"/>
    <w:rsid w:val="00761C7C"/>
    <w:rsid w:val="00763296"/>
    <w:rsid w:val="0079052E"/>
    <w:rsid w:val="007C3AAA"/>
    <w:rsid w:val="007D442B"/>
    <w:rsid w:val="007D48B0"/>
    <w:rsid w:val="007E1DC4"/>
    <w:rsid w:val="007E2010"/>
    <w:rsid w:val="007F513C"/>
    <w:rsid w:val="00825E82"/>
    <w:rsid w:val="00845385"/>
    <w:rsid w:val="0086357A"/>
    <w:rsid w:val="00863938"/>
    <w:rsid w:val="008A3553"/>
    <w:rsid w:val="008B2D62"/>
    <w:rsid w:val="008B5C7C"/>
    <w:rsid w:val="008C11F7"/>
    <w:rsid w:val="008D0C24"/>
    <w:rsid w:val="008D7E45"/>
    <w:rsid w:val="0090199B"/>
    <w:rsid w:val="00933B93"/>
    <w:rsid w:val="009510A5"/>
    <w:rsid w:val="009551D3"/>
    <w:rsid w:val="0097597E"/>
    <w:rsid w:val="00980926"/>
    <w:rsid w:val="009834CB"/>
    <w:rsid w:val="009868FE"/>
    <w:rsid w:val="009A3568"/>
    <w:rsid w:val="009C1EB3"/>
    <w:rsid w:val="009C75C0"/>
    <w:rsid w:val="009E441E"/>
    <w:rsid w:val="00A0625A"/>
    <w:rsid w:val="00A32DD2"/>
    <w:rsid w:val="00A561F1"/>
    <w:rsid w:val="00A617E6"/>
    <w:rsid w:val="00AA4400"/>
    <w:rsid w:val="00AA44A1"/>
    <w:rsid w:val="00AB663E"/>
    <w:rsid w:val="00AC5570"/>
    <w:rsid w:val="00AC67AA"/>
    <w:rsid w:val="00AD2A74"/>
    <w:rsid w:val="00AD2CC1"/>
    <w:rsid w:val="00AE48AD"/>
    <w:rsid w:val="00B00E84"/>
    <w:rsid w:val="00B0621B"/>
    <w:rsid w:val="00BA2764"/>
    <w:rsid w:val="00BB322D"/>
    <w:rsid w:val="00BE1000"/>
    <w:rsid w:val="00BE2326"/>
    <w:rsid w:val="00BF17B0"/>
    <w:rsid w:val="00C10A4E"/>
    <w:rsid w:val="00C233EC"/>
    <w:rsid w:val="00C24236"/>
    <w:rsid w:val="00C56603"/>
    <w:rsid w:val="00C8468B"/>
    <w:rsid w:val="00C85857"/>
    <w:rsid w:val="00CA3603"/>
    <w:rsid w:val="00CA65C8"/>
    <w:rsid w:val="00CB2560"/>
    <w:rsid w:val="00CD005E"/>
    <w:rsid w:val="00CD3AD2"/>
    <w:rsid w:val="00CD5E9B"/>
    <w:rsid w:val="00CE75BA"/>
    <w:rsid w:val="00D0591C"/>
    <w:rsid w:val="00D20D9A"/>
    <w:rsid w:val="00D4230E"/>
    <w:rsid w:val="00D45F59"/>
    <w:rsid w:val="00D70F43"/>
    <w:rsid w:val="00D93C7B"/>
    <w:rsid w:val="00DA4A16"/>
    <w:rsid w:val="00DB2A8D"/>
    <w:rsid w:val="00DB3815"/>
    <w:rsid w:val="00E0539A"/>
    <w:rsid w:val="00E37D9E"/>
    <w:rsid w:val="00E6176D"/>
    <w:rsid w:val="00E70972"/>
    <w:rsid w:val="00EA7EA3"/>
    <w:rsid w:val="00ED4575"/>
    <w:rsid w:val="00EE2DD4"/>
    <w:rsid w:val="00EE327B"/>
    <w:rsid w:val="00EE7246"/>
    <w:rsid w:val="00EF361A"/>
    <w:rsid w:val="00F06EC1"/>
    <w:rsid w:val="00F17277"/>
    <w:rsid w:val="00F26E5A"/>
    <w:rsid w:val="00F3495F"/>
    <w:rsid w:val="00F4417B"/>
    <w:rsid w:val="00F47B81"/>
    <w:rsid w:val="00F52CE9"/>
    <w:rsid w:val="00F560BB"/>
    <w:rsid w:val="00FC73D0"/>
    <w:rsid w:val="00FE6416"/>
    <w:rsid w:val="00FE66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229A"/>
  <w15:docId w15:val="{3AE434E8-ABEA-4DB8-82A8-855A3BF7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99B"/>
    <w:rPr>
      <w:sz w:val="16"/>
      <w:szCs w:val="16"/>
    </w:rPr>
  </w:style>
  <w:style w:type="paragraph" w:styleId="CommentText">
    <w:name w:val="annotation text"/>
    <w:basedOn w:val="Normal"/>
    <w:link w:val="CommentTextChar"/>
    <w:uiPriority w:val="99"/>
    <w:unhideWhenUsed/>
    <w:rsid w:val="0090199B"/>
    <w:rPr>
      <w:sz w:val="20"/>
    </w:rPr>
  </w:style>
  <w:style w:type="character" w:customStyle="1" w:styleId="CommentTextChar">
    <w:name w:val="Comment Text Char"/>
    <w:basedOn w:val="DefaultParagraphFont"/>
    <w:link w:val="CommentText"/>
    <w:uiPriority w:val="99"/>
    <w:rsid w:val="00901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99B"/>
    <w:rPr>
      <w:b/>
      <w:bCs/>
    </w:rPr>
  </w:style>
  <w:style w:type="character" w:customStyle="1" w:styleId="CommentSubjectChar">
    <w:name w:val="Comment Subject Char"/>
    <w:basedOn w:val="CommentTextChar"/>
    <w:link w:val="CommentSubject"/>
    <w:uiPriority w:val="99"/>
    <w:semiHidden/>
    <w:rsid w:val="009019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99B"/>
    <w:rPr>
      <w:rFonts w:ascii="Tahoma" w:hAnsi="Tahoma" w:cs="Tahoma"/>
      <w:sz w:val="16"/>
      <w:szCs w:val="16"/>
    </w:rPr>
  </w:style>
  <w:style w:type="character" w:customStyle="1" w:styleId="BalloonTextChar">
    <w:name w:val="Balloon Text Char"/>
    <w:basedOn w:val="DefaultParagraphFont"/>
    <w:link w:val="BalloonText"/>
    <w:uiPriority w:val="99"/>
    <w:semiHidden/>
    <w:rsid w:val="0090199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47B81"/>
    <w:rPr>
      <w:sz w:val="20"/>
    </w:rPr>
  </w:style>
  <w:style w:type="character" w:customStyle="1" w:styleId="FootnoteTextChar">
    <w:name w:val="Footnote Text Char"/>
    <w:basedOn w:val="DefaultParagraphFont"/>
    <w:link w:val="FootnoteText"/>
    <w:uiPriority w:val="99"/>
    <w:semiHidden/>
    <w:rsid w:val="00F47B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7B81"/>
    <w:rPr>
      <w:vertAlign w:val="superscript"/>
    </w:rPr>
  </w:style>
  <w:style w:type="paragraph" w:styleId="Revision">
    <w:name w:val="Revision"/>
    <w:hidden/>
    <w:uiPriority w:val="99"/>
    <w:semiHidden/>
    <w:rsid w:val="00825E82"/>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A4400"/>
    <w:pPr>
      <w:spacing w:after="160" w:line="252" w:lineRule="auto"/>
      <w:ind w:left="720"/>
      <w:contextualSpacing/>
    </w:pPr>
    <w:rPr>
      <w:rFonts w:ascii="Calibri" w:hAnsi="Calibri" w:eastAsiaTheme="minorHAnsi" w:cs="Calibri"/>
      <w:sz w:val="22"/>
      <w:szCs w:val="22"/>
    </w:rPr>
  </w:style>
  <w:style w:type="paragraph" w:styleId="Header">
    <w:name w:val="header"/>
    <w:basedOn w:val="Normal"/>
    <w:link w:val="HeaderChar"/>
    <w:uiPriority w:val="99"/>
    <w:unhideWhenUsed/>
    <w:rsid w:val="007D442B"/>
    <w:pPr>
      <w:tabs>
        <w:tab w:val="center" w:pos="4680"/>
        <w:tab w:val="right" w:pos="9360"/>
      </w:tabs>
    </w:pPr>
  </w:style>
  <w:style w:type="character" w:customStyle="1" w:styleId="HeaderChar">
    <w:name w:val="Header Char"/>
    <w:basedOn w:val="DefaultParagraphFont"/>
    <w:link w:val="Header"/>
    <w:uiPriority w:val="99"/>
    <w:rsid w:val="007D442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42B"/>
    <w:pPr>
      <w:tabs>
        <w:tab w:val="center" w:pos="4680"/>
        <w:tab w:val="right" w:pos="9360"/>
      </w:tabs>
    </w:pPr>
  </w:style>
  <w:style w:type="character" w:customStyle="1" w:styleId="FooterChar">
    <w:name w:val="Footer Char"/>
    <w:basedOn w:val="DefaultParagraphFont"/>
    <w:link w:val="Footer"/>
    <w:uiPriority w:val="99"/>
    <w:rsid w:val="007D442B"/>
    <w:rPr>
      <w:rFonts w:ascii="Times New Roman" w:eastAsia="Times New Roman" w:hAnsi="Times New Roman" w:cs="Times New Roman"/>
      <w:sz w:val="24"/>
      <w:szCs w:val="20"/>
    </w:rPr>
  </w:style>
  <w:style w:type="character" w:customStyle="1" w:styleId="ui-provider">
    <w:name w:val="ui-provider"/>
    <w:basedOn w:val="DefaultParagraphFont"/>
    <w:rsid w:val="00E6176D"/>
  </w:style>
  <w:style w:type="table" w:styleId="TableGrid">
    <w:name w:val="Table Grid"/>
    <w:basedOn w:val="TableNormal"/>
    <w:uiPriority w:val="59"/>
    <w:rsid w:val="00E6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6B4E-5817-463C-B8B8-42375F83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Shkodriani</dc:creator>
  <cp:lastModifiedBy>Lee, Yan Y.</cp:lastModifiedBy>
  <cp:revision>4</cp:revision>
  <dcterms:created xsi:type="dcterms:W3CDTF">2023-03-08T21:19:00Z</dcterms:created>
  <dcterms:modified xsi:type="dcterms:W3CDTF">2023-03-08T21:24:00Z</dcterms:modified>
</cp:coreProperties>
</file>