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E04" w14:paraId="46FD8B84" w14:textId="77777777">
      <w:pPr>
        <w:pStyle w:val="Footer"/>
        <w:widowControl/>
        <w:tabs>
          <w:tab w:val="clear" w:pos="4320"/>
          <w:tab w:val="center" w:pos="4680"/>
          <w:tab w:val="clear" w:pos="8640"/>
        </w:tabs>
        <w:jc w:val="center"/>
        <w:rPr>
          <w:rFonts w:ascii="Times New Roman" w:hAnsi="Times New Roman"/>
        </w:rPr>
      </w:pPr>
      <w:r>
        <w:rPr>
          <w:rFonts w:ascii="Times New Roman" w:hAnsi="Times New Roman"/>
        </w:rPr>
        <w:t>SUPPORTING STATEMENT</w:t>
      </w:r>
    </w:p>
    <w:p w:rsidR="00B46E04" w14:paraId="07DE2571" w14:textId="77777777">
      <w:pPr>
        <w:widowControl/>
        <w:tabs>
          <w:tab w:val="center" w:pos="4680"/>
        </w:tabs>
        <w:jc w:val="center"/>
        <w:rPr>
          <w:rFonts w:ascii="Times New Roman" w:hAnsi="Times New Roman"/>
        </w:rPr>
      </w:pPr>
      <w:r>
        <w:rPr>
          <w:rFonts w:ascii="Times New Roman" w:hAnsi="Times New Roman"/>
        </w:rPr>
        <w:t>FOREIGN BRANCH REPORT OF CONDITION</w:t>
      </w:r>
    </w:p>
    <w:p w:rsidR="00A85632" w14:paraId="704F1566" w14:textId="77777777">
      <w:pPr>
        <w:widowControl/>
        <w:tabs>
          <w:tab w:val="center" w:pos="4680"/>
        </w:tabs>
        <w:jc w:val="center"/>
        <w:rPr>
          <w:rFonts w:ascii="Times New Roman" w:hAnsi="Times New Roman"/>
        </w:rPr>
      </w:pPr>
      <w:r>
        <w:rPr>
          <w:rFonts w:ascii="Times New Roman" w:hAnsi="Times New Roman"/>
        </w:rPr>
        <w:t>(FFIEC 030/030S)</w:t>
      </w:r>
    </w:p>
    <w:p w:rsidR="008F177C" w14:paraId="24F4D07C" w14:textId="77777777">
      <w:pPr>
        <w:widowControl/>
        <w:tabs>
          <w:tab w:val="center" w:pos="4680"/>
        </w:tabs>
        <w:jc w:val="center"/>
        <w:rPr>
          <w:rFonts w:ascii="Times New Roman" w:hAnsi="Times New Roman"/>
        </w:rPr>
      </w:pPr>
      <w:r>
        <w:rPr>
          <w:rFonts w:ascii="Times New Roman" w:hAnsi="Times New Roman"/>
        </w:rPr>
        <w:t>OMB No. 3064-0011</w:t>
      </w:r>
    </w:p>
    <w:p w:rsidR="00B46E04" w14:paraId="5EEEE436" w14:textId="77777777">
      <w:pPr>
        <w:pStyle w:val="Footer"/>
        <w:widowControl/>
        <w:tabs>
          <w:tab w:val="left" w:pos="-240"/>
          <w:tab w:val="left" w:pos="480"/>
          <w:tab w:val="left" w:pos="1080"/>
          <w:tab w:val="left" w:pos="1680"/>
          <w:tab w:val="left" w:pos="2280"/>
          <w:tab w:val="left" w:pos="2880"/>
          <w:tab w:val="clear" w:pos="4320"/>
          <w:tab w:val="clear" w:pos="8640"/>
        </w:tabs>
        <w:rPr>
          <w:rFonts w:ascii="Times New Roman" w:hAnsi="Times New Roman"/>
        </w:rPr>
      </w:pPr>
    </w:p>
    <w:p w:rsidR="00B46E04" w14:paraId="0DB5CA2E" w14:textId="77777777">
      <w:pPr>
        <w:widowControl/>
        <w:tabs>
          <w:tab w:val="left" w:pos="-240"/>
          <w:tab w:val="left" w:pos="480"/>
          <w:tab w:val="left" w:pos="1080"/>
          <w:tab w:val="left" w:pos="1680"/>
          <w:tab w:val="left" w:pos="2280"/>
          <w:tab w:val="left" w:pos="2880"/>
        </w:tabs>
        <w:rPr>
          <w:rFonts w:ascii="Times New Roman" w:hAnsi="Times New Roman"/>
        </w:rPr>
      </w:pPr>
    </w:p>
    <w:p w:rsidR="00B46E04" w14:paraId="121A0308" w14:textId="77777777">
      <w:pPr>
        <w:widowControl/>
        <w:tabs>
          <w:tab w:val="left" w:pos="-240"/>
          <w:tab w:val="left" w:pos="480"/>
          <w:tab w:val="left" w:pos="1080"/>
          <w:tab w:val="left" w:pos="1680"/>
          <w:tab w:val="left" w:pos="2280"/>
          <w:tab w:val="left" w:pos="2880"/>
        </w:tabs>
        <w:rPr>
          <w:rFonts w:ascii="Times New Roman" w:hAnsi="Times New Roman"/>
        </w:rPr>
      </w:pPr>
      <w:r>
        <w:rPr>
          <w:rFonts w:ascii="Times New Roman" w:hAnsi="Times New Roman"/>
          <w:u w:val="single"/>
        </w:rPr>
        <w:t>INTRODUCTION</w:t>
      </w:r>
    </w:p>
    <w:p w:rsidR="00B46E04" w14:paraId="0AF305DA" w14:textId="77777777">
      <w:pPr>
        <w:widowControl/>
        <w:tabs>
          <w:tab w:val="left" w:pos="-240"/>
          <w:tab w:val="left" w:pos="480"/>
          <w:tab w:val="left" w:pos="1080"/>
          <w:tab w:val="left" w:pos="1680"/>
          <w:tab w:val="left" w:pos="2280"/>
          <w:tab w:val="left" w:pos="2880"/>
        </w:tabs>
        <w:rPr>
          <w:rFonts w:ascii="Times New Roman" w:hAnsi="Times New Roman"/>
        </w:rPr>
      </w:pPr>
    </w:p>
    <w:p w:rsidR="00B46E04" w14:paraId="28343BA9" w14:textId="77777777">
      <w:pPr>
        <w:widowControl/>
        <w:tabs>
          <w:tab w:val="left" w:pos="-240"/>
          <w:tab w:val="left" w:pos="480"/>
          <w:tab w:val="left" w:pos="1080"/>
          <w:tab w:val="left" w:pos="1680"/>
          <w:tab w:val="left" w:pos="2280"/>
          <w:tab w:val="left" w:pos="2880"/>
        </w:tabs>
        <w:rPr>
          <w:rFonts w:ascii="Times New Roman" w:hAnsi="Times New Roman"/>
        </w:rPr>
      </w:pPr>
      <w:r>
        <w:rPr>
          <w:rFonts w:ascii="Times New Roman" w:hAnsi="Times New Roman"/>
        </w:rPr>
        <w:t xml:space="preserve">The FDIC is requesting </w:t>
      </w:r>
      <w:r w:rsidR="00581B6B">
        <w:rPr>
          <w:rFonts w:ascii="Times New Roman" w:hAnsi="Times New Roman"/>
        </w:rPr>
        <w:t>Office of Management and Budget (</w:t>
      </w:r>
      <w:r>
        <w:rPr>
          <w:rFonts w:ascii="Times New Roman" w:hAnsi="Times New Roman"/>
        </w:rPr>
        <w:t>OMB</w:t>
      </w:r>
      <w:r w:rsidR="00581B6B">
        <w:rPr>
          <w:rFonts w:ascii="Times New Roman" w:hAnsi="Times New Roman"/>
        </w:rPr>
        <w:t>)</w:t>
      </w:r>
      <w:r>
        <w:rPr>
          <w:rFonts w:ascii="Times New Roman" w:hAnsi="Times New Roman"/>
        </w:rPr>
        <w:t xml:space="preserve"> approval for a thr</w:t>
      </w:r>
      <w:r w:rsidR="00685BFB">
        <w:rPr>
          <w:rFonts w:ascii="Times New Roman" w:hAnsi="Times New Roman"/>
        </w:rPr>
        <w:t>ee</w:t>
      </w:r>
      <w:r w:rsidR="00685BFB">
        <w:rPr>
          <w:rFonts w:ascii="Times New Roman" w:hAnsi="Times New Roman"/>
        </w:rPr>
        <w:noBreakHyphen/>
        <w:t xml:space="preserve">year extension, </w:t>
      </w:r>
      <w:r w:rsidR="00553F19">
        <w:rPr>
          <w:rFonts w:ascii="Times New Roman" w:hAnsi="Times New Roman"/>
        </w:rPr>
        <w:t>with revisions</w:t>
      </w:r>
      <w:r>
        <w:rPr>
          <w:rFonts w:ascii="Times New Roman" w:hAnsi="Times New Roman"/>
        </w:rPr>
        <w:t>, of this collection of information.</w:t>
      </w:r>
      <w:r w:rsidR="005B363D">
        <w:rPr>
          <w:rFonts w:ascii="Times New Roman" w:hAnsi="Times New Roman"/>
        </w:rPr>
        <w:t xml:space="preserve">  In summary, the </w:t>
      </w:r>
      <w:r w:rsidR="00FE31F0">
        <w:rPr>
          <w:rFonts w:ascii="Times New Roman" w:hAnsi="Times New Roman"/>
        </w:rPr>
        <w:t>FDIC, jointly with the Federal Reserve Board and the Office of the Comptroller of the Currency (OCC), is</w:t>
      </w:r>
      <w:r w:rsidRPr="005B363D" w:rsidR="005B363D">
        <w:rPr>
          <w:rFonts w:ascii="Times New Roman" w:hAnsi="Times New Roman"/>
        </w:rPr>
        <w:t xml:space="preserve"> propos</w:t>
      </w:r>
      <w:r w:rsidR="00FE31F0">
        <w:rPr>
          <w:rFonts w:ascii="Times New Roman" w:hAnsi="Times New Roman"/>
        </w:rPr>
        <w:t>ing</w:t>
      </w:r>
      <w:r w:rsidRPr="005B363D" w:rsidR="005B363D">
        <w:rPr>
          <w:rFonts w:ascii="Times New Roman" w:hAnsi="Times New Roman"/>
        </w:rPr>
        <w:t xml:space="preserve"> to </w:t>
      </w:r>
      <w:r w:rsidR="00685BFB">
        <w:rPr>
          <w:rFonts w:ascii="Times New Roman" w:hAnsi="Times New Roman"/>
        </w:rPr>
        <w:t>extend the validity of</w:t>
      </w:r>
      <w:r w:rsidRPr="00384930" w:rsidR="00384930">
        <w:rPr>
          <w:rFonts w:ascii="Times New Roman" w:hAnsi="Times New Roman"/>
        </w:rPr>
        <w:t xml:space="preserve"> </w:t>
      </w:r>
      <w:r w:rsidR="004542A6">
        <w:rPr>
          <w:rFonts w:ascii="Times New Roman" w:hAnsi="Times New Roman"/>
        </w:rPr>
        <w:t xml:space="preserve">the Foreign Branch Report of Condition </w:t>
      </w:r>
      <w:r w:rsidR="00BF4C55">
        <w:rPr>
          <w:rFonts w:ascii="Times New Roman" w:hAnsi="Times New Roman"/>
        </w:rPr>
        <w:t>information collecti</w:t>
      </w:r>
      <w:r w:rsidR="00FE21B2">
        <w:rPr>
          <w:rFonts w:ascii="Times New Roman" w:hAnsi="Times New Roman"/>
        </w:rPr>
        <w:t>o</w:t>
      </w:r>
      <w:r w:rsidR="00BF4C55">
        <w:rPr>
          <w:rFonts w:ascii="Times New Roman" w:hAnsi="Times New Roman"/>
        </w:rPr>
        <w:t xml:space="preserve">n </w:t>
      </w:r>
      <w:r w:rsidR="00553F19">
        <w:rPr>
          <w:rFonts w:ascii="Times New Roman" w:hAnsi="Times New Roman"/>
        </w:rPr>
        <w:t>which expires on December 31, 2024.</w:t>
      </w:r>
    </w:p>
    <w:p w:rsidR="00685BFB" w14:paraId="76E19676" w14:textId="77777777">
      <w:pPr>
        <w:widowControl/>
        <w:tabs>
          <w:tab w:val="left" w:pos="-240"/>
          <w:tab w:val="left" w:pos="480"/>
          <w:tab w:val="left" w:pos="1080"/>
          <w:tab w:val="left" w:pos="1680"/>
          <w:tab w:val="left" w:pos="2280"/>
          <w:tab w:val="left" w:pos="2880"/>
        </w:tabs>
        <w:rPr>
          <w:rFonts w:ascii="Times New Roman" w:hAnsi="Times New Roman"/>
        </w:rPr>
      </w:pPr>
    </w:p>
    <w:p w:rsidR="00B46E04" w14:paraId="4756256D" w14:textId="2CE6A685">
      <w:pPr>
        <w:widowControl/>
        <w:autoSpaceDE w:val="0"/>
        <w:autoSpaceDN w:val="0"/>
        <w:adjustRightInd w:val="0"/>
        <w:rPr>
          <w:rFonts w:ascii="Arial" w:hAnsi="Arial" w:cs="Arial"/>
          <w:snapToGrid/>
          <w:color w:val="000080"/>
          <w:sz w:val="20"/>
        </w:rPr>
      </w:pPr>
      <w:r>
        <w:rPr>
          <w:rFonts w:ascii="Times New Roman" w:hAnsi="Times New Roman"/>
          <w:snapToGrid/>
          <w:color w:val="000000"/>
          <w:szCs w:val="24"/>
        </w:rPr>
        <w:t>The Foreign Branch Report of Condition</w:t>
      </w:r>
      <w:r>
        <w:rPr>
          <w:rFonts w:ascii="Times New Roman" w:hAnsi="Times New Roman"/>
        </w:rPr>
        <w:t xml:space="preserve">, form FFIEC 030, contains asset and liability information along with data on certain derivatives and off-balance sheet items for foreign branches of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banks.  </w:t>
      </w:r>
      <w:r w:rsidR="00D35EEC">
        <w:rPr>
          <w:rFonts w:ascii="Times New Roman" w:hAnsi="Times New Roman"/>
        </w:rPr>
        <w:t>T</w:t>
      </w:r>
      <w:r>
        <w:rPr>
          <w:rFonts w:ascii="Times New Roman" w:hAnsi="Times New Roman"/>
        </w:rPr>
        <w:t xml:space="preserve">he report </w:t>
      </w:r>
      <w:r>
        <w:rPr>
          <w:rFonts w:ascii="Times New Roman" w:hAnsi="Times New Roman"/>
          <w:snapToGrid/>
          <w:color w:val="000000"/>
          <w:szCs w:val="24"/>
        </w:rPr>
        <w:t>is filed quarterly by forei</w:t>
      </w:r>
      <w:r w:rsidR="00AD64DF">
        <w:rPr>
          <w:rFonts w:ascii="Times New Roman" w:hAnsi="Times New Roman"/>
          <w:snapToGrid/>
          <w:color w:val="000000"/>
          <w:szCs w:val="24"/>
        </w:rPr>
        <w:t>gn branches that have either $2 </w:t>
      </w:r>
      <w:r>
        <w:rPr>
          <w:rFonts w:ascii="Times New Roman" w:hAnsi="Times New Roman"/>
          <w:snapToGrid/>
          <w:color w:val="000000"/>
          <w:szCs w:val="24"/>
        </w:rPr>
        <w:t>billion or more in total assets or $5 billion or more in commitments to purchase and sell foreign currencies and annually by other foreign branches</w:t>
      </w:r>
      <w:r w:rsidR="00AA384D">
        <w:rPr>
          <w:rFonts w:ascii="Times New Roman" w:hAnsi="Times New Roman"/>
          <w:snapToGrid/>
          <w:color w:val="000000"/>
          <w:szCs w:val="24"/>
        </w:rPr>
        <w:t xml:space="preserve"> </w:t>
      </w:r>
      <w:r>
        <w:rPr>
          <w:rFonts w:ascii="Times New Roman" w:hAnsi="Times New Roman"/>
          <w:snapToGrid/>
          <w:color w:val="000000"/>
          <w:szCs w:val="24"/>
        </w:rPr>
        <w:t>with</w:t>
      </w:r>
      <w:r w:rsidR="00AD64DF">
        <w:rPr>
          <w:rFonts w:ascii="Times New Roman" w:hAnsi="Times New Roman"/>
          <w:snapToGrid/>
          <w:color w:val="000000"/>
          <w:szCs w:val="24"/>
        </w:rPr>
        <w:t xml:space="preserve"> total assets in excess of $250 </w:t>
      </w:r>
      <w:r>
        <w:rPr>
          <w:rFonts w:ascii="Times New Roman" w:hAnsi="Times New Roman"/>
          <w:snapToGrid/>
          <w:color w:val="000000"/>
          <w:szCs w:val="24"/>
        </w:rPr>
        <w:t>million</w:t>
      </w:r>
      <w:r w:rsidR="00D35EEC">
        <w:rPr>
          <w:rFonts w:ascii="Times New Roman" w:hAnsi="Times New Roman"/>
          <w:snapToGrid/>
          <w:color w:val="000000"/>
          <w:szCs w:val="24"/>
        </w:rPr>
        <w:t>.</w:t>
      </w:r>
      <w:r>
        <w:rPr>
          <w:rFonts w:ascii="Times New Roman" w:hAnsi="Times New Roman"/>
          <w:snapToGrid/>
          <w:color w:val="000000"/>
          <w:szCs w:val="24"/>
        </w:rPr>
        <w:t xml:space="preserve">  </w:t>
      </w:r>
      <w:r w:rsidR="00D35EEC">
        <w:rPr>
          <w:rFonts w:ascii="Times New Roman" w:hAnsi="Times New Roman"/>
          <w:snapToGrid/>
          <w:color w:val="000000"/>
          <w:szCs w:val="24"/>
        </w:rPr>
        <w:t>A</w:t>
      </w:r>
      <w:r>
        <w:rPr>
          <w:rFonts w:ascii="Times New Roman" w:hAnsi="Times New Roman"/>
          <w:snapToGrid/>
          <w:color w:val="000000"/>
          <w:szCs w:val="24"/>
        </w:rPr>
        <w:t xml:space="preserve">n </w:t>
      </w:r>
      <w:r w:rsidR="00537E4B">
        <w:rPr>
          <w:rFonts w:ascii="Times New Roman" w:hAnsi="Times New Roman"/>
          <w:snapToGrid/>
          <w:color w:val="000000"/>
          <w:szCs w:val="24"/>
        </w:rPr>
        <w:t>A</w:t>
      </w:r>
      <w:r>
        <w:rPr>
          <w:rFonts w:ascii="Times New Roman" w:hAnsi="Times New Roman"/>
          <w:snapToGrid/>
          <w:color w:val="000000"/>
          <w:szCs w:val="24"/>
        </w:rPr>
        <w:t xml:space="preserve">bbreviated </w:t>
      </w:r>
      <w:r w:rsidR="00537E4B">
        <w:rPr>
          <w:rFonts w:ascii="Times New Roman" w:hAnsi="Times New Roman"/>
          <w:snapToGrid/>
          <w:color w:val="000000"/>
          <w:szCs w:val="24"/>
        </w:rPr>
        <w:t>Foreign Branch Report of Condition,</w:t>
      </w:r>
      <w:r>
        <w:rPr>
          <w:rFonts w:ascii="Times New Roman" w:hAnsi="Times New Roman"/>
          <w:snapToGrid/>
          <w:color w:val="000000"/>
          <w:szCs w:val="24"/>
        </w:rPr>
        <w:t xml:space="preserve"> form FFIEC 030S</w:t>
      </w:r>
      <w:r w:rsidR="00537E4B">
        <w:rPr>
          <w:rFonts w:ascii="Times New Roman" w:hAnsi="Times New Roman"/>
          <w:snapToGrid/>
          <w:color w:val="000000"/>
          <w:szCs w:val="24"/>
        </w:rPr>
        <w:t>, which</w:t>
      </w:r>
      <w:r>
        <w:rPr>
          <w:rFonts w:ascii="Times New Roman" w:hAnsi="Times New Roman"/>
          <w:snapToGrid/>
          <w:color w:val="000000"/>
          <w:szCs w:val="24"/>
        </w:rPr>
        <w:t xml:space="preserve"> contain</w:t>
      </w:r>
      <w:r w:rsidR="00537E4B">
        <w:rPr>
          <w:rFonts w:ascii="Times New Roman" w:hAnsi="Times New Roman"/>
          <w:snapToGrid/>
          <w:color w:val="000000"/>
          <w:szCs w:val="24"/>
        </w:rPr>
        <w:t>s</w:t>
      </w:r>
      <w:r>
        <w:rPr>
          <w:rFonts w:ascii="Times New Roman" w:hAnsi="Times New Roman"/>
          <w:snapToGrid/>
          <w:color w:val="000000"/>
          <w:szCs w:val="24"/>
        </w:rPr>
        <w:t xml:space="preserve"> only five items</w:t>
      </w:r>
      <w:r w:rsidR="00537E4B">
        <w:rPr>
          <w:rFonts w:ascii="Times New Roman" w:hAnsi="Times New Roman"/>
          <w:snapToGrid/>
          <w:color w:val="000000"/>
          <w:szCs w:val="24"/>
        </w:rPr>
        <w:t>,</w:t>
      </w:r>
      <w:r>
        <w:rPr>
          <w:rFonts w:ascii="Times New Roman" w:hAnsi="Times New Roman"/>
          <w:snapToGrid/>
          <w:color w:val="000000"/>
          <w:szCs w:val="24"/>
        </w:rPr>
        <w:t xml:space="preserve"> </w:t>
      </w:r>
      <w:r w:rsidR="00537E4B">
        <w:rPr>
          <w:rFonts w:ascii="Times New Roman" w:hAnsi="Times New Roman"/>
          <w:snapToGrid/>
          <w:color w:val="000000"/>
          <w:szCs w:val="24"/>
        </w:rPr>
        <w:t>is</w:t>
      </w:r>
      <w:r>
        <w:rPr>
          <w:rFonts w:ascii="Times New Roman" w:hAnsi="Times New Roman"/>
          <w:snapToGrid/>
          <w:color w:val="000000"/>
          <w:szCs w:val="24"/>
        </w:rPr>
        <w:t xml:space="preserve"> filed annually by branches with total assets of between $50 million and $250 million (in lieu of filing the entire FFIEC 030 form)</w:t>
      </w:r>
      <w:r w:rsidR="00537E4B">
        <w:rPr>
          <w:rFonts w:ascii="Times New Roman" w:hAnsi="Times New Roman"/>
          <w:snapToGrid/>
          <w:color w:val="000000"/>
          <w:szCs w:val="24"/>
        </w:rPr>
        <w:t>.</w:t>
      </w:r>
      <w:r>
        <w:rPr>
          <w:rFonts w:ascii="Times New Roman" w:hAnsi="Times New Roman"/>
          <w:snapToGrid/>
          <w:color w:val="000000"/>
          <w:szCs w:val="24"/>
        </w:rPr>
        <w:t xml:space="preserve">  </w:t>
      </w:r>
      <w:r w:rsidR="00537E4B">
        <w:rPr>
          <w:rFonts w:ascii="Times New Roman" w:hAnsi="Times New Roman"/>
          <w:snapToGrid/>
          <w:color w:val="000000"/>
          <w:szCs w:val="24"/>
        </w:rPr>
        <w:t>F</w:t>
      </w:r>
      <w:r>
        <w:rPr>
          <w:rFonts w:ascii="Times New Roman" w:hAnsi="Times New Roman"/>
          <w:snapToGrid/>
          <w:color w:val="000000"/>
          <w:szCs w:val="24"/>
        </w:rPr>
        <w:t>or</w:t>
      </w:r>
      <w:r w:rsidR="00537E4B">
        <w:rPr>
          <w:rFonts w:ascii="Times New Roman" w:hAnsi="Times New Roman"/>
          <w:snapToGrid/>
          <w:color w:val="000000"/>
          <w:szCs w:val="24"/>
        </w:rPr>
        <w:t>eign</w:t>
      </w:r>
      <w:r>
        <w:rPr>
          <w:rFonts w:ascii="Times New Roman" w:hAnsi="Times New Roman"/>
          <w:snapToGrid/>
          <w:color w:val="000000"/>
          <w:szCs w:val="24"/>
        </w:rPr>
        <w:t xml:space="preserve"> branches with less than $50 million in total assets</w:t>
      </w:r>
      <w:r w:rsidR="00537E4B">
        <w:rPr>
          <w:rFonts w:ascii="Times New Roman" w:hAnsi="Times New Roman"/>
          <w:snapToGrid/>
          <w:color w:val="000000"/>
          <w:szCs w:val="24"/>
        </w:rPr>
        <w:t xml:space="preserve"> are not required to report</w:t>
      </w:r>
      <w:r>
        <w:rPr>
          <w:rFonts w:ascii="Times New Roman" w:hAnsi="Times New Roman"/>
          <w:snapToGrid/>
          <w:color w:val="000000"/>
          <w:szCs w:val="24"/>
        </w:rPr>
        <w:t xml:space="preserve">.    </w:t>
      </w:r>
      <w:r w:rsidRPr="0050091C" w:rsidR="0050091C">
        <w:rPr>
          <w:rFonts w:ascii="Times New Roman" w:hAnsi="Times New Roman"/>
          <w:bCs/>
          <w:color w:val="000000"/>
          <w:szCs w:val="24"/>
        </w:rPr>
        <w:t>The proposed revisions</w:t>
      </w:r>
      <w:r w:rsidRPr="0050091C" w:rsidR="0050091C">
        <w:rPr>
          <w:rFonts w:ascii="Times New Roman" w:hAnsi="Times New Roman"/>
        </w:rPr>
        <w:t xml:space="preserve"> </w:t>
      </w:r>
      <w:r w:rsidRPr="0050091C" w:rsidR="0050091C">
        <w:rPr>
          <w:rFonts w:ascii="Times New Roman" w:hAnsi="Times New Roman"/>
          <w:bCs/>
          <w:color w:val="000000"/>
          <w:szCs w:val="24"/>
        </w:rPr>
        <w:t xml:space="preserve">would incorporate line items from the FR 2502q, Quarterly Report of Assets and Liabilities of Large Foreign Offices of U.S. Banks (OMB Control No. 7100-0079) into the FFIEC 030. </w:t>
      </w:r>
      <w:r w:rsidRPr="0050091C" w:rsidR="0050091C">
        <w:rPr>
          <w:rFonts w:ascii="Times New Roman" w:hAnsi="Times New Roman"/>
        </w:rPr>
        <w:t>There are no proposed revisions to the FFIEC 030S.</w:t>
      </w:r>
    </w:p>
    <w:p w:rsidR="00B46E04" w14:paraId="4EE6AA7A" w14:textId="77777777">
      <w:pPr>
        <w:widowControl/>
        <w:tabs>
          <w:tab w:val="left" w:pos="-240"/>
          <w:tab w:val="left" w:pos="480"/>
          <w:tab w:val="left" w:pos="1080"/>
          <w:tab w:val="left" w:pos="1680"/>
          <w:tab w:val="left" w:pos="2280"/>
          <w:tab w:val="left" w:pos="2880"/>
        </w:tabs>
        <w:rPr>
          <w:rFonts w:ascii="Times New Roman" w:hAnsi="Times New Roman"/>
        </w:rPr>
      </w:pPr>
    </w:p>
    <w:p w:rsidR="00B46E04" w14:paraId="0226E909" w14:textId="77777777">
      <w:pPr>
        <w:widowControl/>
        <w:rPr>
          <w:rFonts w:ascii="Times New Roman" w:hAnsi="Times New Roman"/>
        </w:rPr>
      </w:pPr>
    </w:p>
    <w:p w:rsidR="00B46E04" w14:paraId="29C6A229" w14:textId="77777777">
      <w:pPr>
        <w:widowControl/>
        <w:tabs>
          <w:tab w:val="left" w:pos="360"/>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B46E04" w14:paraId="4447D8F6" w14:textId="77777777">
      <w:pPr>
        <w:widowControl/>
        <w:tabs>
          <w:tab w:val="left" w:pos="-240"/>
          <w:tab w:val="left" w:pos="480"/>
          <w:tab w:val="left" w:pos="1080"/>
          <w:tab w:val="left" w:pos="1680"/>
          <w:tab w:val="left" w:pos="2280"/>
          <w:tab w:val="left" w:pos="2880"/>
        </w:tabs>
        <w:rPr>
          <w:rFonts w:ascii="Times New Roman" w:hAnsi="Times New Roman"/>
        </w:rPr>
      </w:pPr>
    </w:p>
    <w:p w:rsidR="00B46E04" w14:paraId="135B2C96" w14:textId="77777777">
      <w:pPr>
        <w:widowControl/>
        <w:tabs>
          <w:tab w:val="left" w:pos="360"/>
        </w:tabs>
        <w:ind w:left="720" w:hanging="720"/>
        <w:rPr>
          <w:rFonts w:ascii="Times New Roman" w:hAnsi="Times New Roman"/>
        </w:rPr>
      </w:pPr>
      <w:r>
        <w:rPr>
          <w:rFonts w:ascii="Times New Roman" w:hAnsi="Times New Roman"/>
        </w:rPr>
        <w:tab/>
        <w:t>1.</w:t>
      </w:r>
      <w:r>
        <w:rPr>
          <w:rFonts w:ascii="Times New Roman" w:hAnsi="Times New Roman"/>
        </w:rPr>
        <w:tab/>
      </w:r>
      <w:r w:rsidRPr="00647F97" w:rsidR="00FE5CEF">
        <w:rPr>
          <w:rFonts w:ascii="Times New Roman TUR" w:hAnsi="Times New Roman TUR" w:cs="Times New Roman TUR"/>
          <w:bCs/>
          <w:u w:val="single"/>
        </w:rPr>
        <w:t>Circumstances that make the collection necessary:</w:t>
      </w:r>
    </w:p>
    <w:p w:rsidR="00B46E04" w14:paraId="2BCA3A74" w14:textId="77777777">
      <w:pPr>
        <w:pStyle w:val="Footer"/>
        <w:widowControl/>
        <w:tabs>
          <w:tab w:val="left" w:pos="-360"/>
          <w:tab w:val="left" w:pos="-240"/>
          <w:tab w:val="left" w:pos="480"/>
          <w:tab w:val="left" w:pos="1680"/>
          <w:tab w:val="left" w:pos="2280"/>
          <w:tab w:val="left" w:pos="2880"/>
          <w:tab w:val="clear" w:pos="4320"/>
          <w:tab w:val="clear" w:pos="8640"/>
        </w:tabs>
        <w:rPr>
          <w:rFonts w:ascii="Times New Roman" w:hAnsi="Times New Roman"/>
        </w:rPr>
      </w:pPr>
    </w:p>
    <w:p w:rsidR="00B46E04" w14:paraId="08314451" w14:textId="77777777">
      <w:pPr>
        <w:pStyle w:val="BodyTextIndent"/>
        <w:tabs>
          <w:tab w:val="left" w:pos="360"/>
          <w:tab w:val="clear" w:pos="480"/>
          <w:tab w:val="clear" w:pos="1680"/>
          <w:tab w:val="clear" w:pos="2280"/>
          <w:tab w:val="clear" w:pos="2880"/>
        </w:tabs>
        <w:ind w:hanging="720"/>
      </w:pPr>
      <w:r>
        <w:tab/>
      </w:r>
      <w:r>
        <w:tab/>
        <w:t>Section 18(d)(2) of the Federal Deposit Insurance Act requires the FDIC’s prior approval for the establishment and operation of foreign branches by insured state nonmember banks</w:t>
      </w:r>
      <w:r w:rsidR="00685BFB">
        <w:t xml:space="preserve"> and state-chartered savings associations</w:t>
      </w:r>
      <w:r>
        <w:rPr>
          <w:rStyle w:val="FootnoteReference"/>
        </w:rPr>
        <w:footnoteReference w:id="2"/>
      </w:r>
      <w:r>
        <w:t xml:space="preserve"> “upon such conditions and pursuant to such regulations as the Corporation may prescribe.”  Section 347.116 of the FDIC’s regulations requires these banks to “make and submit such reports and information as may be necessary to implement and enforce the provisions of” Subpart A of Part 347 of the FDIC’s regulations and to “submit an annual report of condition for each foreign branch pursuant to instructions provided by the FDIC.”</w:t>
      </w:r>
    </w:p>
    <w:p w:rsidR="003A09F0" w14:paraId="65169889" w14:textId="77777777">
      <w:pPr>
        <w:pStyle w:val="BodyTextIndent"/>
        <w:tabs>
          <w:tab w:val="left" w:pos="360"/>
          <w:tab w:val="clear" w:pos="480"/>
          <w:tab w:val="clear" w:pos="1680"/>
          <w:tab w:val="clear" w:pos="2280"/>
          <w:tab w:val="clear" w:pos="2880"/>
        </w:tabs>
        <w:ind w:hanging="720"/>
      </w:pPr>
    </w:p>
    <w:p w:rsidR="003A09F0" w14:paraId="2EE6BA0E" w14:textId="77777777">
      <w:pPr>
        <w:pStyle w:val="BodyTextIndent"/>
        <w:tabs>
          <w:tab w:val="left" w:pos="360"/>
          <w:tab w:val="clear" w:pos="480"/>
          <w:tab w:val="clear" w:pos="1680"/>
          <w:tab w:val="clear" w:pos="2280"/>
          <w:tab w:val="clear" w:pos="2880"/>
        </w:tabs>
        <w:ind w:hanging="720"/>
      </w:pPr>
      <w:r>
        <w:tab/>
      </w:r>
      <w:r>
        <w:tab/>
      </w:r>
      <w:r w:rsidRPr="003A09F0">
        <w:t xml:space="preserve">  </w:t>
      </w:r>
    </w:p>
    <w:p w:rsidR="00FE31F0" w14:paraId="647C6F58" w14:textId="77777777">
      <w:pPr>
        <w:pStyle w:val="BodyTextIndent"/>
        <w:tabs>
          <w:tab w:val="left" w:pos="360"/>
          <w:tab w:val="clear" w:pos="480"/>
          <w:tab w:val="clear" w:pos="1680"/>
          <w:tab w:val="clear" w:pos="2280"/>
          <w:tab w:val="clear" w:pos="2880"/>
        </w:tabs>
        <w:ind w:hanging="720"/>
      </w:pPr>
    </w:p>
    <w:p w:rsidR="008568F7" w:rsidRPr="008568F7" w:rsidP="00685BFB" w14:paraId="14C86F05" w14:textId="77777777">
      <w:pPr>
        <w:pStyle w:val="BodyTextIndent"/>
        <w:tabs>
          <w:tab w:val="clear" w:pos="-240"/>
          <w:tab w:val="clear" w:pos="-180"/>
          <w:tab w:val="clear" w:pos="480"/>
          <w:tab w:val="left" w:pos="720"/>
          <w:tab w:val="clear" w:pos="1680"/>
          <w:tab w:val="clear" w:pos="2280"/>
          <w:tab w:val="clear" w:pos="2880"/>
        </w:tabs>
        <w:ind w:hanging="720"/>
      </w:pPr>
      <w:r>
        <w:rPr>
          <w:szCs w:val="24"/>
        </w:rPr>
        <w:tab/>
      </w:r>
    </w:p>
    <w:p w:rsidR="008568F7" w:rsidP="006B550B" w14:paraId="6857C371" w14:textId="77777777">
      <w:pPr>
        <w:pStyle w:val="BodyTextIndent"/>
        <w:tabs>
          <w:tab w:val="left" w:pos="360"/>
          <w:tab w:val="left" w:pos="720"/>
          <w:tab w:val="left" w:pos="1080"/>
        </w:tabs>
        <w:ind w:left="1080" w:hanging="1080"/>
      </w:pPr>
    </w:p>
    <w:p w:rsidR="00B46E04" w14:paraId="09F1C1D6" w14:textId="77777777">
      <w:pPr>
        <w:widowControl/>
        <w:tabs>
          <w:tab w:val="left" w:pos="360"/>
        </w:tabs>
        <w:ind w:left="720" w:hanging="720"/>
        <w:rPr>
          <w:rFonts w:ascii="Times New Roman" w:hAnsi="Times New Roman"/>
        </w:rPr>
      </w:pPr>
      <w:r>
        <w:rPr>
          <w:rFonts w:ascii="Times New Roman" w:hAnsi="Times New Roman"/>
        </w:rPr>
        <w:tab/>
        <w:t>2.</w:t>
      </w:r>
      <w:r>
        <w:rPr>
          <w:rFonts w:ascii="Times New Roman" w:hAnsi="Times New Roman"/>
        </w:rPr>
        <w:tab/>
      </w:r>
      <w:r>
        <w:rPr>
          <w:rFonts w:ascii="Times New Roman" w:hAnsi="Times New Roman"/>
          <w:u w:val="single"/>
        </w:rPr>
        <w:t>Use of Information</w:t>
      </w:r>
      <w:r w:rsidR="00FE5CEF">
        <w:rPr>
          <w:rFonts w:ascii="Times New Roman" w:hAnsi="Times New Roman"/>
          <w:u w:val="single"/>
        </w:rPr>
        <w:t>:</w:t>
      </w:r>
    </w:p>
    <w:p w:rsidR="00B46E04" w14:paraId="1AA5E4EB" w14:textId="77777777">
      <w:pPr>
        <w:widowControl/>
        <w:tabs>
          <w:tab w:val="left" w:pos="360"/>
        </w:tabs>
        <w:ind w:left="720" w:hanging="720"/>
        <w:rPr>
          <w:rFonts w:ascii="Times New Roman" w:hAnsi="Times New Roman"/>
        </w:rPr>
      </w:pPr>
    </w:p>
    <w:p w:rsidR="00B46E04" w14:paraId="694BCB5C"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The FDIC uses the information collected on the Foreign Branch Report of Condition to monitor the level of activity and growth of these overseas banking offices</w:t>
      </w:r>
      <w:r w:rsidR="00AD64DF">
        <w:rPr>
          <w:rFonts w:ascii="Times New Roman" w:hAnsi="Times New Roman"/>
        </w:rPr>
        <w:t xml:space="preserve"> with $50 million or more in total assets</w:t>
      </w:r>
      <w:r>
        <w:rPr>
          <w:rFonts w:ascii="Times New Roman" w:hAnsi="Times New Roman"/>
        </w:rPr>
        <w:t xml:space="preserve">.  Additionally, the reported data </w:t>
      </w:r>
      <w:r w:rsidR="00212B23">
        <w:rPr>
          <w:rFonts w:ascii="Times New Roman" w:hAnsi="Times New Roman"/>
        </w:rPr>
        <w:t>are</w:t>
      </w:r>
      <w:r>
        <w:rPr>
          <w:rFonts w:ascii="Times New Roman" w:hAnsi="Times New Roman"/>
        </w:rPr>
        <w:t xml:space="preserve"> needed in order to identify branches that should be targeted for examination based on the nature </w:t>
      </w:r>
      <w:r w:rsidR="00BA0A3D">
        <w:rPr>
          <w:rFonts w:ascii="Times New Roman" w:hAnsi="Times New Roman"/>
        </w:rPr>
        <w:t xml:space="preserve">and extent </w:t>
      </w:r>
      <w:r>
        <w:rPr>
          <w:rFonts w:ascii="Times New Roman" w:hAnsi="Times New Roman"/>
        </w:rPr>
        <w:t>of their operations and to effectively plan the scope of individual branch examinations.</w:t>
      </w:r>
    </w:p>
    <w:p w:rsidR="00B46E04" w14:paraId="1BC566E9" w14:textId="77777777">
      <w:pPr>
        <w:widowControl/>
        <w:tabs>
          <w:tab w:val="left" w:pos="360"/>
        </w:tabs>
        <w:ind w:left="720" w:hanging="720"/>
        <w:rPr>
          <w:rFonts w:ascii="Times New Roman" w:hAnsi="Times New Roman"/>
        </w:rPr>
      </w:pPr>
      <w:r>
        <w:rPr>
          <w:rFonts w:ascii="Times New Roman" w:hAnsi="Times New Roman"/>
        </w:rPr>
        <w:tab/>
      </w:r>
    </w:p>
    <w:p w:rsidR="00B46E04" w14:paraId="7F09ADFD" w14:textId="77777777">
      <w:pPr>
        <w:widowControl/>
        <w:tabs>
          <w:tab w:val="left" w:pos="360"/>
        </w:tabs>
        <w:ind w:left="720" w:hanging="720"/>
        <w:rPr>
          <w:rFonts w:ascii="Times New Roman" w:hAnsi="Times New Roman"/>
        </w:rPr>
      </w:pPr>
      <w:r>
        <w:rPr>
          <w:rFonts w:ascii="Times New Roman" w:hAnsi="Times New Roman"/>
        </w:rPr>
        <w:tab/>
        <w:t>3.</w:t>
      </w:r>
      <w:r>
        <w:rPr>
          <w:rFonts w:ascii="Times New Roman" w:hAnsi="Times New Roman"/>
        </w:rPr>
        <w:tab/>
      </w:r>
      <w:r w:rsidRPr="00647F97" w:rsidR="00FE5CEF">
        <w:rPr>
          <w:rFonts w:ascii="Times New Roman TUR" w:hAnsi="Times New Roman TUR" w:cs="Times New Roman TUR"/>
          <w:bCs/>
          <w:u w:val="single"/>
        </w:rPr>
        <w:t>Consideration of the use of improved information technology:</w:t>
      </w:r>
    </w:p>
    <w:p w:rsidR="00B46E04" w14:paraId="3164CFB4" w14:textId="77777777">
      <w:pPr>
        <w:widowControl/>
        <w:tabs>
          <w:tab w:val="left" w:pos="360"/>
        </w:tabs>
        <w:ind w:left="720" w:hanging="720"/>
        <w:rPr>
          <w:rFonts w:ascii="Times New Roman" w:hAnsi="Times New Roman"/>
        </w:rPr>
      </w:pPr>
    </w:p>
    <w:p w:rsidR="00B46E04" w14:paraId="0380EB8F"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 xml:space="preserve">The FDIC currently collects </w:t>
      </w:r>
      <w:r w:rsidR="00F16599">
        <w:rPr>
          <w:rFonts w:ascii="Times New Roman" w:hAnsi="Times New Roman"/>
        </w:rPr>
        <w:t>a Foreign Branch Report of Condition quarterly</w:t>
      </w:r>
      <w:r>
        <w:rPr>
          <w:rFonts w:ascii="Times New Roman" w:hAnsi="Times New Roman"/>
        </w:rPr>
        <w:t xml:space="preserve"> from </w:t>
      </w:r>
      <w:r w:rsidR="00103AEB">
        <w:rPr>
          <w:rFonts w:ascii="Times New Roman" w:hAnsi="Times New Roman"/>
        </w:rPr>
        <w:t>one</w:t>
      </w:r>
      <w:r>
        <w:rPr>
          <w:rFonts w:ascii="Times New Roman" w:hAnsi="Times New Roman"/>
        </w:rPr>
        <w:t xml:space="preserve"> branch of </w:t>
      </w:r>
      <w:r w:rsidR="00103AEB">
        <w:rPr>
          <w:rFonts w:ascii="Times New Roman" w:hAnsi="Times New Roman"/>
        </w:rPr>
        <w:t>an FDIC-supervised institution</w:t>
      </w:r>
      <w:r w:rsidR="00F16599">
        <w:rPr>
          <w:rFonts w:ascii="Times New Roman" w:hAnsi="Times New Roman"/>
        </w:rPr>
        <w:t xml:space="preserve"> and annually from </w:t>
      </w:r>
      <w:r w:rsidR="00103AEB">
        <w:rPr>
          <w:rFonts w:ascii="Times New Roman" w:hAnsi="Times New Roman"/>
        </w:rPr>
        <w:t>8</w:t>
      </w:r>
      <w:r w:rsidR="00F16599">
        <w:rPr>
          <w:rFonts w:ascii="Times New Roman" w:hAnsi="Times New Roman"/>
        </w:rPr>
        <w:t xml:space="preserve"> branches</w:t>
      </w:r>
      <w:r>
        <w:rPr>
          <w:rFonts w:ascii="Times New Roman" w:hAnsi="Times New Roman"/>
        </w:rPr>
        <w:t xml:space="preserve">.  </w:t>
      </w:r>
      <w:r w:rsidR="005D4C94">
        <w:rPr>
          <w:rFonts w:ascii="Times New Roman" w:hAnsi="Times New Roman"/>
        </w:rPr>
        <w:t>E</w:t>
      </w:r>
      <w:r w:rsidR="00103AEB">
        <w:rPr>
          <w:rFonts w:ascii="Times New Roman" w:hAnsi="Times New Roman"/>
        </w:rPr>
        <w:t>ight</w:t>
      </w:r>
      <w:r>
        <w:rPr>
          <w:rFonts w:ascii="Times New Roman" w:hAnsi="Times New Roman"/>
        </w:rPr>
        <w:t xml:space="preserve"> foreign branches of </w:t>
      </w:r>
      <w:r w:rsidR="00103AEB">
        <w:rPr>
          <w:rFonts w:ascii="Times New Roman" w:hAnsi="Times New Roman"/>
        </w:rPr>
        <w:t>FD</w:t>
      </w:r>
      <w:r w:rsidR="00FE5B84">
        <w:rPr>
          <w:rFonts w:ascii="Times New Roman" w:hAnsi="Times New Roman"/>
        </w:rPr>
        <w:t>I</w:t>
      </w:r>
      <w:r w:rsidR="00103AEB">
        <w:rPr>
          <w:rFonts w:ascii="Times New Roman" w:hAnsi="Times New Roman"/>
        </w:rPr>
        <w:t>C-insured institutions</w:t>
      </w:r>
      <w:r>
        <w:rPr>
          <w:rFonts w:ascii="Times New Roman" w:hAnsi="Times New Roman"/>
        </w:rPr>
        <w:t xml:space="preserve"> are </w:t>
      </w:r>
      <w:r w:rsidR="00BA0A3D">
        <w:rPr>
          <w:rFonts w:ascii="Times New Roman" w:hAnsi="Times New Roman"/>
        </w:rPr>
        <w:t>currently</w:t>
      </w:r>
      <w:r>
        <w:rPr>
          <w:rFonts w:ascii="Times New Roman" w:hAnsi="Times New Roman"/>
        </w:rPr>
        <w:t xml:space="preserve"> required to file </w:t>
      </w:r>
      <w:r w:rsidR="005D4C94">
        <w:rPr>
          <w:rFonts w:ascii="Times New Roman" w:hAnsi="Times New Roman"/>
        </w:rPr>
        <w:t>the</w:t>
      </w:r>
      <w:r>
        <w:rPr>
          <w:rFonts w:ascii="Times New Roman" w:hAnsi="Times New Roman"/>
        </w:rPr>
        <w:t xml:space="preserve"> </w:t>
      </w:r>
      <w:r w:rsidR="00F16599">
        <w:rPr>
          <w:rFonts w:ascii="Times New Roman" w:hAnsi="Times New Roman"/>
        </w:rPr>
        <w:t>Abbreviated Foreign Branch R</w:t>
      </w:r>
      <w:r>
        <w:rPr>
          <w:rFonts w:ascii="Times New Roman" w:hAnsi="Times New Roman"/>
        </w:rPr>
        <w:t>eport</w:t>
      </w:r>
      <w:r w:rsidR="00F16599">
        <w:rPr>
          <w:rFonts w:ascii="Times New Roman" w:hAnsi="Times New Roman"/>
        </w:rPr>
        <w:t xml:space="preserve"> of Condition</w:t>
      </w:r>
      <w:r w:rsidR="005D4C94">
        <w:rPr>
          <w:rFonts w:ascii="Times New Roman" w:hAnsi="Times New Roman"/>
        </w:rPr>
        <w:t xml:space="preserve"> annually</w:t>
      </w:r>
      <w:r>
        <w:rPr>
          <w:rFonts w:ascii="Times New Roman" w:hAnsi="Times New Roman"/>
        </w:rPr>
        <w:t xml:space="preserve">.  The Federal Reserve System (FRS) performs the collection and processing of </w:t>
      </w:r>
      <w:r w:rsidR="006D6B44">
        <w:rPr>
          <w:rFonts w:ascii="Times New Roman" w:hAnsi="Times New Roman"/>
        </w:rPr>
        <w:t xml:space="preserve">both versions of </w:t>
      </w:r>
      <w:r>
        <w:rPr>
          <w:rFonts w:ascii="Times New Roman" w:hAnsi="Times New Roman"/>
        </w:rPr>
        <w:t xml:space="preserve">the Foreign Branch Report of Condition on behalf of the three federal banking agencies.  As a result, no special efforts have been undertaken by the FDIC to use improved information technology to reduce the burden associated with preparing and filing the Foreign Branch Report of Condition.  </w:t>
      </w:r>
    </w:p>
    <w:p w:rsidR="00B46E04" w14:paraId="03D98526" w14:textId="77777777">
      <w:pPr>
        <w:widowControl/>
        <w:tabs>
          <w:tab w:val="left" w:pos="360"/>
        </w:tabs>
        <w:ind w:left="720" w:hanging="720"/>
        <w:rPr>
          <w:rFonts w:ascii="Times New Roman" w:hAnsi="Times New Roman"/>
        </w:rPr>
      </w:pPr>
    </w:p>
    <w:p w:rsidR="00B46E04" w14:paraId="4AD5BF1F" w14:textId="77777777">
      <w:pPr>
        <w:widowControl/>
        <w:tabs>
          <w:tab w:val="left" w:pos="360"/>
        </w:tabs>
        <w:ind w:left="720" w:hanging="720"/>
        <w:rPr>
          <w:rFonts w:ascii="Times New Roman" w:hAnsi="Times New Roman"/>
        </w:rPr>
      </w:pPr>
      <w:r>
        <w:rPr>
          <w:rFonts w:ascii="Times New Roman" w:hAnsi="Times New Roman"/>
        </w:rPr>
        <w:tab/>
        <w:t>4.</w:t>
      </w:r>
      <w:r>
        <w:rPr>
          <w:rFonts w:ascii="Times New Roman" w:hAnsi="Times New Roman"/>
        </w:rPr>
        <w:tab/>
      </w:r>
      <w:r>
        <w:rPr>
          <w:rFonts w:ascii="Times New Roman" w:hAnsi="Times New Roman"/>
          <w:u w:val="single"/>
        </w:rPr>
        <w:t>Efforts to Identify Duplication</w:t>
      </w:r>
    </w:p>
    <w:p w:rsidR="00B46E04" w14:paraId="0511EA92" w14:textId="77777777">
      <w:pPr>
        <w:widowControl/>
        <w:tabs>
          <w:tab w:val="left" w:pos="360"/>
        </w:tabs>
        <w:ind w:left="720" w:hanging="720"/>
        <w:rPr>
          <w:rFonts w:ascii="Times New Roman" w:hAnsi="Times New Roman"/>
        </w:rPr>
      </w:pPr>
    </w:p>
    <w:p w:rsidR="00B46E04" w14:paraId="1B60A282"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There is no other report that provides asset, liability, and off</w:t>
      </w:r>
      <w:r>
        <w:rPr>
          <w:rFonts w:ascii="Times New Roman" w:hAnsi="Times New Roman"/>
        </w:rPr>
        <w:noBreakHyphen/>
        <w:t xml:space="preserve">balance sheet data for individual foreign branches of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banks.  Foreign office dollar amounts for certain balance sheet categories can be derived from the Consolidated Reports of Condition and</w:t>
      </w:r>
      <w:r w:rsidR="00FE21B2">
        <w:rPr>
          <w:rFonts w:ascii="Times New Roman" w:hAnsi="Times New Roman"/>
        </w:rPr>
        <w:t> </w:t>
      </w:r>
      <w:r>
        <w:rPr>
          <w:rFonts w:ascii="Times New Roman" w:hAnsi="Times New Roman"/>
        </w:rPr>
        <w:t>Income (Call Report) filed by banks with foreign</w:t>
      </w:r>
      <w:r w:rsidR="00FE21B2">
        <w:rPr>
          <w:rFonts w:ascii="Times New Roman" w:hAnsi="Times New Roman"/>
        </w:rPr>
        <w:t xml:space="preserve"> offices on form FFIEC 031 (OMB </w:t>
      </w:r>
      <w:r>
        <w:rPr>
          <w:rFonts w:ascii="Times New Roman" w:hAnsi="Times New Roman"/>
        </w:rPr>
        <w:t>No. 3064</w:t>
      </w:r>
      <w:r>
        <w:rPr>
          <w:rFonts w:ascii="Times New Roman" w:hAnsi="Times New Roman"/>
        </w:rPr>
        <w:noBreakHyphen/>
        <w:t>0052); however, this information is rep</w:t>
      </w:r>
      <w:r w:rsidR="00FE21B2">
        <w:rPr>
          <w:rFonts w:ascii="Times New Roman" w:hAnsi="Times New Roman"/>
        </w:rPr>
        <w:t xml:space="preserve">orted on an aggregate basis for </w:t>
      </w:r>
      <w:r>
        <w:rPr>
          <w:rFonts w:ascii="Times New Roman" w:hAnsi="Times New Roman"/>
        </w:rPr>
        <w:t>all foreign offices of the reporting bank.  For Call Report purposes, the term “foreign offices” includes Edge and Agreement subsidiaries, other non</w:t>
      </w:r>
      <w:r>
        <w:rPr>
          <w:rFonts w:ascii="Times New Roman" w:hAnsi="Times New Roman"/>
        </w:rPr>
        <w:noBreakHyphen/>
        <w:t>U.S. subsidiaries, and International Banking Facilities (IBFs) as well as the actual foreign branches of the parent bank.  Hence, the separate dollar amounts for each branch location are not identifiable from the FFIEC 031.  Foreign office dollar amounts for off</w:t>
      </w:r>
      <w:r>
        <w:rPr>
          <w:rFonts w:ascii="Times New Roman" w:hAnsi="Times New Roman"/>
        </w:rPr>
        <w:noBreakHyphen/>
        <w:t>balance sheet items cannot be determined from the form FFIEC 031.</w:t>
      </w:r>
    </w:p>
    <w:p w:rsidR="00B46E04" w14:paraId="654702EE" w14:textId="77777777">
      <w:pPr>
        <w:widowControl/>
        <w:tabs>
          <w:tab w:val="left" w:pos="360"/>
        </w:tabs>
        <w:ind w:left="720" w:hanging="720"/>
        <w:rPr>
          <w:rFonts w:ascii="Times New Roman" w:hAnsi="Times New Roman"/>
        </w:rPr>
      </w:pPr>
    </w:p>
    <w:p w:rsidR="00B46E04" w14:paraId="70485D05" w14:textId="77777777">
      <w:pPr>
        <w:widowControl/>
        <w:tabs>
          <w:tab w:val="left" w:pos="360"/>
        </w:tabs>
        <w:ind w:left="720" w:hanging="720"/>
        <w:rPr>
          <w:rFonts w:ascii="Times New Roman" w:hAnsi="Times New Roman"/>
        </w:rPr>
      </w:pPr>
      <w:r>
        <w:rPr>
          <w:rFonts w:ascii="Times New Roman" w:hAnsi="Times New Roman"/>
        </w:rPr>
        <w:br w:type="page"/>
      </w:r>
      <w:r>
        <w:rPr>
          <w:rFonts w:ascii="Times New Roman" w:hAnsi="Times New Roman"/>
        </w:rPr>
        <w:tab/>
        <w:t>5.</w:t>
      </w:r>
      <w:r>
        <w:rPr>
          <w:rFonts w:ascii="Times New Roman" w:hAnsi="Times New Roman"/>
        </w:rPr>
        <w:tab/>
      </w:r>
      <w:r w:rsidRPr="00647F97" w:rsidR="00FE5CEF">
        <w:rPr>
          <w:rFonts w:ascii="Times New Roman TUR" w:hAnsi="Times New Roman TUR" w:cs="Times New Roman TUR"/>
          <w:bCs/>
          <w:u w:val="single"/>
        </w:rPr>
        <w:t xml:space="preserve">Methods used to minimize burden if the collection has a significant impact on </w:t>
      </w:r>
      <w:r w:rsidR="00FE5CEF">
        <w:rPr>
          <w:rFonts w:ascii="Times New Roman TUR" w:hAnsi="Times New Roman TUR" w:cs="Times New Roman TUR"/>
          <w:bCs/>
          <w:u w:val="single"/>
        </w:rPr>
        <w:t xml:space="preserve">a </w:t>
      </w:r>
      <w:r w:rsidRPr="00647F97" w:rsidR="00FE5CEF">
        <w:rPr>
          <w:rFonts w:ascii="Times New Roman TUR" w:hAnsi="Times New Roman TUR" w:cs="Times New Roman TUR"/>
          <w:bCs/>
          <w:u w:val="single"/>
        </w:rPr>
        <w:t>substantial number of small entities:</w:t>
      </w:r>
    </w:p>
    <w:p w:rsidR="00B46E04" w14:paraId="23256C9F" w14:textId="77777777">
      <w:pPr>
        <w:widowControl/>
        <w:tabs>
          <w:tab w:val="left" w:pos="360"/>
        </w:tabs>
        <w:ind w:left="720" w:hanging="720"/>
        <w:rPr>
          <w:rFonts w:ascii="Times New Roman" w:hAnsi="Times New Roman"/>
        </w:rPr>
      </w:pPr>
    </w:p>
    <w:p w:rsidR="00B46E04" w14:paraId="6DC4E780"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The collection does not involve small businesses or other small entities.</w:t>
      </w:r>
    </w:p>
    <w:p w:rsidR="00B46E04" w14:paraId="35F20E3D" w14:textId="77777777">
      <w:pPr>
        <w:widowControl/>
        <w:tabs>
          <w:tab w:val="left" w:pos="360"/>
        </w:tabs>
        <w:ind w:left="720" w:hanging="720"/>
        <w:rPr>
          <w:rFonts w:ascii="Times New Roman" w:hAnsi="Times New Roman"/>
        </w:rPr>
      </w:pPr>
    </w:p>
    <w:p w:rsidR="00B46E04" w14:paraId="22191400" w14:textId="77777777">
      <w:pPr>
        <w:widowControl/>
        <w:tabs>
          <w:tab w:val="left" w:pos="360"/>
        </w:tabs>
        <w:ind w:left="720" w:hanging="720"/>
        <w:rPr>
          <w:rFonts w:ascii="Times New Roman" w:hAnsi="Times New Roman"/>
        </w:rPr>
      </w:pPr>
      <w:r>
        <w:rPr>
          <w:rFonts w:ascii="Times New Roman" w:hAnsi="Times New Roman"/>
        </w:rPr>
        <w:tab/>
        <w:t>6.</w:t>
      </w:r>
      <w:r>
        <w:rPr>
          <w:rFonts w:ascii="Times New Roman" w:hAnsi="Times New Roman"/>
        </w:rPr>
        <w:tab/>
      </w:r>
      <w:r w:rsidRPr="00647F97" w:rsidR="00FE5CEF">
        <w:rPr>
          <w:rFonts w:ascii="Times New Roman TUR" w:hAnsi="Times New Roman TUR" w:cs="Times New Roman TUR"/>
          <w:bCs/>
          <w:u w:val="single"/>
        </w:rPr>
        <w:t>Consequences to the Federal program if the collection were conducted less frequently:</w:t>
      </w:r>
    </w:p>
    <w:p w:rsidR="00B46E04" w14:paraId="372115AC" w14:textId="77777777">
      <w:pPr>
        <w:widowControl/>
        <w:tabs>
          <w:tab w:val="left" w:pos="360"/>
        </w:tabs>
        <w:ind w:left="720" w:hanging="720"/>
        <w:rPr>
          <w:rFonts w:ascii="Times New Roman" w:hAnsi="Times New Roman"/>
        </w:rPr>
      </w:pPr>
    </w:p>
    <w:p w:rsidR="00B46E04" w14:paraId="0B4940E1"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 xml:space="preserve">“Significant branches” (i.e., those with at least $2 billion in total assets or with at least $5 billion in commitments to purchase foreign currencies and U.S. dollar exchange) report quarterly.  All other foreign branches </w:t>
      </w:r>
      <w:r w:rsidR="006D6B44">
        <w:rPr>
          <w:rFonts w:ascii="Times New Roman" w:hAnsi="Times New Roman"/>
        </w:rPr>
        <w:t xml:space="preserve">with $50 million or more in total assets </w:t>
      </w:r>
      <w:r>
        <w:rPr>
          <w:rFonts w:ascii="Times New Roman" w:hAnsi="Times New Roman"/>
        </w:rPr>
        <w:t>report annually</w:t>
      </w:r>
      <w:r w:rsidR="006D6B44">
        <w:rPr>
          <w:rFonts w:ascii="Times New Roman" w:hAnsi="Times New Roman"/>
        </w:rPr>
        <w:t>, either on the Foreign Branch Report of Condition if they have $250 million or more in total assets or on the Abbreviated Foreign Branch Report of Condition otherwise</w:t>
      </w:r>
      <w:r>
        <w:rPr>
          <w:rFonts w:ascii="Times New Roman" w:hAnsi="Times New Roman"/>
        </w:rPr>
        <w:t>.  The dual reporting frequency approach for this collection has ensured that up</w:t>
      </w:r>
      <w:r>
        <w:rPr>
          <w:rFonts w:ascii="Times New Roman" w:hAnsi="Times New Roman"/>
        </w:rPr>
        <w:noBreakHyphen/>
        <w:t>to</w:t>
      </w:r>
      <w:r>
        <w:rPr>
          <w:rFonts w:ascii="Times New Roman" w:hAnsi="Times New Roman"/>
        </w:rPr>
        <w:noBreakHyphen/>
        <w:t>date information is more readily available from</w:t>
      </w:r>
      <w:r w:rsidR="00CB4406">
        <w:rPr>
          <w:rFonts w:ascii="Times New Roman" w:hAnsi="Times New Roman"/>
        </w:rPr>
        <w:t xml:space="preserve"> significant branches, i.e.,</w:t>
      </w:r>
      <w:r>
        <w:rPr>
          <w:rFonts w:ascii="Times New Roman" w:hAnsi="Times New Roman"/>
        </w:rPr>
        <w:t xml:space="preserve"> those foreign branches that present the greatest potential risk. </w:t>
      </w:r>
      <w:r w:rsidR="00BA0A3D">
        <w:rPr>
          <w:rFonts w:ascii="Times New Roman" w:hAnsi="Times New Roman"/>
        </w:rPr>
        <w:t xml:space="preserve"> </w:t>
      </w:r>
      <w:r>
        <w:rPr>
          <w:rFonts w:ascii="Times New Roman" w:hAnsi="Times New Roman"/>
          <w:szCs w:val="24"/>
        </w:rPr>
        <w:t xml:space="preserve">The reported information has also been used to monitor potential developments that may pose risks to the overall operations of the parent </w:t>
      </w:r>
      <w:r w:rsidR="006A0452">
        <w:rPr>
          <w:rFonts w:ascii="Times New Roman" w:hAnsi="Times New Roman"/>
          <w:szCs w:val="24"/>
        </w:rPr>
        <w:t>institution</w:t>
      </w:r>
      <w:r>
        <w:rPr>
          <w:rFonts w:ascii="Times New Roman" w:hAnsi="Times New Roman"/>
          <w:szCs w:val="24"/>
        </w:rPr>
        <w:t xml:space="preserve">.  </w:t>
      </w:r>
      <w:r>
        <w:rPr>
          <w:rFonts w:ascii="Times New Roman" w:hAnsi="Times New Roman"/>
        </w:rPr>
        <w:t xml:space="preserve">Annual reporting by foreign branches other than “significant branches” </w:t>
      </w:r>
      <w:r w:rsidR="00CB4406">
        <w:rPr>
          <w:rFonts w:ascii="Times New Roman" w:hAnsi="Times New Roman"/>
        </w:rPr>
        <w:t>is</w:t>
      </w:r>
      <w:r>
        <w:rPr>
          <w:rFonts w:ascii="Times New Roman" w:hAnsi="Times New Roman"/>
        </w:rPr>
        <w:t xml:space="preserve"> adequate for the FDIC to monitor the current condition of and any changes in the overseas activity of the </w:t>
      </w:r>
      <w:r w:rsidR="006A0452">
        <w:rPr>
          <w:rFonts w:ascii="Times New Roman" w:hAnsi="Times New Roman"/>
        </w:rPr>
        <w:t>institutions</w:t>
      </w:r>
      <w:r>
        <w:rPr>
          <w:rFonts w:ascii="Times New Roman" w:hAnsi="Times New Roman"/>
        </w:rPr>
        <w:t xml:space="preserve"> under </w:t>
      </w:r>
      <w:r w:rsidR="005D4C94">
        <w:rPr>
          <w:rFonts w:ascii="Times New Roman" w:hAnsi="Times New Roman"/>
        </w:rPr>
        <w:t>its</w:t>
      </w:r>
      <w:r>
        <w:rPr>
          <w:rFonts w:ascii="Times New Roman" w:hAnsi="Times New Roman"/>
        </w:rPr>
        <w:t xml:space="preserve"> supervision.</w:t>
      </w:r>
      <w:r w:rsidR="00CB4406">
        <w:rPr>
          <w:rFonts w:ascii="Times New Roman" w:hAnsi="Times New Roman"/>
        </w:rPr>
        <w:t xml:space="preserve">  In this regard, t</w:t>
      </w:r>
      <w:r w:rsidR="00CB4406">
        <w:rPr>
          <w:rFonts w:ascii="Times New Roman" w:hAnsi="Times New Roman"/>
          <w:szCs w:val="24"/>
        </w:rPr>
        <w:t xml:space="preserve">he </w:t>
      </w:r>
      <w:r w:rsidR="00BA0A3D">
        <w:rPr>
          <w:rFonts w:ascii="Times New Roman" w:hAnsi="Times New Roman"/>
          <w:szCs w:val="24"/>
        </w:rPr>
        <w:t xml:space="preserve">five </w:t>
      </w:r>
      <w:r w:rsidR="00CB4406">
        <w:rPr>
          <w:rFonts w:ascii="Times New Roman" w:hAnsi="Times New Roman"/>
          <w:szCs w:val="24"/>
        </w:rPr>
        <w:t xml:space="preserve">items collected annually from branches with </w:t>
      </w:r>
      <w:r w:rsidR="00CB4406">
        <w:rPr>
          <w:rFonts w:ascii="Times New Roman" w:hAnsi="Times New Roman"/>
          <w:snapToGrid/>
          <w:color w:val="000000"/>
          <w:szCs w:val="24"/>
        </w:rPr>
        <w:t xml:space="preserve">total assets of between $50 million and $250 million </w:t>
      </w:r>
      <w:r w:rsidR="00CB4406">
        <w:rPr>
          <w:rFonts w:ascii="Times New Roman" w:hAnsi="Times New Roman"/>
          <w:szCs w:val="24"/>
        </w:rPr>
        <w:t xml:space="preserve">on the Abbreviated Foreign Branch Report of Condition are considered the minimum information needed to serve as indicators of higher business volume, risk, and complexity in small-sized foreign branches.  </w:t>
      </w:r>
    </w:p>
    <w:p w:rsidR="00B46E04" w14:paraId="144A9F9A" w14:textId="77777777">
      <w:pPr>
        <w:widowControl/>
        <w:tabs>
          <w:tab w:val="left" w:pos="360"/>
        </w:tabs>
        <w:ind w:left="720" w:hanging="720"/>
        <w:rPr>
          <w:rFonts w:ascii="Times New Roman" w:hAnsi="Times New Roman"/>
        </w:rPr>
      </w:pPr>
    </w:p>
    <w:p w:rsidR="00B46E04" w14:paraId="0DD9A2B4" w14:textId="77777777">
      <w:pPr>
        <w:pStyle w:val="Heading1"/>
      </w:pPr>
      <w:r>
        <w:rPr>
          <w:u w:val="none"/>
        </w:rPr>
        <w:tab/>
        <w:t>7.</w:t>
      </w:r>
      <w:r>
        <w:rPr>
          <w:u w:val="none"/>
        </w:rPr>
        <w:tab/>
      </w:r>
      <w:r w:rsidRPr="00647F97" w:rsidR="00FE5CEF">
        <w:rPr>
          <w:rFonts w:ascii="Times New Roman TUR" w:hAnsi="Times New Roman TUR" w:cs="Times New Roman TUR"/>
          <w:bCs/>
        </w:rPr>
        <w:t>Special circumstances necessitating collection inconsistent with 5 CFR Part 1320</w:t>
      </w:r>
      <w:r w:rsidR="00FE5CEF">
        <w:rPr>
          <w:rFonts w:ascii="Times New Roman TUR" w:hAnsi="Times New Roman TUR" w:cs="Times New Roman TUR"/>
          <w:bCs/>
        </w:rPr>
        <w:t>.5(d)(2)</w:t>
      </w:r>
      <w:r w:rsidRPr="00647F97" w:rsidR="00FE5CEF">
        <w:rPr>
          <w:rFonts w:ascii="Times New Roman TUR" w:hAnsi="Times New Roman TUR" w:cs="Times New Roman TUR"/>
          <w:bCs/>
        </w:rPr>
        <w:t>:</w:t>
      </w:r>
    </w:p>
    <w:p w:rsidR="00B46E04" w14:paraId="71437900" w14:textId="77777777">
      <w:pPr>
        <w:widowControl/>
        <w:tabs>
          <w:tab w:val="left" w:pos="360"/>
        </w:tabs>
        <w:ind w:left="720" w:hanging="720"/>
        <w:rPr>
          <w:rFonts w:ascii="Times New Roman" w:hAnsi="Times New Roman"/>
        </w:rPr>
      </w:pPr>
    </w:p>
    <w:p w:rsidR="00B46E04" w14:paraId="4485FC3F"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Pr="0078042F" w:rsidR="00FE5CEF">
        <w:rPr>
          <w:rFonts w:ascii="Times New Roman TUR" w:hAnsi="Times New Roman TUR" w:cs="Times New Roman TUR"/>
        </w:rPr>
        <w:t>There are no special circumstances. This information collection is conducted in accordance with the guidelines in 5 CFR 1320.5(d)(2)</w:t>
      </w:r>
      <w:r w:rsidR="00FE5CEF">
        <w:rPr>
          <w:rFonts w:ascii="Times New Roman TUR" w:hAnsi="Times New Roman TUR" w:cs="Times New Roman TUR"/>
        </w:rPr>
        <w:t>.</w:t>
      </w:r>
    </w:p>
    <w:p w:rsidR="00B46E04" w14:paraId="632AD17B" w14:textId="77777777">
      <w:pPr>
        <w:widowControl/>
        <w:tabs>
          <w:tab w:val="left" w:pos="360"/>
        </w:tabs>
        <w:ind w:left="720" w:hanging="720"/>
        <w:rPr>
          <w:rFonts w:ascii="Times New Roman" w:hAnsi="Times New Roman"/>
        </w:rPr>
      </w:pPr>
    </w:p>
    <w:p w:rsidR="00B46E04" w14:paraId="7CB3384B" w14:textId="77777777">
      <w:pPr>
        <w:widowControl/>
        <w:tabs>
          <w:tab w:val="left" w:pos="360"/>
        </w:tabs>
        <w:ind w:left="720" w:hanging="720"/>
        <w:rPr>
          <w:rFonts w:ascii="Times New Roman" w:hAnsi="Times New Roman"/>
        </w:rPr>
      </w:pPr>
      <w:r>
        <w:rPr>
          <w:rFonts w:ascii="Times New Roman" w:hAnsi="Times New Roman"/>
        </w:rPr>
        <w:tab/>
        <w:t>8.</w:t>
      </w:r>
      <w:r>
        <w:rPr>
          <w:rFonts w:ascii="Times New Roman" w:hAnsi="Times New Roman"/>
        </w:rPr>
        <w:tab/>
      </w:r>
      <w:r w:rsidRPr="00FE5CEF" w:rsidR="00FE5CEF">
        <w:rPr>
          <w:rFonts w:ascii="Times New Roman TUR" w:hAnsi="Times New Roman TUR" w:cs="Times New Roman TUR"/>
          <w:bCs/>
          <w:u w:val="single"/>
        </w:rPr>
        <w:t xml:space="preserve"> </w:t>
      </w:r>
      <w:r w:rsidRPr="00647F97" w:rsidR="00FE5CEF">
        <w:rPr>
          <w:rFonts w:ascii="Times New Roman TUR" w:hAnsi="Times New Roman TUR" w:cs="Times New Roman TUR"/>
          <w:bCs/>
          <w:u w:val="single"/>
        </w:rPr>
        <w:t>Efforts to consult with persons outside the agency:</w:t>
      </w:r>
    </w:p>
    <w:p w:rsidR="00B46E04" w14:paraId="02838292" w14:textId="77777777">
      <w:pPr>
        <w:widowControl/>
        <w:tabs>
          <w:tab w:val="left" w:pos="360"/>
        </w:tabs>
        <w:ind w:left="720" w:hanging="720"/>
        <w:rPr>
          <w:rFonts w:ascii="Times New Roman" w:hAnsi="Times New Roman"/>
        </w:rPr>
      </w:pPr>
    </w:p>
    <w:p w:rsidR="003A09F0" w:rsidP="00553F19" w14:paraId="0A34CF1E" w14:textId="77777777">
      <w:pPr>
        <w:widowControl/>
        <w:tabs>
          <w:tab w:val="left" w:pos="360"/>
        </w:tabs>
        <w:spacing w:after="240"/>
        <w:ind w:left="720" w:hanging="720"/>
        <w:rPr>
          <w:rFonts w:ascii="Times New Roman" w:hAnsi="Times New Roman"/>
        </w:rPr>
      </w:pPr>
      <w:r>
        <w:rPr>
          <w:rFonts w:ascii="Times New Roman" w:hAnsi="Times New Roman"/>
        </w:rPr>
        <w:tab/>
      </w:r>
      <w:r>
        <w:rPr>
          <w:rFonts w:ascii="Times New Roman" w:hAnsi="Times New Roman"/>
        </w:rPr>
        <w:tab/>
      </w:r>
      <w:r w:rsidR="00553F19">
        <w:rPr>
          <w:rFonts w:ascii="Times New Roman" w:hAnsi="Times New Roman"/>
        </w:rPr>
        <w:t>On January 19, 2024</w:t>
      </w:r>
      <w:r w:rsidRPr="00E455FC" w:rsidR="00E455FC">
        <w:rPr>
          <w:rFonts w:ascii="Times New Roman" w:hAnsi="Times New Roman"/>
        </w:rPr>
        <w:t>, the FDIC, the Federal Reserve Board, and the OCC</w:t>
      </w:r>
      <w:r w:rsidR="00553F19">
        <w:rPr>
          <w:rFonts w:ascii="Times New Roman" w:hAnsi="Times New Roman"/>
        </w:rPr>
        <w:t xml:space="preserve">, </w:t>
      </w:r>
      <w:r w:rsidRPr="00E455FC" w:rsidR="00553F19">
        <w:rPr>
          <w:rFonts w:ascii="Times New Roman" w:hAnsi="Times New Roman"/>
        </w:rPr>
        <w:t>jointly</w:t>
      </w:r>
      <w:r w:rsidRPr="00E455FC" w:rsidR="00E455FC">
        <w:rPr>
          <w:rFonts w:ascii="Times New Roman" w:hAnsi="Times New Roman"/>
        </w:rPr>
        <w:t xml:space="preserve"> published an initial Paperwork Reduction Act </w:t>
      </w:r>
      <w:r w:rsidRPr="00E455FC" w:rsidR="00E455FC">
        <w:rPr>
          <w:rFonts w:ascii="Times New Roman" w:hAnsi="Times New Roman"/>
          <w:u w:val="single"/>
        </w:rPr>
        <w:t>Federal Register</w:t>
      </w:r>
      <w:r w:rsidRPr="00E455FC" w:rsidR="00E455FC">
        <w:rPr>
          <w:rFonts w:ascii="Times New Roman" w:hAnsi="Times New Roman"/>
        </w:rPr>
        <w:t xml:space="preserve"> notice proposing to extend, with revision, the Foreign Branch Report of Conditi</w:t>
      </w:r>
      <w:r w:rsidR="00553F19">
        <w:rPr>
          <w:rFonts w:ascii="Times New Roman" w:hAnsi="Times New Roman"/>
        </w:rPr>
        <w:t>on and certain other reports (89 FR 3708</w:t>
      </w:r>
      <w:r w:rsidRPr="00E455FC" w:rsidR="00E455FC">
        <w:rPr>
          <w:rFonts w:ascii="Times New Roman" w:hAnsi="Times New Roman"/>
        </w:rPr>
        <w:t xml:space="preserve">). The comment period for the proposal ended on </w:t>
      </w:r>
      <w:r w:rsidR="00553F19">
        <w:rPr>
          <w:rFonts w:ascii="Times New Roman" w:hAnsi="Times New Roman"/>
        </w:rPr>
        <w:t>March 19, 2024</w:t>
      </w:r>
      <w:r w:rsidR="005D76D4">
        <w:rPr>
          <w:rFonts w:ascii="Times New Roman" w:hAnsi="Times New Roman"/>
        </w:rPr>
        <w:t>.</w:t>
      </w:r>
    </w:p>
    <w:p w:rsidR="00553F19" w:rsidRPr="00553F19" w:rsidP="00553F19" w14:paraId="26FA6E98" w14:textId="77777777">
      <w:pPr>
        <w:widowControl/>
        <w:tabs>
          <w:tab w:val="left" w:pos="360"/>
        </w:tabs>
        <w:spacing w:after="240"/>
        <w:ind w:left="720" w:hanging="720"/>
        <w:rPr>
          <w:rFonts w:ascii="Times New Roman" w:hAnsi="Times New Roman"/>
        </w:rPr>
      </w:pPr>
      <w:r>
        <w:rPr>
          <w:rFonts w:ascii="Times New Roman" w:hAnsi="Times New Roman"/>
        </w:rPr>
        <w:tab/>
      </w:r>
      <w:r>
        <w:rPr>
          <w:rFonts w:ascii="Times New Roman" w:hAnsi="Times New Roman"/>
        </w:rPr>
        <w:tab/>
      </w:r>
      <w:r w:rsidRPr="00553F19">
        <w:rPr>
          <w:rFonts w:ascii="Times New Roman" w:hAnsi="Times New Roman"/>
        </w:rPr>
        <w:t xml:space="preserve">The agencies proposed revisions to the FFIEC 030 that would incorporate line items from the FR 2502q. </w:t>
      </w:r>
      <w:r w:rsidR="005D76D4">
        <w:rPr>
          <w:rFonts w:ascii="Times New Roman" w:hAnsi="Times New Roman"/>
        </w:rPr>
        <w:t>The agencies received a comment letter from one trade association and the Board and OCC received a second comment letter from another banking association.</w:t>
      </w:r>
      <w:r w:rsidRPr="00553F19">
        <w:rPr>
          <w:rFonts w:ascii="Times New Roman" w:hAnsi="Times New Roman"/>
        </w:rPr>
        <w:t xml:space="preserve"> These comments were generally supportive of the proposed new line items. After reviewing the comments, the agencies are moving forward with the revisions to the FFIEC 030, as proposed. The specific comments, the agencies’ responses, and pertinent modifications follow.</w:t>
      </w:r>
    </w:p>
    <w:p w:rsidR="00553F19" w:rsidRPr="00553F19" w:rsidP="00553F19" w14:paraId="70718CA1" w14:textId="77777777">
      <w:pPr>
        <w:widowControl/>
        <w:tabs>
          <w:tab w:val="left" w:pos="360"/>
        </w:tabs>
        <w:spacing w:after="240"/>
        <w:ind w:left="720" w:hanging="720"/>
        <w:rPr>
          <w:rFonts w:ascii="Times New Roman" w:hAnsi="Times New Roman"/>
        </w:rPr>
      </w:pPr>
      <w:r>
        <w:rPr>
          <w:rFonts w:ascii="Times New Roman" w:hAnsi="Times New Roman"/>
        </w:rPr>
        <w:tab/>
      </w:r>
      <w:r>
        <w:rPr>
          <w:rFonts w:ascii="Times New Roman" w:hAnsi="Times New Roman"/>
        </w:rPr>
        <w:tab/>
      </w:r>
      <w:r w:rsidRPr="00553F19">
        <w:rPr>
          <w:rFonts w:ascii="Times New Roman" w:hAnsi="Times New Roman"/>
        </w:rPr>
        <w:t xml:space="preserve">First, one commenter urged the agencies to limit the scope of respondents subject to the proposed Schedule RAL-A to those that meet the current criteria to file the FR 2502q. The commenter stated that there are significant scoping differences between the FR </w:t>
      </w:r>
      <w:r w:rsidRPr="00553F19">
        <w:rPr>
          <w:rFonts w:ascii="Times New Roman" w:hAnsi="Times New Roman"/>
        </w:rPr>
        <w:t xml:space="preserve">2502q and the FFIEC 030. The FR 2502q reporting is limited to branches with total assets of $2 billion or more and that are located in the United Kingdom (U.K.) or the Caribbean. The FFIEC 030 quarterly reporting requirements, however, scope in any branch with either total assets of at least $2 billion or commitments to purchase foreign currencies and U.S. dollar exchange (a purchase of U.S. dollar exchange is equivalent to a sale of foreign currency) of at least $5 billion as of the end of a calendar quarter. The commenter stated that the FFIEC 030’s reporting scope, without the geographic limitation to branches in the U.K. and the Caribbean, results in a much greater reporting burden on firms. </w:t>
      </w:r>
    </w:p>
    <w:p w:rsidR="00553F19" w:rsidRPr="00553F19" w:rsidP="00553F19" w14:paraId="4F2D021F" w14:textId="77777777">
      <w:pPr>
        <w:widowControl/>
        <w:tabs>
          <w:tab w:val="left" w:pos="360"/>
        </w:tabs>
        <w:spacing w:after="240"/>
        <w:ind w:left="720" w:hanging="720"/>
        <w:rPr>
          <w:rFonts w:ascii="Times New Roman" w:hAnsi="Times New Roman"/>
        </w:rPr>
      </w:pPr>
      <w:r>
        <w:rPr>
          <w:rFonts w:ascii="Times New Roman" w:hAnsi="Times New Roman"/>
        </w:rPr>
        <w:tab/>
      </w:r>
      <w:r>
        <w:rPr>
          <w:rFonts w:ascii="Times New Roman" w:hAnsi="Times New Roman"/>
        </w:rPr>
        <w:tab/>
      </w:r>
      <w:r w:rsidRPr="00553F19">
        <w:rPr>
          <w:rFonts w:ascii="Times New Roman" w:hAnsi="Times New Roman"/>
        </w:rPr>
        <w:t>Furthermore, this commenter also stated that the proposed changes and increased granularity of the items reported would necessitate both the development of new systems, as well as modifications to existing ones. This reporting burden would be greatest on respondents that have newly scoped-in entities that would be reporting this information for the first time. In light of this, the commenter requested that, if the scope of respondents on the proposed FFIEC 030 Schedule RAL-A is not limited to those that currently meet the criteria to file the FR 2502q, branches would need at least four quarters from publication of the final forms and instructions to implement the revisions. However, if the scope were limited to branches that meet the current criteria to file the FR 2502q, branches would only need two additional quarters to implement the proposal.</w:t>
      </w:r>
    </w:p>
    <w:p w:rsidR="00553F19" w:rsidRPr="00553F19" w:rsidP="00553F19" w14:paraId="0CB74AA3" w14:textId="77777777">
      <w:pPr>
        <w:widowControl/>
        <w:tabs>
          <w:tab w:val="left" w:pos="360"/>
        </w:tabs>
        <w:spacing w:after="240"/>
        <w:ind w:left="720" w:hanging="720"/>
        <w:rPr>
          <w:rFonts w:ascii="Times New Roman" w:hAnsi="Times New Roman"/>
        </w:rPr>
      </w:pPr>
      <w:r>
        <w:rPr>
          <w:rFonts w:ascii="Times New Roman" w:hAnsi="Times New Roman"/>
        </w:rPr>
        <w:tab/>
      </w:r>
      <w:r>
        <w:rPr>
          <w:rFonts w:ascii="Times New Roman" w:hAnsi="Times New Roman"/>
        </w:rPr>
        <w:tab/>
      </w:r>
      <w:r w:rsidRPr="00553F19">
        <w:rPr>
          <w:rFonts w:ascii="Times New Roman" w:hAnsi="Times New Roman"/>
        </w:rPr>
        <w:t xml:space="preserve">The agencies acknowledge that branches may need additional time to develop their reporting systems to implement these changes. As such, the agencies will delay the implementation date based on the branch meeting the criteria to file the FR 2502q. For branches that meet the current criteria to file the FR 2502q, the effective date for these new items will be as of March 31, 2025. </w:t>
      </w:r>
    </w:p>
    <w:p w:rsidR="00553F19" w:rsidRPr="00553F19" w:rsidP="00553F19" w14:paraId="6EB70DDA" w14:textId="77777777">
      <w:pPr>
        <w:widowControl/>
        <w:tabs>
          <w:tab w:val="left" w:pos="360"/>
        </w:tabs>
        <w:spacing w:after="240"/>
        <w:ind w:left="720" w:hanging="720"/>
        <w:rPr>
          <w:rFonts w:ascii="Times New Roman" w:hAnsi="Times New Roman"/>
        </w:rPr>
      </w:pPr>
      <w:r>
        <w:rPr>
          <w:rFonts w:ascii="Times New Roman" w:hAnsi="Times New Roman"/>
        </w:rPr>
        <w:tab/>
      </w:r>
      <w:r>
        <w:rPr>
          <w:rFonts w:ascii="Times New Roman" w:hAnsi="Times New Roman"/>
        </w:rPr>
        <w:tab/>
      </w:r>
      <w:r w:rsidRPr="00553F19">
        <w:rPr>
          <w:rFonts w:ascii="Times New Roman" w:hAnsi="Times New Roman"/>
        </w:rPr>
        <w:t xml:space="preserve">For branches that do not meet the current criteria to file the FR 2502q, but files the FFIEC 030 on a quarterly basis, the effective date for these new items will be as of December 31, 2025. Also, effective as of December 31, 2025, all quarterly FFIEC 030 filers would be subject to reporting the proposed new items without geographic limitation to the U.K. or Caribbean. </w:t>
      </w:r>
      <w:bookmarkStart w:id="0" w:name="_Hlk172636444"/>
      <w:r w:rsidRPr="00553F19">
        <w:rPr>
          <w:rFonts w:ascii="Times New Roman" w:hAnsi="Times New Roman"/>
        </w:rPr>
        <w:t>From March 31, 2025, through September 31, 2025, the FFIEC 030 instructions would include guidance stating the branches located in the U.K. or Caribbean, (that are not located in a U.S. military facility), and with total assets of at least $2 billion, as of the end of a calendar quarter, must complete Schedule RAL-A. For the December 31, 2025, report the date, the instructions would be updated to include guidance stating branches required to report quarterly on the FFIEC 030 must complete Schedule RAL-A without any geographic limitation.</w:t>
      </w:r>
    </w:p>
    <w:bookmarkEnd w:id="0"/>
    <w:p w:rsidR="00B46E04" w:rsidP="005D76D4" w14:paraId="7F9B5EB3" w14:textId="77777777">
      <w:pPr>
        <w:widowControl/>
        <w:tabs>
          <w:tab w:val="left" w:pos="360"/>
        </w:tabs>
        <w:spacing w:after="240"/>
        <w:ind w:left="720" w:hanging="720"/>
        <w:rPr>
          <w:rFonts w:ascii="Times New Roman" w:hAnsi="Times New Roman"/>
        </w:rPr>
      </w:pPr>
      <w:r>
        <w:rPr>
          <w:rFonts w:ascii="Times New Roman" w:hAnsi="Times New Roman"/>
        </w:rPr>
        <w:tab/>
      </w:r>
      <w:r>
        <w:rPr>
          <w:rFonts w:ascii="Times New Roman" w:hAnsi="Times New Roman"/>
        </w:rPr>
        <w:tab/>
      </w:r>
      <w:r w:rsidRPr="00553F19" w:rsidR="00553F19">
        <w:rPr>
          <w:rFonts w:ascii="Times New Roman" w:hAnsi="Times New Roman"/>
        </w:rPr>
        <w:t xml:space="preserve">Second, the commenter also requested that the agencies clarify the reporting of Schedule RAL-A, line item 5 by adding an MDRM and noting in the instructions that this line item is not an aggregate total of its sub-line items, and that these values come from two different populations. The commenter also requested that the agencies clarify whether Schedule RAL-A, line item 6 is intended to extend to all liabilities or if respondents should report only deposit liabilities. In response, the agencies are revising the report form by adding an MDRM to line item 5 on Schedule RAL-A and also clarifying in the instructions that line item 5 on Schedule RAL-A is not an aggregate total of sub-line </w:t>
      </w:r>
      <w:r w:rsidRPr="00553F19" w:rsidR="00553F19">
        <w:rPr>
          <w:rFonts w:ascii="Times New Roman" w:hAnsi="Times New Roman"/>
        </w:rPr>
        <w:t>items 5a through 5d. The agencies are also clarifying in the instructions of Scheduled RAL-A, line item 6, that it is intended to extend to all liabilities and not only to deposit liabilities.</w:t>
      </w:r>
    </w:p>
    <w:p w:rsidR="00B46E04" w14:paraId="068CF8A2" w14:textId="77777777">
      <w:pPr>
        <w:widowControl/>
        <w:tabs>
          <w:tab w:val="left" w:pos="360"/>
        </w:tabs>
        <w:ind w:left="720" w:hanging="720"/>
        <w:rPr>
          <w:rFonts w:ascii="Times New Roman" w:hAnsi="Times New Roman"/>
        </w:rPr>
      </w:pPr>
      <w:r>
        <w:rPr>
          <w:rFonts w:ascii="Times New Roman" w:hAnsi="Times New Roman"/>
        </w:rPr>
        <w:tab/>
        <w:t>9.</w:t>
      </w:r>
      <w:r>
        <w:rPr>
          <w:rFonts w:ascii="Times New Roman" w:hAnsi="Times New Roman"/>
        </w:rPr>
        <w:tab/>
      </w:r>
      <w:r>
        <w:rPr>
          <w:rFonts w:ascii="Times New Roman" w:hAnsi="Times New Roman"/>
          <w:u w:val="single"/>
        </w:rPr>
        <w:t>Payment of Gift to Respondents</w:t>
      </w:r>
    </w:p>
    <w:p w:rsidR="00B46E04" w14:paraId="692B1F36" w14:textId="77777777">
      <w:pPr>
        <w:widowControl/>
        <w:tabs>
          <w:tab w:val="left" w:pos="360"/>
        </w:tabs>
        <w:ind w:left="720" w:hanging="720"/>
        <w:rPr>
          <w:rFonts w:ascii="Times New Roman" w:hAnsi="Times New Roman"/>
        </w:rPr>
      </w:pPr>
    </w:p>
    <w:p w:rsidR="00B46E04" w14:paraId="36595BF2"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No payment or gift will be provided to respondents.</w:t>
      </w:r>
    </w:p>
    <w:p w:rsidR="00B46E04" w14:paraId="1D291A06" w14:textId="77777777">
      <w:pPr>
        <w:widowControl/>
        <w:tabs>
          <w:tab w:val="left" w:pos="360"/>
        </w:tabs>
        <w:ind w:left="720" w:hanging="720"/>
        <w:rPr>
          <w:rFonts w:ascii="Times New Roman" w:hAnsi="Times New Roman"/>
        </w:rPr>
      </w:pPr>
    </w:p>
    <w:p w:rsidR="00B46E04" w14:paraId="4CD81A1E" w14:textId="77777777">
      <w:pPr>
        <w:widowControl/>
        <w:tabs>
          <w:tab w:val="left" w:pos="360"/>
        </w:tabs>
        <w:ind w:left="720" w:hanging="720"/>
        <w:rPr>
          <w:rFonts w:ascii="Times New Roman" w:hAnsi="Times New Roman"/>
        </w:rPr>
      </w:pPr>
      <w:r>
        <w:rPr>
          <w:rFonts w:ascii="Times New Roman" w:hAnsi="Times New Roman"/>
        </w:rPr>
        <w:tab/>
        <w:t>10.</w:t>
      </w:r>
      <w:r>
        <w:rPr>
          <w:rFonts w:ascii="Times New Roman" w:hAnsi="Times New Roman"/>
        </w:rPr>
        <w:tab/>
      </w:r>
      <w:r w:rsidRPr="00647F97" w:rsidR="00FE5CEF">
        <w:rPr>
          <w:rFonts w:ascii="Times New Roman TUR" w:hAnsi="Times New Roman TUR" w:cs="Times New Roman TUR"/>
          <w:bCs/>
          <w:u w:val="single"/>
        </w:rPr>
        <w:t>Any assurance of confidentiality:</w:t>
      </w:r>
    </w:p>
    <w:p w:rsidR="00B46E04" w14:paraId="196EC4BF" w14:textId="77777777">
      <w:pPr>
        <w:widowControl/>
        <w:tabs>
          <w:tab w:val="left" w:pos="360"/>
        </w:tabs>
        <w:ind w:left="720" w:hanging="720"/>
        <w:rPr>
          <w:rFonts w:ascii="Times New Roman" w:hAnsi="Times New Roman"/>
        </w:rPr>
      </w:pPr>
    </w:p>
    <w:p w:rsidR="00B46E04" w14:paraId="497E90AE"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00E17948">
        <w:rPr>
          <w:rFonts w:ascii="Times New Roman" w:hAnsi="Times New Roman"/>
        </w:rPr>
        <w:t>Both versions of t</w:t>
      </w:r>
      <w:r>
        <w:rPr>
          <w:rFonts w:ascii="Times New Roman" w:hAnsi="Times New Roman"/>
        </w:rPr>
        <w:t xml:space="preserve">he Foreign Branch Report of Condition collected by the FRS on behalf of the FDIC </w:t>
      </w:r>
      <w:r w:rsidR="00E17948">
        <w:rPr>
          <w:rFonts w:ascii="Times New Roman" w:hAnsi="Times New Roman"/>
        </w:rPr>
        <w:t>are</w:t>
      </w:r>
      <w:r>
        <w:rPr>
          <w:rFonts w:ascii="Times New Roman" w:hAnsi="Times New Roman"/>
        </w:rPr>
        <w:t xml:space="preserve"> regarded as confidential as a matter of agency policy </w:t>
      </w:r>
      <w:r w:rsidR="00CE647B">
        <w:rPr>
          <w:rFonts w:ascii="Times New Roman" w:hAnsi="Times New Roman"/>
        </w:rPr>
        <w:t xml:space="preserve">pursuant to 5 U.S.C. 552(b)(8) </w:t>
      </w:r>
      <w:r>
        <w:rPr>
          <w:rFonts w:ascii="Times New Roman" w:hAnsi="Times New Roman"/>
        </w:rPr>
        <w:t>and respondents have been so advised.  Should individual branch data be publicly released in the future, banks would be notified.</w:t>
      </w:r>
    </w:p>
    <w:p w:rsidR="00B46E04" w14:paraId="17812D05" w14:textId="77777777">
      <w:pPr>
        <w:pStyle w:val="Footer"/>
        <w:widowControl/>
        <w:tabs>
          <w:tab w:val="left" w:pos="360"/>
          <w:tab w:val="clear" w:pos="4320"/>
          <w:tab w:val="clear" w:pos="8640"/>
        </w:tabs>
        <w:ind w:left="720" w:hanging="720"/>
        <w:rPr>
          <w:rFonts w:ascii="Times New Roman" w:hAnsi="Times New Roman"/>
        </w:rPr>
      </w:pPr>
    </w:p>
    <w:p w:rsidR="00B46E04" w14:paraId="51A8C912" w14:textId="77777777">
      <w:pPr>
        <w:widowControl/>
        <w:tabs>
          <w:tab w:val="left" w:pos="360"/>
        </w:tabs>
        <w:ind w:left="720" w:hanging="720"/>
        <w:rPr>
          <w:rFonts w:ascii="Times New Roman" w:hAnsi="Times New Roman"/>
        </w:rPr>
      </w:pPr>
      <w:r>
        <w:rPr>
          <w:rFonts w:ascii="Times New Roman" w:hAnsi="Times New Roman"/>
        </w:rPr>
        <w:tab/>
        <w:t>11.</w:t>
      </w:r>
      <w:r>
        <w:rPr>
          <w:rFonts w:ascii="Times New Roman" w:hAnsi="Times New Roman"/>
        </w:rPr>
        <w:tab/>
      </w:r>
      <w:r w:rsidRPr="00647F97" w:rsidR="00FE5CEF">
        <w:rPr>
          <w:rFonts w:ascii="Times New Roman TUR" w:hAnsi="Times New Roman TUR" w:cs="Times New Roman TUR"/>
          <w:bCs/>
          <w:u w:val="single"/>
        </w:rPr>
        <w:t>Justification for questions of a sensitive nature:</w:t>
      </w:r>
    </w:p>
    <w:p w:rsidR="00B46E04" w14:paraId="5336907A" w14:textId="77777777">
      <w:pPr>
        <w:widowControl/>
        <w:tabs>
          <w:tab w:val="left" w:pos="360"/>
        </w:tabs>
        <w:ind w:left="720" w:hanging="720"/>
        <w:rPr>
          <w:rFonts w:ascii="Times New Roman" w:hAnsi="Times New Roman"/>
        </w:rPr>
      </w:pPr>
    </w:p>
    <w:p w:rsidR="00B46E04" w14:paraId="6F518976"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00E17948">
        <w:rPr>
          <w:rFonts w:ascii="Times New Roman" w:hAnsi="Times New Roman"/>
        </w:rPr>
        <w:t>Both versions of t</w:t>
      </w:r>
      <w:r>
        <w:rPr>
          <w:rFonts w:ascii="Times New Roman" w:hAnsi="Times New Roman"/>
        </w:rPr>
        <w:t>he Foreign Branch Report of Condition contain no questions of a sensitive nature.</w:t>
      </w:r>
    </w:p>
    <w:p w:rsidR="00B46E04" w14:paraId="26135859" w14:textId="77777777">
      <w:pPr>
        <w:widowControl/>
        <w:tabs>
          <w:tab w:val="left" w:pos="360"/>
        </w:tabs>
        <w:ind w:left="720" w:hanging="720"/>
        <w:rPr>
          <w:rFonts w:ascii="Times New Roman" w:hAnsi="Times New Roman"/>
        </w:rPr>
      </w:pPr>
    </w:p>
    <w:p w:rsidR="00B46E04" w14:paraId="4F311823" w14:textId="77777777">
      <w:pPr>
        <w:widowControl/>
        <w:tabs>
          <w:tab w:val="left" w:pos="360"/>
        </w:tabs>
        <w:ind w:left="720" w:hanging="720"/>
        <w:rPr>
          <w:rFonts w:ascii="Times New Roman" w:hAnsi="Times New Roman"/>
        </w:rPr>
      </w:pPr>
      <w:r>
        <w:rPr>
          <w:rFonts w:ascii="Times New Roman" w:hAnsi="Times New Roman"/>
        </w:rPr>
        <w:tab/>
        <w:t>12.</w:t>
      </w:r>
      <w:r>
        <w:rPr>
          <w:rFonts w:ascii="Times New Roman" w:hAnsi="Times New Roman"/>
        </w:rPr>
        <w:tab/>
      </w:r>
      <w:r w:rsidRPr="009E4FE6" w:rsidR="00FE5CEF">
        <w:rPr>
          <w:rFonts w:ascii="Times New Roman" w:hAnsi="Times New Roman"/>
          <w:u w:val="single"/>
        </w:rPr>
        <w:t xml:space="preserve">Estimate of </w:t>
      </w:r>
      <w:r w:rsidR="00FE5CEF">
        <w:rPr>
          <w:rFonts w:ascii="Times New Roman" w:hAnsi="Times New Roman"/>
          <w:u w:val="single"/>
        </w:rPr>
        <w:t>hour burden including annualized hourly c</w:t>
      </w:r>
      <w:r w:rsidRPr="009E4FE6" w:rsidR="00FE5CEF">
        <w:rPr>
          <w:rFonts w:ascii="Times New Roman" w:hAnsi="Times New Roman"/>
          <w:u w:val="single"/>
        </w:rPr>
        <w:t>osts:</w:t>
      </w:r>
    </w:p>
    <w:p w:rsidR="00B46E04" w14:paraId="2977CD55" w14:textId="77777777">
      <w:pPr>
        <w:widowControl/>
        <w:tabs>
          <w:tab w:val="left" w:pos="-240"/>
          <w:tab w:val="left" w:pos="360"/>
          <w:tab w:val="left" w:pos="480"/>
          <w:tab w:val="left" w:pos="1080"/>
          <w:tab w:val="left" w:pos="1680"/>
          <w:tab w:val="left" w:pos="2280"/>
          <w:tab w:val="left" w:pos="2880"/>
        </w:tabs>
        <w:ind w:hanging="720"/>
        <w:rPr>
          <w:rFonts w:ascii="Times New Roman" w:hAnsi="Times New Roman"/>
        </w:rPr>
      </w:pPr>
    </w:p>
    <w:p w:rsidR="00E455FC" w:rsidP="00E455FC" w14:paraId="740D0ED1" w14:textId="77777777">
      <w:pPr>
        <w:widowControl/>
        <w:tabs>
          <w:tab w:val="left" w:pos="360"/>
          <w:tab w:val="left" w:pos="1080"/>
          <w:tab w:val="right" w:pos="6120"/>
        </w:tabs>
        <w:ind w:left="720" w:hanging="720"/>
        <w:rPr>
          <w:rFonts w:ascii="Times New Roman" w:hAnsi="Times New Roman"/>
        </w:rPr>
      </w:pPr>
      <w:r>
        <w:rPr>
          <w:rFonts w:ascii="Times New Roman" w:hAnsi="Times New Roman"/>
        </w:rPr>
        <w:tab/>
      </w:r>
      <w:r>
        <w:rPr>
          <w:rFonts w:ascii="Times New Roman" w:hAnsi="Times New Roman"/>
        </w:rPr>
        <w:tab/>
      </w:r>
    </w:p>
    <w:tbl>
      <w:tblPr>
        <w:tblStyle w:val="TableGrid"/>
        <w:tblW w:w="0" w:type="auto"/>
        <w:tblLook w:val="04A0"/>
      </w:tblPr>
      <w:tblGrid>
        <w:gridCol w:w="2434"/>
        <w:gridCol w:w="1045"/>
        <w:gridCol w:w="1391"/>
        <w:gridCol w:w="1674"/>
        <w:gridCol w:w="1428"/>
        <w:gridCol w:w="1378"/>
      </w:tblGrid>
      <w:tr w14:paraId="46ECAA4F" w14:textId="77777777" w:rsidTr="00E274B6">
        <w:tblPrEx>
          <w:tblW w:w="0" w:type="auto"/>
          <w:tblLook w:val="04A0"/>
        </w:tblPrEx>
        <w:tc>
          <w:tcPr>
            <w:tcW w:w="2434" w:type="dxa"/>
            <w:vAlign w:val="center"/>
          </w:tcPr>
          <w:p w:rsidR="00E455FC" w:rsidRPr="00E455FC" w:rsidP="00E455FC" w14:paraId="33FE5912" w14:textId="77777777">
            <w:pPr>
              <w:widowControl/>
              <w:jc w:val="center"/>
              <w:rPr>
                <w:rFonts w:ascii="Source Sans Pro" w:hAnsi="Source Sans Pro"/>
                <w:sz w:val="20"/>
              </w:rPr>
            </w:pPr>
            <w:r w:rsidRPr="00E455FC">
              <w:rPr>
                <w:rFonts w:ascii="Source Sans Pro" w:hAnsi="Source Sans Pro"/>
                <w:bCs/>
                <w:color w:val="000000"/>
                <w:sz w:val="20"/>
              </w:rPr>
              <w:t>Information Collection Description</w:t>
            </w:r>
          </w:p>
        </w:tc>
        <w:tc>
          <w:tcPr>
            <w:tcW w:w="1045" w:type="dxa"/>
            <w:vAlign w:val="center"/>
          </w:tcPr>
          <w:p w:rsidR="00E455FC" w:rsidRPr="00E455FC" w:rsidP="00E455FC" w14:paraId="3FABC5CE" w14:textId="77777777">
            <w:pPr>
              <w:widowControl/>
              <w:jc w:val="center"/>
              <w:rPr>
                <w:rFonts w:ascii="Source Sans Pro" w:hAnsi="Source Sans Pro"/>
                <w:b/>
                <w:sz w:val="20"/>
              </w:rPr>
            </w:pPr>
            <w:r w:rsidRPr="00E455FC">
              <w:rPr>
                <w:rFonts w:ascii="Source Sans Pro" w:hAnsi="Source Sans Pro"/>
                <w:color w:val="000000"/>
                <w:sz w:val="20"/>
              </w:rPr>
              <w:t>Type of Burden</w:t>
            </w:r>
          </w:p>
        </w:tc>
        <w:tc>
          <w:tcPr>
            <w:tcW w:w="1391" w:type="dxa"/>
            <w:vAlign w:val="center"/>
          </w:tcPr>
          <w:p w:rsidR="00E455FC" w:rsidRPr="00E455FC" w:rsidP="00E455FC" w14:paraId="3BD04781" w14:textId="77777777">
            <w:pPr>
              <w:widowControl/>
              <w:jc w:val="center"/>
              <w:rPr>
                <w:rFonts w:ascii="Source Sans Pro" w:hAnsi="Source Sans Pro"/>
                <w:b/>
                <w:sz w:val="20"/>
              </w:rPr>
            </w:pPr>
            <w:r w:rsidRPr="00E455FC">
              <w:rPr>
                <w:rFonts w:ascii="Source Sans Pro" w:hAnsi="Source Sans Pro"/>
                <w:color w:val="000000"/>
                <w:sz w:val="20"/>
              </w:rPr>
              <w:t xml:space="preserve">Estimated Number of Respondents </w:t>
            </w:r>
          </w:p>
        </w:tc>
        <w:tc>
          <w:tcPr>
            <w:tcW w:w="1674" w:type="dxa"/>
            <w:vAlign w:val="center"/>
          </w:tcPr>
          <w:p w:rsidR="00E455FC" w:rsidRPr="00E455FC" w:rsidP="00E455FC" w14:paraId="4053E745" w14:textId="77777777">
            <w:pPr>
              <w:widowControl/>
              <w:jc w:val="center"/>
              <w:rPr>
                <w:rFonts w:ascii="Source Sans Pro" w:hAnsi="Source Sans Pro"/>
                <w:b/>
                <w:sz w:val="20"/>
              </w:rPr>
            </w:pPr>
            <w:r w:rsidRPr="00E455FC">
              <w:rPr>
                <w:rFonts w:ascii="Source Sans Pro" w:hAnsi="Source Sans Pro"/>
                <w:color w:val="000000"/>
                <w:sz w:val="20"/>
              </w:rPr>
              <w:t>Estimated Number of Responses per Respondent</w:t>
            </w:r>
          </w:p>
        </w:tc>
        <w:tc>
          <w:tcPr>
            <w:tcW w:w="1428" w:type="dxa"/>
            <w:vAlign w:val="center"/>
          </w:tcPr>
          <w:p w:rsidR="00E455FC" w:rsidRPr="00E455FC" w:rsidP="00E455FC" w14:paraId="6DDC1FE0" w14:textId="77777777">
            <w:pPr>
              <w:widowControl/>
              <w:jc w:val="center"/>
              <w:rPr>
                <w:rFonts w:ascii="Source Sans Pro" w:hAnsi="Source Sans Pro"/>
                <w:b/>
                <w:sz w:val="20"/>
              </w:rPr>
            </w:pPr>
            <w:r w:rsidRPr="00E455FC">
              <w:rPr>
                <w:rFonts w:ascii="Source Sans Pro" w:hAnsi="Source Sans Pro"/>
                <w:color w:val="000000"/>
                <w:sz w:val="20"/>
              </w:rPr>
              <w:t>Estimated Time per Response (Hours)</w:t>
            </w:r>
          </w:p>
        </w:tc>
        <w:tc>
          <w:tcPr>
            <w:tcW w:w="1378" w:type="dxa"/>
            <w:vAlign w:val="center"/>
          </w:tcPr>
          <w:p w:rsidR="00E455FC" w:rsidRPr="00E455FC" w:rsidP="00E455FC" w14:paraId="30BFBE1A" w14:textId="77777777">
            <w:pPr>
              <w:widowControl/>
              <w:jc w:val="center"/>
              <w:rPr>
                <w:rFonts w:ascii="Source Sans Pro" w:hAnsi="Source Sans Pro"/>
                <w:b/>
                <w:sz w:val="20"/>
              </w:rPr>
            </w:pPr>
            <w:r w:rsidRPr="00E455FC">
              <w:rPr>
                <w:rFonts w:ascii="Source Sans Pro" w:hAnsi="Source Sans Pro"/>
                <w:color w:val="000000"/>
                <w:sz w:val="20"/>
              </w:rPr>
              <w:t>Estimated Annual Burden (Hours)</w:t>
            </w:r>
          </w:p>
        </w:tc>
      </w:tr>
      <w:tr w14:paraId="7CEEDE01" w14:textId="77777777" w:rsidTr="00E274B6">
        <w:tblPrEx>
          <w:tblW w:w="0" w:type="auto"/>
          <w:tblLook w:val="04A0"/>
        </w:tblPrEx>
        <w:tc>
          <w:tcPr>
            <w:tcW w:w="2434" w:type="dxa"/>
            <w:vAlign w:val="center"/>
          </w:tcPr>
          <w:p w:rsidR="00E455FC" w:rsidRPr="00E455FC" w:rsidP="00E455FC" w14:paraId="004E81C1" w14:textId="77777777">
            <w:pPr>
              <w:widowControl/>
              <w:rPr>
                <w:rFonts w:ascii="Source Sans Pro" w:hAnsi="Source Sans Pro"/>
                <w:color w:val="000000" w:themeColor="text1"/>
                <w:sz w:val="20"/>
              </w:rPr>
            </w:pPr>
            <w:r w:rsidRPr="00E455FC">
              <w:rPr>
                <w:rFonts w:ascii="Source Sans Pro" w:hAnsi="Source Sans Pro"/>
                <w:color w:val="000000" w:themeColor="text1"/>
                <w:sz w:val="20"/>
              </w:rPr>
              <w:t>Foreign Branch Report of Condition (FFIEC 030)(Quarterly)</w:t>
            </w:r>
          </w:p>
        </w:tc>
        <w:tc>
          <w:tcPr>
            <w:tcW w:w="1045" w:type="dxa"/>
            <w:vAlign w:val="center"/>
          </w:tcPr>
          <w:p w:rsidR="00E455FC" w:rsidRPr="00E455FC" w:rsidP="00E455FC" w14:paraId="5ED46F8D" w14:textId="77777777">
            <w:pPr>
              <w:widowControl/>
              <w:jc w:val="center"/>
              <w:rPr>
                <w:rFonts w:ascii="Source Sans Pro" w:hAnsi="Source Sans Pro"/>
                <w:color w:val="000000" w:themeColor="text1"/>
                <w:sz w:val="20"/>
              </w:rPr>
            </w:pPr>
            <w:r w:rsidRPr="00E455FC">
              <w:rPr>
                <w:rFonts w:ascii="Source Sans Pro" w:hAnsi="Source Sans Pro"/>
                <w:color w:val="000000" w:themeColor="text1"/>
                <w:sz w:val="20"/>
              </w:rPr>
              <w:t>Reporting</w:t>
            </w:r>
          </w:p>
        </w:tc>
        <w:tc>
          <w:tcPr>
            <w:tcW w:w="1391" w:type="dxa"/>
            <w:vAlign w:val="center"/>
          </w:tcPr>
          <w:p w:rsidR="00E455FC" w:rsidRPr="00E455FC" w:rsidP="00E455FC" w14:paraId="16C85509" w14:textId="77777777">
            <w:pPr>
              <w:widowControl/>
              <w:jc w:val="center"/>
              <w:rPr>
                <w:rFonts w:ascii="Source Sans Pro" w:hAnsi="Source Sans Pro"/>
                <w:color w:val="000000" w:themeColor="text1"/>
                <w:sz w:val="20"/>
              </w:rPr>
            </w:pPr>
            <w:r w:rsidRPr="00E455FC">
              <w:rPr>
                <w:rFonts w:ascii="Source Sans Pro" w:hAnsi="Source Sans Pro"/>
                <w:color w:val="000000" w:themeColor="text1"/>
                <w:sz w:val="20"/>
              </w:rPr>
              <w:t>1</w:t>
            </w:r>
          </w:p>
        </w:tc>
        <w:tc>
          <w:tcPr>
            <w:tcW w:w="1674" w:type="dxa"/>
            <w:vAlign w:val="center"/>
          </w:tcPr>
          <w:p w:rsidR="00E455FC" w:rsidRPr="00E455FC" w:rsidP="00E455FC" w14:paraId="1E72EFD8" w14:textId="77777777">
            <w:pPr>
              <w:widowControl/>
              <w:jc w:val="center"/>
              <w:rPr>
                <w:rFonts w:ascii="Source Sans Pro" w:hAnsi="Source Sans Pro"/>
                <w:color w:val="000000" w:themeColor="text1"/>
                <w:sz w:val="20"/>
              </w:rPr>
            </w:pPr>
            <w:r w:rsidRPr="00E455FC">
              <w:rPr>
                <w:rFonts w:ascii="Source Sans Pro" w:hAnsi="Source Sans Pro"/>
                <w:color w:val="000000" w:themeColor="text1"/>
                <w:sz w:val="20"/>
              </w:rPr>
              <w:t>4</w:t>
            </w:r>
          </w:p>
        </w:tc>
        <w:tc>
          <w:tcPr>
            <w:tcW w:w="1428" w:type="dxa"/>
            <w:vAlign w:val="center"/>
          </w:tcPr>
          <w:p w:rsidR="00E455FC" w:rsidRPr="00E455FC" w:rsidP="00E455FC" w14:paraId="3A680670" w14:textId="77777777">
            <w:pPr>
              <w:widowControl/>
              <w:jc w:val="center"/>
              <w:rPr>
                <w:rFonts w:ascii="Source Sans Pro" w:hAnsi="Source Sans Pro"/>
                <w:color w:val="000000" w:themeColor="text1"/>
                <w:sz w:val="20"/>
              </w:rPr>
            </w:pPr>
            <w:r>
              <w:rPr>
                <w:rFonts w:ascii="Source Sans Pro" w:hAnsi="Source Sans Pro"/>
                <w:color w:val="000000" w:themeColor="text1"/>
                <w:sz w:val="20"/>
              </w:rPr>
              <w:t>2.98</w:t>
            </w:r>
          </w:p>
        </w:tc>
        <w:tc>
          <w:tcPr>
            <w:tcW w:w="1378" w:type="dxa"/>
            <w:vAlign w:val="center"/>
          </w:tcPr>
          <w:p w:rsidR="00E455FC" w:rsidRPr="00E455FC" w:rsidP="00E455FC" w14:paraId="43CBCFC7" w14:textId="77777777">
            <w:pPr>
              <w:widowControl/>
              <w:jc w:val="center"/>
              <w:rPr>
                <w:rFonts w:ascii="Source Sans Pro" w:hAnsi="Source Sans Pro"/>
                <w:color w:val="000000" w:themeColor="text1"/>
                <w:sz w:val="20"/>
              </w:rPr>
            </w:pPr>
            <w:r>
              <w:rPr>
                <w:rFonts w:ascii="Source Sans Pro" w:hAnsi="Source Sans Pro"/>
                <w:color w:val="000000" w:themeColor="text1"/>
                <w:sz w:val="20"/>
              </w:rPr>
              <w:t>11.92</w:t>
            </w:r>
          </w:p>
        </w:tc>
      </w:tr>
      <w:tr w14:paraId="3FD201A5" w14:textId="77777777" w:rsidTr="00E274B6">
        <w:tblPrEx>
          <w:tblW w:w="0" w:type="auto"/>
          <w:tblLook w:val="04A0"/>
        </w:tblPrEx>
        <w:tc>
          <w:tcPr>
            <w:tcW w:w="2434" w:type="dxa"/>
            <w:vAlign w:val="center"/>
          </w:tcPr>
          <w:p w:rsidR="00E455FC" w:rsidRPr="00E455FC" w:rsidP="00E455FC" w14:paraId="72C7CEF6" w14:textId="77777777">
            <w:pPr>
              <w:widowControl/>
              <w:rPr>
                <w:rFonts w:ascii="Source Sans Pro" w:hAnsi="Source Sans Pro"/>
                <w:color w:val="000000" w:themeColor="text1"/>
                <w:sz w:val="20"/>
              </w:rPr>
            </w:pPr>
            <w:r w:rsidRPr="00E455FC">
              <w:rPr>
                <w:rFonts w:ascii="Source Sans Pro" w:hAnsi="Source Sans Pro"/>
                <w:color w:val="000000" w:themeColor="text1"/>
                <w:sz w:val="20"/>
              </w:rPr>
              <w:t>Foreign Branch Report of Condition (FFIEC 030S)</w:t>
            </w:r>
          </w:p>
        </w:tc>
        <w:tc>
          <w:tcPr>
            <w:tcW w:w="1045" w:type="dxa"/>
            <w:vAlign w:val="center"/>
          </w:tcPr>
          <w:p w:rsidR="00E455FC" w:rsidRPr="00E455FC" w:rsidP="00E455FC" w14:paraId="765BA448" w14:textId="77777777">
            <w:pPr>
              <w:widowControl/>
              <w:jc w:val="center"/>
              <w:rPr>
                <w:rFonts w:ascii="Source Sans Pro" w:hAnsi="Source Sans Pro"/>
                <w:color w:val="000000" w:themeColor="text1"/>
                <w:sz w:val="20"/>
              </w:rPr>
            </w:pPr>
            <w:r w:rsidRPr="00E455FC">
              <w:rPr>
                <w:rFonts w:ascii="Source Sans Pro" w:hAnsi="Source Sans Pro"/>
                <w:color w:val="000000" w:themeColor="text1"/>
                <w:sz w:val="20"/>
              </w:rPr>
              <w:t>Reporting</w:t>
            </w:r>
          </w:p>
        </w:tc>
        <w:tc>
          <w:tcPr>
            <w:tcW w:w="1391" w:type="dxa"/>
            <w:vAlign w:val="center"/>
          </w:tcPr>
          <w:p w:rsidR="00E455FC" w:rsidRPr="00E455FC" w:rsidP="00E455FC" w14:paraId="34BA542B" w14:textId="77777777">
            <w:pPr>
              <w:widowControl/>
              <w:jc w:val="center"/>
              <w:rPr>
                <w:rFonts w:ascii="Source Sans Pro" w:hAnsi="Source Sans Pro"/>
                <w:color w:val="000000" w:themeColor="text1"/>
                <w:sz w:val="20"/>
              </w:rPr>
            </w:pPr>
            <w:r w:rsidRPr="00E455FC">
              <w:rPr>
                <w:rFonts w:ascii="Source Sans Pro" w:hAnsi="Source Sans Pro"/>
                <w:color w:val="000000" w:themeColor="text1"/>
                <w:sz w:val="20"/>
              </w:rPr>
              <w:t>3</w:t>
            </w:r>
          </w:p>
        </w:tc>
        <w:tc>
          <w:tcPr>
            <w:tcW w:w="1674" w:type="dxa"/>
            <w:vAlign w:val="center"/>
          </w:tcPr>
          <w:p w:rsidR="00E455FC" w:rsidRPr="00E455FC" w:rsidP="00E455FC" w14:paraId="6B3BD2C1" w14:textId="77777777">
            <w:pPr>
              <w:widowControl/>
              <w:jc w:val="center"/>
              <w:rPr>
                <w:rFonts w:ascii="Source Sans Pro" w:hAnsi="Source Sans Pro"/>
                <w:color w:val="000000" w:themeColor="text1"/>
                <w:sz w:val="20"/>
              </w:rPr>
            </w:pPr>
            <w:r w:rsidRPr="00E455FC">
              <w:rPr>
                <w:rFonts w:ascii="Source Sans Pro" w:hAnsi="Source Sans Pro"/>
                <w:color w:val="000000" w:themeColor="text1"/>
                <w:sz w:val="20"/>
              </w:rPr>
              <w:t>1</w:t>
            </w:r>
          </w:p>
        </w:tc>
        <w:tc>
          <w:tcPr>
            <w:tcW w:w="1428" w:type="dxa"/>
            <w:vAlign w:val="center"/>
          </w:tcPr>
          <w:p w:rsidR="00E455FC" w:rsidRPr="00E455FC" w:rsidP="00E455FC" w14:paraId="71112DD9" w14:textId="77777777">
            <w:pPr>
              <w:widowControl/>
              <w:jc w:val="center"/>
              <w:rPr>
                <w:rFonts w:ascii="Source Sans Pro" w:hAnsi="Source Sans Pro"/>
                <w:color w:val="000000" w:themeColor="text1"/>
                <w:sz w:val="20"/>
              </w:rPr>
            </w:pPr>
            <w:r w:rsidRPr="00E455FC">
              <w:rPr>
                <w:rFonts w:ascii="Source Sans Pro" w:hAnsi="Source Sans Pro"/>
                <w:color w:val="000000" w:themeColor="text1"/>
                <w:sz w:val="20"/>
              </w:rPr>
              <w:t>0.</w:t>
            </w:r>
            <w:r w:rsidR="0061798A">
              <w:rPr>
                <w:rFonts w:ascii="Source Sans Pro" w:hAnsi="Source Sans Pro"/>
                <w:color w:val="000000" w:themeColor="text1"/>
                <w:sz w:val="20"/>
              </w:rPr>
              <w:t>95</w:t>
            </w:r>
          </w:p>
        </w:tc>
        <w:tc>
          <w:tcPr>
            <w:tcW w:w="1378" w:type="dxa"/>
            <w:vAlign w:val="center"/>
          </w:tcPr>
          <w:p w:rsidR="00E455FC" w:rsidRPr="00E455FC" w:rsidP="00E455FC" w14:paraId="3B18C1DD" w14:textId="77777777">
            <w:pPr>
              <w:widowControl/>
              <w:jc w:val="center"/>
              <w:rPr>
                <w:rFonts w:ascii="Source Sans Pro" w:hAnsi="Source Sans Pro"/>
                <w:color w:val="000000" w:themeColor="text1"/>
                <w:sz w:val="20"/>
              </w:rPr>
            </w:pPr>
            <w:r>
              <w:rPr>
                <w:rFonts w:ascii="Source Sans Pro" w:hAnsi="Source Sans Pro"/>
                <w:color w:val="000000" w:themeColor="text1"/>
                <w:sz w:val="20"/>
              </w:rPr>
              <w:t>2.85</w:t>
            </w:r>
          </w:p>
        </w:tc>
      </w:tr>
      <w:tr w14:paraId="68B25098" w14:textId="77777777" w:rsidTr="00E274B6">
        <w:tblPrEx>
          <w:tblW w:w="0" w:type="auto"/>
          <w:tblLook w:val="04A0"/>
        </w:tblPrEx>
        <w:tc>
          <w:tcPr>
            <w:tcW w:w="2434" w:type="dxa"/>
            <w:vAlign w:val="center"/>
          </w:tcPr>
          <w:p w:rsidR="00E455FC" w:rsidRPr="00E455FC" w:rsidP="00E455FC" w14:paraId="7695DFEB" w14:textId="77777777">
            <w:pPr>
              <w:widowControl/>
              <w:rPr>
                <w:rFonts w:ascii="Source Sans Pro" w:hAnsi="Source Sans Pro"/>
                <w:color w:val="000000" w:themeColor="text1"/>
                <w:sz w:val="20"/>
              </w:rPr>
            </w:pPr>
            <w:r w:rsidRPr="00E455FC">
              <w:rPr>
                <w:rFonts w:ascii="Source Sans Pro" w:hAnsi="Source Sans Pro"/>
                <w:color w:val="000000" w:themeColor="text1"/>
                <w:sz w:val="20"/>
              </w:rPr>
              <w:t>Total Annual Burden</w:t>
            </w:r>
          </w:p>
        </w:tc>
        <w:tc>
          <w:tcPr>
            <w:tcW w:w="1045" w:type="dxa"/>
            <w:vAlign w:val="center"/>
          </w:tcPr>
          <w:p w:rsidR="00E455FC" w:rsidRPr="00E455FC" w:rsidP="00E455FC" w14:paraId="6EBC376D" w14:textId="77777777">
            <w:pPr>
              <w:widowControl/>
              <w:jc w:val="center"/>
              <w:rPr>
                <w:rFonts w:ascii="Source Sans Pro" w:hAnsi="Source Sans Pro"/>
                <w:color w:val="000000" w:themeColor="text1"/>
                <w:sz w:val="20"/>
              </w:rPr>
            </w:pPr>
          </w:p>
        </w:tc>
        <w:tc>
          <w:tcPr>
            <w:tcW w:w="1391" w:type="dxa"/>
            <w:vAlign w:val="center"/>
          </w:tcPr>
          <w:p w:rsidR="00E455FC" w:rsidRPr="00E455FC" w:rsidP="00E455FC" w14:paraId="45A73095" w14:textId="77777777">
            <w:pPr>
              <w:widowControl/>
              <w:jc w:val="center"/>
              <w:rPr>
                <w:rFonts w:ascii="Source Sans Pro" w:hAnsi="Source Sans Pro"/>
                <w:color w:val="000000" w:themeColor="text1"/>
                <w:sz w:val="20"/>
              </w:rPr>
            </w:pPr>
          </w:p>
        </w:tc>
        <w:tc>
          <w:tcPr>
            <w:tcW w:w="1674" w:type="dxa"/>
            <w:vAlign w:val="center"/>
          </w:tcPr>
          <w:p w:rsidR="00E455FC" w:rsidRPr="00E455FC" w:rsidP="00E455FC" w14:paraId="39FF91D5" w14:textId="77777777">
            <w:pPr>
              <w:widowControl/>
              <w:jc w:val="center"/>
              <w:rPr>
                <w:rFonts w:ascii="Source Sans Pro" w:hAnsi="Source Sans Pro"/>
                <w:color w:val="000000" w:themeColor="text1"/>
                <w:sz w:val="20"/>
              </w:rPr>
            </w:pPr>
          </w:p>
        </w:tc>
        <w:tc>
          <w:tcPr>
            <w:tcW w:w="1428" w:type="dxa"/>
            <w:vAlign w:val="center"/>
          </w:tcPr>
          <w:p w:rsidR="00E455FC" w:rsidRPr="00E455FC" w:rsidP="00E455FC" w14:paraId="1C8A59B8" w14:textId="77777777">
            <w:pPr>
              <w:widowControl/>
              <w:jc w:val="center"/>
              <w:rPr>
                <w:rFonts w:ascii="Source Sans Pro" w:hAnsi="Source Sans Pro"/>
                <w:color w:val="000000" w:themeColor="text1"/>
                <w:sz w:val="20"/>
              </w:rPr>
            </w:pPr>
          </w:p>
        </w:tc>
        <w:tc>
          <w:tcPr>
            <w:tcW w:w="1378" w:type="dxa"/>
            <w:vAlign w:val="center"/>
          </w:tcPr>
          <w:p w:rsidR="00E455FC" w:rsidRPr="00E455FC" w:rsidP="00E455FC" w14:paraId="02A0AA4F" w14:textId="77777777">
            <w:pPr>
              <w:widowControl/>
              <w:jc w:val="center"/>
              <w:rPr>
                <w:rFonts w:ascii="Source Sans Pro" w:hAnsi="Source Sans Pro"/>
                <w:color w:val="000000" w:themeColor="text1"/>
                <w:sz w:val="20"/>
              </w:rPr>
            </w:pPr>
            <w:r>
              <w:rPr>
                <w:rFonts w:ascii="Source Sans Pro" w:hAnsi="Source Sans Pro"/>
                <w:color w:val="000000" w:themeColor="text1"/>
                <w:sz w:val="20"/>
              </w:rPr>
              <w:t>14.77</w:t>
            </w:r>
          </w:p>
        </w:tc>
      </w:tr>
    </w:tbl>
    <w:p w:rsidR="00B46E04" w:rsidP="00E455FC" w14:paraId="1BCAC465" w14:textId="77777777">
      <w:pPr>
        <w:widowControl/>
        <w:tabs>
          <w:tab w:val="left" w:pos="1080"/>
          <w:tab w:val="right" w:pos="6120"/>
        </w:tabs>
        <w:rPr>
          <w:rFonts w:ascii="Times New Roman" w:hAnsi="Times New Roman"/>
        </w:rPr>
      </w:pPr>
      <w:r>
        <w:rPr>
          <w:rFonts w:ascii="Times New Roman" w:hAnsi="Times New Roman"/>
        </w:rPr>
        <w:tab/>
      </w:r>
    </w:p>
    <w:p w:rsidR="001C5BFA" w:rsidP="001C5BFA" w14:paraId="4CDD13C2" w14:textId="77777777">
      <w:pPr>
        <w:widowControl/>
        <w:tabs>
          <w:tab w:val="left" w:pos="1080"/>
          <w:tab w:val="right" w:pos="6120"/>
        </w:tabs>
        <w:ind w:left="720" w:hanging="720"/>
        <w:rPr>
          <w:rFonts w:ascii="Times New Roman" w:hAnsi="Times New Roman"/>
        </w:rPr>
      </w:pPr>
    </w:p>
    <w:p w:rsidR="00B46E04" w:rsidP="00A85632" w14:paraId="584BD4BD" w14:textId="77777777">
      <w:pPr>
        <w:widowControl/>
        <w:tabs>
          <w:tab w:val="left" w:pos="360"/>
        </w:tabs>
        <w:ind w:left="720" w:hanging="720"/>
        <w:rPr>
          <w:rFonts w:ascii="Times New Roman" w:hAnsi="Times New Roman"/>
        </w:rPr>
      </w:pPr>
      <w:r>
        <w:rPr>
          <w:rFonts w:ascii="Times New Roman" w:hAnsi="Times New Roman"/>
        </w:rPr>
        <w:tab/>
        <w:t>13.</w:t>
      </w:r>
      <w:r>
        <w:rPr>
          <w:rFonts w:ascii="Times New Roman" w:hAnsi="Times New Roman"/>
        </w:rPr>
        <w:tab/>
      </w:r>
      <w:r w:rsidRPr="009E4FE6" w:rsidR="00FE5CEF">
        <w:rPr>
          <w:rFonts w:ascii="Times New Roman" w:hAnsi="Times New Roman"/>
          <w:bCs/>
          <w:u w:val="single"/>
        </w:rPr>
        <w:t xml:space="preserve">Estimate of </w:t>
      </w:r>
      <w:r w:rsidR="00FE5CEF">
        <w:rPr>
          <w:rFonts w:ascii="Times New Roman" w:hAnsi="Times New Roman"/>
          <w:bCs/>
          <w:u w:val="single"/>
        </w:rPr>
        <w:t>s</w:t>
      </w:r>
      <w:r w:rsidRPr="009E4FE6" w:rsidR="00FE5CEF">
        <w:rPr>
          <w:rFonts w:ascii="Times New Roman" w:hAnsi="Times New Roman"/>
          <w:bCs/>
          <w:u w:val="single"/>
        </w:rPr>
        <w:t xml:space="preserve">tart-up </w:t>
      </w:r>
      <w:r w:rsidR="00FE5CEF">
        <w:rPr>
          <w:rFonts w:ascii="Times New Roman" w:hAnsi="Times New Roman"/>
          <w:bCs/>
          <w:u w:val="single"/>
        </w:rPr>
        <w:t>c</w:t>
      </w:r>
      <w:r w:rsidRPr="009E4FE6" w:rsidR="00FE5CEF">
        <w:rPr>
          <w:rFonts w:ascii="Times New Roman" w:hAnsi="Times New Roman"/>
          <w:bCs/>
          <w:u w:val="single"/>
        </w:rPr>
        <w:t xml:space="preserve">osts to </w:t>
      </w:r>
      <w:r w:rsidR="00FE5CEF">
        <w:rPr>
          <w:rFonts w:ascii="Times New Roman" w:hAnsi="Times New Roman"/>
          <w:bCs/>
          <w:u w:val="single"/>
        </w:rPr>
        <w:t>r</w:t>
      </w:r>
      <w:r w:rsidRPr="009E4FE6" w:rsidR="00FE5CEF">
        <w:rPr>
          <w:rFonts w:ascii="Times New Roman" w:hAnsi="Times New Roman"/>
          <w:bCs/>
          <w:u w:val="single"/>
        </w:rPr>
        <w:t>espondents:</w:t>
      </w:r>
    </w:p>
    <w:p w:rsidR="00B46E04" w14:paraId="702D39A3" w14:textId="77777777">
      <w:pPr>
        <w:widowControl/>
        <w:tabs>
          <w:tab w:val="left" w:pos="360"/>
        </w:tabs>
        <w:ind w:left="720" w:hanging="720"/>
        <w:rPr>
          <w:rFonts w:ascii="Times New Roman" w:hAnsi="Times New Roman"/>
        </w:rPr>
      </w:pPr>
    </w:p>
    <w:p w:rsidR="00B46E04" w14:paraId="12092066" w14:textId="77777777">
      <w:pPr>
        <w:widowControl/>
        <w:tabs>
          <w:tab w:val="left" w:pos="1080"/>
          <w:tab w:val="right" w:pos="6120"/>
        </w:tabs>
        <w:ind w:left="720" w:hanging="720"/>
        <w:rPr>
          <w:rFonts w:ascii="Times New Roman" w:hAnsi="Times New Roman"/>
        </w:rPr>
      </w:pPr>
      <w:r>
        <w:rPr>
          <w:rFonts w:ascii="Times New Roman" w:hAnsi="Times New Roman"/>
        </w:rPr>
        <w:tab/>
      </w:r>
      <w:r w:rsidR="00A5026C">
        <w:rPr>
          <w:rFonts w:ascii="Times New Roman" w:hAnsi="Times New Roman"/>
        </w:rPr>
        <w:t>None</w:t>
      </w:r>
    </w:p>
    <w:p w:rsidR="00B46E04" w:rsidP="00D811A3" w14:paraId="032C980A" w14:textId="77777777">
      <w:pPr>
        <w:widowControl/>
        <w:tabs>
          <w:tab w:val="left" w:pos="1080"/>
          <w:tab w:val="right" w:pos="6120"/>
        </w:tabs>
        <w:ind w:left="720" w:hanging="720"/>
        <w:rPr>
          <w:rFonts w:ascii="Times New Roman" w:hAnsi="Times New Roman"/>
        </w:rPr>
      </w:pPr>
      <w:r>
        <w:rPr>
          <w:rFonts w:ascii="Times New Roman" w:hAnsi="Times New Roman"/>
        </w:rPr>
        <w:tab/>
      </w:r>
    </w:p>
    <w:p w:rsidR="00B46E04" w14:paraId="60D166D6" w14:textId="77777777">
      <w:pPr>
        <w:widowControl/>
        <w:tabs>
          <w:tab w:val="left" w:pos="360"/>
        </w:tabs>
        <w:ind w:left="720" w:hanging="720"/>
        <w:rPr>
          <w:rFonts w:ascii="Times New Roman" w:hAnsi="Times New Roman"/>
        </w:rPr>
      </w:pPr>
    </w:p>
    <w:p w:rsidR="00B46E04" w:rsidP="00A85632" w14:paraId="5C630A37" w14:textId="77777777">
      <w:pPr>
        <w:widowControl/>
        <w:tabs>
          <w:tab w:val="left" w:pos="360"/>
        </w:tabs>
        <w:ind w:left="720" w:right="960" w:hanging="720"/>
        <w:rPr>
          <w:rFonts w:ascii="Times New Roman" w:hAnsi="Times New Roman"/>
        </w:rPr>
      </w:pPr>
      <w:r>
        <w:rPr>
          <w:rFonts w:ascii="Times New Roman" w:hAnsi="Times New Roman"/>
        </w:rPr>
        <w:tab/>
        <w:t>14.</w:t>
      </w:r>
      <w:r>
        <w:rPr>
          <w:rFonts w:ascii="Times New Roman" w:hAnsi="Times New Roman"/>
        </w:rPr>
        <w:tab/>
      </w:r>
      <w:r w:rsidRPr="00817DAE" w:rsidR="00FE5CEF">
        <w:rPr>
          <w:rFonts w:ascii="Times New Roman" w:hAnsi="Times New Roman"/>
          <w:bCs/>
          <w:u w:val="single"/>
        </w:rPr>
        <w:t>Estimate of annualized costs to the government:</w:t>
      </w:r>
      <w:r>
        <w:rPr>
          <w:rFonts w:ascii="Times New Roman" w:hAnsi="Times New Roman"/>
        </w:rPr>
        <w:t xml:space="preserve">  </w:t>
      </w:r>
    </w:p>
    <w:p w:rsidR="00B46E04" w14:paraId="5E8BD518" w14:textId="77777777">
      <w:pPr>
        <w:widowControl/>
        <w:tabs>
          <w:tab w:val="left" w:pos="-240"/>
          <w:tab w:val="left" w:pos="36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right="960" w:hanging="720"/>
        <w:rPr>
          <w:rFonts w:ascii="Times New Roman" w:hAnsi="Times New Roman"/>
        </w:rPr>
      </w:pPr>
    </w:p>
    <w:p w:rsidR="00B46E04" w14:paraId="357ACFE3"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001C5BFA">
        <w:rPr>
          <w:rFonts w:ascii="Times New Roman" w:hAnsi="Times New Roman"/>
        </w:rPr>
        <w:t>None.</w:t>
      </w:r>
      <w:r>
        <w:rPr>
          <w:rFonts w:ascii="Times New Roman" w:hAnsi="Times New Roman"/>
        </w:rPr>
        <w:t xml:space="preserve">  </w:t>
      </w:r>
    </w:p>
    <w:p w:rsidR="00B46E04" w14:paraId="43860CF5" w14:textId="77777777">
      <w:pPr>
        <w:widowControl/>
        <w:tabs>
          <w:tab w:val="left" w:pos="360"/>
        </w:tabs>
        <w:ind w:left="720" w:hanging="720"/>
        <w:rPr>
          <w:rFonts w:ascii="Times New Roman" w:hAnsi="Times New Roman"/>
        </w:rPr>
      </w:pPr>
    </w:p>
    <w:p w:rsidR="00B46E04" w14:paraId="08ABF683" w14:textId="77777777">
      <w:pPr>
        <w:widowControl/>
        <w:tabs>
          <w:tab w:val="left" w:pos="360"/>
        </w:tabs>
        <w:ind w:left="720" w:hanging="720"/>
        <w:rPr>
          <w:rFonts w:ascii="Times New Roman" w:hAnsi="Times New Roman"/>
        </w:rPr>
      </w:pPr>
      <w:r>
        <w:rPr>
          <w:rFonts w:ascii="Times New Roman" w:hAnsi="Times New Roman"/>
        </w:rPr>
        <w:tab/>
        <w:t>15.</w:t>
      </w:r>
      <w:r>
        <w:rPr>
          <w:rFonts w:ascii="Times New Roman" w:hAnsi="Times New Roman"/>
        </w:rPr>
        <w:tab/>
      </w:r>
      <w:r w:rsidRPr="00817DAE" w:rsidR="00FE5CEF">
        <w:rPr>
          <w:rFonts w:ascii="Times New Roman" w:hAnsi="Times New Roman"/>
          <w:u w:val="single"/>
        </w:rPr>
        <w:t>Analysis of change in burden:</w:t>
      </w:r>
    </w:p>
    <w:p w:rsidR="00B46E04" w14:paraId="481CBB75" w14:textId="77777777">
      <w:pPr>
        <w:widowControl/>
        <w:tabs>
          <w:tab w:val="left" w:pos="360"/>
        </w:tabs>
        <w:ind w:left="720" w:hanging="720"/>
        <w:rPr>
          <w:rFonts w:ascii="Times New Roman" w:hAnsi="Times New Roman"/>
        </w:rPr>
      </w:pPr>
    </w:p>
    <w:p w:rsidR="00B46E04" w:rsidP="00B36E7E" w14:paraId="1150565E" w14:textId="77777777">
      <w:pPr>
        <w:pStyle w:val="BlockText"/>
        <w:tabs>
          <w:tab w:val="left" w:pos="360"/>
        </w:tabs>
        <w:ind w:left="720" w:hanging="720"/>
      </w:pPr>
      <w:r>
        <w:tab/>
      </w:r>
      <w:r>
        <w:tab/>
      </w:r>
      <w:r w:rsidR="00B36E7E">
        <w:tab/>
      </w:r>
      <w:r w:rsidR="00E455FC">
        <w:t xml:space="preserve">There is no change in the methodology or substance of this information collection.  The change in total estimated annual burden is due to a </w:t>
      </w:r>
      <w:r w:rsidR="00E274B6">
        <w:t xml:space="preserve">change in the </w:t>
      </w:r>
      <w:r w:rsidR="00E455FC">
        <w:t>estimated number of respondents.</w:t>
      </w:r>
    </w:p>
    <w:p w:rsidR="00B46E04" w14:paraId="520E05FA" w14:textId="77777777">
      <w:pPr>
        <w:pStyle w:val="BlockText"/>
        <w:tabs>
          <w:tab w:val="clear" w:pos="-240"/>
          <w:tab w:val="left" w:pos="36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s>
        <w:ind w:left="720" w:right="0" w:hanging="720"/>
      </w:pPr>
    </w:p>
    <w:p w:rsidR="00B46E04" w14:paraId="7F0819A3" w14:textId="77777777">
      <w:pPr>
        <w:pStyle w:val="BlockText"/>
        <w:tabs>
          <w:tab w:val="clear" w:pos="-240"/>
          <w:tab w:val="left" w:pos="36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s>
        <w:ind w:left="720" w:right="0" w:hanging="720"/>
      </w:pPr>
      <w:r>
        <w:tab/>
        <w:t>16.</w:t>
      </w:r>
      <w:r>
        <w:tab/>
      </w:r>
      <w:r w:rsidRPr="00817DAE" w:rsidR="00613B6C">
        <w:rPr>
          <w:rFonts w:ascii="Times New Roman TUR" w:hAnsi="Times New Roman TUR" w:cs="Times New Roman TUR"/>
          <w:bCs/>
          <w:u w:val="single"/>
        </w:rPr>
        <w:t>Information</w:t>
      </w:r>
      <w:r w:rsidRPr="00817DAE" w:rsidR="00613B6C">
        <w:rPr>
          <w:bCs/>
          <w:u w:val="single"/>
        </w:rPr>
        <w:t xml:space="preserve"> regarding collections whose results are planned to be published for statistical use:</w:t>
      </w:r>
    </w:p>
    <w:p w:rsidR="00B46E04" w14:paraId="74CC8FE7" w14:textId="77777777">
      <w:pPr>
        <w:pStyle w:val="BlockText"/>
        <w:tabs>
          <w:tab w:val="clear" w:pos="-240"/>
          <w:tab w:val="left" w:pos="36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s>
        <w:ind w:left="720" w:right="0" w:hanging="720"/>
      </w:pPr>
    </w:p>
    <w:p w:rsidR="00B46E04" w14:paraId="66B97D56" w14:textId="77777777">
      <w:pPr>
        <w:pStyle w:val="BlockText"/>
        <w:tabs>
          <w:tab w:val="clear" w:pos="-240"/>
          <w:tab w:val="left" w:pos="36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s>
        <w:ind w:left="720" w:right="0" w:hanging="720"/>
      </w:pPr>
      <w:r>
        <w:tab/>
      </w:r>
      <w:r>
        <w:tab/>
        <w:t>The informatio</w:t>
      </w:r>
      <w:r w:rsidR="00140762">
        <w:t>n c</w:t>
      </w:r>
      <w:r>
        <w:t xml:space="preserve">ollected </w:t>
      </w:r>
      <w:r w:rsidR="00B56912">
        <w:t>i</w:t>
      </w:r>
      <w:r>
        <w:t xml:space="preserve">n the Foreign Branch Report of Condition </w:t>
      </w:r>
      <w:r w:rsidR="003A0961">
        <w:t xml:space="preserve">and the Abbreviated Foreign Branch Report of Condition </w:t>
      </w:r>
      <w:r>
        <w:t>is not published or publicly disclosed on an individual branch basis.  Aggregate data is published by the FRS in a form that does not reveal the amounts reported by individual branches.</w:t>
      </w:r>
    </w:p>
    <w:p w:rsidR="00B46E04" w14:paraId="750A4626" w14:textId="77777777">
      <w:pPr>
        <w:widowControl/>
        <w:tabs>
          <w:tab w:val="left" w:pos="360"/>
        </w:tabs>
        <w:ind w:left="720" w:hanging="720"/>
        <w:rPr>
          <w:rFonts w:ascii="Times New Roman" w:hAnsi="Times New Roman"/>
        </w:rPr>
      </w:pPr>
    </w:p>
    <w:p w:rsidR="00B46E04" w14:paraId="26320DF4" w14:textId="77777777">
      <w:pPr>
        <w:widowControl/>
        <w:tabs>
          <w:tab w:val="left" w:pos="360"/>
        </w:tabs>
        <w:ind w:left="720" w:hanging="720"/>
        <w:rPr>
          <w:rFonts w:ascii="Times New Roman" w:hAnsi="Times New Roman"/>
        </w:rPr>
      </w:pPr>
      <w:r>
        <w:rPr>
          <w:rFonts w:ascii="Times New Roman" w:hAnsi="Times New Roman"/>
        </w:rPr>
        <w:tab/>
        <w:t>17.</w:t>
      </w:r>
      <w:r>
        <w:rPr>
          <w:rFonts w:ascii="Times New Roman" w:hAnsi="Times New Roman"/>
        </w:rPr>
        <w:tab/>
      </w:r>
      <w:r>
        <w:rPr>
          <w:rFonts w:ascii="Times New Roman" w:hAnsi="Times New Roman"/>
          <w:u w:val="single"/>
        </w:rPr>
        <w:t>Display of Expiration Date</w:t>
      </w:r>
    </w:p>
    <w:p w:rsidR="00B46E04" w14:paraId="694DFDB7" w14:textId="77777777">
      <w:pPr>
        <w:widowControl/>
        <w:tabs>
          <w:tab w:val="left" w:pos="360"/>
        </w:tabs>
        <w:ind w:left="720" w:hanging="720"/>
        <w:rPr>
          <w:rFonts w:ascii="Times New Roman" w:hAnsi="Times New Roman"/>
        </w:rPr>
      </w:pPr>
    </w:p>
    <w:p w:rsidR="00B46E04" w14:paraId="700B3888"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Not applicable.</w:t>
      </w:r>
    </w:p>
    <w:p w:rsidR="00B46E04" w14:paraId="7984BE8D" w14:textId="77777777">
      <w:pPr>
        <w:widowControl/>
        <w:tabs>
          <w:tab w:val="left" w:pos="360"/>
        </w:tabs>
        <w:ind w:left="720" w:hanging="720"/>
        <w:rPr>
          <w:rFonts w:ascii="Times New Roman" w:hAnsi="Times New Roman"/>
        </w:rPr>
      </w:pPr>
    </w:p>
    <w:p w:rsidR="00B46E04" w14:paraId="748F1EE1" w14:textId="77777777">
      <w:pPr>
        <w:widowControl/>
        <w:tabs>
          <w:tab w:val="left" w:pos="360"/>
        </w:tabs>
        <w:ind w:left="720"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COLLECTION OF INFORMATION EMPLOYING STATISTICAL METHODS</w:t>
      </w:r>
    </w:p>
    <w:p w:rsidR="00B46E04" w14:paraId="31A0A117" w14:textId="77777777">
      <w:pPr>
        <w:widowControl/>
        <w:tabs>
          <w:tab w:val="left" w:pos="360"/>
        </w:tabs>
        <w:ind w:left="720" w:hanging="720"/>
        <w:rPr>
          <w:rFonts w:ascii="Times New Roman" w:hAnsi="Times New Roman"/>
        </w:rPr>
      </w:pPr>
    </w:p>
    <w:p w:rsidR="00B46E04" w14:paraId="7A50B2DD" w14:textId="77777777">
      <w:pPr>
        <w:widowControl/>
        <w:tabs>
          <w:tab w:val="left" w:pos="360"/>
        </w:tabs>
        <w:ind w:left="720" w:hanging="720"/>
        <w:rPr>
          <w:rFonts w:ascii="Times New Roman" w:hAnsi="Times New Roman"/>
        </w:rPr>
      </w:pPr>
      <w:r>
        <w:rPr>
          <w:rFonts w:ascii="Times New Roman" w:hAnsi="Times New Roman"/>
        </w:rPr>
        <w:t>Not applicable.</w:t>
      </w:r>
    </w:p>
    <w:p w:rsidR="00B46E04" w14:paraId="04EABB61" w14:textId="77777777"/>
    <w:sectPr>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DF" w14:paraId="1172986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D64DF" w14:paraId="744CC3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DF" w14:paraId="7E91EBE0" w14:textId="77777777">
    <w:pPr>
      <w:pStyle w:val="Footer"/>
      <w:framePr w:wrap="around" w:vAnchor="text" w:hAnchor="margin" w:xAlign="center" w:y="1"/>
      <w:rPr>
        <w:rStyle w:val="PageNumber"/>
        <w:rFonts w:ascii="Times New Roman" w:hAnsi="Times New Roman"/>
      </w:rPr>
    </w:pPr>
  </w:p>
  <w:p w:rsidR="00AD64DF" w14:paraId="3F12F1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BD6" w14:paraId="641B82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67C8" w14:paraId="2C50DD27" w14:textId="77777777">
      <w:r>
        <w:separator/>
      </w:r>
    </w:p>
  </w:footnote>
  <w:footnote w:type="continuationSeparator" w:id="1">
    <w:p w:rsidR="005967C8" w14:paraId="18D90E2D" w14:textId="77777777">
      <w:r>
        <w:continuationSeparator/>
      </w:r>
    </w:p>
  </w:footnote>
  <w:footnote w:id="2">
    <w:p w:rsidR="00685BFB" w:rsidRPr="00685BFB" w14:paraId="38D037B4" w14:textId="77777777">
      <w:pPr>
        <w:pStyle w:val="FootnoteText"/>
        <w:rPr>
          <w:rFonts w:ascii="Times New Roman" w:hAnsi="Times New Roman"/>
        </w:rPr>
      </w:pPr>
      <w:r w:rsidRPr="00685BFB">
        <w:rPr>
          <w:rStyle w:val="FootnoteReference"/>
          <w:rFonts w:ascii="Times New Roman" w:hAnsi="Times New Roman"/>
        </w:rPr>
        <w:footnoteRef/>
      </w:r>
      <w:r w:rsidRPr="00685BFB">
        <w:rPr>
          <w:rFonts w:ascii="Times New Roman" w:hAnsi="Times New Roman"/>
        </w:rPr>
        <w:t xml:space="preserve"> On July 21, 2011, supervisory responsibility for federal and state-chartered savings associations was transferred from the former Office of Thrift Supervision to the OCC and the FDIC, respectively, pursuant to Title III of the Dodd-Frank Wall Street Reform and Consumer Protection Act, Public Law 111</w:t>
      </w:r>
      <w:r w:rsidRPr="00685BFB">
        <w:rPr>
          <w:rFonts w:ascii="Times New Roman" w:hAnsi="Times New Roman"/>
        </w:rPr>
        <w:noBreakHyphen/>
        <w:t>203.  Accordingly, with the approval of OMB on December 28, 2012, after notice and comment pursuant to the Paperwork Reduction Act, the applicability of the Foreign Branch Report of Condition was extended to foreign branches of insured state-chartered savings associations beginning as of the December 31, 2012, report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DF" w14:paraId="565C5508"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64DF" w14:paraId="2F36ED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DF" w14:paraId="6E890E9E" w14:textId="77777777">
    <w:pPr>
      <w:pStyle w:val="Header"/>
      <w:framePr w:wrap="around" w:vAnchor="text" w:hAnchor="margin" w:xAlign="center" w:y="1"/>
      <w:rPr>
        <w:rStyle w:val="PageNumber"/>
        <w:rFonts w:ascii="Times New Roman" w:hAnsi="Times New Roman"/>
      </w:rPr>
    </w:pPr>
    <w:r>
      <w:rPr>
        <w:rStyle w:val="PageNumber"/>
        <w:rFonts w:ascii="Times New Roman" w:hAnsi="Times New Roman"/>
      </w:rPr>
      <w:t xml:space="preserve">- </w:t>
    </w: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274B6">
      <w:rPr>
        <w:rStyle w:val="PageNumber"/>
        <w:rFonts w:ascii="Times New Roman" w:hAnsi="Times New Roman"/>
        <w:noProof/>
      </w:rPr>
      <w:t>6</w:t>
    </w:r>
    <w:r>
      <w:rPr>
        <w:rStyle w:val="PageNumber"/>
        <w:rFonts w:ascii="Times New Roman" w:hAnsi="Times New Roman"/>
      </w:rPr>
      <w:fldChar w:fldCharType="end"/>
    </w:r>
    <w:r>
      <w:rPr>
        <w:rStyle w:val="PageNumber"/>
        <w:rFonts w:ascii="Times New Roman" w:hAnsi="Times New Roman"/>
      </w:rPr>
      <w:t xml:space="preserve"> -</w:t>
    </w:r>
  </w:p>
  <w:p w:rsidR="00AD64DF" w14:paraId="1B02B8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BD6" w14:paraId="2FE2A9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1A1CDC"/>
    <w:multiLevelType w:val="hybridMultilevel"/>
    <w:tmpl w:val="AF3CFE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78FA6847"/>
    <w:multiLevelType w:val="hybridMultilevel"/>
    <w:tmpl w:val="62BC58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29362869">
    <w:abstractNumId w:val="1"/>
  </w:num>
  <w:num w:numId="2" w16cid:durableId="44612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D43"/>
    <w:rsid w:val="00017285"/>
    <w:rsid w:val="00036DEA"/>
    <w:rsid w:val="0004227C"/>
    <w:rsid w:val="0005660A"/>
    <w:rsid w:val="000703D6"/>
    <w:rsid w:val="000A117F"/>
    <w:rsid w:val="000C4CBE"/>
    <w:rsid w:val="000F24E4"/>
    <w:rsid w:val="00103AEB"/>
    <w:rsid w:val="0011620D"/>
    <w:rsid w:val="0013227F"/>
    <w:rsid w:val="001346B1"/>
    <w:rsid w:val="00140762"/>
    <w:rsid w:val="00184BA6"/>
    <w:rsid w:val="001A4B89"/>
    <w:rsid w:val="001C5BFA"/>
    <w:rsid w:val="001F5984"/>
    <w:rsid w:val="00212B23"/>
    <w:rsid w:val="002200CB"/>
    <w:rsid w:val="00297AC6"/>
    <w:rsid w:val="002A4178"/>
    <w:rsid w:val="002D1821"/>
    <w:rsid w:val="002D292D"/>
    <w:rsid w:val="00326F67"/>
    <w:rsid w:val="00351342"/>
    <w:rsid w:val="00384930"/>
    <w:rsid w:val="003A0961"/>
    <w:rsid w:val="003A09F0"/>
    <w:rsid w:val="00407701"/>
    <w:rsid w:val="004170C6"/>
    <w:rsid w:val="00434B6F"/>
    <w:rsid w:val="004542A6"/>
    <w:rsid w:val="00456014"/>
    <w:rsid w:val="004B6B3B"/>
    <w:rsid w:val="004D18E3"/>
    <w:rsid w:val="004D7603"/>
    <w:rsid w:val="0050091C"/>
    <w:rsid w:val="005021AF"/>
    <w:rsid w:val="00505AB0"/>
    <w:rsid w:val="00537E4B"/>
    <w:rsid w:val="00553F19"/>
    <w:rsid w:val="00561D66"/>
    <w:rsid w:val="0057375C"/>
    <w:rsid w:val="00574208"/>
    <w:rsid w:val="00581B6B"/>
    <w:rsid w:val="005967C8"/>
    <w:rsid w:val="005B363D"/>
    <w:rsid w:val="005C3645"/>
    <w:rsid w:val="005D4C94"/>
    <w:rsid w:val="005D76D4"/>
    <w:rsid w:val="00613B6C"/>
    <w:rsid w:val="00615470"/>
    <w:rsid w:val="0061798A"/>
    <w:rsid w:val="00621688"/>
    <w:rsid w:val="00647F97"/>
    <w:rsid w:val="00663CC4"/>
    <w:rsid w:val="006678C4"/>
    <w:rsid w:val="00675EE6"/>
    <w:rsid w:val="00685BFB"/>
    <w:rsid w:val="006A0452"/>
    <w:rsid w:val="006A14E2"/>
    <w:rsid w:val="006B550B"/>
    <w:rsid w:val="006D6B44"/>
    <w:rsid w:val="007460F1"/>
    <w:rsid w:val="00757D43"/>
    <w:rsid w:val="0078042F"/>
    <w:rsid w:val="007C7BD6"/>
    <w:rsid w:val="007E5FB2"/>
    <w:rsid w:val="00817DAE"/>
    <w:rsid w:val="00831E9B"/>
    <w:rsid w:val="008568F7"/>
    <w:rsid w:val="00871FCE"/>
    <w:rsid w:val="0087203B"/>
    <w:rsid w:val="008D3A55"/>
    <w:rsid w:val="008F177C"/>
    <w:rsid w:val="00904AD0"/>
    <w:rsid w:val="00910EB4"/>
    <w:rsid w:val="00914F5B"/>
    <w:rsid w:val="00982505"/>
    <w:rsid w:val="009E4FE6"/>
    <w:rsid w:val="00A5026C"/>
    <w:rsid w:val="00A85632"/>
    <w:rsid w:val="00AA384D"/>
    <w:rsid w:val="00AC069E"/>
    <w:rsid w:val="00AC7041"/>
    <w:rsid w:val="00AC7115"/>
    <w:rsid w:val="00AD64DF"/>
    <w:rsid w:val="00AE7819"/>
    <w:rsid w:val="00B05A38"/>
    <w:rsid w:val="00B0625C"/>
    <w:rsid w:val="00B22856"/>
    <w:rsid w:val="00B31023"/>
    <w:rsid w:val="00B36E7E"/>
    <w:rsid w:val="00B46E04"/>
    <w:rsid w:val="00B56912"/>
    <w:rsid w:val="00BA0A3D"/>
    <w:rsid w:val="00BF4C55"/>
    <w:rsid w:val="00C17273"/>
    <w:rsid w:val="00C2057A"/>
    <w:rsid w:val="00C37B3B"/>
    <w:rsid w:val="00C46835"/>
    <w:rsid w:val="00C7406E"/>
    <w:rsid w:val="00CA7828"/>
    <w:rsid w:val="00CB0D59"/>
    <w:rsid w:val="00CB4406"/>
    <w:rsid w:val="00CD074F"/>
    <w:rsid w:val="00CD1E7D"/>
    <w:rsid w:val="00CE647B"/>
    <w:rsid w:val="00D35EEC"/>
    <w:rsid w:val="00D370AA"/>
    <w:rsid w:val="00D45E1B"/>
    <w:rsid w:val="00D560E8"/>
    <w:rsid w:val="00D811A3"/>
    <w:rsid w:val="00D84BBC"/>
    <w:rsid w:val="00D927F8"/>
    <w:rsid w:val="00E160C8"/>
    <w:rsid w:val="00E17948"/>
    <w:rsid w:val="00E274B6"/>
    <w:rsid w:val="00E455FC"/>
    <w:rsid w:val="00E5238C"/>
    <w:rsid w:val="00E56639"/>
    <w:rsid w:val="00E734DE"/>
    <w:rsid w:val="00E76BD6"/>
    <w:rsid w:val="00E80DA2"/>
    <w:rsid w:val="00E81C65"/>
    <w:rsid w:val="00EE5C63"/>
    <w:rsid w:val="00F024FD"/>
    <w:rsid w:val="00F16599"/>
    <w:rsid w:val="00F21420"/>
    <w:rsid w:val="00F471E9"/>
    <w:rsid w:val="00F603F7"/>
    <w:rsid w:val="00F70891"/>
    <w:rsid w:val="00F92C0B"/>
    <w:rsid w:val="00FC6017"/>
    <w:rsid w:val="00FE21B2"/>
    <w:rsid w:val="00FE31F0"/>
    <w:rsid w:val="00FE5B84"/>
    <w:rsid w:val="00FE5C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A4AD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tabs>
        <w:tab w:val="left" w:pos="360"/>
      </w:tabs>
      <w:outlineLvl w:val="0"/>
    </w:pPr>
    <w:rPr>
      <w:rFonts w:ascii="Times New Roman" w:hAnsi="Times New Roman"/>
      <w:u w:val="single"/>
    </w:rPr>
  </w:style>
  <w:style w:type="paragraph" w:styleId="Heading2">
    <w:name w:val="heading 2"/>
    <w:basedOn w:val="Normal"/>
    <w:next w:val="Normal"/>
    <w:link w:val="Heading2Char"/>
    <w:semiHidden/>
    <w:unhideWhenUsed/>
    <w:qFormat/>
    <w:rsid w:val="00B36E7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lockText">
    <w:name w:val="Block Text"/>
    <w:basedOn w:val="Normal"/>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Indent">
    <w:name w:val="Body Text Indent"/>
    <w:basedOn w:val="Normal"/>
    <w:pPr>
      <w:widowControl/>
      <w:tabs>
        <w:tab w:val="left" w:pos="-240"/>
        <w:tab w:val="left" w:pos="-180"/>
        <w:tab w:val="left" w:pos="480"/>
        <w:tab w:val="left" w:pos="1680"/>
        <w:tab w:val="left" w:pos="2280"/>
        <w:tab w:val="left" w:pos="2880"/>
      </w:tabs>
      <w:ind w:left="720"/>
    </w:pPr>
    <w:rPr>
      <w:rFonts w:ascii="Times New Roman" w:hAnsi="Times New Roman"/>
    </w:rPr>
  </w:style>
  <w:style w:type="paragraph" w:styleId="BalloonText">
    <w:name w:val="Balloon Text"/>
    <w:basedOn w:val="Normal"/>
    <w:semiHidden/>
    <w:rsid w:val="00CB4406"/>
    <w:rPr>
      <w:rFonts w:ascii="Tahoma" w:hAnsi="Tahoma" w:cs="Tahoma"/>
      <w:sz w:val="16"/>
      <w:szCs w:val="16"/>
    </w:rPr>
  </w:style>
  <w:style w:type="paragraph" w:styleId="BodyText">
    <w:name w:val="Body Text"/>
    <w:basedOn w:val="Normal"/>
    <w:link w:val="BodyTextChar"/>
    <w:rsid w:val="00FE31F0"/>
    <w:pPr>
      <w:spacing w:after="120"/>
    </w:pPr>
  </w:style>
  <w:style w:type="character" w:customStyle="1" w:styleId="BodyTextChar">
    <w:name w:val="Body Text Char"/>
    <w:link w:val="BodyText"/>
    <w:rsid w:val="00FE31F0"/>
    <w:rPr>
      <w:rFonts w:ascii="Courier" w:hAnsi="Courier"/>
      <w:snapToGrid w:val="0"/>
      <w:sz w:val="24"/>
    </w:rPr>
  </w:style>
  <w:style w:type="character" w:customStyle="1" w:styleId="Heading2Char">
    <w:name w:val="Heading 2 Char"/>
    <w:link w:val="Heading2"/>
    <w:semiHidden/>
    <w:rsid w:val="00B36E7E"/>
    <w:rPr>
      <w:rFonts w:ascii="Cambria" w:eastAsia="Times New Roman" w:hAnsi="Cambria" w:cs="Times New Roman"/>
      <w:b/>
      <w:bCs/>
      <w:i/>
      <w:iCs/>
      <w:snapToGrid w:val="0"/>
      <w:sz w:val="28"/>
      <w:szCs w:val="28"/>
    </w:rPr>
  </w:style>
  <w:style w:type="paragraph" w:styleId="FootnoteText">
    <w:name w:val="footnote text"/>
    <w:aliases w:val="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unhideWhenUsed/>
    <w:rsid w:val="008568F7"/>
    <w:pPr>
      <w:widowControl/>
    </w:pPr>
    <w:rPr>
      <w:rFonts w:ascii="Calibri" w:eastAsia="Calibri" w:hAnsi="Calibri"/>
      <w:snapToGrid/>
      <w:sz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link w:val="FootnoteText"/>
    <w:uiPriority w:val="99"/>
    <w:rsid w:val="008568F7"/>
    <w:rPr>
      <w:rFonts w:ascii="Calibri" w:eastAsia="Calibri" w:hAnsi="Calibri"/>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unhideWhenUsed/>
    <w:rsid w:val="008568F7"/>
    <w:rPr>
      <w:vertAlign w:val="superscript"/>
    </w:rPr>
  </w:style>
  <w:style w:type="character" w:styleId="Emphasis">
    <w:name w:val="Emphasis"/>
    <w:uiPriority w:val="20"/>
    <w:qFormat/>
    <w:rsid w:val="001A4B89"/>
    <w:rPr>
      <w:i/>
      <w:iCs/>
    </w:rPr>
  </w:style>
  <w:style w:type="table" w:styleId="TableGrid">
    <w:name w:val="Table Grid"/>
    <w:basedOn w:val="TableNormal"/>
    <w:uiPriority w:val="39"/>
    <w:rsid w:val="00E455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E7E23-418E-4F68-9BF5-BC5B334E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2024-07-31T17:08:00Z</dcterms:created>
  <dcterms:modified xsi:type="dcterms:W3CDTF">2024-10-07T14:07:00Z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497f61e8-0189-4f58-8955-6a229c954263</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2024-10-07T14:03:47Z</vt:lpwstr>
  </property>
  <property fmtid="{D5CDD505-2E9C-101B-9397-08002B2CF9AE}" pid="8" name="MSIP_Label_3be8ab8c-433c-4394-a4fb-cd2d5c4d0a5e_SiteId">
    <vt:lpwstr>26c83bc9-31c1-4d77-a523-0816095aba31</vt:lpwstr>
  </property>
</Properties>
</file>