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F76ABD8">
      <w:pPr>
        <w:pStyle w:val="NoSpacing"/>
        <w:jc w:val="center"/>
        <w:rPr>
          <w:rFonts w:ascii="Calibri" w:hAnsi="Calibri" w:cs="Calibri"/>
          <w:b/>
          <w:sz w:val="24"/>
        </w:rPr>
      </w:pPr>
      <w:r w:rsidRPr="00532B4F">
        <w:rPr>
          <w:rFonts w:ascii="Calibri" w:hAnsi="Calibri" w:cs="Calibri"/>
          <w:b/>
          <w:sz w:val="24"/>
        </w:rPr>
        <w:t xml:space="preserve">Census </w:t>
      </w:r>
      <w:r w:rsidR="00E244FF">
        <w:rPr>
          <w:rFonts w:ascii="Calibri" w:hAnsi="Calibri" w:cs="Calibri"/>
          <w:b/>
          <w:sz w:val="24"/>
        </w:rPr>
        <w:t>Military</w:t>
      </w:r>
      <w:r w:rsidRPr="00532B4F">
        <w:rPr>
          <w:rFonts w:ascii="Calibri" w:hAnsi="Calibri" w:cs="Calibri"/>
          <w:b/>
          <w:sz w:val="24"/>
        </w:rPr>
        <w:t xml:space="preserve"> Panel</w:t>
      </w:r>
      <w:r w:rsidRPr="00532B4F" w:rsidR="001F2674">
        <w:rPr>
          <w:rFonts w:ascii="Calibri" w:hAnsi="Calibri" w:cs="Calibri"/>
          <w:b/>
          <w:sz w:val="24"/>
        </w:rPr>
        <w:t xml:space="preserve"> </w:t>
      </w:r>
    </w:p>
    <w:p w:rsidR="00201347" w:rsidRPr="00E12A81" w:rsidP="00E12A81" w14:paraId="55C6B4DF" w14:textId="7777777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5122C5">
        <w:rPr>
          <w:rFonts w:ascii="Calibri" w:hAnsi="Calibri" w:cs="Calibri"/>
          <w:b/>
          <w:color w:val="FF0000"/>
          <w:sz w:val="24"/>
        </w:rPr>
        <w:t>XXXX</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A60B58" w:rsidP="00A60B58" w14:paraId="1E11B1B2" w14:textId="676FFC04">
      <w:pPr>
        <w:spacing w:before="144" w:line="360" w:lineRule="auto"/>
        <w:ind w:left="360"/>
        <w:rPr>
          <w:rFonts w:eastAsia="Times New Roman" w:asciiTheme="minorHAnsi" w:hAnsiTheme="minorHAnsi" w:cstheme="minorBidi"/>
          <w:sz w:val="24"/>
          <w:szCs w:val="24"/>
        </w:rPr>
      </w:pPr>
      <w:r w:rsidRPr="00A60B58">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respondents in the interest of collecting high-frequency data. The </w:t>
      </w:r>
      <w:r w:rsidR="00E244FF">
        <w:rPr>
          <w:rFonts w:eastAsia="Times New Roman" w:asciiTheme="minorHAnsi" w:hAnsiTheme="minorHAnsi" w:cstheme="minorBidi"/>
          <w:sz w:val="24"/>
          <w:szCs w:val="24"/>
        </w:rPr>
        <w:t xml:space="preserve">Census </w:t>
      </w:r>
      <w:r w:rsidRPr="00A60B58">
        <w:rPr>
          <w:rFonts w:eastAsia="Times New Roman" w:asciiTheme="minorHAnsi" w:hAnsiTheme="minorHAnsi" w:cstheme="minorBidi"/>
          <w:sz w:val="24"/>
          <w:szCs w:val="24"/>
        </w:rPr>
        <w:t>Military Panel is a national survey panel by the U.S. Census Bureau (Census) and the U.S. Department of Defense (D</w:t>
      </w:r>
      <w:r w:rsidR="00E244FF">
        <w:rPr>
          <w:rFonts w:eastAsia="Times New Roman" w:asciiTheme="minorHAnsi" w:hAnsiTheme="minorHAnsi" w:cstheme="minorBidi"/>
          <w:sz w:val="24"/>
          <w:szCs w:val="24"/>
        </w:rPr>
        <w:t>o</w:t>
      </w:r>
      <w:r w:rsidRPr="00A60B58">
        <w:rPr>
          <w:rFonts w:eastAsia="Times New Roman" w:asciiTheme="minorHAnsi" w:hAnsiTheme="minorHAnsi" w:cstheme="minorBidi"/>
          <w:sz w:val="24"/>
          <w:szCs w:val="24"/>
        </w:rPr>
        <w:t>D). Data collected from service members and their spouses on a variety of topics through the Panel will be used to improve military life and policies affecting active-service members and their families. The panel will consist of active-duty service members and spouses of active-duty service members that have agreed to be contacted and invited to participate. The goal for the overall panel project is to recruit at least 2,000 panel members (1,000 service members and 1,000 spouses), with data collection taking place once every two months, through fiscal year 2025.</w:t>
      </w:r>
    </w:p>
    <w:p w:rsidR="00A60B58" w:rsidRPr="00124446" w:rsidP="007F2304" w14:paraId="3AD79090"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44FF" w:rsidP="00E244FF" w14:paraId="6A2FD9FC" w14:textId="15B35267">
      <w:pPr>
        <w:pStyle w:val="BodyText"/>
        <w:spacing w:before="159" w:line="360" w:lineRule="auto"/>
        <w:ind w:left="403" w:right="317"/>
        <w:rPr>
          <w:rFonts w:ascii="Calibri" w:hAnsi="Calibri" w:cs="Calibri"/>
          <w:bCs/>
          <w:szCs w:val="22"/>
        </w:rPr>
      </w:pPr>
      <w:r w:rsidRPr="00E244FF">
        <w:rPr>
          <w:rFonts w:ascii="Calibri" w:hAnsi="Calibri" w:cs="Calibri"/>
          <w:bCs/>
          <w:szCs w:val="22"/>
        </w:rPr>
        <w:t xml:space="preserve">Current large-scale DoD surveys collect definitive data on an annual or biannual basis.  However, due to rigorous statistical methodology, findings </w:t>
      </w:r>
      <w:r w:rsidRPr="00E244FF" w:rsidR="00A41BC2">
        <w:rPr>
          <w:rFonts w:ascii="Calibri" w:hAnsi="Calibri" w:cs="Calibri"/>
          <w:bCs/>
          <w:szCs w:val="22"/>
        </w:rPr>
        <w:t>lag</w:t>
      </w:r>
      <w:r w:rsidRPr="00E244FF">
        <w:rPr>
          <w:rFonts w:ascii="Calibri" w:hAnsi="Calibri" w:cs="Calibri"/>
          <w:bCs/>
          <w:szCs w:val="22"/>
        </w:rPr>
        <w:t xml:space="preserve"> data collection up to 18 months.  Access to a pool of pre-recruited panel </w:t>
      </w:r>
      <w:r>
        <w:rPr>
          <w:rFonts w:ascii="Calibri" w:hAnsi="Calibri" w:cs="Calibri"/>
          <w:bCs/>
          <w:szCs w:val="22"/>
        </w:rPr>
        <w:t>active-duty service members and spouses of active-duty service members</w:t>
      </w:r>
      <w:r w:rsidRPr="00E244FF">
        <w:rPr>
          <w:rFonts w:ascii="Calibri" w:hAnsi="Calibri" w:cs="Calibri"/>
          <w:bCs/>
          <w:szCs w:val="22"/>
        </w:rPr>
        <w:t xml:space="preserve"> will</w:t>
      </w:r>
      <w:r>
        <w:rPr>
          <w:rFonts w:ascii="Calibri" w:hAnsi="Calibri" w:cs="Calibri"/>
          <w:bCs/>
          <w:szCs w:val="22"/>
        </w:rPr>
        <w:t xml:space="preserve"> allow the Census to rapidly</w:t>
      </w:r>
      <w:r w:rsidRPr="00E244FF">
        <w:rPr>
          <w:rFonts w:ascii="Calibri" w:hAnsi="Calibri" w:cs="Calibri"/>
          <w:bCs/>
          <w:szCs w:val="22"/>
        </w:rPr>
        <w:t xml:space="preserve"> gather data on indicators for key issues, including retention and readiness.  </w:t>
      </w:r>
    </w:p>
    <w:p w:rsidR="00E244FF" w:rsidP="00E244FF" w14:paraId="44FCE0F1" w14:textId="6952BA03">
      <w:pPr>
        <w:pStyle w:val="BodyText"/>
        <w:spacing w:before="159" w:line="360" w:lineRule="auto"/>
        <w:ind w:left="403" w:right="317"/>
        <w:rPr>
          <w:rFonts w:ascii="Calibri" w:hAnsi="Calibri" w:cs="Calibri"/>
          <w:bCs/>
          <w:szCs w:val="22"/>
        </w:rPr>
      </w:pPr>
      <w:r w:rsidRPr="00E244FF">
        <w:rPr>
          <w:rFonts w:ascii="Calibri" w:hAnsi="Calibri" w:cs="Calibri"/>
          <w:bCs/>
          <w:szCs w:val="22"/>
        </w:rPr>
        <w:t xml:space="preserve">Panel survey methodology has a faster turn-around </w:t>
      </w:r>
      <w:r w:rsidR="008B343E">
        <w:rPr>
          <w:rFonts w:ascii="Calibri" w:hAnsi="Calibri" w:cs="Calibri"/>
          <w:bCs/>
          <w:szCs w:val="22"/>
        </w:rPr>
        <w:t>than one-time independent surveys of the population</w:t>
      </w:r>
      <w:r w:rsidRPr="00E244FF">
        <w:rPr>
          <w:rFonts w:ascii="Calibri" w:hAnsi="Calibri" w:cs="Calibri"/>
          <w:bCs/>
          <w:szCs w:val="22"/>
        </w:rPr>
        <w:t>.  Providing</w:t>
      </w:r>
      <w:r>
        <w:rPr>
          <w:rFonts w:ascii="Calibri" w:hAnsi="Calibri" w:cs="Calibri"/>
          <w:bCs/>
          <w:szCs w:val="22"/>
        </w:rPr>
        <w:t xml:space="preserve"> DoD</w:t>
      </w:r>
      <w:r w:rsidRPr="00E244FF">
        <w:rPr>
          <w:rFonts w:ascii="Calibri" w:hAnsi="Calibri" w:cs="Calibri"/>
          <w:bCs/>
          <w:szCs w:val="22"/>
        </w:rPr>
        <w:t xml:space="preserve"> leadership with near “real-time” data to respond to issues, such as food insecurity, housing, financial well-being, and trust in government, aligns </w:t>
      </w:r>
      <w:r>
        <w:rPr>
          <w:rFonts w:ascii="Calibri" w:hAnsi="Calibri" w:cs="Calibri"/>
          <w:bCs/>
          <w:szCs w:val="22"/>
        </w:rPr>
        <w:t xml:space="preserve">the mission of the </w:t>
      </w:r>
      <w:r>
        <w:rPr>
          <w:rFonts w:ascii="Calibri" w:hAnsi="Calibri" w:cs="Calibri"/>
          <w:bCs/>
          <w:szCs w:val="22"/>
        </w:rPr>
        <w:t xml:space="preserve">Department of Defense. </w:t>
      </w:r>
    </w:p>
    <w:p w:rsidR="00E244FF" w14:paraId="1AA70539" w14:textId="77777777">
      <w:pPr>
        <w:pStyle w:val="BodyText"/>
        <w:spacing w:before="159" w:line="259" w:lineRule="auto"/>
        <w:ind w:right="312"/>
        <w:rPr>
          <w:rFonts w:ascii="Calibri" w:hAnsi="Calibri" w:cs="Calibri"/>
          <w:bCs/>
          <w:szCs w:val="22"/>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B82768" w:rsidP="00E244FF" w14:paraId="0D0B940D" w14:textId="26403C3F">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w:t>
      </w:r>
      <w:r w:rsidR="00E244FF">
        <w:rPr>
          <w:rFonts w:asciiTheme="minorHAnsi" w:hAnsiTheme="minorHAnsi" w:cstheme="minorHAnsi"/>
          <w:sz w:val="24"/>
          <w:szCs w:val="24"/>
        </w:rPr>
        <w:t>P</w:t>
      </w:r>
      <w:r w:rsidRPr="00CD6C4D">
        <w:rPr>
          <w:rFonts w:asciiTheme="minorHAnsi" w:hAnsiTheme="minorHAnsi" w:cstheme="minorHAnsi"/>
          <w:sz w:val="24"/>
          <w:szCs w:val="24"/>
        </w:rPr>
        <w:t xml:space="preserve">anel </w:t>
      </w:r>
      <w:r w:rsidR="00241EE1">
        <w:rPr>
          <w:rFonts w:asciiTheme="minorHAnsi" w:hAnsiTheme="minorHAnsi" w:cstheme="minorHAnsi"/>
          <w:sz w:val="24"/>
          <w:szCs w:val="24"/>
        </w:rPr>
        <w:t>will include</w:t>
      </w:r>
      <w:r w:rsidRPr="00CD6C4D">
        <w:rPr>
          <w:rFonts w:asciiTheme="minorHAnsi" w:hAnsiTheme="minorHAnsi" w:cstheme="minorHAnsi"/>
          <w:sz w:val="24"/>
          <w:szCs w:val="24"/>
        </w:rPr>
        <w:t xml:space="preserve"> </w:t>
      </w:r>
      <w:r w:rsidR="00241EE1">
        <w:rPr>
          <w:rFonts w:asciiTheme="minorHAnsi" w:hAnsiTheme="minorHAnsi" w:cstheme="minorHAnsi"/>
          <w:sz w:val="24"/>
          <w:szCs w:val="24"/>
        </w:rPr>
        <w:t>t</w:t>
      </w:r>
      <w:r w:rsidRPr="00E244FF" w:rsidR="00E244FF">
        <w:rPr>
          <w:rFonts w:asciiTheme="minorHAnsi" w:hAnsiTheme="minorHAnsi" w:cstheme="minorHAnsi"/>
          <w:sz w:val="24"/>
          <w:szCs w:val="24"/>
        </w:rPr>
        <w:t>abulations of findings</w:t>
      </w:r>
      <w:r w:rsidR="00A1623E">
        <w:rPr>
          <w:rFonts w:asciiTheme="minorHAnsi" w:hAnsiTheme="minorHAnsi" w:cstheme="minorHAnsi"/>
          <w:sz w:val="24"/>
          <w:szCs w:val="24"/>
        </w:rPr>
        <w:t>,</w:t>
      </w:r>
      <w:r w:rsidRPr="00E244FF" w:rsidR="00E244FF">
        <w:rPr>
          <w:rFonts w:asciiTheme="minorHAnsi" w:hAnsiTheme="minorHAnsi" w:cstheme="minorHAnsi"/>
          <w:sz w:val="24"/>
          <w:szCs w:val="24"/>
        </w:rPr>
        <w:t xml:space="preserve"> </w:t>
      </w:r>
      <w:r w:rsidR="00241EE1">
        <w:rPr>
          <w:rFonts w:asciiTheme="minorHAnsi" w:hAnsiTheme="minorHAnsi" w:cstheme="minorHAnsi"/>
          <w:sz w:val="24"/>
          <w:szCs w:val="24"/>
        </w:rPr>
        <w:t>w</w:t>
      </w:r>
      <w:r w:rsidRPr="00E244FF" w:rsidR="00E244FF">
        <w:rPr>
          <w:rFonts w:asciiTheme="minorHAnsi" w:hAnsiTheme="minorHAnsi" w:cstheme="minorHAnsi"/>
          <w:sz w:val="24"/>
          <w:szCs w:val="24"/>
        </w:rPr>
        <w:t>hite papers</w:t>
      </w:r>
      <w:r w:rsidR="00A162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briefings to be used </w:t>
      </w:r>
      <w:r w:rsidR="00241EE1">
        <w:rPr>
          <w:rFonts w:asciiTheme="minorHAnsi" w:hAnsiTheme="minorHAnsi" w:cstheme="minorHAnsi"/>
          <w:sz w:val="24"/>
          <w:szCs w:val="24"/>
        </w:rPr>
        <w:t xml:space="preserve">internally </w:t>
      </w:r>
      <w:r w:rsidRPr="00E244FF" w:rsidR="00E244FF">
        <w:rPr>
          <w:rFonts w:asciiTheme="minorHAnsi" w:hAnsiTheme="minorHAnsi" w:cstheme="minorHAnsi"/>
          <w:sz w:val="24"/>
          <w:szCs w:val="24"/>
        </w:rPr>
        <w:t xml:space="preserve">by </w:t>
      </w:r>
      <w:r w:rsidR="00241EE1">
        <w:rPr>
          <w:rFonts w:asciiTheme="minorHAnsi" w:hAnsiTheme="minorHAnsi" w:cstheme="minorHAnsi"/>
          <w:sz w:val="24"/>
          <w:szCs w:val="24"/>
        </w:rPr>
        <w:t>DoD</w:t>
      </w:r>
      <w:r w:rsidRPr="00E244FF" w:rsidR="00E244FF">
        <w:rPr>
          <w:rFonts w:asciiTheme="minorHAnsi" w:hAnsiTheme="minorHAnsi" w:cstheme="minorHAnsi"/>
          <w:sz w:val="24"/>
          <w:szCs w:val="24"/>
        </w:rPr>
        <w:t xml:space="preserve"> leadership</w:t>
      </w:r>
      <w:r w:rsidR="00241EE1">
        <w:rPr>
          <w:rFonts w:asciiTheme="minorHAnsi" w:hAnsiTheme="minorHAnsi" w:cstheme="minorHAnsi"/>
          <w:sz w:val="24"/>
          <w:szCs w:val="24"/>
        </w:rPr>
        <w:t xml:space="preserve"> and program areas</w:t>
      </w:r>
      <w:r w:rsidRPr="00E244FF" w:rsidR="00E244FF">
        <w:rPr>
          <w:rFonts w:asciiTheme="minorHAnsi" w:hAnsiTheme="minorHAnsi" w:cstheme="minorHAnsi"/>
          <w:sz w:val="24"/>
          <w:szCs w:val="24"/>
        </w:rPr>
        <w:t xml:space="preserve"> and</w:t>
      </w:r>
      <w:r w:rsidR="00A1623E">
        <w:rPr>
          <w:rFonts w:asciiTheme="minorHAnsi" w:hAnsiTheme="minorHAnsi" w:cstheme="minorHAnsi"/>
          <w:sz w:val="24"/>
          <w:szCs w:val="24"/>
        </w:rPr>
        <w:t>/or</w:t>
      </w:r>
      <w:r w:rsidR="0053667E">
        <w:rPr>
          <w:rFonts w:asciiTheme="minorHAnsi" w:hAnsiTheme="minorHAnsi" w:cstheme="minorHAnsi"/>
          <w:sz w:val="24"/>
          <w:szCs w:val="24"/>
        </w:rPr>
        <w:t xml:space="preserve"> externally by</w:t>
      </w:r>
      <w:r w:rsidRPr="00E244FF" w:rsidR="00E244FF">
        <w:rPr>
          <w:rFonts w:asciiTheme="minorHAnsi" w:hAnsiTheme="minorHAnsi" w:cstheme="minorHAnsi"/>
          <w:sz w:val="24"/>
          <w:szCs w:val="24"/>
        </w:rPr>
        <w:t xml:space="preserve"> Congress to assess and adjust policies/programs to support military resilience, readiness</w:t>
      </w:r>
      <w:r w:rsidR="008B343E">
        <w:rPr>
          <w:rFonts w:asciiTheme="minorHAnsi" w:hAnsiTheme="minorHAnsi" w:cstheme="minorHAnsi"/>
          <w:sz w:val="24"/>
          <w:szCs w:val="24"/>
        </w:rPr>
        <w:t>,</w:t>
      </w:r>
      <w:r w:rsidRPr="00E244FF" w:rsidR="00E244FF">
        <w:rPr>
          <w:rFonts w:asciiTheme="minorHAnsi" w:hAnsiTheme="minorHAnsi" w:cstheme="minorHAnsi"/>
          <w:sz w:val="24"/>
          <w:szCs w:val="24"/>
        </w:rPr>
        <w:t xml:space="preserve"> and retention</w:t>
      </w:r>
      <w:r w:rsidR="00C2335A">
        <w:rPr>
          <w:rFonts w:asciiTheme="minorHAnsi" w:hAnsiTheme="minorHAnsi" w:cstheme="minorHAnsi"/>
          <w:sz w:val="24"/>
          <w:szCs w:val="24"/>
        </w:rPr>
        <w:t>.</w:t>
      </w:r>
      <w:r w:rsidR="00A1623E">
        <w:rPr>
          <w:rFonts w:asciiTheme="minorHAnsi" w:hAnsiTheme="minorHAnsi" w:cstheme="minorHAnsi"/>
          <w:sz w:val="24"/>
          <w:szCs w:val="24"/>
        </w:rPr>
        <w:t xml:space="preserve"> </w:t>
      </w:r>
      <w:r w:rsidRPr="00A1623E" w:rsidR="00A1623E">
        <w:rPr>
          <w:rFonts w:asciiTheme="minorHAnsi" w:hAnsiTheme="minorHAnsi" w:cstheme="minorHAnsi"/>
          <w:sz w:val="24"/>
          <w:szCs w:val="24"/>
        </w:rPr>
        <w:t>Upon DoD leadership approval, results may also be released to the public.</w:t>
      </w:r>
    </w:p>
    <w:p w:rsidR="00A1623E" w:rsidRPr="00B82768" w:rsidP="00E244FF" w14:paraId="5A51EB79" w14:textId="51AD1C9A">
      <w:pPr>
        <w:spacing w:line="360" w:lineRule="auto"/>
        <w:ind w:left="36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70D9424F">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 xml:space="preserve">Census </w:t>
      </w:r>
      <w:r w:rsidR="002F4A9B">
        <w:rPr>
          <w:rFonts w:ascii="Calibri" w:hAnsi="Calibri" w:cs="Calibri"/>
          <w:bCs/>
          <w:sz w:val="24"/>
        </w:rPr>
        <w:t>Military</w:t>
      </w:r>
      <w:r>
        <w:rPr>
          <w:rFonts w:ascii="Calibri" w:hAnsi="Calibri" w:cs="Calibri"/>
          <w:bCs/>
          <w:sz w:val="24"/>
        </w:rPr>
        <w:t xml:space="preserve">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27FEAF94">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w:t>
      </w:r>
      <w:r w:rsidR="00241EE1">
        <w:rPr>
          <w:rFonts w:ascii="Calibri" w:hAnsi="Calibri" w:cs="Calibri"/>
          <w:bCs/>
          <w:sz w:val="24"/>
        </w:rPr>
        <w:t>Military</w:t>
      </w:r>
      <w:r w:rsidRPr="00BF3C29">
        <w:rPr>
          <w:rFonts w:ascii="Calibri" w:hAnsi="Calibri" w:cs="Calibri"/>
          <w:bCs/>
          <w:sz w:val="24"/>
        </w:rPr>
        <w:t xml:space="preserve">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4E7F01F0">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w:t>
      </w:r>
      <w:r w:rsidR="008B343E">
        <w:rPr>
          <w:rFonts w:ascii="Calibri" w:hAnsi="Calibri" w:cs="Calibri"/>
          <w:bCs/>
          <w:sz w:val="24"/>
        </w:rPr>
        <w:t>the DoD</w:t>
      </w:r>
      <w:r w:rsidRPr="00CD6C4D">
        <w:rPr>
          <w:rFonts w:ascii="Calibri" w:hAnsi="Calibri" w:cs="Calibri"/>
          <w:bCs/>
          <w:sz w:val="24"/>
        </w:rPr>
        <w:t xml:space="preserve">.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This research will involve </w:t>
      </w:r>
      <w:r w:rsidRPr="00CD6C4D">
        <w:rPr>
          <w:rFonts w:ascii="Calibri" w:hAnsi="Calibri" w:cs="Calibri"/>
          <w:bCs/>
          <w:sz w:val="24"/>
        </w:rPr>
        <w:t>collaboration with staff from other agencies.  All efforts would be collaborative in nature, and no duplication in this area is anticipated.</w:t>
      </w:r>
    </w:p>
    <w:p w:rsidR="00B82768" w:rsidRPr="00CD6C4D" w:rsidP="3A4BA631" w14:paraId="265EECE8" w14:textId="06FC690A">
      <w:pPr>
        <w:spacing w:before="161" w:line="360" w:lineRule="auto"/>
        <w:ind w:left="360"/>
        <w:rPr>
          <w:rFonts w:ascii="Calibri" w:hAnsi="Calibri" w:cs="Calibri"/>
          <w:sz w:val="24"/>
          <w:szCs w:val="24"/>
        </w:rPr>
      </w:pPr>
      <w:r w:rsidRPr="3A4BA631">
        <w:rPr>
          <w:rFonts w:ascii="Calibri" w:hAnsi="Calibri" w:cs="Calibri"/>
          <w:sz w:val="24"/>
          <w:szCs w:val="24"/>
        </w:rPr>
        <w:t xml:space="preserve"> </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P="01142296" w14:paraId="4B94D5A5" w14:textId="10AE62EC">
      <w:pPr>
        <w:pStyle w:val="BodyText"/>
        <w:spacing w:before="115" w:line="360" w:lineRule="auto"/>
        <w:ind w:left="403"/>
        <w:rPr>
          <w:rFonts w:ascii="Calibri" w:hAnsi="Calibri" w:cs="Calibri"/>
          <w:bCs/>
          <w:szCs w:val="22"/>
        </w:rPr>
      </w:pPr>
      <w:r w:rsidRPr="00241EE1">
        <w:rPr>
          <w:rFonts w:ascii="Calibri" w:hAnsi="Calibri" w:cs="Calibri"/>
          <w:bCs/>
          <w:szCs w:val="22"/>
        </w:rPr>
        <w:t xml:space="preserve">If not </w:t>
      </w:r>
      <w:r w:rsidR="00DD1912">
        <w:rPr>
          <w:rFonts w:ascii="Calibri" w:hAnsi="Calibri" w:cs="Calibri"/>
          <w:bCs/>
          <w:szCs w:val="22"/>
        </w:rPr>
        <w:t>conducted</w:t>
      </w:r>
      <w:r w:rsidRPr="00241EE1">
        <w:rPr>
          <w:rFonts w:ascii="Calibri" w:hAnsi="Calibri" w:cs="Calibri"/>
          <w:bCs/>
          <w:szCs w:val="22"/>
        </w:rPr>
        <w:t xml:space="preserve">, DoD will continue to depend solely on findings from annual/biennial surveys that may lag in response to critical issues of well-being, retention and readiness of military members and families.  DoD also runs the risk of having quick-turn advocacy-driven data collections (e.g., straw polls) dominating the landscape of policy decision-making, such as the DoD’s response to the impact of the COVID-19 pandemic on military members and families. </w:t>
      </w:r>
      <w:r w:rsidR="7F950D85">
        <w:rPr>
          <w:rFonts w:ascii="Calibri" w:hAnsi="Calibri" w:cs="Calibri"/>
          <w:bCs/>
          <w:szCs w:val="22"/>
        </w:rPr>
        <w:t>Without mechanisms such as the Panel, the Census Bureau will miss out on the many benefits of a Panel survey, including the ability to</w:t>
      </w:r>
      <w:r w:rsidRPr="008B19D0" w:rsidR="7F950D85">
        <w:rPr>
          <w:rFonts w:ascii="Calibri" w:hAnsi="Calibri" w:cs="Calibri"/>
          <w:bCs/>
          <w:szCs w:val="22"/>
        </w:rPr>
        <w:t xml:space="preserve"> produce data </w:t>
      </w:r>
      <w:r w:rsidR="7F950D85">
        <w:rPr>
          <w:rFonts w:ascii="Calibri" w:hAnsi="Calibri" w:cs="Calibri"/>
          <w:bCs/>
          <w:szCs w:val="22"/>
        </w:rPr>
        <w:t>close</w:t>
      </w:r>
      <w:r w:rsidRPr="008B19D0" w:rsidR="7F950D85">
        <w:rPr>
          <w:rFonts w:ascii="Calibri" w:hAnsi="Calibri" w:cs="Calibri"/>
          <w:bCs/>
          <w:szCs w:val="22"/>
        </w:rPr>
        <w:t xml:space="preserve"> to real time as the events </w:t>
      </w:r>
      <w:r w:rsidR="7F950D85">
        <w:rPr>
          <w:rFonts w:ascii="Calibri" w:hAnsi="Calibri" w:cs="Calibri"/>
          <w:bCs/>
          <w:szCs w:val="22"/>
        </w:rPr>
        <w:t>develop,</w:t>
      </w:r>
      <w:r>
        <w:rPr>
          <w:rFonts w:ascii="Calibri" w:hAnsi="Calibri" w:cs="Calibri"/>
          <w:bCs/>
          <w:szCs w:val="22"/>
        </w:rPr>
        <w:t xml:space="preserve"> and</w:t>
      </w:r>
      <w:r w:rsidR="7F950D85">
        <w:rPr>
          <w:rFonts w:ascii="Calibri" w:hAnsi="Calibri" w:cs="Calibri"/>
          <w:bCs/>
          <w:szCs w:val="22"/>
        </w:rPr>
        <w:t xml:space="preserve"> </w:t>
      </w:r>
      <w:r w:rsidRPr="008B19D0" w:rsidR="7F950D85">
        <w:rPr>
          <w:rFonts w:ascii="Calibri" w:hAnsi="Calibri" w:cs="Calibri"/>
          <w:bCs/>
          <w:szCs w:val="22"/>
        </w:rPr>
        <w:t xml:space="preserve">research questions related to surveys. </w:t>
      </w:r>
    </w:p>
    <w:p w:rsidR="00241EE1" w:rsidRPr="00124446" w:rsidP="008B19D0" w14:paraId="35A4A45A" w14:textId="77777777">
      <w:pPr>
        <w:pStyle w:val="BodyText"/>
        <w:spacing w:before="115" w:line="360" w:lineRule="auto"/>
        <w:ind w:left="403"/>
        <w:rPr>
          <w:rFonts w:ascii="Calibri" w:hAnsi="Calibri" w:cs="Calibri"/>
        </w:rPr>
      </w:pPr>
    </w:p>
    <w:p w:rsidR="00201347" w:rsidRPr="00124446" w:rsidP="00844D2F" w14:paraId="74BEDF83" w14:textId="7E7B246F">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r w:rsidRPr="00124446">
        <w:rPr>
          <w:rFonts w:ascii="Calibri" w:hAnsi="Calibri" w:cs="Calibri"/>
        </w:rPr>
        <w:t>to</w:t>
      </w:r>
      <w:r w:rsidR="00E21D37">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w:t>
      </w:r>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prepare a written response to a collection of information in fewer than 30 days after receipt of 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requiring the use of a statistical data classification that has not been reviewed and approved by 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59D1C79C">
      <w:pPr>
        <w:spacing w:before="161" w:line="360" w:lineRule="auto"/>
        <w:ind w:left="360"/>
        <w:rPr>
          <w:rFonts w:ascii="Calibri" w:hAnsi="Calibri" w:cs="Calibri"/>
          <w:bCs/>
          <w:sz w:val="24"/>
          <w:szCs w:val="24"/>
        </w:rPr>
      </w:pPr>
      <w:r w:rsidRPr="00CD6C4D">
        <w:rPr>
          <w:rFonts w:ascii="Calibri" w:hAnsi="Calibri" w:cs="Calibri"/>
          <w:bCs/>
          <w:sz w:val="24"/>
          <w:szCs w:val="24"/>
        </w:rPr>
        <w:t>Respondents are not required to participate</w:t>
      </w:r>
      <w:r w:rsidRPr="00CD6C4D" w:rsidR="00AF376E">
        <w:rPr>
          <w:rFonts w:ascii="Calibri" w:hAnsi="Calibri" w:cs="Calibri"/>
          <w:bCs/>
          <w:sz w:val="24"/>
          <w:szCs w:val="24"/>
        </w:rPr>
        <w:t xml:space="preserve"> as </w:t>
      </w:r>
      <w:r w:rsidRPr="00CD6C4D">
        <w:rPr>
          <w:rFonts w:ascii="Calibri" w:hAnsi="Calibri" w:cs="Calibri"/>
          <w:bCs/>
          <w:sz w:val="24"/>
          <w:szCs w:val="24"/>
        </w:rPr>
        <w:t xml:space="preserve">participation is voluntary. The </w:t>
      </w:r>
      <w:r w:rsidR="00241EE1">
        <w:rPr>
          <w:rFonts w:ascii="Calibri" w:hAnsi="Calibri" w:cs="Calibri"/>
          <w:bCs/>
          <w:sz w:val="24"/>
          <w:szCs w:val="24"/>
        </w:rPr>
        <w:t>P</w:t>
      </w:r>
      <w:r w:rsidRPr="00CD6C4D">
        <w:rPr>
          <w:rFonts w:ascii="Calibri" w:hAnsi="Calibri" w:cs="Calibri"/>
          <w:bCs/>
          <w:sz w:val="24"/>
          <w:szCs w:val="24"/>
        </w:rPr>
        <w:t>anel will be designed to produce valid and reliable results that can be generalized to the intended universe</w:t>
      </w:r>
      <w:r w:rsidRPr="00CD6C4D" w:rsidR="00AF376E">
        <w:rPr>
          <w:rFonts w:ascii="Calibri" w:hAnsi="Calibri" w:cs="Calibri"/>
          <w:bCs/>
          <w:sz w:val="24"/>
          <w:szCs w:val="24"/>
        </w:rPr>
        <w:t>,</w:t>
      </w:r>
      <w:r w:rsidRPr="00CD6C4D">
        <w:rPr>
          <w:rFonts w:ascii="Calibri" w:hAnsi="Calibri" w:cs="Calibri"/>
          <w:bCs/>
          <w:sz w:val="24"/>
          <w:szCs w:val="24"/>
        </w:rPr>
        <w:t xml:space="preserve"> or it will be clearly noted otherwise. The </w:t>
      </w:r>
      <w:r w:rsidR="00241EE1">
        <w:rPr>
          <w:rFonts w:ascii="Calibri" w:hAnsi="Calibri" w:cs="Calibri"/>
          <w:bCs/>
          <w:sz w:val="24"/>
          <w:szCs w:val="24"/>
        </w:rPr>
        <w:t>P</w:t>
      </w:r>
      <w:r w:rsidRPr="00CD6C4D">
        <w:rPr>
          <w:rFonts w:ascii="Calibri" w:hAnsi="Calibri" w:cs="Calibri"/>
          <w:bCs/>
          <w:sz w:val="24"/>
          <w:szCs w:val="24"/>
        </w:rPr>
        <w:t>anel will not require the use of a statistical data classification that has not been reviewed and approved by OMB.</w:t>
      </w:r>
      <w:r w:rsidRPr="00CD6C4D">
        <w:rPr>
          <w:bCs/>
          <w:sz w:val="24"/>
          <w:szCs w:val="24"/>
        </w:rPr>
        <w:t xml:space="preserve"> </w:t>
      </w:r>
      <w:r w:rsidRPr="00CD6C4D">
        <w:rPr>
          <w:rFonts w:ascii="Calibri" w:hAnsi="Calibri" w:cs="Calibri"/>
          <w:bCs/>
          <w:sz w:val="24"/>
          <w:szCs w:val="24"/>
        </w:rPr>
        <w:t xml:space="preserve">The </w:t>
      </w:r>
      <w:r w:rsidR="00241EE1">
        <w:rPr>
          <w:rFonts w:ascii="Calibri" w:hAnsi="Calibri" w:cs="Calibri"/>
          <w:bCs/>
          <w:sz w:val="24"/>
          <w:szCs w:val="24"/>
        </w:rPr>
        <w:t>P</w:t>
      </w:r>
      <w:r w:rsidRPr="00CD6C4D">
        <w:rPr>
          <w:rFonts w:ascii="Calibri" w:hAnsi="Calibri" w:cs="Calibri"/>
          <w:bCs/>
          <w:sz w:val="24"/>
          <w:szCs w:val="24"/>
        </w:rPr>
        <w:t>anel will impose confidentiality requirements that are authorized by statute or regulation and will follow any policies consistent with such statutes or regulations. No respondents will be asked to submit proprietary trade secret information.  All data will have all applicable, legally</w:t>
      </w:r>
      <w:r w:rsidRPr="00CD6C4D" w:rsidR="00AF376E">
        <w:rPr>
          <w:rFonts w:ascii="Calibri" w:hAnsi="Calibri" w:cs="Calibri"/>
          <w:bCs/>
          <w:sz w:val="24"/>
          <w:szCs w:val="24"/>
        </w:rPr>
        <w:t xml:space="preserve"> </w:t>
      </w:r>
      <w:r w:rsidRPr="00CD6C4D">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 xml:space="preserve">Consultation with representatives of those from whom information is to be obtained or those who must compile records should occur at least once every 3 years - even if the collection of </w:t>
      </w:r>
      <w:r w:rsidRPr="0056581F">
        <w:rPr>
          <w:rFonts w:ascii="Calibri" w:hAnsi="Calibri" w:cs="Calibri"/>
          <w:b/>
          <w:bCs/>
        </w:rPr>
        <w:t>information activity is the same as in prior periods. There may be circumstances that may preclude consultation in a specific situation. These circumstances should be explained.</w:t>
      </w:r>
    </w:p>
    <w:p w:rsidR="00060FAF" w:rsidP="00606B4E" w14:paraId="63F9301E" w14:textId="444F1AFD">
      <w:pPr>
        <w:spacing w:before="161" w:line="360" w:lineRule="auto"/>
        <w:ind w:left="360"/>
        <w:rPr>
          <w:rFonts w:ascii="Calibri" w:hAnsi="Calibri" w:cs="Calibri"/>
          <w:bCs/>
          <w:sz w:val="24"/>
        </w:rPr>
      </w:pPr>
      <w:r w:rsidRPr="00CD6C4D">
        <w:rPr>
          <w:rFonts w:ascii="Calibri" w:hAnsi="Calibri" w:cs="Calibri"/>
          <w:bCs/>
          <w:sz w:val="24"/>
        </w:rPr>
        <w:t>The Census Bureau published a notice in the Federal Register on February 6, 2023</w:t>
      </w:r>
      <w:r w:rsidR="00E21D37">
        <w:rPr>
          <w:rFonts w:ascii="Calibri" w:hAnsi="Calibri" w:cs="Calibri"/>
          <w:bCs/>
          <w:sz w:val="24"/>
        </w:rPr>
        <w:t>,</w:t>
      </w:r>
      <w:r w:rsidRPr="00CD6C4D">
        <w:rPr>
          <w:rFonts w:ascii="Calibri" w:hAnsi="Calibri" w:cs="Calibri"/>
          <w:bCs/>
          <w:sz w:val="24"/>
        </w:rPr>
        <w:t xml:space="preserve"> soliciting public comments on our plans to submit this request (</w:t>
      </w:r>
      <w:r w:rsidRPr="00CD6C4D" w:rsidR="00AF376E">
        <w:rPr>
          <w:rFonts w:ascii="Calibri" w:hAnsi="Calibri" w:cs="Calibri"/>
          <w:bCs/>
          <w:sz w:val="24"/>
        </w:rPr>
        <w:t>88 FR 7681</w:t>
      </w:r>
      <w:r w:rsidRPr="00CD6C4D">
        <w:rPr>
          <w:rFonts w:ascii="Calibri" w:hAnsi="Calibri" w:cs="Calibri"/>
          <w:bCs/>
          <w:sz w:val="24"/>
        </w:rPr>
        <w:t>). There were no substantively related comments to this data collection.</w:t>
      </w:r>
    </w:p>
    <w:p w:rsidR="001E1B03" w:rsidRPr="00CD6C4D" w:rsidP="00606B4E" w14:paraId="34A3787C" w14:textId="3683A23A">
      <w:pPr>
        <w:spacing w:before="161" w:line="360" w:lineRule="auto"/>
        <w:ind w:left="360"/>
        <w:rPr>
          <w:rFonts w:ascii="Calibri" w:hAnsi="Calibri" w:cs="Calibri"/>
          <w:bCs/>
          <w:sz w:val="24"/>
        </w:rPr>
      </w:pPr>
      <w:r>
        <w:rPr>
          <w:rFonts w:ascii="Calibri" w:hAnsi="Calibri" w:cs="Calibri"/>
          <w:bCs/>
          <w:sz w:val="24"/>
        </w:rPr>
        <w:t xml:space="preserve">The Census Military Panel is conducted on behalf of the U.S. Department of Defense, and all decisions regarding content, contact strategies, and data product development are made in consultation with DoD.  </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20E9A2EF">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making adjustments commensurate with burden.</w:t>
      </w:r>
    </w:p>
    <w:p w:rsidR="00532B4F" w:rsidRPr="00532B4F" w:rsidP="00532B4F" w14:paraId="64A0FC37" w14:textId="65D3F0F0">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w:t>
      </w:r>
      <w:r w:rsidR="00241EE1">
        <w:rPr>
          <w:rFonts w:ascii="Calibri" w:hAnsi="Calibri" w:cs="Calibri"/>
          <w:bCs/>
          <w:sz w:val="24"/>
        </w:rPr>
        <w:t>Military</w:t>
      </w:r>
      <w:r>
        <w:rPr>
          <w:rFonts w:ascii="Calibri" w:hAnsi="Calibri" w:cs="Calibri"/>
          <w:bCs/>
          <w:sz w:val="24"/>
        </w:rPr>
        <w:t xml:space="preserve"> Panel </w:t>
      </w:r>
      <w:r w:rsidRPr="00532B4F">
        <w:rPr>
          <w:rFonts w:ascii="Calibri" w:hAnsi="Calibri" w:cs="Calibri"/>
          <w:bCs/>
          <w:sz w:val="24"/>
        </w:rPr>
        <w:t xml:space="preserve">includes the following: </w:t>
      </w:r>
    </w:p>
    <w:p w:rsidR="00532B4F" w:rsidP="00532B4F" w14:paraId="1E2F0E0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Initial Invitation: $5 visible prepaid incentive with the initial invitation to complete the screener.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36B5EFCB" w14:paraId="4FED359C" w14:textId="22D6E802">
      <w:pPr>
        <w:pStyle w:val="ListParagraph"/>
        <w:numPr>
          <w:ilvl w:val="0"/>
          <w:numId w:val="16"/>
        </w:numPr>
        <w:spacing w:line="360" w:lineRule="auto"/>
        <w:rPr>
          <w:rFonts w:ascii="Calibri" w:hAnsi="Calibri" w:cs="Calibri"/>
          <w:sz w:val="24"/>
          <w:szCs w:val="24"/>
        </w:rPr>
      </w:pPr>
      <w:r w:rsidRPr="659A5C2F">
        <w:rPr>
          <w:rFonts w:ascii="Calibri" w:hAnsi="Calibri" w:cs="Calibri"/>
          <w:sz w:val="24"/>
          <w:szCs w:val="24"/>
        </w:rPr>
        <w:t xml:space="preserve">Topical Surveys: $10 for each </w:t>
      </w:r>
      <w:r w:rsidRPr="659A5C2F" w:rsidR="2FF19E8E">
        <w:rPr>
          <w:rFonts w:ascii="Calibri" w:hAnsi="Calibri" w:cs="Calibri"/>
          <w:sz w:val="24"/>
          <w:szCs w:val="24"/>
        </w:rPr>
        <w:t xml:space="preserve">completed </w:t>
      </w:r>
      <w:r w:rsidRPr="659A5C2F">
        <w:rPr>
          <w:rFonts w:ascii="Calibri" w:hAnsi="Calibri" w:cs="Calibri"/>
          <w:sz w:val="24"/>
          <w:szCs w:val="24"/>
        </w:rPr>
        <w:t xml:space="preserve">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080525">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080525">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080525">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080525">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080525">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080525">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080525">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080525">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080525">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080525">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080525">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080525">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080525">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080525">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665E0B" w:rsidRPr="00665E0B" w:rsidP="00665E0B" w14:paraId="1916789E" w14:textId="22625637">
      <w:pPr>
        <w:pStyle w:val="BodyText"/>
        <w:spacing w:before="158" w:line="360" w:lineRule="auto"/>
        <w:ind w:left="360"/>
        <w:rPr>
          <w:rFonts w:ascii="Calibri" w:hAnsi="Calibri" w:cs="Calibri"/>
          <w:bCs/>
          <w:szCs w:val="22"/>
        </w:rPr>
      </w:pPr>
      <w:r w:rsidRPr="00591765">
        <w:rPr>
          <w:rFonts w:ascii="Calibri" w:hAnsi="Calibri" w:cs="Calibri"/>
          <w:bCs/>
          <w:szCs w:val="22"/>
        </w:rPr>
        <w:t>All respondents who participate in research under this clearance will be informed that the information they provide will not be made available in any way that would personally identify them and that their participation is voluntary.  This disclosure will be made prior to any data collection.</w:t>
      </w:r>
      <w:r>
        <w:rPr>
          <w:rFonts w:ascii="Calibri" w:hAnsi="Calibri" w:cs="Calibri"/>
          <w:bCs/>
          <w:szCs w:val="22"/>
        </w:rPr>
        <w:t xml:space="preserve"> </w:t>
      </w:r>
      <w:r w:rsidRPr="00591765">
        <w:rPr>
          <w:rFonts w:ascii="Calibri" w:hAnsi="Calibri" w:cs="Calibri"/>
          <w:bCs/>
          <w:szCs w:val="22"/>
        </w:rPr>
        <w:t xml:space="preserve">The panel is being conducted under the authority </w:t>
      </w:r>
      <w:r w:rsidRPr="00665E0B">
        <w:rPr>
          <w:rFonts w:ascii="Calibri" w:hAnsi="Calibri" w:cs="Calibri"/>
          <w:bCs/>
          <w:szCs w:val="22"/>
        </w:rPr>
        <w:t>10 U.S.C. Section 1782.</w:t>
      </w: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C13A1" w:rsidRPr="00CD6C4D" w:rsidP="00606B4E" w14:paraId="05BEB6A3" w14:textId="736E13FB">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606B4E" w:rsidP="00591765" w14:paraId="2CEC63AA" w14:textId="77777777">
      <w:pPr>
        <w:pStyle w:val="BodyText"/>
        <w:spacing w:before="80" w:line="360" w:lineRule="auto"/>
        <w:ind w:left="360" w:right="374"/>
        <w:rPr>
          <w:rFonts w:ascii="Calibri" w:hAnsi="Calibri" w:cs="Calibri"/>
          <w:bCs/>
          <w:szCs w:val="22"/>
        </w:rPr>
      </w:pP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7B0DFF38">
      <w:pPr>
        <w:spacing w:line="360" w:lineRule="auto"/>
        <w:ind w:left="360" w:right="360"/>
        <w:rPr>
          <w:rFonts w:ascii="Calibri" w:hAnsi="Calibri" w:cs="Calibri"/>
          <w:sz w:val="24"/>
          <w:szCs w:val="24"/>
        </w:rPr>
      </w:pPr>
      <w:r w:rsidRPr="3A4BA631">
        <w:rPr>
          <w:rFonts w:ascii="Calibri" w:hAnsi="Calibri" w:cs="Calibri"/>
          <w:sz w:val="24"/>
          <w:szCs w:val="24"/>
        </w:rPr>
        <w:t xml:space="preserve">The Census Bureau estimates that, for the average </w:t>
      </w:r>
      <w:r w:rsidR="00B75D30">
        <w:rPr>
          <w:rFonts w:ascii="Calibri" w:hAnsi="Calibri" w:cs="Calibri"/>
          <w:sz w:val="24"/>
          <w:szCs w:val="24"/>
        </w:rPr>
        <w:t>respondent</w:t>
      </w:r>
      <w:r w:rsidRPr="3A4BA631">
        <w:rPr>
          <w:rFonts w:ascii="Calibri" w:hAnsi="Calibri" w:cs="Calibri"/>
          <w:sz w:val="24"/>
          <w:szCs w:val="24"/>
        </w:rPr>
        <w:t>, each survey will take about 20 minutes to complete. This includes the time for reviewing the instructions and answers. For the screener</w:t>
      </w:r>
      <w:r w:rsidR="003C7B12">
        <w:rPr>
          <w:rFonts w:ascii="Calibri" w:hAnsi="Calibri" w:cs="Calibri"/>
          <w:sz w:val="24"/>
          <w:szCs w:val="24"/>
        </w:rPr>
        <w:t>/baseline</w:t>
      </w:r>
      <w:r w:rsidRPr="3A4BA631">
        <w:rPr>
          <w:rFonts w:ascii="Calibri" w:hAnsi="Calibri" w:cs="Calibri"/>
          <w:sz w:val="24"/>
          <w:szCs w:val="24"/>
        </w:rPr>
        <w:t xml:space="preserve"> instrument, we expect </w:t>
      </w:r>
      <w:r w:rsidRPr="3A4BA631" w:rsidR="75604C67">
        <w:rPr>
          <w:rFonts w:ascii="Calibri" w:hAnsi="Calibri" w:cs="Calibri"/>
          <w:sz w:val="24"/>
          <w:szCs w:val="24"/>
        </w:rPr>
        <w:t>to receive</w:t>
      </w:r>
      <w:r w:rsidRPr="3A4BA631">
        <w:rPr>
          <w:rFonts w:ascii="Calibri" w:hAnsi="Calibri" w:cs="Calibri"/>
          <w:sz w:val="24"/>
          <w:szCs w:val="24"/>
        </w:rPr>
        <w:t xml:space="preserve"> 2,500 responses for a total of </w:t>
      </w:r>
      <w:r w:rsidR="00B75D30">
        <w:rPr>
          <w:rFonts w:ascii="Calibri" w:hAnsi="Calibri" w:cs="Calibri"/>
          <w:sz w:val="24"/>
          <w:szCs w:val="24"/>
        </w:rPr>
        <w:t>833</w:t>
      </w:r>
      <w:r w:rsidRPr="3A4BA631">
        <w:rPr>
          <w:rFonts w:ascii="Calibri" w:hAnsi="Calibri" w:cs="Calibri"/>
          <w:sz w:val="24"/>
          <w:szCs w:val="24"/>
        </w:rPr>
        <w:t xml:space="preserve"> burden hours (</w:t>
      </w:r>
      <w:r w:rsidR="00B75D30">
        <w:rPr>
          <w:rFonts w:ascii="Calibri" w:hAnsi="Calibri" w:cs="Calibri"/>
          <w:sz w:val="24"/>
          <w:szCs w:val="24"/>
        </w:rPr>
        <w:t>2,500</w:t>
      </w:r>
      <w:r w:rsidRPr="3A4BA631">
        <w:rPr>
          <w:rFonts w:ascii="Calibri" w:hAnsi="Calibri" w:cs="Calibri"/>
          <w:sz w:val="24"/>
          <w:szCs w:val="24"/>
        </w:rPr>
        <w:t xml:space="preserve"> x 0.3</w:t>
      </w:r>
      <w:r w:rsidR="00B75D30">
        <w:rPr>
          <w:rFonts w:ascii="Calibri" w:hAnsi="Calibri" w:cs="Calibri"/>
          <w:sz w:val="24"/>
          <w:szCs w:val="24"/>
        </w:rPr>
        <w:t>3</w:t>
      </w:r>
      <w:r w:rsidRPr="3A4BA631">
        <w:rPr>
          <w:rFonts w:ascii="Calibri" w:hAnsi="Calibri" w:cs="Calibri"/>
          <w:sz w:val="24"/>
          <w:szCs w:val="24"/>
        </w:rPr>
        <w:t>3</w:t>
      </w:r>
      <w:r w:rsidR="00B75D30">
        <w:rPr>
          <w:rFonts w:ascii="Calibri" w:hAnsi="Calibri" w:cs="Calibri"/>
          <w:sz w:val="24"/>
          <w:szCs w:val="24"/>
        </w:rPr>
        <w:t xml:space="preserve"> </w:t>
      </w:r>
      <w:r w:rsidRPr="3A4BA631">
        <w:rPr>
          <w:rFonts w:ascii="Calibri" w:hAnsi="Calibri" w:cs="Calibri"/>
          <w:sz w:val="24"/>
          <w:szCs w:val="24"/>
        </w:rPr>
        <w:t xml:space="preserve">hours). For each </w:t>
      </w:r>
      <w:r w:rsidR="00B75D30">
        <w:rPr>
          <w:rFonts w:ascii="Calibri" w:hAnsi="Calibri" w:cs="Calibri"/>
          <w:sz w:val="24"/>
          <w:szCs w:val="24"/>
        </w:rPr>
        <w:t>bi-</w:t>
      </w:r>
      <w:r w:rsidRPr="3A4BA631">
        <w:rPr>
          <w:rFonts w:ascii="Calibri" w:hAnsi="Calibri" w:cs="Calibri"/>
          <w:sz w:val="24"/>
          <w:szCs w:val="24"/>
        </w:rPr>
        <w:t xml:space="preserve">monthly collection period, we anticipate receiving </w:t>
      </w:r>
      <w:r w:rsidRPr="003C7B12" w:rsidR="003C7B12">
        <w:rPr>
          <w:rFonts w:ascii="Calibri" w:hAnsi="Calibri" w:cs="Calibri"/>
          <w:sz w:val="24"/>
          <w:szCs w:val="24"/>
        </w:rPr>
        <w:t>1,750</w:t>
      </w:r>
      <w:r w:rsidRPr="003C7B12">
        <w:rPr>
          <w:rFonts w:ascii="Calibri" w:hAnsi="Calibri" w:cs="Calibri"/>
          <w:sz w:val="24"/>
          <w:szCs w:val="24"/>
        </w:rPr>
        <w:t xml:space="preserve"> responses </w:t>
      </w:r>
      <w:r w:rsidRPr="003C7B12" w:rsidR="00B75D30">
        <w:rPr>
          <w:rFonts w:ascii="Calibri" w:hAnsi="Calibri" w:cs="Calibri"/>
          <w:sz w:val="24"/>
          <w:szCs w:val="24"/>
        </w:rPr>
        <w:t>every other</w:t>
      </w:r>
      <w:r w:rsidRPr="003C7B12">
        <w:rPr>
          <w:rFonts w:ascii="Calibri" w:hAnsi="Calibri" w:cs="Calibri"/>
          <w:sz w:val="24"/>
          <w:szCs w:val="24"/>
        </w:rPr>
        <w:t xml:space="preserve"> month (total responses = </w:t>
      </w:r>
      <w:r w:rsidRPr="003C7B12" w:rsidR="003C7B12">
        <w:rPr>
          <w:rFonts w:ascii="Calibri" w:hAnsi="Calibri" w:cs="Calibri"/>
          <w:sz w:val="24"/>
          <w:szCs w:val="24"/>
        </w:rPr>
        <w:t>10,500</w:t>
      </w:r>
      <w:r w:rsidRPr="003C7B12">
        <w:rPr>
          <w:rFonts w:ascii="Calibri" w:hAnsi="Calibri" w:cs="Calibri"/>
          <w:sz w:val="24"/>
          <w:szCs w:val="24"/>
        </w:rPr>
        <w:t>)</w:t>
      </w:r>
      <w:r w:rsidRPr="003C7B12" w:rsidR="003C7B12">
        <w:rPr>
          <w:rFonts w:ascii="Calibri" w:hAnsi="Calibri" w:cs="Calibri"/>
          <w:sz w:val="24"/>
          <w:szCs w:val="24"/>
        </w:rPr>
        <w:t xml:space="preserve"> with a burden of 3,497 hours</w:t>
      </w:r>
      <w:r w:rsidRPr="003C7B12">
        <w:rPr>
          <w:rFonts w:ascii="Calibri" w:hAnsi="Calibri" w:cs="Calibri"/>
          <w:sz w:val="24"/>
          <w:szCs w:val="24"/>
        </w:rPr>
        <w:t xml:space="preserve">. </w:t>
      </w:r>
      <w:r w:rsidRPr="003C7B12">
        <w:rPr>
          <w:rFonts w:ascii="Calibri" w:hAnsi="Calibri" w:cs="Calibri"/>
          <w:sz w:val="24"/>
          <w:szCs w:val="24"/>
        </w:rPr>
        <w:t xml:space="preserve">The total burden is estimated to be </w:t>
      </w:r>
      <w:r w:rsidRPr="003C7B12" w:rsidR="003C7B12">
        <w:rPr>
          <w:rFonts w:ascii="Calibri" w:hAnsi="Calibri" w:cs="Calibri"/>
          <w:sz w:val="24"/>
          <w:szCs w:val="24"/>
        </w:rPr>
        <w:t>4,329</w:t>
      </w:r>
      <w:r w:rsidRPr="003C7B12">
        <w:rPr>
          <w:rFonts w:ascii="Calibri" w:hAnsi="Calibri" w:cs="Calibri"/>
          <w:sz w:val="24"/>
          <w:szCs w:val="24"/>
        </w:rPr>
        <w:t xml:space="preserve"> hours (</w:t>
      </w:r>
      <w:r w:rsidRPr="003C7B12" w:rsidR="003C7B12">
        <w:rPr>
          <w:rFonts w:ascii="Calibri" w:hAnsi="Calibri" w:cs="Calibri"/>
          <w:sz w:val="24"/>
          <w:szCs w:val="24"/>
        </w:rPr>
        <w:t>13,000</w:t>
      </w:r>
      <w:r w:rsidRPr="003C7B12">
        <w:rPr>
          <w:rFonts w:ascii="Calibri" w:hAnsi="Calibri" w:cs="Calibri"/>
          <w:sz w:val="24"/>
          <w:szCs w:val="24"/>
        </w:rPr>
        <w:t xml:space="preserve"> x 0.33</w:t>
      </w:r>
      <w:r w:rsidRPr="003C7B12" w:rsidR="003C7B12">
        <w:rPr>
          <w:rFonts w:ascii="Calibri" w:hAnsi="Calibri" w:cs="Calibri"/>
          <w:sz w:val="24"/>
          <w:szCs w:val="24"/>
        </w:rPr>
        <w:t>3</w:t>
      </w:r>
      <w:r w:rsidRPr="003C7B12">
        <w:rPr>
          <w:rFonts w:ascii="Calibri" w:hAnsi="Calibri" w:cs="Calibri"/>
          <w:sz w:val="24"/>
          <w:szCs w:val="24"/>
        </w:rPr>
        <w:t xml:space="preserve"> hours)</w:t>
      </w:r>
      <w:r w:rsidRPr="003C7B12" w:rsidR="71EF52F1">
        <w:rPr>
          <w:rFonts w:ascii="Calibri" w:hAnsi="Calibri" w:cs="Calibri"/>
          <w:sz w:val="24"/>
          <w:szCs w:val="24"/>
        </w:rPr>
        <w:t xml:space="preserve"> for one year of data collection</w:t>
      </w:r>
      <w:r w:rsidRPr="003C7B12">
        <w:rPr>
          <w:rFonts w:ascii="Calibri" w:hAnsi="Calibri" w:cs="Calibri"/>
          <w:sz w:val="24"/>
          <w:szCs w:val="24"/>
        </w:rPr>
        <w:t>.</w:t>
      </w:r>
      <w:r w:rsidRPr="3A4BA631">
        <w:rPr>
          <w:rFonts w:ascii="Calibri" w:hAnsi="Calibri" w:cs="Calibri"/>
          <w:sz w:val="24"/>
          <w:szCs w:val="24"/>
        </w:rPr>
        <w:t xml:space="preserve">  </w:t>
      </w:r>
    </w:p>
    <w:p w:rsidR="00204999" w:rsidRPr="00204999" w:rsidP="00591765" w14:paraId="5B2B6A1C" w14:textId="77777777">
      <w:pPr>
        <w:spacing w:line="360" w:lineRule="auto"/>
        <w:ind w:left="360" w:right="360"/>
        <w:rPr>
          <w:rFonts w:ascii="Calibri" w:hAnsi="Calibri" w:cs="Calibri"/>
          <w:sz w:val="24"/>
          <w:szCs w:val="24"/>
        </w:rPr>
      </w:pPr>
    </w:p>
    <w:p w:rsidR="00204999" w:rsidP="00591765" w14:paraId="0BEC1074" w14:textId="4B80D0EA">
      <w:pPr>
        <w:spacing w:line="360" w:lineRule="auto"/>
        <w:ind w:left="360" w:right="360"/>
        <w:rPr>
          <w:rFonts w:ascii="Calibri" w:hAnsi="Calibri" w:cs="Calibri"/>
          <w:sz w:val="24"/>
          <w:szCs w:val="24"/>
        </w:rPr>
      </w:pPr>
      <w:r w:rsidRPr="00204999">
        <w:rPr>
          <w:rFonts w:ascii="Calibri" w:hAnsi="Calibri" w:cs="Calibri"/>
          <w:sz w:val="24"/>
          <w:szCs w:val="24"/>
        </w:rPr>
        <w:t>For individuals, the wage rate is $25.72 per hour based on hourly earnings for employees as reported by the Bureau of Labor Statistics.</w:t>
      </w:r>
      <w:r>
        <w:rPr>
          <w:rFonts w:ascii="Calibri" w:hAnsi="Calibri" w:cs="Calibri"/>
          <w:sz w:val="24"/>
          <w:szCs w:val="24"/>
        </w:rPr>
        <w:t xml:space="preserve"> </w:t>
      </w:r>
      <w:r w:rsidRPr="00204999">
        <w:rPr>
          <w:rFonts w:ascii="Calibri" w:hAnsi="Calibri" w:cs="Calibri"/>
          <w:sz w:val="24"/>
          <w:szCs w:val="24"/>
        </w:rPr>
        <w:t>We calculate the cost of a respondent’s time to complete this survey to be $8.49</w:t>
      </w:r>
      <w:r>
        <w:rPr>
          <w:rFonts w:ascii="Calibri" w:hAnsi="Calibri" w:cs="Calibri"/>
          <w:sz w:val="24"/>
          <w:szCs w:val="24"/>
        </w:rPr>
        <w:t xml:space="preserve"> ($25.72 x 0.333)</w:t>
      </w:r>
      <w:r w:rsidRPr="00204999">
        <w:rPr>
          <w:rFonts w:ascii="Calibri" w:hAnsi="Calibri" w:cs="Calibri"/>
          <w:sz w:val="24"/>
          <w:szCs w:val="24"/>
        </w:rPr>
        <w:t>. The estimated total annual respondent cost burden based on these hours is $</w:t>
      </w:r>
      <w:r w:rsidR="003C7B12">
        <w:rPr>
          <w:rFonts w:ascii="Calibri" w:hAnsi="Calibri" w:cs="Calibri"/>
          <w:sz w:val="24"/>
          <w:szCs w:val="24"/>
        </w:rPr>
        <w:t>111,342</w:t>
      </w:r>
      <w:r w:rsidRPr="00204999">
        <w:rPr>
          <w:rFonts w:ascii="Calibri" w:hAnsi="Calibri" w:cs="Calibri"/>
          <w:sz w:val="24"/>
          <w:szCs w:val="24"/>
        </w:rPr>
        <w:t xml:space="preserve">. </w:t>
      </w:r>
    </w:p>
    <w:tbl>
      <w:tblPr>
        <w:tblW w:w="10610" w:type="dxa"/>
        <w:tblLook w:val="04A0"/>
      </w:tblPr>
      <w:tblGrid>
        <w:gridCol w:w="2032"/>
        <w:gridCol w:w="1722"/>
        <w:gridCol w:w="1512"/>
        <w:gridCol w:w="1474"/>
        <w:gridCol w:w="1080"/>
        <w:gridCol w:w="1170"/>
        <w:gridCol w:w="1620"/>
      </w:tblGrid>
      <w:tr w14:paraId="1674D24C" w14:textId="77777777" w:rsidTr="003C7B12">
        <w:tblPrEx>
          <w:tblW w:w="10610" w:type="dxa"/>
          <w:tblLook w:val="04A0"/>
        </w:tblPrEx>
        <w:trPr>
          <w:trHeight w:val="930"/>
        </w:trPr>
        <w:tc>
          <w:tcPr>
            <w:tcW w:w="2032" w:type="dxa"/>
            <w:tcBorders>
              <w:top w:val="single" w:sz="8" w:space="0" w:color="auto"/>
              <w:left w:val="single" w:sz="8" w:space="0" w:color="auto"/>
              <w:bottom w:val="single" w:sz="4" w:space="0" w:color="auto"/>
              <w:right w:val="single" w:sz="8" w:space="0" w:color="auto"/>
            </w:tcBorders>
            <w:shd w:val="clear" w:color="000000" w:fill="E5E5E5"/>
            <w:vAlign w:val="center"/>
            <w:hideMark/>
          </w:tcPr>
          <w:p w:rsidR="00C2335A" w:rsidRPr="00C2335A" w:rsidP="00C2335A" w14:paraId="3454A7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Information Collection Instrument</w:t>
            </w:r>
          </w:p>
        </w:tc>
        <w:tc>
          <w:tcPr>
            <w:tcW w:w="172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EAFD80F"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Type of Respondent</w:t>
            </w:r>
          </w:p>
        </w:tc>
        <w:tc>
          <w:tcPr>
            <w:tcW w:w="1512"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B0078A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Expected</w:t>
            </w:r>
            <w:r w:rsidRPr="00C2335A">
              <w:rPr>
                <w:rFonts w:ascii="Calibri" w:eastAsia="Times New Roman" w:hAnsi="Calibri" w:cs="Calibri"/>
                <w:b/>
                <w:bCs/>
                <w:color w:val="000000"/>
                <w:sz w:val="24"/>
                <w:szCs w:val="24"/>
                <w:lang w:bidi="ar-SA"/>
              </w:rPr>
              <w:br/>
              <w:t>Number of Respondents</w:t>
            </w:r>
          </w:p>
        </w:tc>
        <w:tc>
          <w:tcPr>
            <w:tcW w:w="1474"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4C20E01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Average Burden per Response</w:t>
            </w:r>
          </w:p>
        </w:tc>
        <w:tc>
          <w:tcPr>
            <w:tcW w:w="108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4422BF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Burden Hours</w:t>
            </w:r>
          </w:p>
        </w:tc>
        <w:tc>
          <w:tcPr>
            <w:tcW w:w="117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199CCF5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Hourly Wage Rate</w:t>
            </w:r>
          </w:p>
        </w:tc>
        <w:tc>
          <w:tcPr>
            <w:tcW w:w="1620" w:type="dxa"/>
            <w:tcBorders>
              <w:top w:val="single" w:sz="8" w:space="0" w:color="auto"/>
              <w:left w:val="nil"/>
              <w:bottom w:val="single" w:sz="4" w:space="0" w:color="auto"/>
              <w:right w:val="single" w:sz="8" w:space="0" w:color="auto"/>
            </w:tcBorders>
            <w:shd w:val="clear" w:color="000000" w:fill="E5E5E5"/>
            <w:vAlign w:val="center"/>
            <w:hideMark/>
          </w:tcPr>
          <w:p w:rsidR="00C2335A" w:rsidRPr="00C2335A" w:rsidP="00C2335A" w14:paraId="2FCAE9B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 Respondent Cost</w:t>
            </w:r>
          </w:p>
        </w:tc>
      </w:tr>
      <w:tr w14:paraId="286E2286" w14:textId="77777777" w:rsidTr="003C7B12">
        <w:tblPrEx>
          <w:tblW w:w="10610" w:type="dxa"/>
          <w:tblLook w:val="04A0"/>
        </w:tblPrEx>
        <w:trPr>
          <w:trHeight w:val="630"/>
        </w:trPr>
        <w:tc>
          <w:tcPr>
            <w:tcW w:w="2032" w:type="dxa"/>
            <w:tcBorders>
              <w:top w:val="nil"/>
              <w:left w:val="single" w:sz="8" w:space="0" w:color="auto"/>
              <w:bottom w:val="single" w:sz="8" w:space="0" w:color="auto"/>
              <w:right w:val="single" w:sz="8" w:space="0" w:color="auto"/>
            </w:tcBorders>
            <w:shd w:val="clear" w:color="auto" w:fill="auto"/>
            <w:vAlign w:val="center"/>
            <w:hideMark/>
          </w:tcPr>
          <w:p w:rsidR="00C2335A" w:rsidRPr="00C2335A" w:rsidP="00C2335A" w14:paraId="1AB465A9"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Screener/Baseline</w:t>
            </w:r>
          </w:p>
        </w:tc>
        <w:tc>
          <w:tcPr>
            <w:tcW w:w="1722" w:type="dxa"/>
            <w:tcBorders>
              <w:top w:val="nil"/>
              <w:left w:val="nil"/>
              <w:bottom w:val="single" w:sz="8" w:space="0" w:color="auto"/>
              <w:right w:val="single" w:sz="8" w:space="0" w:color="auto"/>
            </w:tcBorders>
            <w:shd w:val="clear" w:color="auto" w:fill="auto"/>
            <w:vAlign w:val="center"/>
            <w:hideMark/>
          </w:tcPr>
          <w:p w:rsidR="00C2335A" w:rsidRPr="00C2335A" w:rsidP="00C2335A" w14:paraId="15ACB2C7"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nil"/>
              <w:left w:val="nil"/>
              <w:bottom w:val="single" w:sz="8" w:space="0" w:color="auto"/>
              <w:right w:val="single" w:sz="8" w:space="0" w:color="auto"/>
            </w:tcBorders>
            <w:shd w:val="clear" w:color="auto" w:fill="auto"/>
            <w:vAlign w:val="center"/>
            <w:hideMark/>
          </w:tcPr>
          <w:p w:rsidR="00C2335A" w:rsidRPr="00C2335A" w:rsidP="00C2335A" w14:paraId="1D53407B"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2,500</w:t>
            </w:r>
          </w:p>
        </w:tc>
        <w:tc>
          <w:tcPr>
            <w:tcW w:w="1474" w:type="dxa"/>
            <w:tcBorders>
              <w:top w:val="nil"/>
              <w:left w:val="nil"/>
              <w:bottom w:val="single" w:sz="8" w:space="0" w:color="auto"/>
              <w:right w:val="single" w:sz="8" w:space="0" w:color="auto"/>
            </w:tcBorders>
            <w:shd w:val="clear" w:color="auto" w:fill="auto"/>
            <w:vAlign w:val="center"/>
            <w:hideMark/>
          </w:tcPr>
          <w:p w:rsidR="00C2335A" w:rsidRPr="00C2335A" w:rsidP="00C2335A" w14:paraId="1DDD6D67"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nil"/>
              <w:left w:val="nil"/>
              <w:bottom w:val="single" w:sz="8" w:space="0" w:color="auto"/>
              <w:right w:val="single" w:sz="8" w:space="0" w:color="auto"/>
            </w:tcBorders>
            <w:shd w:val="clear" w:color="auto" w:fill="auto"/>
            <w:vAlign w:val="center"/>
            <w:hideMark/>
          </w:tcPr>
          <w:p w:rsidR="00C2335A" w:rsidRPr="00C2335A" w:rsidP="00C2335A" w14:paraId="52BABD2B"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833</w:t>
            </w:r>
          </w:p>
        </w:tc>
        <w:tc>
          <w:tcPr>
            <w:tcW w:w="1170" w:type="dxa"/>
            <w:tcBorders>
              <w:top w:val="nil"/>
              <w:left w:val="nil"/>
              <w:bottom w:val="single" w:sz="8" w:space="0" w:color="auto"/>
              <w:right w:val="single" w:sz="8" w:space="0" w:color="auto"/>
            </w:tcBorders>
            <w:shd w:val="clear" w:color="auto" w:fill="auto"/>
            <w:vAlign w:val="center"/>
            <w:hideMark/>
          </w:tcPr>
          <w:p w:rsidR="00C2335A" w:rsidRPr="00C2335A" w:rsidP="00C2335A" w14:paraId="60F7EFAA"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nil"/>
              <w:left w:val="nil"/>
              <w:bottom w:val="single" w:sz="8" w:space="0" w:color="auto"/>
              <w:right w:val="single" w:sz="8" w:space="0" w:color="auto"/>
            </w:tcBorders>
            <w:shd w:val="clear" w:color="auto" w:fill="auto"/>
            <w:vAlign w:val="center"/>
            <w:hideMark/>
          </w:tcPr>
          <w:p w:rsidR="00C2335A" w:rsidRPr="00C2335A" w:rsidP="00C2335A" w14:paraId="22B22CD1" w14:textId="77777777">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$21,412 </w:t>
            </w:r>
          </w:p>
        </w:tc>
      </w:tr>
      <w:tr w14:paraId="329C50D8" w14:textId="77777777" w:rsidTr="003C7B12">
        <w:tblPrEx>
          <w:tblW w:w="10610" w:type="dxa"/>
          <w:tblLook w:val="04A0"/>
        </w:tblPrEx>
        <w:trPr>
          <w:trHeight w:val="63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242F24EE"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Bi-Monthly Survey</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A8856B"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Military Member or Spouse</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3F13343C" w14:textId="6775CD3E">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10,500</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EC7BDE2"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2FCC6A02" w14:textId="257485E1">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3,497</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00B9F93"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8F5A3DD" w14:textId="31769E77">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w:t>
            </w:r>
            <w:r w:rsidR="003C7B12">
              <w:rPr>
                <w:rFonts w:ascii="Calibri" w:eastAsia="Times New Roman" w:hAnsi="Calibri" w:cs="Calibri"/>
                <w:b/>
                <w:bCs/>
                <w:color w:val="000000"/>
                <w:sz w:val="24"/>
                <w:szCs w:val="24"/>
                <w:lang w:bidi="ar-SA"/>
              </w:rPr>
              <w:t>89,930</w:t>
            </w:r>
          </w:p>
        </w:tc>
      </w:tr>
      <w:tr w14:paraId="13F786D3" w14:textId="77777777" w:rsidTr="003C7B12">
        <w:tblPrEx>
          <w:tblW w:w="10610" w:type="dxa"/>
          <w:tblLook w:val="04A0"/>
        </w:tblPrEx>
        <w:trPr>
          <w:trHeight w:val="320"/>
        </w:trPr>
        <w:tc>
          <w:tcPr>
            <w:tcW w:w="203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2335A" w:rsidRPr="00C2335A" w:rsidP="00C2335A" w14:paraId="31D6361A"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Totals</w:t>
            </w:r>
          </w:p>
        </w:tc>
        <w:tc>
          <w:tcPr>
            <w:tcW w:w="172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01E64FCD" w14:textId="77777777">
            <w:pPr>
              <w:widowControl/>
              <w:autoSpaceDE/>
              <w:autoSpaceDN/>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7B902277" w14:textId="0F768C4B">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13,000</w:t>
            </w:r>
          </w:p>
        </w:tc>
        <w:tc>
          <w:tcPr>
            <w:tcW w:w="1474"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63873BDF" w14:textId="77777777">
            <w:pPr>
              <w:widowControl/>
              <w:autoSpaceDE/>
              <w:autoSpaceDN/>
              <w:jc w:val="center"/>
              <w:rPr>
                <w:rFonts w:ascii="Calibri" w:eastAsia="Times New Roman" w:hAnsi="Calibri" w:cs="Calibri"/>
                <w:b/>
                <w:bCs/>
                <w:sz w:val="24"/>
                <w:szCs w:val="24"/>
                <w:lang w:bidi="ar-SA"/>
              </w:rPr>
            </w:pPr>
            <w:r w:rsidRPr="00C2335A">
              <w:rPr>
                <w:rFonts w:ascii="Calibri" w:eastAsia="Times New Roman" w:hAnsi="Calibri" w:cs="Calibri"/>
                <w:b/>
                <w:bCs/>
                <w:sz w:val="24"/>
                <w:szCs w:val="24"/>
                <w:lang w:bidi="ar-SA"/>
              </w:rPr>
              <w:t>0.333</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610C888" w14:textId="16637E0A">
            <w:pPr>
              <w:widowControl/>
              <w:autoSpaceDE/>
              <w:autoSpaceDN/>
              <w:jc w:val="center"/>
              <w:rPr>
                <w:rFonts w:ascii="Calibri" w:eastAsia="Times New Roman" w:hAnsi="Calibri" w:cs="Calibri"/>
                <w:b/>
                <w:bCs/>
                <w:sz w:val="24"/>
                <w:szCs w:val="24"/>
                <w:lang w:bidi="ar-SA"/>
              </w:rPr>
            </w:pPr>
            <w:r w:rsidRPr="00D27B43">
              <w:rPr>
                <w:rFonts w:ascii="Calibri" w:eastAsia="Times New Roman" w:hAnsi="Calibri" w:cs="Calibri"/>
                <w:b/>
                <w:bCs/>
                <w:sz w:val="24"/>
                <w:szCs w:val="24"/>
                <w:lang w:bidi="ar-SA"/>
              </w:rPr>
              <w:t>4,329</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5CE9E02C" w14:textId="77777777">
            <w:pPr>
              <w:widowControl/>
              <w:autoSpaceDE/>
              <w:autoSpaceDN/>
              <w:jc w:val="center"/>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 xml:space="preserve">$25.72 </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C2335A" w:rsidRPr="00C2335A" w:rsidP="00C2335A" w14:paraId="1349DEDD" w14:textId="3B6E736A">
            <w:pPr>
              <w:widowControl/>
              <w:autoSpaceDE/>
              <w:autoSpaceDN/>
              <w:ind w:firstLine="480" w:firstLineChars="200"/>
              <w:rPr>
                <w:rFonts w:ascii="Calibri" w:eastAsia="Times New Roman" w:hAnsi="Calibri" w:cs="Calibri"/>
                <w:b/>
                <w:bCs/>
                <w:color w:val="000000"/>
                <w:sz w:val="24"/>
                <w:szCs w:val="24"/>
                <w:lang w:bidi="ar-SA"/>
              </w:rPr>
            </w:pPr>
            <w:r w:rsidRPr="00C2335A">
              <w:rPr>
                <w:rFonts w:ascii="Calibri" w:eastAsia="Times New Roman" w:hAnsi="Calibri" w:cs="Calibri"/>
                <w:b/>
                <w:bCs/>
                <w:color w:val="000000"/>
                <w:sz w:val="24"/>
                <w:szCs w:val="24"/>
                <w:lang w:bidi="ar-SA"/>
              </w:rPr>
              <w:t>$</w:t>
            </w:r>
            <w:r w:rsidR="003C7B12">
              <w:rPr>
                <w:rFonts w:ascii="Calibri" w:eastAsia="Times New Roman" w:hAnsi="Calibri" w:cs="Calibri"/>
                <w:b/>
                <w:bCs/>
                <w:color w:val="000000"/>
                <w:sz w:val="24"/>
                <w:szCs w:val="24"/>
                <w:lang w:bidi="ar-SA"/>
              </w:rPr>
              <w:t>111,342</w:t>
            </w:r>
            <w:r w:rsidRPr="00C2335A">
              <w:rPr>
                <w:rFonts w:ascii="Calibri" w:eastAsia="Times New Roman" w:hAnsi="Calibri" w:cs="Calibri"/>
                <w:b/>
                <w:bCs/>
                <w:color w:val="000000"/>
                <w:sz w:val="24"/>
                <w:szCs w:val="24"/>
                <w:lang w:bidi="ar-SA"/>
              </w:rPr>
              <w:t xml:space="preserve"> </w:t>
            </w:r>
          </w:p>
        </w:tc>
      </w:tr>
    </w:tbl>
    <w:p w:rsidR="00B75D30" w:rsidRPr="00204999" w:rsidP="00591765" w14:paraId="094F9AEC" w14:textId="77777777">
      <w:pPr>
        <w:spacing w:line="360" w:lineRule="auto"/>
        <w:ind w:left="360" w:right="360"/>
        <w:rPr>
          <w:rFonts w:ascii="Calibri" w:hAnsi="Calibri" w:cs="Calibri"/>
          <w:sz w:val="24"/>
          <w:szCs w:val="24"/>
        </w:rPr>
      </w:pPr>
    </w:p>
    <w:p w:rsidR="00201347" w:rsidRPr="00A82C0C" w:rsidP="00C2335A" w14:paraId="3F30C93F" w14:textId="77777777">
      <w:pPr>
        <w:pStyle w:val="ListParagraph"/>
        <w:numPr>
          <w:ilvl w:val="0"/>
          <w:numId w:val="7"/>
        </w:numPr>
        <w:spacing w:line="259" w:lineRule="auto"/>
        <w:ind w:left="360" w:right="-108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P="00591765" w14:paraId="7ABB2A12" w14:textId="010B0CF5">
      <w:pPr>
        <w:spacing w:line="360" w:lineRule="auto"/>
        <w:ind w:left="360"/>
        <w:rPr>
          <w:rFonts w:ascii="Calibri" w:hAnsi="Calibri" w:cs="Calibri"/>
          <w:bCs/>
          <w:sz w:val="24"/>
        </w:rPr>
      </w:pPr>
      <w:r w:rsidRPr="00BE642B">
        <w:rPr>
          <w:rFonts w:ascii="Calibri" w:hAnsi="Calibri" w:cs="Calibri"/>
          <w:bCs/>
          <w:sz w:val="24"/>
        </w:rPr>
        <w:t xml:space="preserve">The government cost for the Census </w:t>
      </w:r>
      <w:r w:rsidR="00886B0C">
        <w:rPr>
          <w:rFonts w:ascii="Calibri" w:hAnsi="Calibri" w:cs="Calibri"/>
          <w:bCs/>
          <w:sz w:val="24"/>
        </w:rPr>
        <w:t>Military</w:t>
      </w:r>
      <w:r w:rsidRPr="00BE642B">
        <w:rPr>
          <w:rFonts w:ascii="Calibri" w:hAnsi="Calibri" w:cs="Calibri"/>
          <w:bCs/>
          <w:sz w:val="24"/>
        </w:rPr>
        <w:t xml:space="preserve"> Panel is approximately $</w:t>
      </w:r>
      <w:r w:rsidRPr="00BE642B" w:rsidR="00BF3C29">
        <w:rPr>
          <w:rFonts w:ascii="Calibri" w:hAnsi="Calibri" w:cs="Calibri"/>
          <w:bCs/>
          <w:sz w:val="24"/>
        </w:rPr>
        <w:t>2</w:t>
      </w:r>
      <w:r w:rsidR="00886B0C">
        <w:rPr>
          <w:rFonts w:ascii="Calibri" w:hAnsi="Calibri" w:cs="Calibri"/>
          <w:bCs/>
          <w:sz w:val="24"/>
        </w:rPr>
        <w:t>.5</w:t>
      </w:r>
      <w:r w:rsidRPr="00BE642B" w:rsidR="00BE642B">
        <w:rPr>
          <w:rFonts w:ascii="Calibri" w:hAnsi="Calibri" w:cs="Calibri"/>
          <w:bCs/>
          <w:sz w:val="24"/>
        </w:rPr>
        <w:t>M</w:t>
      </w:r>
      <w:r w:rsidRPr="00BE642B">
        <w:rPr>
          <w:rFonts w:ascii="Calibri" w:hAnsi="Calibri" w:cs="Calibri"/>
          <w:bCs/>
          <w:sz w:val="24"/>
        </w:rPr>
        <w:t xml:space="preserve"> per year.  This assumes data collection would continue </w:t>
      </w:r>
      <w:r w:rsidR="00886B0C">
        <w:rPr>
          <w:rFonts w:ascii="Calibri" w:hAnsi="Calibri" w:cs="Calibri"/>
          <w:bCs/>
          <w:sz w:val="24"/>
        </w:rPr>
        <w:t>bi-</w:t>
      </w:r>
      <w:r w:rsidRPr="00BE642B">
        <w:rPr>
          <w:rFonts w:ascii="Calibri" w:hAnsi="Calibri" w:cs="Calibri"/>
          <w:bCs/>
          <w:sz w:val="24"/>
        </w:rPr>
        <w:t xml:space="preserve">monthly starting in August 2023.  Census </w:t>
      </w:r>
      <w:r w:rsidR="00886B0C">
        <w:rPr>
          <w:rFonts w:ascii="Calibri" w:hAnsi="Calibri" w:cs="Calibri"/>
          <w:bCs/>
          <w:sz w:val="24"/>
        </w:rPr>
        <w:t>Military</w:t>
      </w:r>
      <w:r w:rsidRPr="00BE642B">
        <w:rPr>
          <w:rFonts w:ascii="Calibri" w:hAnsi="Calibri" w:cs="Calibri"/>
          <w:bCs/>
          <w:sz w:val="24"/>
        </w:rPr>
        <w:t xml:space="preserve"> Panel </w:t>
      </w:r>
      <w:r w:rsidR="00666D27">
        <w:rPr>
          <w:rFonts w:ascii="Calibri" w:hAnsi="Calibri" w:cs="Calibri"/>
          <w:bCs/>
          <w:sz w:val="24"/>
        </w:rPr>
        <w:t xml:space="preserve">costs </w:t>
      </w:r>
      <w:r w:rsidRPr="00BE642B">
        <w:rPr>
          <w:rFonts w:ascii="Calibri" w:hAnsi="Calibri" w:cs="Calibri"/>
          <w:bCs/>
          <w:sz w:val="24"/>
        </w:rPr>
        <w:t>include subscriptions costs for Qualtrics and costs of monetary incentives.</w:t>
      </w:r>
    </w:p>
    <w:p w:rsidR="00886B0C" w:rsidRPr="00BE642B" w:rsidP="00591765" w14:paraId="4DF2A3CC" w14:textId="77777777">
      <w:pPr>
        <w:spacing w:line="360" w:lineRule="auto"/>
        <w:ind w:left="360"/>
        <w:rPr>
          <w:rFonts w:ascii="Calibri" w:hAnsi="Calibri" w:cs="Calibri"/>
          <w:bCs/>
          <w:sz w:val="24"/>
        </w:rPr>
      </w:pPr>
    </w:p>
    <w:tbl>
      <w:tblPr>
        <w:tblW w:w="6590" w:type="dxa"/>
        <w:tblInd w:w="440" w:type="dxa"/>
        <w:tblLook w:val="04A0"/>
      </w:tblPr>
      <w:tblGrid>
        <w:gridCol w:w="4800"/>
        <w:gridCol w:w="1790"/>
      </w:tblGrid>
      <w:tr w14:paraId="382A4E90" w14:textId="77777777" w:rsidTr="002F4A9B">
        <w:tblPrEx>
          <w:tblW w:w="6590" w:type="dxa"/>
          <w:tblInd w:w="4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886B0C" w:rsidRPr="00886B0C" w:rsidP="00886B0C" w14:paraId="2BA0AE1F" w14:textId="3D9929AC">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Annualized Costs</w:t>
            </w:r>
          </w:p>
        </w:tc>
        <w:tc>
          <w:tcPr>
            <w:tcW w:w="17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4E44958E" w14:textId="77777777">
            <w:pPr>
              <w:widowControl/>
              <w:autoSpaceDE/>
              <w:autoSpaceDN/>
              <w:jc w:val="center"/>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Total</w:t>
            </w:r>
          </w:p>
        </w:tc>
      </w:tr>
      <w:tr w14:paraId="65077093" w14:textId="77777777" w:rsidTr="002F4A9B">
        <w:tblPrEx>
          <w:tblW w:w="6590" w:type="dxa"/>
          <w:tblInd w:w="440" w:type="dxa"/>
          <w:tblLook w:val="04A0"/>
        </w:tblPrEx>
        <w:trPr>
          <w:trHeight w:val="432"/>
        </w:trPr>
        <w:tc>
          <w:tcPr>
            <w:tcW w:w="4800" w:type="dxa"/>
            <w:tcBorders>
              <w:top w:val="nil"/>
              <w:left w:val="single" w:sz="8" w:space="0" w:color="auto"/>
              <w:bottom w:val="nil"/>
              <w:right w:val="nil"/>
            </w:tcBorders>
            <w:shd w:val="clear" w:color="auto" w:fill="auto"/>
            <w:noWrap/>
            <w:vAlign w:val="bottom"/>
            <w:hideMark/>
          </w:tcPr>
          <w:p w:rsidR="00886B0C" w:rsidRPr="00886B0C" w:rsidP="00886B0C" w14:paraId="4A14CC5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Project Management</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1AEF2FBF"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414,019 </w:t>
            </w:r>
          </w:p>
        </w:tc>
      </w:tr>
      <w:tr w14:paraId="3FAEADEA" w14:textId="77777777" w:rsidTr="002F4A9B">
        <w:tblPrEx>
          <w:tblW w:w="6590" w:type="dxa"/>
          <w:tblInd w:w="440" w:type="dxa"/>
          <w:tblLook w:val="04A0"/>
        </w:tblPrEx>
        <w:trPr>
          <w:trHeight w:val="432"/>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886B0C" w:rsidRPr="00886B0C" w:rsidP="00886B0C" w14:paraId="6976AE76" w14:textId="77777777">
            <w:pPr>
              <w:widowControl/>
              <w:autoSpaceDE/>
              <w:autoSpaceDN/>
              <w:ind w:firstLine="240" w:firstLineChars="100"/>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Incentives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090FD6C3"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80,000 </w:t>
            </w:r>
          </w:p>
        </w:tc>
      </w:tr>
      <w:tr w14:paraId="54B7E0EA"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B52B0E4"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Sample Design, Management and Estimation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1E58EE3A"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244,507 </w:t>
            </w:r>
          </w:p>
        </w:tc>
      </w:tr>
      <w:tr w14:paraId="6A3C8191"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D3C538A"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Instrument Design and Development  </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7E5DA980"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436,044 </w:t>
            </w:r>
          </w:p>
        </w:tc>
      </w:tr>
      <w:tr w14:paraId="3A3F56F0"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E439170"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Product Development and Review</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712F2F88"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231,584 </w:t>
            </w:r>
          </w:p>
        </w:tc>
      </w:tr>
      <w:tr w14:paraId="4D52BC3E"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2AF709A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Data Processing and Dissemination</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62395A86"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513,044 </w:t>
            </w:r>
          </w:p>
        </w:tc>
      </w:tr>
      <w:tr w14:paraId="341D314C"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7A0C7022"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Mailout Operations</w:t>
            </w:r>
          </w:p>
        </w:tc>
        <w:tc>
          <w:tcPr>
            <w:tcW w:w="1790" w:type="dxa"/>
            <w:tcBorders>
              <w:top w:val="nil"/>
              <w:left w:val="single" w:sz="8" w:space="0" w:color="auto"/>
              <w:bottom w:val="single" w:sz="4" w:space="0" w:color="auto"/>
              <w:right w:val="single" w:sz="8" w:space="0" w:color="auto"/>
            </w:tcBorders>
            <w:shd w:val="clear" w:color="auto" w:fill="auto"/>
            <w:noWrap/>
            <w:vAlign w:val="bottom"/>
            <w:hideMark/>
          </w:tcPr>
          <w:p w:rsidR="00886B0C" w:rsidRPr="00886B0C" w:rsidP="00886B0C" w14:paraId="4A36D1D8"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243,734 </w:t>
            </w:r>
          </w:p>
        </w:tc>
      </w:tr>
      <w:tr w14:paraId="23B3CE96" w14:textId="77777777" w:rsidTr="002F4A9B">
        <w:tblPrEx>
          <w:tblW w:w="6590" w:type="dxa"/>
          <w:tblInd w:w="440" w:type="dxa"/>
          <w:tblLook w:val="04A0"/>
        </w:tblPrEx>
        <w:trPr>
          <w:trHeight w:val="432"/>
        </w:trPr>
        <w:tc>
          <w:tcPr>
            <w:tcW w:w="4800" w:type="dxa"/>
            <w:tcBorders>
              <w:top w:val="nil"/>
              <w:left w:val="single" w:sz="8" w:space="0" w:color="auto"/>
              <w:bottom w:val="single" w:sz="4" w:space="0" w:color="auto"/>
              <w:right w:val="nil"/>
            </w:tcBorders>
            <w:shd w:val="clear" w:color="auto" w:fill="auto"/>
            <w:noWrap/>
            <w:vAlign w:val="bottom"/>
            <w:hideMark/>
          </w:tcPr>
          <w:p w:rsidR="00886B0C" w:rsidRPr="00886B0C" w:rsidP="00886B0C" w14:paraId="5EF904AD"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Telephone Operations</w:t>
            </w:r>
          </w:p>
        </w:tc>
        <w:tc>
          <w:tcPr>
            <w:tcW w:w="1790" w:type="dxa"/>
            <w:tcBorders>
              <w:top w:val="nil"/>
              <w:left w:val="single" w:sz="8" w:space="0" w:color="auto"/>
              <w:bottom w:val="nil"/>
              <w:right w:val="single" w:sz="8" w:space="0" w:color="auto"/>
            </w:tcBorders>
            <w:shd w:val="clear" w:color="auto" w:fill="auto"/>
            <w:noWrap/>
            <w:vAlign w:val="bottom"/>
            <w:hideMark/>
          </w:tcPr>
          <w:p w:rsidR="00886B0C" w:rsidRPr="00886B0C" w:rsidP="00886B0C" w14:paraId="12355969" w14:textId="77777777">
            <w:pPr>
              <w:widowControl/>
              <w:autoSpaceDE/>
              <w:autoSpaceDN/>
              <w:rPr>
                <w:rFonts w:ascii="Calibri" w:eastAsia="Times New Roman" w:hAnsi="Calibri" w:cs="Calibri"/>
                <w:color w:val="000000"/>
                <w:sz w:val="24"/>
                <w:szCs w:val="24"/>
                <w:lang w:bidi="ar-SA"/>
              </w:rPr>
            </w:pPr>
            <w:r w:rsidRPr="00886B0C">
              <w:rPr>
                <w:rFonts w:ascii="Calibri" w:eastAsia="Times New Roman" w:hAnsi="Calibri" w:cs="Calibri"/>
                <w:color w:val="000000"/>
                <w:sz w:val="24"/>
                <w:szCs w:val="24"/>
                <w:lang w:bidi="ar-SA"/>
              </w:rPr>
              <w:t xml:space="preserve"> $        314,126 </w:t>
            </w:r>
          </w:p>
        </w:tc>
      </w:tr>
      <w:tr w14:paraId="33FEF5AD" w14:textId="77777777" w:rsidTr="002F4A9B">
        <w:tblPrEx>
          <w:tblW w:w="6590" w:type="dxa"/>
          <w:tblInd w:w="440" w:type="dxa"/>
          <w:tblLook w:val="04A0"/>
        </w:tblPrEx>
        <w:trPr>
          <w:trHeight w:val="432"/>
        </w:trPr>
        <w:tc>
          <w:tcPr>
            <w:tcW w:w="4800" w:type="dxa"/>
            <w:tcBorders>
              <w:top w:val="nil"/>
              <w:left w:val="single" w:sz="8" w:space="0" w:color="auto"/>
              <w:bottom w:val="single" w:sz="8" w:space="0" w:color="auto"/>
              <w:right w:val="nil"/>
            </w:tcBorders>
            <w:shd w:val="clear" w:color="auto" w:fill="auto"/>
            <w:noWrap/>
            <w:vAlign w:val="bottom"/>
            <w:hideMark/>
          </w:tcPr>
          <w:p w:rsidR="00886B0C" w:rsidRPr="00886B0C" w:rsidP="00886B0C" w14:paraId="4409283C" w14:textId="77777777">
            <w:pPr>
              <w:widowControl/>
              <w:autoSpaceDE/>
              <w:autoSpaceDN/>
              <w:rPr>
                <w:rFonts w:ascii="Calibri" w:eastAsia="Times New Roman" w:hAnsi="Calibri" w:cs="Calibri"/>
                <w:color w:val="000000"/>
                <w:lang w:bidi="ar-SA"/>
              </w:rPr>
            </w:pPr>
            <w:r w:rsidRPr="00886B0C">
              <w:rPr>
                <w:rFonts w:ascii="Calibri" w:eastAsia="Times New Roman" w:hAnsi="Calibri" w:cs="Calibri"/>
                <w:color w:val="000000"/>
                <w:lang w:bidi="ar-SA"/>
              </w:rPr>
              <w:t> </w:t>
            </w:r>
          </w:p>
        </w:tc>
        <w:tc>
          <w:tcPr>
            <w:tcW w:w="179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886B0C" w:rsidRPr="00886B0C" w:rsidP="00886B0C" w14:paraId="2E59542C" w14:textId="77777777">
            <w:pPr>
              <w:widowControl/>
              <w:autoSpaceDE/>
              <w:autoSpaceDN/>
              <w:rPr>
                <w:rFonts w:ascii="Calibri" w:eastAsia="Times New Roman" w:hAnsi="Calibri" w:cs="Calibri"/>
                <w:b/>
                <w:bCs/>
                <w:color w:val="000000"/>
                <w:sz w:val="24"/>
                <w:szCs w:val="24"/>
                <w:lang w:bidi="ar-SA"/>
              </w:rPr>
            </w:pPr>
            <w:r w:rsidRPr="00886B0C">
              <w:rPr>
                <w:rFonts w:ascii="Calibri" w:eastAsia="Times New Roman" w:hAnsi="Calibri" w:cs="Calibri"/>
                <w:b/>
                <w:bCs/>
                <w:color w:val="000000"/>
                <w:sz w:val="24"/>
                <w:szCs w:val="24"/>
                <w:lang w:bidi="ar-SA"/>
              </w:rPr>
              <w:t xml:space="preserve"> $    2,477,058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00061D50" w14:paraId="717ECC34" w14:textId="57091E7F">
      <w:pPr>
        <w:spacing w:line="259" w:lineRule="auto"/>
        <w:ind w:left="399" w:right="359" w:firstLine="50"/>
        <w:rPr>
          <w:rFonts w:ascii="Calibri" w:hAnsi="Calibri" w:cs="Calibri"/>
          <w:bCs/>
          <w:sz w:val="24"/>
        </w:rPr>
      </w:pPr>
      <w:r w:rsidRPr="00BF3C29">
        <w:rPr>
          <w:rFonts w:ascii="Calibri" w:hAnsi="Calibri" w:cs="Calibri"/>
          <w:bCs/>
          <w:sz w:val="24"/>
        </w:rPr>
        <w:t>N/A – This is a new information collection</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1D2C34" w:rsidP="001D2C34" w14:paraId="0EA11689" w14:textId="7C7A1018">
      <w:pPr>
        <w:spacing w:line="360" w:lineRule="auto"/>
        <w:ind w:left="360" w:right="360"/>
        <w:rPr>
          <w:rFonts w:ascii="Calibri" w:hAnsi="Calibri" w:cs="Calibri"/>
          <w:bCs/>
          <w:sz w:val="24"/>
        </w:rPr>
      </w:pPr>
      <w:r w:rsidRPr="00BE642B">
        <w:rPr>
          <w:rFonts w:ascii="Calibri" w:hAnsi="Calibri" w:cs="Calibri"/>
          <w:bCs/>
          <w:sz w:val="24"/>
        </w:rPr>
        <w:t xml:space="preserve">Data products for the panel are expected to include Tables in Excel format, a Public Use Microdata File (PUF), </w:t>
      </w:r>
      <w:r w:rsidR="00666D27">
        <w:rPr>
          <w:rFonts w:ascii="Calibri" w:hAnsi="Calibri" w:cs="Calibri"/>
          <w:bCs/>
          <w:sz w:val="24"/>
        </w:rPr>
        <w:t xml:space="preserve">an Internal Use Microdata File (IUF), </w:t>
      </w:r>
      <w:r w:rsidRPr="00BE642B">
        <w:rPr>
          <w:rFonts w:ascii="Calibri" w:hAnsi="Calibri" w:cs="Calibri"/>
          <w:bCs/>
          <w:sz w:val="24"/>
        </w:rPr>
        <w:t xml:space="preserve">and </w:t>
      </w:r>
      <w:r w:rsidR="00666D27">
        <w:rPr>
          <w:rFonts w:ascii="Calibri" w:hAnsi="Calibri" w:cs="Calibri"/>
          <w:bCs/>
          <w:sz w:val="24"/>
        </w:rPr>
        <w:t>an executive summary</w:t>
      </w:r>
      <w:r w:rsidRPr="00BE642B">
        <w:rPr>
          <w:rFonts w:ascii="Calibri" w:hAnsi="Calibri" w:cs="Calibri"/>
          <w:bCs/>
          <w:sz w:val="24"/>
        </w:rPr>
        <w:t xml:space="preserve">. Processing will include minimal edits and basic weighting.  </w:t>
      </w:r>
      <w:r w:rsidR="00666D27">
        <w:rPr>
          <w:rFonts w:ascii="Calibri" w:hAnsi="Calibri" w:cs="Calibri"/>
          <w:bCs/>
          <w:sz w:val="24"/>
        </w:rPr>
        <w:t>All data products will be transmitted to the Department of Defense for</w:t>
      </w:r>
      <w:r w:rsidR="00E80DB7">
        <w:rPr>
          <w:rFonts w:ascii="Calibri" w:hAnsi="Calibri" w:cs="Calibri"/>
          <w:bCs/>
          <w:sz w:val="24"/>
        </w:rPr>
        <w:t xml:space="preserve"> </w:t>
      </w:r>
      <w:r w:rsidR="00600046">
        <w:rPr>
          <w:rFonts w:ascii="Calibri" w:hAnsi="Calibri" w:cs="Calibri"/>
          <w:bCs/>
          <w:sz w:val="24"/>
        </w:rPr>
        <w:t xml:space="preserve">internal </w:t>
      </w:r>
      <w:r w:rsidR="00E80DB7">
        <w:rPr>
          <w:rFonts w:ascii="Calibri" w:hAnsi="Calibri" w:cs="Calibri"/>
          <w:bCs/>
          <w:sz w:val="24"/>
        </w:rPr>
        <w:t>use and</w:t>
      </w:r>
      <w:r w:rsidR="00666D27">
        <w:rPr>
          <w:rFonts w:ascii="Calibri" w:hAnsi="Calibri" w:cs="Calibri"/>
          <w:bCs/>
          <w:sz w:val="24"/>
        </w:rPr>
        <w:t xml:space="preserve"> dissemination</w:t>
      </w:r>
      <w:r w:rsidR="00867960">
        <w:rPr>
          <w:rFonts w:ascii="Calibri" w:hAnsi="Calibri" w:cs="Calibri"/>
          <w:bCs/>
          <w:sz w:val="24"/>
        </w:rPr>
        <w:t xml:space="preserve"> prior to the start of the next data collection.</w:t>
      </w:r>
      <w:r w:rsidR="001B7B85">
        <w:rPr>
          <w:rFonts w:ascii="Calibri" w:hAnsi="Calibri" w:cs="Calibri"/>
          <w:bCs/>
          <w:sz w:val="24"/>
        </w:rPr>
        <w:t xml:space="preserve"> </w:t>
      </w:r>
      <w:r w:rsidR="00600046">
        <w:rPr>
          <w:rFonts w:ascii="Calibri" w:hAnsi="Calibri" w:cs="Calibri"/>
          <w:bCs/>
          <w:sz w:val="24"/>
        </w:rPr>
        <w:t xml:space="preserve">The tables displaying aggregated data, the PUF, and the executive summary may all be distributed internally within DoD to </w:t>
      </w:r>
      <w:r w:rsidRPr="00600046" w:rsidR="00600046">
        <w:rPr>
          <w:rFonts w:ascii="Calibri" w:hAnsi="Calibri" w:cs="Calibri"/>
          <w:bCs/>
          <w:sz w:val="24"/>
        </w:rPr>
        <w:t>assess and adjust policies/programs to support military resilience, readiness</w:t>
      </w:r>
      <w:r w:rsidR="00600046">
        <w:rPr>
          <w:rFonts w:ascii="Calibri" w:hAnsi="Calibri" w:cs="Calibri"/>
          <w:bCs/>
          <w:sz w:val="24"/>
        </w:rPr>
        <w:t>,</w:t>
      </w:r>
      <w:r w:rsidRPr="00600046" w:rsidR="00600046">
        <w:rPr>
          <w:rFonts w:ascii="Calibri" w:hAnsi="Calibri" w:cs="Calibri"/>
          <w:bCs/>
          <w:sz w:val="24"/>
        </w:rPr>
        <w:t xml:space="preserve"> and retention</w:t>
      </w:r>
      <w:r w:rsidR="00600046">
        <w:rPr>
          <w:rFonts w:ascii="Calibri" w:hAnsi="Calibri" w:cs="Calibri"/>
          <w:bCs/>
          <w:sz w:val="24"/>
        </w:rPr>
        <w:t xml:space="preserve">. </w:t>
      </w:r>
    </w:p>
    <w:p w:rsidR="00FB1FDE" w:rsidP="001D2C34" w14:paraId="5C557ABC" w14:textId="77777777">
      <w:pPr>
        <w:spacing w:line="360" w:lineRule="auto"/>
        <w:ind w:left="360" w:right="360"/>
        <w:rPr>
          <w:rFonts w:ascii="Calibri" w:hAnsi="Calibri" w:cs="Calibri"/>
          <w:bCs/>
          <w:sz w:val="24"/>
        </w:rPr>
      </w:pPr>
    </w:p>
    <w:p w:rsidR="00600046" w:rsidP="001D2C34" w14:paraId="0A97F4E0" w14:textId="0DE66FA3">
      <w:pPr>
        <w:spacing w:line="360" w:lineRule="auto"/>
        <w:ind w:left="360" w:right="360"/>
        <w:rPr>
          <w:rFonts w:ascii="Calibri" w:hAnsi="Calibri" w:cs="Calibri"/>
          <w:bCs/>
          <w:sz w:val="24"/>
        </w:rPr>
      </w:pPr>
      <w:r>
        <w:rPr>
          <w:rFonts w:ascii="Calibri" w:hAnsi="Calibri" w:cs="Calibri"/>
          <w:bCs/>
          <w:sz w:val="24"/>
        </w:rPr>
        <w:t xml:space="preserve">The IUF will be stored in a secure </w:t>
      </w:r>
      <w:r w:rsidR="001D2C34">
        <w:rPr>
          <w:rFonts w:ascii="Calibri" w:hAnsi="Calibri" w:cs="Calibri"/>
          <w:bCs/>
          <w:sz w:val="24"/>
        </w:rPr>
        <w:t>file location</w:t>
      </w:r>
      <w:r>
        <w:rPr>
          <w:rFonts w:ascii="Calibri" w:hAnsi="Calibri" w:cs="Calibri"/>
          <w:bCs/>
          <w:sz w:val="24"/>
        </w:rPr>
        <w:t xml:space="preserve">, with minimal access by project team members. </w:t>
      </w:r>
      <w:r w:rsidR="001D2C34">
        <w:rPr>
          <w:rFonts w:ascii="Calibri" w:hAnsi="Calibri" w:cs="Calibri"/>
          <w:bCs/>
          <w:sz w:val="24"/>
        </w:rPr>
        <w:t xml:space="preserve">Use of the IUF </w:t>
      </w:r>
      <w:r w:rsidRPr="001D2C34" w:rsidR="001D2C34">
        <w:rPr>
          <w:rFonts w:ascii="Calibri" w:hAnsi="Calibri" w:cs="Calibri"/>
          <w:bCs/>
          <w:sz w:val="24"/>
        </w:rPr>
        <w:t>can only be</w:t>
      </w:r>
      <w:r w:rsidR="001D2C34">
        <w:rPr>
          <w:rFonts w:ascii="Calibri" w:hAnsi="Calibri" w:cs="Calibri"/>
          <w:bCs/>
          <w:sz w:val="24"/>
        </w:rPr>
        <w:t xml:space="preserve"> </w:t>
      </w:r>
      <w:r w:rsidRPr="001D2C34" w:rsidR="001D2C34">
        <w:rPr>
          <w:rFonts w:ascii="Calibri" w:hAnsi="Calibri" w:cs="Calibri"/>
          <w:bCs/>
          <w:sz w:val="24"/>
        </w:rPr>
        <w:t>performed after review and approval to ensure identify</w:t>
      </w:r>
      <w:r w:rsidR="001D2C34">
        <w:rPr>
          <w:rFonts w:ascii="Calibri" w:hAnsi="Calibri" w:cs="Calibri"/>
          <w:bCs/>
          <w:sz w:val="24"/>
        </w:rPr>
        <w:t>ing information is not released</w:t>
      </w:r>
      <w:r w:rsidRPr="001D2C34" w:rsidR="001D2C34">
        <w:rPr>
          <w:rFonts w:ascii="Calibri" w:hAnsi="Calibri" w:cs="Calibri"/>
          <w:bCs/>
          <w:sz w:val="24"/>
        </w:rPr>
        <w:t xml:space="preserve">. Access to </w:t>
      </w:r>
      <w:r w:rsidR="001D2C34">
        <w:rPr>
          <w:rFonts w:ascii="Calibri" w:hAnsi="Calibri" w:cs="Calibri"/>
          <w:bCs/>
          <w:sz w:val="24"/>
        </w:rPr>
        <w:t xml:space="preserve">these datasets </w:t>
      </w:r>
      <w:r w:rsidRPr="001D2C34" w:rsidR="001D2C34">
        <w:rPr>
          <w:rFonts w:ascii="Calibri" w:hAnsi="Calibri" w:cs="Calibri"/>
          <w:bCs/>
          <w:sz w:val="24"/>
        </w:rPr>
        <w:t>will only be allowed on a need-to-know basis with an approved data sharing agreement in place. Researchers approved for</w:t>
      </w:r>
      <w:r w:rsidR="001D2C34">
        <w:rPr>
          <w:rFonts w:ascii="Calibri" w:hAnsi="Calibri" w:cs="Calibri"/>
          <w:bCs/>
          <w:sz w:val="24"/>
        </w:rPr>
        <w:t xml:space="preserve"> </w:t>
      </w:r>
      <w:r w:rsidRPr="001D2C34" w:rsidR="001D2C34">
        <w:rPr>
          <w:rFonts w:ascii="Calibri" w:hAnsi="Calibri" w:cs="Calibri"/>
          <w:bCs/>
          <w:sz w:val="24"/>
        </w:rPr>
        <w:t xml:space="preserve">access to these datasets must adhere to strict procedures, including–but not limited to–data sharing </w:t>
      </w:r>
      <w:r w:rsidRPr="001D2C34" w:rsidR="001D2C34">
        <w:rPr>
          <w:rFonts w:ascii="Calibri" w:hAnsi="Calibri" w:cs="Calibri"/>
          <w:bCs/>
          <w:sz w:val="24"/>
        </w:rPr>
        <w:t>agreements,</w:t>
      </w:r>
      <w:r w:rsidR="001D2C34">
        <w:rPr>
          <w:rFonts w:ascii="Calibri" w:hAnsi="Calibri" w:cs="Calibri"/>
          <w:bCs/>
          <w:sz w:val="24"/>
        </w:rPr>
        <w:t xml:space="preserve"> </w:t>
      </w:r>
      <w:r w:rsidRPr="001D2C34" w:rsidR="001D2C34">
        <w:rPr>
          <w:rFonts w:ascii="Calibri" w:hAnsi="Calibri" w:cs="Calibri"/>
          <w:bCs/>
          <w:sz w:val="24"/>
        </w:rPr>
        <w:t>secure transfers of data, destruction of files upon completion of research, and authorization to reuse data. In addition,</w:t>
      </w:r>
      <w:r w:rsidR="001D2C34">
        <w:rPr>
          <w:rFonts w:ascii="Calibri" w:hAnsi="Calibri" w:cs="Calibri"/>
          <w:bCs/>
          <w:sz w:val="24"/>
        </w:rPr>
        <w:t xml:space="preserve"> </w:t>
      </w:r>
      <w:r w:rsidRPr="001D2C34" w:rsidR="001D2C34">
        <w:rPr>
          <w:rFonts w:ascii="Calibri" w:hAnsi="Calibri" w:cs="Calibri"/>
          <w:bCs/>
          <w:sz w:val="24"/>
        </w:rPr>
        <w:t>receipt and use of these datasets must adhere to all DoD information assurance, security, and other data use</w:t>
      </w:r>
      <w:r w:rsidR="001D2C34">
        <w:rPr>
          <w:rFonts w:ascii="Calibri" w:hAnsi="Calibri" w:cs="Calibri"/>
          <w:bCs/>
          <w:sz w:val="24"/>
        </w:rPr>
        <w:t xml:space="preserve"> </w:t>
      </w:r>
      <w:r w:rsidRPr="001D2C34" w:rsidR="001D2C34">
        <w:rPr>
          <w:rFonts w:ascii="Calibri" w:hAnsi="Calibri" w:cs="Calibri"/>
          <w:bCs/>
          <w:sz w:val="24"/>
        </w:rPr>
        <w:t>policies.</w:t>
      </w:r>
    </w:p>
    <w:p w:rsidR="00FB1FDE" w:rsidP="003843BB" w14:paraId="5F07BEC4" w14:textId="77777777">
      <w:pPr>
        <w:spacing w:line="360" w:lineRule="auto"/>
        <w:ind w:left="360" w:right="360"/>
        <w:rPr>
          <w:rFonts w:asciiTheme="minorHAnsi" w:hAnsiTheme="minorHAnsi" w:cstheme="minorHAnsi"/>
          <w:sz w:val="24"/>
          <w:szCs w:val="24"/>
        </w:rPr>
      </w:pPr>
    </w:p>
    <w:p w:rsidR="003843BB" w:rsidP="003843BB" w14:paraId="6BBB4DB3" w14:textId="454ABB7F">
      <w:pPr>
        <w:spacing w:line="360" w:lineRule="auto"/>
        <w:ind w:left="360" w:right="360"/>
        <w:rPr>
          <w:rFonts w:ascii="Calibri" w:hAnsi="Calibri" w:cs="Calibri"/>
          <w:bCs/>
          <w:sz w:val="24"/>
        </w:rPr>
      </w:pPr>
      <w:r w:rsidRPr="00A1623E">
        <w:rPr>
          <w:rFonts w:asciiTheme="minorHAnsi" w:hAnsiTheme="minorHAnsi" w:cstheme="minorHAnsi"/>
          <w:sz w:val="24"/>
          <w:szCs w:val="24"/>
        </w:rPr>
        <w:t xml:space="preserve">Upon DoD leadership approval, </w:t>
      </w:r>
      <w:r>
        <w:rPr>
          <w:rFonts w:asciiTheme="minorHAnsi" w:hAnsiTheme="minorHAnsi" w:cstheme="minorHAnsi"/>
          <w:sz w:val="24"/>
          <w:szCs w:val="24"/>
        </w:rPr>
        <w:t>products</w:t>
      </w:r>
      <w:r w:rsidRPr="00A1623E">
        <w:rPr>
          <w:rFonts w:asciiTheme="minorHAnsi" w:hAnsiTheme="minorHAnsi" w:cstheme="minorHAnsi"/>
          <w:sz w:val="24"/>
          <w:szCs w:val="24"/>
        </w:rPr>
        <w:t xml:space="preserve"> may also be released to the public</w:t>
      </w:r>
      <w:r>
        <w:rPr>
          <w:rFonts w:asciiTheme="minorHAnsi" w:hAnsiTheme="minorHAnsi" w:cstheme="minorHAnsi"/>
          <w:sz w:val="24"/>
          <w:szCs w:val="24"/>
        </w:rPr>
        <w:t xml:space="preserve">. If approved, all products will undergo DoD disclosure procedures prior to public release. </w:t>
      </w:r>
      <w:r w:rsidR="00D61B0F">
        <w:rPr>
          <w:rFonts w:ascii="Calibri" w:hAnsi="Calibri" w:cs="Calibri"/>
          <w:bCs/>
          <w:sz w:val="24"/>
        </w:rPr>
        <w:t xml:space="preserve"> </w:t>
      </w:r>
    </w:p>
    <w:p w:rsidR="00FB1FDE" w:rsidP="003843BB" w14:paraId="12859473" w14:textId="77777777">
      <w:pPr>
        <w:spacing w:line="360" w:lineRule="auto"/>
        <w:ind w:left="360" w:right="360"/>
        <w:rPr>
          <w:rFonts w:ascii="Calibri" w:hAnsi="Calibri" w:cs="Calibri"/>
          <w:bCs/>
          <w:sz w:val="24"/>
        </w:rPr>
      </w:pPr>
    </w:p>
    <w:tbl>
      <w:tblPr>
        <w:tblW w:w="7960" w:type="dxa"/>
        <w:tblLook w:val="04A0"/>
      </w:tblPr>
      <w:tblGrid>
        <w:gridCol w:w="2320"/>
        <w:gridCol w:w="2040"/>
        <w:gridCol w:w="1760"/>
        <w:gridCol w:w="1840"/>
      </w:tblGrid>
      <w:tr w14:paraId="2CC24EA7" w14:textId="77777777" w:rsidTr="00867960">
        <w:tblPrEx>
          <w:tblW w:w="7960" w:type="dxa"/>
          <w:tblLook w:val="04A0"/>
        </w:tblPrEx>
        <w:trPr>
          <w:trHeight w:val="310"/>
        </w:trPr>
        <w:tc>
          <w:tcPr>
            <w:tcW w:w="7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960" w:rsidRPr="00867960" w:rsidP="00867960" w14:paraId="03AD5C80"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Military Panel Data Collection and Delivery Schedule</w:t>
            </w:r>
          </w:p>
        </w:tc>
      </w:tr>
      <w:tr w14:paraId="0406179D" w14:textId="77777777" w:rsidTr="00867960">
        <w:tblPrEx>
          <w:tblW w:w="7960" w:type="dxa"/>
          <w:tblLook w:val="04A0"/>
        </w:tblPrEx>
        <w:trPr>
          <w:trHeight w:val="64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867960" w:rsidRPr="00867960" w:rsidP="00867960" w14:paraId="35502054"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Data Collection</w:t>
            </w:r>
          </w:p>
        </w:tc>
        <w:tc>
          <w:tcPr>
            <w:tcW w:w="2040" w:type="dxa"/>
            <w:tcBorders>
              <w:top w:val="nil"/>
              <w:left w:val="nil"/>
              <w:bottom w:val="single" w:sz="4" w:space="0" w:color="auto"/>
              <w:right w:val="single" w:sz="4" w:space="0" w:color="auto"/>
            </w:tcBorders>
            <w:shd w:val="clear" w:color="auto" w:fill="auto"/>
            <w:vAlign w:val="center"/>
            <w:hideMark/>
          </w:tcPr>
          <w:p w:rsidR="00867960" w:rsidRPr="00867960" w:rsidP="00867960" w14:paraId="5DF5112D"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Data Collection Start</w:t>
            </w:r>
          </w:p>
        </w:tc>
        <w:tc>
          <w:tcPr>
            <w:tcW w:w="1760" w:type="dxa"/>
            <w:tcBorders>
              <w:top w:val="nil"/>
              <w:left w:val="nil"/>
              <w:bottom w:val="single" w:sz="4" w:space="0" w:color="auto"/>
              <w:right w:val="single" w:sz="4" w:space="0" w:color="auto"/>
            </w:tcBorders>
            <w:shd w:val="clear" w:color="auto" w:fill="auto"/>
            <w:vAlign w:val="center"/>
            <w:hideMark/>
          </w:tcPr>
          <w:p w:rsidR="00867960" w:rsidRPr="00867960" w:rsidP="00867960" w14:paraId="1DA0E34F" w14:textId="77777777">
            <w:pPr>
              <w:widowControl/>
              <w:autoSpaceDE/>
              <w:autoSpaceDN/>
              <w:jc w:val="center"/>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Data Collection End</w:t>
            </w:r>
          </w:p>
        </w:tc>
        <w:tc>
          <w:tcPr>
            <w:tcW w:w="1840" w:type="dxa"/>
            <w:tcBorders>
              <w:top w:val="nil"/>
              <w:left w:val="nil"/>
              <w:bottom w:val="single" w:sz="4" w:space="0" w:color="auto"/>
              <w:right w:val="single" w:sz="4" w:space="0" w:color="auto"/>
            </w:tcBorders>
            <w:shd w:val="clear" w:color="auto" w:fill="auto"/>
            <w:vAlign w:val="center"/>
            <w:hideMark/>
          </w:tcPr>
          <w:p w:rsidR="00867960" w:rsidRPr="00867960" w:rsidP="00867960" w14:paraId="403D201F" w14:textId="77777777">
            <w:pPr>
              <w:widowControl/>
              <w:autoSpaceDE/>
              <w:autoSpaceDN/>
              <w:jc w:val="center"/>
              <w:rPr>
                <w:rFonts w:ascii="Calibri" w:eastAsia="Times New Roman" w:hAnsi="Calibri" w:cs="Calibri"/>
                <w:b/>
                <w:bCs/>
                <w:sz w:val="24"/>
                <w:szCs w:val="24"/>
                <w:lang w:bidi="ar-SA"/>
              </w:rPr>
            </w:pPr>
            <w:r w:rsidRPr="00867960">
              <w:rPr>
                <w:rFonts w:ascii="Calibri" w:eastAsia="Times New Roman" w:hAnsi="Calibri" w:cs="Calibri"/>
                <w:b/>
                <w:bCs/>
                <w:sz w:val="24"/>
                <w:szCs w:val="24"/>
                <w:lang w:bidi="ar-SA"/>
              </w:rPr>
              <w:t xml:space="preserve">Data Delivery to DOD </w:t>
            </w:r>
          </w:p>
        </w:tc>
      </w:tr>
      <w:tr w14:paraId="79DE1F51"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78C4870C"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Baseline Recruitment</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267DCD39"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10-Oct-23</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336D2E8"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6-Nov-23</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2945E7E6"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12-Dec-23</w:t>
            </w:r>
          </w:p>
        </w:tc>
      </w:tr>
      <w:tr w14:paraId="61BB02F4"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5964728A"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December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7D8B0BB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5-Dec-23</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5A4E82A4"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18-Dec-23</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0F6A8EB"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24-Jan-24</w:t>
            </w:r>
          </w:p>
        </w:tc>
      </w:tr>
      <w:tr w14:paraId="182654C9"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5E6D44B3"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February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20F15CBF"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20-Feb-24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667FDD6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4-Mar-24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525EC131"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5-May-24</w:t>
            </w:r>
          </w:p>
        </w:tc>
      </w:tr>
      <w:tr w14:paraId="22CCA12A"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118F70A6"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April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6E14AAC"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16-Apr-24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BFA956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29-Apr-24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67437AD8"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31-May-24</w:t>
            </w:r>
          </w:p>
        </w:tc>
      </w:tr>
      <w:tr w14:paraId="1CD1BA9C"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1F4F82EE"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June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485EA08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18-Jun-24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714234FC"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1-Jul-24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3F799BE"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2-Aug-24</w:t>
            </w:r>
          </w:p>
        </w:tc>
      </w:tr>
      <w:tr w14:paraId="15E60D1D"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34F0A912"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August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0F92EC70"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20-Aug-24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2853073"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2-Sep-24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1AA06241"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4-Oct-24</w:t>
            </w:r>
          </w:p>
        </w:tc>
      </w:tr>
      <w:tr w14:paraId="16E42BC6" w14:textId="77777777" w:rsidTr="00867960">
        <w:tblPrEx>
          <w:tblW w:w="7960" w:type="dxa"/>
          <w:tblLook w:val="04A0"/>
        </w:tblPrEx>
        <w:trPr>
          <w:trHeight w:val="3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67960" w:rsidRPr="00867960" w:rsidP="00867960" w14:paraId="3591DF89" w14:textId="77777777">
            <w:pPr>
              <w:widowControl/>
              <w:autoSpaceDE/>
              <w:autoSpaceDN/>
              <w:rPr>
                <w:rFonts w:ascii="Calibri" w:eastAsia="Times New Roman" w:hAnsi="Calibri" w:cs="Calibri"/>
                <w:b/>
                <w:bCs/>
                <w:color w:val="000000"/>
                <w:sz w:val="24"/>
                <w:szCs w:val="24"/>
                <w:lang w:bidi="ar-SA"/>
              </w:rPr>
            </w:pPr>
            <w:r w:rsidRPr="00867960">
              <w:rPr>
                <w:rFonts w:ascii="Calibri" w:eastAsia="Times New Roman" w:hAnsi="Calibri" w:cs="Calibri"/>
                <w:b/>
                <w:bCs/>
                <w:color w:val="000000"/>
                <w:sz w:val="24"/>
                <w:szCs w:val="24"/>
                <w:lang w:bidi="ar-SA"/>
              </w:rPr>
              <w:t>October Topical</w:t>
            </w:r>
          </w:p>
        </w:tc>
        <w:tc>
          <w:tcPr>
            <w:tcW w:w="20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383967FB"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15-Oct-24</w:t>
            </w:r>
          </w:p>
        </w:tc>
        <w:tc>
          <w:tcPr>
            <w:tcW w:w="176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0D56E087"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28-Oct-24</w:t>
            </w:r>
          </w:p>
        </w:tc>
        <w:tc>
          <w:tcPr>
            <w:tcW w:w="1840" w:type="dxa"/>
            <w:tcBorders>
              <w:top w:val="nil"/>
              <w:left w:val="nil"/>
              <w:bottom w:val="single" w:sz="4" w:space="0" w:color="auto"/>
              <w:right w:val="single" w:sz="4" w:space="0" w:color="auto"/>
            </w:tcBorders>
            <w:shd w:val="clear" w:color="auto" w:fill="auto"/>
            <w:noWrap/>
            <w:vAlign w:val="bottom"/>
            <w:hideMark/>
          </w:tcPr>
          <w:p w:rsidR="00867960" w:rsidRPr="00867960" w:rsidP="00867960" w14:paraId="58F05470" w14:textId="77777777">
            <w:pPr>
              <w:widowControl/>
              <w:autoSpaceDE/>
              <w:autoSpaceDN/>
              <w:jc w:val="center"/>
              <w:rPr>
                <w:rFonts w:ascii="Calibri" w:eastAsia="Times New Roman" w:hAnsi="Calibri" w:cs="Calibri"/>
                <w:color w:val="000000"/>
                <w:sz w:val="24"/>
                <w:szCs w:val="24"/>
                <w:lang w:bidi="ar-SA"/>
              </w:rPr>
            </w:pPr>
            <w:r w:rsidRPr="00867960">
              <w:rPr>
                <w:rFonts w:ascii="Calibri" w:eastAsia="Times New Roman" w:hAnsi="Calibri" w:cs="Calibri"/>
                <w:color w:val="000000"/>
                <w:sz w:val="24"/>
                <w:szCs w:val="24"/>
                <w:lang w:bidi="ar-SA"/>
              </w:rPr>
              <w:t>2-Dec-24</w:t>
            </w:r>
          </w:p>
        </w:tc>
      </w:tr>
    </w:tbl>
    <w:p w:rsidR="00867960" w:rsidRPr="00BE642B" w:rsidP="003843BB" w14:paraId="6BF63298" w14:textId="77777777">
      <w:pPr>
        <w:spacing w:line="360" w:lineRule="auto"/>
        <w:ind w:left="360" w:right="360"/>
        <w:rPr>
          <w:rFonts w:ascii="Calibri" w:hAnsi="Calibri" w:cs="Calibri"/>
          <w:bCs/>
          <w:sz w:val="24"/>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666D27" w:rsidP="00ED6223" w14:paraId="24861C53" w14:textId="77777777">
      <w:pPr>
        <w:tabs>
          <w:tab w:val="left" w:pos="1440"/>
        </w:tabs>
        <w:spacing w:before="221" w:line="259" w:lineRule="auto"/>
        <w:ind w:left="400" w:right="477"/>
        <w:rPr>
          <w:rFonts w:ascii="Calibri" w:hAnsi="Calibri" w:cs="Calibri"/>
          <w:bCs/>
          <w:iCs/>
          <w:sz w:val="24"/>
          <w:u w:val="thick" w:color="0563C1"/>
        </w:rPr>
      </w:pPr>
    </w:p>
    <w:p w:rsidR="00591765" w:rsidRPr="00591765" w:rsidP="00ED6223" w14:paraId="38BA8820" w14:textId="667E5463">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w:t>
      </w:r>
      <w:r w:rsidR="00666D27">
        <w:rPr>
          <w:rFonts w:ascii="Calibri" w:hAnsi="Calibri" w:cs="Calibri"/>
          <w:bCs/>
          <w:iCs/>
          <w:sz w:val="24"/>
          <w:szCs w:val="24"/>
        </w:rPr>
        <w:t>Census Military</w:t>
      </w:r>
      <w:r w:rsidRPr="00591765">
        <w:rPr>
          <w:rFonts w:ascii="Calibri" w:hAnsi="Calibri" w:cs="Calibri"/>
          <w:bCs/>
          <w:iCs/>
          <w:sz w:val="24"/>
          <w:szCs w:val="24"/>
        </w:rPr>
        <w:t xml:space="preserve"> Panel Screener and Baseline Questionnaire</w:t>
      </w:r>
      <w:r w:rsidR="00666D27">
        <w:rPr>
          <w:rFonts w:ascii="Calibri" w:hAnsi="Calibri" w:cs="Calibri"/>
          <w:bCs/>
          <w:iCs/>
          <w:sz w:val="24"/>
          <w:szCs w:val="24"/>
        </w:rPr>
        <w:t xml:space="preserve"> and Topical Questionnaire</w:t>
      </w:r>
    </w:p>
    <w:p w:rsidR="00591765" w:rsidRPr="00591765" w:rsidP="00ED6223" w14:paraId="474726E3" w14:textId="757180D4">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Pr>
          <w:rFonts w:ascii="Calibri" w:hAnsi="Calibri" w:cs="Calibri"/>
          <w:bCs/>
          <w:iCs/>
          <w:sz w:val="24"/>
          <w:szCs w:val="24"/>
        </w:rPr>
        <w:t>Privacy Act/Paper Reduction Act Statement</w:t>
      </w:r>
    </w:p>
    <w:p w:rsidR="00591765" w:rsidRPr="00591765" w:rsidP="00591765" w14:paraId="0FABA437" w14:textId="24A8F3F1">
      <w:pPr>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C</w:t>
      </w:r>
      <w:r w:rsidRPr="00591765">
        <w:rPr>
          <w:rFonts w:ascii="Calibri" w:hAnsi="Calibri" w:cs="Calibri"/>
          <w:bCs/>
          <w:iCs/>
          <w:sz w:val="24"/>
          <w:szCs w:val="24"/>
        </w:rPr>
        <w:t>:   Respondent Contact Language</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2197A294">
        <w:pPr>
          <w:pStyle w:val="Footer"/>
        </w:pPr>
        <w:r>
          <w:t xml:space="preserve">Page | </w:t>
        </w:r>
        <w:r>
          <w:fldChar w:fldCharType="begin"/>
        </w:r>
        <w:r>
          <w:instrText xml:space="preserve"> PAGE   \* MERGEFORMAT </w:instrText>
        </w:r>
        <w:r>
          <w:fldChar w:fldCharType="separate"/>
        </w:r>
        <w:r w:rsidR="001D2C34">
          <w:rPr>
            <w:noProof/>
          </w:rPr>
          <w:t>10</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925071974">
    <w:abstractNumId w:val="0"/>
  </w:num>
  <w:num w:numId="2" w16cid:durableId="618802510">
    <w:abstractNumId w:val="5"/>
  </w:num>
  <w:num w:numId="3" w16cid:durableId="1316494167">
    <w:abstractNumId w:val="13"/>
  </w:num>
  <w:num w:numId="4" w16cid:durableId="1078791605">
    <w:abstractNumId w:val="7"/>
  </w:num>
  <w:num w:numId="5" w16cid:durableId="810752919">
    <w:abstractNumId w:val="1"/>
  </w:num>
  <w:num w:numId="6" w16cid:durableId="476727796">
    <w:abstractNumId w:val="6"/>
  </w:num>
  <w:num w:numId="7" w16cid:durableId="1312829977">
    <w:abstractNumId w:val="11"/>
  </w:num>
  <w:num w:numId="8" w16cid:durableId="2030569557">
    <w:abstractNumId w:val="3"/>
  </w:num>
  <w:num w:numId="9" w16cid:durableId="1922836918">
    <w:abstractNumId w:val="8"/>
  </w:num>
  <w:num w:numId="10" w16cid:durableId="1204946024">
    <w:abstractNumId w:val="14"/>
  </w:num>
  <w:num w:numId="11" w16cid:durableId="717440596">
    <w:abstractNumId w:val="15"/>
  </w:num>
  <w:num w:numId="12" w16cid:durableId="2137410586">
    <w:abstractNumId w:val="9"/>
  </w:num>
  <w:num w:numId="13" w16cid:durableId="1685131804">
    <w:abstractNumId w:val="4"/>
  </w:num>
  <w:num w:numId="14" w16cid:durableId="1733498883">
    <w:abstractNumId w:val="10"/>
  </w:num>
  <w:num w:numId="15" w16cid:durableId="506140686">
    <w:abstractNumId w:val="2"/>
  </w:num>
  <w:num w:numId="16" w16cid:durableId="1136530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20E36"/>
    <w:rsid w:val="000276DE"/>
    <w:rsid w:val="000303A6"/>
    <w:rsid w:val="000311EF"/>
    <w:rsid w:val="00031C81"/>
    <w:rsid w:val="00060FAF"/>
    <w:rsid w:val="00061D50"/>
    <w:rsid w:val="00076C79"/>
    <w:rsid w:val="00080525"/>
    <w:rsid w:val="00085FC4"/>
    <w:rsid w:val="00087454"/>
    <w:rsid w:val="001235D4"/>
    <w:rsid w:val="00124446"/>
    <w:rsid w:val="001408AF"/>
    <w:rsid w:val="00147F27"/>
    <w:rsid w:val="00154292"/>
    <w:rsid w:val="00157254"/>
    <w:rsid w:val="00160366"/>
    <w:rsid w:val="001831B3"/>
    <w:rsid w:val="001B459F"/>
    <w:rsid w:val="001B7B85"/>
    <w:rsid w:val="001D2C34"/>
    <w:rsid w:val="001E1B03"/>
    <w:rsid w:val="001E22D7"/>
    <w:rsid w:val="001E6C40"/>
    <w:rsid w:val="001F2674"/>
    <w:rsid w:val="001F36DC"/>
    <w:rsid w:val="00201347"/>
    <w:rsid w:val="00204999"/>
    <w:rsid w:val="00220406"/>
    <w:rsid w:val="00241D51"/>
    <w:rsid w:val="00241EE1"/>
    <w:rsid w:val="00277DE3"/>
    <w:rsid w:val="002A1D08"/>
    <w:rsid w:val="002D0D06"/>
    <w:rsid w:val="002D2382"/>
    <w:rsid w:val="002F4A9B"/>
    <w:rsid w:val="0035155B"/>
    <w:rsid w:val="003843BB"/>
    <w:rsid w:val="003B1309"/>
    <w:rsid w:val="003C66B9"/>
    <w:rsid w:val="003C7B12"/>
    <w:rsid w:val="004664E9"/>
    <w:rsid w:val="004706DE"/>
    <w:rsid w:val="004A5FC3"/>
    <w:rsid w:val="004B4366"/>
    <w:rsid w:val="004B742C"/>
    <w:rsid w:val="004C13A1"/>
    <w:rsid w:val="004C6F21"/>
    <w:rsid w:val="004F458F"/>
    <w:rsid w:val="005122C5"/>
    <w:rsid w:val="00520952"/>
    <w:rsid w:val="00532B4F"/>
    <w:rsid w:val="0053667E"/>
    <w:rsid w:val="00545A05"/>
    <w:rsid w:val="0056581F"/>
    <w:rsid w:val="005861DD"/>
    <w:rsid w:val="00591765"/>
    <w:rsid w:val="005C29BD"/>
    <w:rsid w:val="005E5115"/>
    <w:rsid w:val="005E566F"/>
    <w:rsid w:val="00600046"/>
    <w:rsid w:val="00602EBD"/>
    <w:rsid w:val="00606B4E"/>
    <w:rsid w:val="00630698"/>
    <w:rsid w:val="00664A78"/>
    <w:rsid w:val="00665E0B"/>
    <w:rsid w:val="00666D27"/>
    <w:rsid w:val="00683754"/>
    <w:rsid w:val="00692A90"/>
    <w:rsid w:val="00710DB3"/>
    <w:rsid w:val="00733A40"/>
    <w:rsid w:val="007400F9"/>
    <w:rsid w:val="00793856"/>
    <w:rsid w:val="007A441D"/>
    <w:rsid w:val="007A4AB8"/>
    <w:rsid w:val="007B0A5B"/>
    <w:rsid w:val="007D6F83"/>
    <w:rsid w:val="007E59E6"/>
    <w:rsid w:val="007F2304"/>
    <w:rsid w:val="00844D2F"/>
    <w:rsid w:val="00867960"/>
    <w:rsid w:val="00870935"/>
    <w:rsid w:val="0087490B"/>
    <w:rsid w:val="00883624"/>
    <w:rsid w:val="00886B0C"/>
    <w:rsid w:val="008A6B72"/>
    <w:rsid w:val="008B19D0"/>
    <w:rsid w:val="008B343E"/>
    <w:rsid w:val="008D6D12"/>
    <w:rsid w:val="009154D0"/>
    <w:rsid w:val="00922932"/>
    <w:rsid w:val="0096082B"/>
    <w:rsid w:val="00972981"/>
    <w:rsid w:val="009D66D3"/>
    <w:rsid w:val="009D671A"/>
    <w:rsid w:val="009E5FCC"/>
    <w:rsid w:val="009F33A0"/>
    <w:rsid w:val="00A0685C"/>
    <w:rsid w:val="00A10DFC"/>
    <w:rsid w:val="00A1623E"/>
    <w:rsid w:val="00A41BC2"/>
    <w:rsid w:val="00A60B58"/>
    <w:rsid w:val="00A82C0C"/>
    <w:rsid w:val="00A93D97"/>
    <w:rsid w:val="00A948BB"/>
    <w:rsid w:val="00A9775C"/>
    <w:rsid w:val="00AB1D23"/>
    <w:rsid w:val="00AD3DF0"/>
    <w:rsid w:val="00AF376E"/>
    <w:rsid w:val="00B041A8"/>
    <w:rsid w:val="00B75D30"/>
    <w:rsid w:val="00B82768"/>
    <w:rsid w:val="00BE642B"/>
    <w:rsid w:val="00BF3C29"/>
    <w:rsid w:val="00C2335A"/>
    <w:rsid w:val="00CD0D14"/>
    <w:rsid w:val="00CD6C4D"/>
    <w:rsid w:val="00D01C47"/>
    <w:rsid w:val="00D0771F"/>
    <w:rsid w:val="00D27B43"/>
    <w:rsid w:val="00D31BC4"/>
    <w:rsid w:val="00D61B0F"/>
    <w:rsid w:val="00D9711E"/>
    <w:rsid w:val="00DD1912"/>
    <w:rsid w:val="00DD7257"/>
    <w:rsid w:val="00E12A81"/>
    <w:rsid w:val="00E21D37"/>
    <w:rsid w:val="00E244FF"/>
    <w:rsid w:val="00E44772"/>
    <w:rsid w:val="00E47708"/>
    <w:rsid w:val="00E6360A"/>
    <w:rsid w:val="00E80DB7"/>
    <w:rsid w:val="00EA735C"/>
    <w:rsid w:val="00EB146F"/>
    <w:rsid w:val="00EB723C"/>
    <w:rsid w:val="00EC47CC"/>
    <w:rsid w:val="00ED6223"/>
    <w:rsid w:val="00EE46BC"/>
    <w:rsid w:val="00F148E8"/>
    <w:rsid w:val="00F57BD9"/>
    <w:rsid w:val="00F95DC8"/>
    <w:rsid w:val="00FB1FDE"/>
    <w:rsid w:val="00FB7832"/>
    <w:rsid w:val="00FD5637"/>
    <w:rsid w:val="00FE3AAC"/>
    <w:rsid w:val="00FF1A79"/>
    <w:rsid w:val="00FF2759"/>
    <w:rsid w:val="01142296"/>
    <w:rsid w:val="01E9EE27"/>
    <w:rsid w:val="040D9D63"/>
    <w:rsid w:val="054C936F"/>
    <w:rsid w:val="090AECFF"/>
    <w:rsid w:val="0BFD775D"/>
    <w:rsid w:val="0D9588EF"/>
    <w:rsid w:val="0EE28D7F"/>
    <w:rsid w:val="0F201C6E"/>
    <w:rsid w:val="1274ED89"/>
    <w:rsid w:val="15C0E59C"/>
    <w:rsid w:val="17406DCC"/>
    <w:rsid w:val="17D98ABF"/>
    <w:rsid w:val="1B16E698"/>
    <w:rsid w:val="2098F6BD"/>
    <w:rsid w:val="20FA76AB"/>
    <w:rsid w:val="239BFC26"/>
    <w:rsid w:val="280DF0F2"/>
    <w:rsid w:val="2DDF10C6"/>
    <w:rsid w:val="2FF19E8E"/>
    <w:rsid w:val="3215C363"/>
    <w:rsid w:val="36B5EFCB"/>
    <w:rsid w:val="37ABF91A"/>
    <w:rsid w:val="37CD8CD0"/>
    <w:rsid w:val="3A19DCD2"/>
    <w:rsid w:val="3A4BA631"/>
    <w:rsid w:val="3E15D63C"/>
    <w:rsid w:val="41512C7C"/>
    <w:rsid w:val="4CB651B3"/>
    <w:rsid w:val="51F9305B"/>
    <w:rsid w:val="5612DE91"/>
    <w:rsid w:val="651957F6"/>
    <w:rsid w:val="659A5C2F"/>
    <w:rsid w:val="65D77E0C"/>
    <w:rsid w:val="665EFE88"/>
    <w:rsid w:val="678CC733"/>
    <w:rsid w:val="684B2466"/>
    <w:rsid w:val="6F267C1F"/>
    <w:rsid w:val="71CDAED3"/>
    <w:rsid w:val="71EF52F1"/>
    <w:rsid w:val="73C33CCD"/>
    <w:rsid w:val="75604C67"/>
    <w:rsid w:val="77C4D090"/>
    <w:rsid w:val="7F950D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499A4FB7-6828-4AC7-8A3F-563525B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semiHidden/>
    <w:unhideWhenUsed/>
    <w:rsid w:val="00DD7257"/>
    <w:rPr>
      <w:sz w:val="20"/>
      <w:szCs w:val="20"/>
    </w:rPr>
  </w:style>
  <w:style w:type="character" w:customStyle="1" w:styleId="CommentTextChar">
    <w:name w:val="Comment Text Char"/>
    <w:basedOn w:val="DefaultParagraphFont"/>
    <w:link w:val="CommentText"/>
    <w:uiPriority w:val="99"/>
    <w:semiHidden/>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A97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75C"/>
    <w:rPr>
      <w:rFonts w:ascii="Segoe UI" w:eastAsia="Arial" w:hAnsi="Segoe UI" w:cs="Segoe UI"/>
      <w:sz w:val="18"/>
      <w:szCs w:val="18"/>
      <w:lang w:bidi="en-US"/>
    </w:rPr>
  </w:style>
  <w:style w:type="paragraph" w:styleId="PlainText">
    <w:name w:val="Plain Text"/>
    <w:basedOn w:val="Normal"/>
    <w:link w:val="PlainTextChar"/>
    <w:uiPriority w:val="99"/>
    <w:semiHidden/>
    <w:unhideWhenUsed/>
    <w:rsid w:val="00A1623E"/>
    <w:pPr>
      <w:widowControl/>
      <w:autoSpaceDE/>
      <w:autoSpaceDN/>
    </w:pPr>
    <w:rPr>
      <w:rFonts w:ascii="Calibri" w:hAnsi="Calibri" w:eastAsiaTheme="minorHAnsi" w:cstheme="minorBidi"/>
      <w:szCs w:val="21"/>
      <w:lang w:bidi="ar-SA"/>
    </w:rPr>
  </w:style>
  <w:style w:type="character" w:customStyle="1" w:styleId="PlainTextChar">
    <w:name w:val="Plain Text Char"/>
    <w:basedOn w:val="DefaultParagraphFont"/>
    <w:link w:val="PlainText"/>
    <w:uiPriority w:val="99"/>
    <w:semiHidden/>
    <w:rsid w:val="00A1623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4c85223299bb5728c8a42518ffa08371">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a13579a1e39562132e6dea696030d4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8B035A5A-73AE-4D0A-B36B-28C321F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A9AB-DD3B-4552-9DAC-0302FF86DDBA}">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f42af4b1-c551-450a-9f89-76df0847d194"/>
    <ds:schemaRef ds:uri="caecc2cd-c125-47bb-b7d8-61f5602bf9d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Cassandra Logan (CENSUS/ADDP FED)</cp:lastModifiedBy>
  <cp:revision>3</cp:revision>
  <dcterms:created xsi:type="dcterms:W3CDTF">2023-08-23T20:14:00Z</dcterms:created>
  <dcterms:modified xsi:type="dcterms:W3CDTF">2023-08-23T20:16:00Z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