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4C1F" w:rsidRPr="00747DE1" w:rsidP="0078152E" w14:paraId="0A373182" w14:textId="77777777">
      <w:pPr>
        <w:jc w:val="center"/>
        <w:rPr>
          <w:b/>
        </w:rPr>
      </w:pPr>
      <w:r w:rsidRPr="00747DE1">
        <w:rPr>
          <w:b/>
        </w:rPr>
        <w:t>SUPPORTING STATEMENT</w:t>
      </w:r>
    </w:p>
    <w:p w:rsidR="00D714F2" w:rsidRPr="00747DE1" w:rsidP="0078152E" w14:paraId="02730440" w14:textId="77777777">
      <w:pPr>
        <w:jc w:val="center"/>
        <w:rPr>
          <w:b/>
        </w:rPr>
      </w:pPr>
      <w:r w:rsidRPr="00747DE1">
        <w:rPr>
          <w:b/>
        </w:rPr>
        <w:t>U.S Department of Commerce</w:t>
      </w:r>
    </w:p>
    <w:p w:rsidR="00D714F2" w:rsidRPr="00747DE1" w:rsidP="0078152E" w14:paraId="1176AB53" w14:textId="77777777">
      <w:pPr>
        <w:jc w:val="center"/>
        <w:rPr>
          <w:b/>
        </w:rPr>
      </w:pPr>
      <w:r w:rsidRPr="00747DE1">
        <w:rPr>
          <w:b/>
        </w:rPr>
        <w:t>Minority Business Development Agency</w:t>
      </w:r>
    </w:p>
    <w:p w:rsidR="00D53F43" w:rsidP="0078152E" w14:paraId="109738BE" w14:textId="1B015151">
      <w:pPr>
        <w:jc w:val="center"/>
        <w:rPr>
          <w:b/>
        </w:rPr>
      </w:pPr>
      <w:r w:rsidRPr="00747DE1">
        <w:rPr>
          <w:b/>
        </w:rPr>
        <w:t xml:space="preserve">Online </w:t>
      </w:r>
      <w:r w:rsidR="00D00FDD">
        <w:rPr>
          <w:b/>
        </w:rPr>
        <w:t xml:space="preserve">Performance </w:t>
      </w:r>
      <w:r w:rsidRPr="00747DE1">
        <w:rPr>
          <w:b/>
        </w:rPr>
        <w:t>Database</w:t>
      </w:r>
      <w:r w:rsidR="00982040">
        <w:rPr>
          <w:b/>
        </w:rPr>
        <w:t xml:space="preserve"> System</w:t>
      </w:r>
      <w:r w:rsidR="00A32393">
        <w:rPr>
          <w:b/>
        </w:rPr>
        <w:t xml:space="preserve"> Renewal</w:t>
      </w:r>
    </w:p>
    <w:p w:rsidR="00D714F2" w:rsidRPr="00747DE1" w:rsidP="0078152E" w14:paraId="1468943D" w14:textId="550250A6">
      <w:pPr>
        <w:jc w:val="center"/>
        <w:rPr>
          <w:b/>
        </w:rPr>
      </w:pPr>
      <w:r w:rsidRPr="00747DE1">
        <w:rPr>
          <w:b/>
        </w:rPr>
        <w:t>OMB C</w:t>
      </w:r>
      <w:r w:rsidR="00EB4C49">
        <w:rPr>
          <w:b/>
        </w:rPr>
        <w:t xml:space="preserve">ontrol </w:t>
      </w:r>
      <w:r w:rsidRPr="00747DE1">
        <w:rPr>
          <w:b/>
        </w:rPr>
        <w:t>N</w:t>
      </w:r>
      <w:r w:rsidR="00EB4C49">
        <w:rPr>
          <w:b/>
        </w:rPr>
        <w:t>umb</w:t>
      </w:r>
      <w:r w:rsidRPr="00C92406" w:rsidR="00EB4C49">
        <w:rPr>
          <w:b/>
        </w:rPr>
        <w:t xml:space="preserve">er </w:t>
      </w:r>
      <w:r w:rsidRPr="00C92406">
        <w:rPr>
          <w:b/>
        </w:rPr>
        <w:t>0640-0002</w:t>
      </w:r>
    </w:p>
    <w:p w:rsidR="00D714F2" w:rsidRPr="00747DE1" w14:paraId="0B0B9904" w14:textId="77777777">
      <w:pPr>
        <w:rPr>
          <w:b/>
        </w:rPr>
      </w:pPr>
    </w:p>
    <w:p w:rsidR="000D1C08" w:rsidP="000D1C08" w14:paraId="56F9F269" w14:textId="77777777">
      <w:pPr>
        <w:rPr>
          <w:b/>
        </w:rPr>
      </w:pPr>
    </w:p>
    <w:p w:rsidR="00D714F2" w:rsidRPr="005E57F7" w:rsidP="000D1C08" w14:paraId="4DD59CAE" w14:textId="77777777">
      <w:pPr>
        <w:rPr>
          <w:b/>
          <w:u w:val="single"/>
        </w:rPr>
      </w:pPr>
      <w:r>
        <w:rPr>
          <w:b/>
        </w:rPr>
        <w:t xml:space="preserve">A.  </w:t>
      </w:r>
      <w:r w:rsidRPr="005E57F7">
        <w:rPr>
          <w:b/>
          <w:u w:val="single"/>
        </w:rPr>
        <w:t>J</w:t>
      </w:r>
      <w:r w:rsidRPr="005E57F7" w:rsidR="005E57F7">
        <w:rPr>
          <w:b/>
          <w:u w:val="single"/>
        </w:rPr>
        <w:t>USTFICATION</w:t>
      </w:r>
    </w:p>
    <w:p w:rsidR="00D714F2" w:rsidP="00D714F2" w14:paraId="16E8A6B1" w14:textId="77777777">
      <w:pPr>
        <w:rPr>
          <w:b/>
        </w:rPr>
      </w:pPr>
    </w:p>
    <w:p w:rsidR="00485D44" w:rsidP="00D714F2" w14:paraId="6335992E" w14:textId="73CC92D6">
      <w:pPr>
        <w:rPr>
          <w:b/>
        </w:rPr>
      </w:pPr>
      <w:r>
        <w:rPr>
          <w:b/>
        </w:rPr>
        <w:t>This information collection request is to extend the Office of Management and Budget approval.</w:t>
      </w:r>
    </w:p>
    <w:p w:rsidR="000D1C08" w:rsidRPr="00747DE1" w:rsidP="00D714F2" w14:paraId="1A4265D6" w14:textId="77777777">
      <w:pPr>
        <w:rPr>
          <w:b/>
        </w:rPr>
      </w:pPr>
    </w:p>
    <w:p w:rsidR="00D714F2" w:rsidRPr="00747DE1" w:rsidP="00D714F2" w14:paraId="00497A58" w14:textId="77777777">
      <w:pPr>
        <w:numPr>
          <w:ilvl w:val="0"/>
          <w:numId w:val="3"/>
        </w:numPr>
        <w:rPr>
          <w:b/>
        </w:rPr>
      </w:pPr>
      <w:r w:rsidRPr="00485D44">
        <w:rPr>
          <w:b/>
          <w:u w:val="single"/>
        </w:rPr>
        <w:t>Explain the circumstances that make the collection of information necessary</w:t>
      </w:r>
      <w:r w:rsidRPr="00747DE1">
        <w:rPr>
          <w:b/>
        </w:rPr>
        <w:t>.</w:t>
      </w:r>
    </w:p>
    <w:p w:rsidR="00D714F2" w:rsidP="00D714F2" w14:paraId="1DE72CE8" w14:textId="77777777"/>
    <w:p w:rsidR="00D714F2" w:rsidP="00952DE0" w14:paraId="48B276D5" w14:textId="036E70D7">
      <w:r>
        <w:t>T</w:t>
      </w:r>
      <w:r w:rsidR="009E5D31">
        <w:t>he Minority Business Development Act of 2021 (Division K – Infrastructure Investment and Jobs Act, P.L. 117-58)</w:t>
      </w:r>
      <w:r w:rsidR="008A3019">
        <w:t>, enacted on November 15, 2022</w:t>
      </w:r>
      <w:r>
        <w:t xml:space="preserve">, </w:t>
      </w:r>
      <w:r>
        <w:t xml:space="preserve">codified </w:t>
      </w:r>
      <w:r>
        <w:t>the Minority Business Development Agency</w:t>
      </w:r>
      <w:r w:rsidR="00790BBB">
        <w:t xml:space="preserve"> </w:t>
      </w:r>
      <w:r>
        <w:t>(MBDA)</w:t>
      </w:r>
      <w:r w:rsidR="00C91AF1">
        <w:t>,</w:t>
      </w:r>
      <w:r w:rsidR="00F66ADF">
        <w:t xml:space="preserve"> its </w:t>
      </w:r>
      <w:r w:rsidR="0000136C">
        <w:t>MBDA Business Center Program (Subtitle</w:t>
      </w:r>
      <w:r w:rsidR="001424A7">
        <w:t xml:space="preserve"> B</w:t>
      </w:r>
      <w:r w:rsidR="00420B87">
        <w:t>, Sections 100111-</w:t>
      </w:r>
      <w:r w:rsidR="00FC57AF">
        <w:t>10015</w:t>
      </w:r>
      <w:r w:rsidR="001424A7">
        <w:t>)</w:t>
      </w:r>
      <w:r w:rsidR="00FC57AF">
        <w:t>,</w:t>
      </w:r>
      <w:r w:rsidR="00C91AF1">
        <w:t xml:space="preserve"> </w:t>
      </w:r>
      <w:r w:rsidR="00FC57AF">
        <w:t xml:space="preserve">and </w:t>
      </w:r>
      <w:r w:rsidR="00C91AF1">
        <w:t xml:space="preserve">other </w:t>
      </w:r>
      <w:r w:rsidR="00F70516">
        <w:t>MBDA programs and priorities</w:t>
      </w:r>
      <w:r w:rsidR="001424A7">
        <w:t xml:space="preserve">. </w:t>
      </w:r>
      <w:r w:rsidR="00FC57AF">
        <w:t xml:space="preserve">The </w:t>
      </w:r>
      <w:r w:rsidR="0057402D">
        <w:t xml:space="preserve">purpose of the </w:t>
      </w:r>
      <w:r w:rsidR="00FC57AF">
        <w:t xml:space="preserve">MBDA Business Center (MBC) Program </w:t>
      </w:r>
      <w:r w:rsidR="0057402D">
        <w:t xml:space="preserve">is to create a national network of </w:t>
      </w:r>
      <w:r w:rsidR="00F70516">
        <w:t>Business Centers and Specialty Centers</w:t>
      </w:r>
      <w:r w:rsidR="0057402D">
        <w:t xml:space="preserve"> that assist minority business enterprises (MBEs) in accessing capital, contracts, </w:t>
      </w:r>
      <w:r w:rsidR="00447855">
        <w:t xml:space="preserve">and grants; and creating and maintaining jobs. </w:t>
      </w:r>
      <w:r>
        <w:t xml:space="preserve">To this end, MBDA awards </w:t>
      </w:r>
      <w:r w:rsidR="00F70516">
        <w:t xml:space="preserve">grants </w:t>
      </w:r>
      <w:r>
        <w:t xml:space="preserve">for the delivery of </w:t>
      </w:r>
      <w:r w:rsidR="00F70516">
        <w:t>MBC</w:t>
      </w:r>
      <w:r w:rsidR="00CD5E46">
        <w:t xml:space="preserve"> </w:t>
      </w:r>
      <w:r>
        <w:t>management and technical assistance services directly to minority entrepreneurs</w:t>
      </w:r>
      <w:r w:rsidR="00F70516">
        <w:t>, as well as other MBDA technical assistance programs</w:t>
      </w:r>
      <w:r>
        <w:t>.</w:t>
      </w:r>
      <w:r w:rsidR="00952DE0">
        <w:t xml:space="preserve">  </w:t>
      </w:r>
    </w:p>
    <w:p w:rsidR="00D714F2" w:rsidP="00D714F2" w14:paraId="0185943D" w14:textId="77777777">
      <w:pPr>
        <w:ind w:left="360"/>
      </w:pPr>
    </w:p>
    <w:p w:rsidR="00485D44" w:rsidP="00952DE0" w14:paraId="690751B5" w14:textId="41A8EA9A">
      <w:r>
        <w:t xml:space="preserve">The purpose of </w:t>
      </w:r>
      <w:r w:rsidR="00952DE0">
        <w:t xml:space="preserve">the Online </w:t>
      </w:r>
      <w:r w:rsidR="003B66FD">
        <w:t>Customer Relationship Management (CRM)/</w:t>
      </w:r>
      <w:r>
        <w:t xml:space="preserve">Performance </w:t>
      </w:r>
      <w:r w:rsidR="00BD0F34">
        <w:t>D</w:t>
      </w:r>
      <w:r>
        <w:t>atabase</w:t>
      </w:r>
      <w:r w:rsidR="003B66FD">
        <w:t>s</w:t>
      </w:r>
      <w:r w:rsidR="00952DE0">
        <w:t xml:space="preserve"> </w:t>
      </w:r>
      <w:r w:rsidR="00982040">
        <w:t xml:space="preserve">System (System) </w:t>
      </w:r>
      <w:r w:rsidR="00D53F43">
        <w:t>is</w:t>
      </w:r>
      <w:r>
        <w:t xml:space="preserve"> to provide an electronic system for (1) entering the accomplishments of MBDA’s </w:t>
      </w:r>
      <w:r w:rsidR="00952DE0">
        <w:t>grant recipients</w:t>
      </w:r>
      <w:r w:rsidR="00E43198">
        <w:t>.</w:t>
      </w:r>
      <w:r w:rsidR="00952DE0">
        <w:t xml:space="preserve"> </w:t>
      </w:r>
      <w:r w:rsidR="00E43198">
        <w:t xml:space="preserve">The </w:t>
      </w:r>
      <w:r w:rsidR="00982040">
        <w:t>System</w:t>
      </w:r>
      <w:r w:rsidR="00E43198">
        <w:t xml:space="preserve"> </w:t>
      </w:r>
      <w:r w:rsidR="00D53F43">
        <w:t>is</w:t>
      </w:r>
      <w:r w:rsidR="00E43198">
        <w:t xml:space="preserve"> </w:t>
      </w:r>
      <w:r w:rsidR="00952DE0">
        <w:t>maintained and accessible</w:t>
      </w:r>
      <w:r w:rsidR="00D53F43">
        <w:t xml:space="preserve"> by MBDA and </w:t>
      </w:r>
      <w:r w:rsidRPr="004E4DBD" w:rsidR="00F70516">
        <w:t>grantee</w:t>
      </w:r>
      <w:r w:rsidRPr="006B35E7" w:rsidR="00D53F43">
        <w:t xml:space="preserve"> staff</w:t>
      </w:r>
      <w:r w:rsidRPr="006B35E7" w:rsidR="00952DE0">
        <w:t xml:space="preserve"> </w:t>
      </w:r>
      <w:r w:rsidR="00952DE0">
        <w:t xml:space="preserve">through </w:t>
      </w:r>
      <w:r w:rsidR="00CD5E46">
        <w:t>a unique cloud</w:t>
      </w:r>
      <w:r w:rsidR="00DF31CD">
        <w:t>-</w:t>
      </w:r>
      <w:r w:rsidR="00CD5E46">
        <w:t>based URL</w:t>
      </w:r>
      <w:r w:rsidR="00DF31CD">
        <w:t>.</w:t>
      </w:r>
      <w:r w:rsidR="00CD5E46">
        <w:t xml:space="preserve"> </w:t>
      </w:r>
    </w:p>
    <w:p w:rsidR="002C1381" w:rsidP="002C1381" w14:paraId="58D68EC1" w14:textId="77777777">
      <w:pPr>
        <w:ind w:firstLine="360"/>
      </w:pPr>
    </w:p>
    <w:p w:rsidR="00485D44" w:rsidP="00485D44" w14:paraId="3A2F6193" w14:textId="77777777">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2C1381" w:rsidRPr="00747DE1" w:rsidP="00485D44" w14:paraId="46BF079D" w14:textId="77777777">
      <w:pPr>
        <w:rPr>
          <w:b/>
        </w:rPr>
      </w:pPr>
      <w:r>
        <w:rPr>
          <w:b/>
        </w:rPr>
        <w:t xml:space="preserve">  </w:t>
      </w:r>
      <w:r w:rsidRPr="00747DE1">
        <w:rPr>
          <w:b/>
        </w:rPr>
        <w:t xml:space="preserve"> </w:t>
      </w:r>
    </w:p>
    <w:p w:rsidR="002C1381" w:rsidRPr="00485D44" w:rsidP="002C1381" w14:paraId="2993E941" w14:textId="083CFABA">
      <w:pPr>
        <w:rPr>
          <w:b/>
        </w:rPr>
      </w:pPr>
      <w:r>
        <w:rPr>
          <w:b/>
          <w:u w:val="single"/>
        </w:rPr>
        <w:t xml:space="preserve">ONLINE </w:t>
      </w:r>
      <w:r w:rsidR="003B66FD">
        <w:rPr>
          <w:b/>
          <w:u w:val="single"/>
        </w:rPr>
        <w:t>CUSTOMER RELATIONSHIP/</w:t>
      </w:r>
      <w:r w:rsidRPr="00485D44">
        <w:rPr>
          <w:b/>
          <w:u w:val="single"/>
        </w:rPr>
        <w:t>PERFORMANCE DATABASE</w:t>
      </w:r>
      <w:r w:rsidR="003B66FD">
        <w:rPr>
          <w:b/>
          <w:u w:val="single"/>
        </w:rPr>
        <w:t>S</w:t>
      </w:r>
      <w:r>
        <w:rPr>
          <w:b/>
          <w:u w:val="single"/>
        </w:rPr>
        <w:t xml:space="preserve"> </w:t>
      </w:r>
    </w:p>
    <w:p w:rsidR="002C1381" w:rsidP="002C1381" w14:paraId="2A682693" w14:textId="77777777"/>
    <w:p w:rsidR="002C1381" w:rsidP="002C1381" w14:paraId="789CA593" w14:textId="0AE3B022">
      <w:r>
        <w:t xml:space="preserve">Specific uses of the </w:t>
      </w:r>
      <w:r w:rsidR="002C51F2">
        <w:t>System</w:t>
      </w:r>
      <w:r>
        <w:t xml:space="preserve"> include:</w:t>
      </w:r>
    </w:p>
    <w:p w:rsidR="00334690" w:rsidP="002C1381" w14:paraId="2C88DFE1" w14:textId="77777777"/>
    <w:p w:rsidR="002C1381" w:rsidP="00747DE1" w14:paraId="1A018EBC" w14:textId="6A0699E9">
      <w:pPr>
        <w:numPr>
          <w:ilvl w:val="0"/>
          <w:numId w:val="4"/>
        </w:numPr>
      </w:pPr>
      <w:r>
        <w:t xml:space="preserve">The documentation of actual performance accomplishments of each funded </w:t>
      </w:r>
      <w:r w:rsidR="00524CFA">
        <w:t>center</w:t>
      </w:r>
      <w:r w:rsidRPr="00E3199B" w:rsidR="00524CFA">
        <w:t xml:space="preserve"> </w:t>
      </w:r>
      <w:r w:rsidR="00EB4C49">
        <w:t>(</w:t>
      </w:r>
      <w:r w:rsidR="00EB4C49">
        <w:rPr>
          <w:i/>
        </w:rPr>
        <w:t>i.e.</w:t>
      </w:r>
      <w:r w:rsidR="00EB4C49">
        <w:t xml:space="preserve">, MBDA grant recipient) </w:t>
      </w:r>
      <w:r>
        <w:t xml:space="preserve">compared with stated goals in </w:t>
      </w:r>
      <w:r w:rsidR="00EB4C49">
        <w:t xml:space="preserve">the respective </w:t>
      </w:r>
      <w:r>
        <w:t xml:space="preserve">cooperative agreement </w:t>
      </w:r>
      <w:r w:rsidR="00D00FDD">
        <w:t xml:space="preserve">and financial assistance award </w:t>
      </w:r>
      <w:r>
        <w:t xml:space="preserve">with MBDA. The </w:t>
      </w:r>
      <w:r w:rsidR="002C51F2">
        <w:t>System</w:t>
      </w:r>
      <w:r>
        <w:t xml:space="preserve"> permits tracking of each </w:t>
      </w:r>
      <w:r w:rsidR="00524CFA">
        <w:t xml:space="preserve">center’s </w:t>
      </w:r>
      <w:r>
        <w:t xml:space="preserve">goals using </w:t>
      </w:r>
      <w:r>
        <w:t>a number of</w:t>
      </w:r>
      <w:r>
        <w:t xml:space="preserve"> general and specific variables. The flexibility of the </w:t>
      </w:r>
      <w:r w:rsidR="009D6540">
        <w:t xml:space="preserve">System </w:t>
      </w:r>
      <w:r>
        <w:t xml:space="preserve">permits new variables to be added as needed. </w:t>
      </w:r>
    </w:p>
    <w:p w:rsidR="00747DE1" w:rsidP="00747DE1" w14:paraId="48CD8D86" w14:textId="77777777">
      <w:pPr>
        <w:ind w:left="360"/>
      </w:pPr>
    </w:p>
    <w:p w:rsidR="00747DE1" w:rsidP="00747DE1" w14:paraId="10BB359C" w14:textId="1A4B74E9">
      <w:pPr>
        <w:numPr>
          <w:ilvl w:val="0"/>
          <w:numId w:val="4"/>
        </w:numPr>
      </w:pPr>
      <w:r>
        <w:t xml:space="preserve">The verification of the summary performance accomplishments cited in the narrative reports. Based on the results, performance data and other qualitative information obtained </w:t>
      </w:r>
      <w:r>
        <w:t xml:space="preserve">during MBDA quarterly monitoring will determine whether a specific cooperative agreement </w:t>
      </w:r>
      <w:r w:rsidR="00D00FDD">
        <w:t xml:space="preserve">or grant </w:t>
      </w:r>
      <w:r>
        <w:t xml:space="preserve">should be </w:t>
      </w:r>
      <w:r w:rsidR="009A1C0F">
        <w:t>terminated,</w:t>
      </w:r>
      <w:r>
        <w:t xml:space="preserve"> or other actions are needed to improve </w:t>
      </w:r>
      <w:r w:rsidR="00EB4C49">
        <w:t xml:space="preserve">program </w:t>
      </w:r>
      <w:r>
        <w:t xml:space="preserve">performance. </w:t>
      </w:r>
    </w:p>
    <w:p w:rsidR="00334690" w:rsidP="002C1381" w14:paraId="790452AC" w14:textId="77777777"/>
    <w:p w:rsidR="0078152E" w:rsidP="00A03784" w14:paraId="35E488BF" w14:textId="77777777">
      <w:pPr>
        <w:numPr>
          <w:ilvl w:val="0"/>
          <w:numId w:val="4"/>
        </w:numPr>
      </w:pPr>
      <w:r>
        <w:t xml:space="preserve">Tracks weekly/monthly/quarterly performance. This enables managers to </w:t>
      </w:r>
      <w:r w:rsidR="00EB4C49">
        <w:t xml:space="preserve">identify and </w:t>
      </w:r>
      <w:r>
        <w:t xml:space="preserve">address performance problems </w:t>
      </w:r>
      <w:r w:rsidR="00EB4C49">
        <w:t xml:space="preserve">in </w:t>
      </w:r>
      <w:r>
        <w:t xml:space="preserve">early </w:t>
      </w:r>
      <w:r w:rsidR="00EB4C49">
        <w:t>stages</w:t>
      </w:r>
      <w:r>
        <w:t xml:space="preserve">. </w:t>
      </w:r>
    </w:p>
    <w:p w:rsidR="004E7A46" w:rsidP="004E7A46" w14:paraId="1B5ECF65" w14:textId="77777777">
      <w:pPr>
        <w:ind w:left="360"/>
      </w:pPr>
    </w:p>
    <w:p w:rsidR="00A03784" w:rsidP="00A03784" w14:paraId="1F471E86" w14:textId="77777777">
      <w:pPr>
        <w:numPr>
          <w:ilvl w:val="0"/>
          <w:numId w:val="4"/>
        </w:numPr>
      </w:pPr>
      <w:r>
        <w:t xml:space="preserve">Identifies minority business clients </w:t>
      </w:r>
      <w:r w:rsidR="00D00FDD">
        <w:t xml:space="preserve">and MBEs </w:t>
      </w:r>
      <w:r>
        <w:t>receiving agency-sponsored business development services in the form of management and technical assistance, the kind of assistance each receives, and the impact of that assistance on the growth and profitability of the client firms.</w:t>
      </w:r>
    </w:p>
    <w:p w:rsidR="00A03784" w:rsidP="00A03784" w14:paraId="066AC370" w14:textId="77777777"/>
    <w:p w:rsidR="00A03784" w:rsidP="00A03784" w14:paraId="48D86179" w14:textId="77777777">
      <w:pPr>
        <w:numPr>
          <w:ilvl w:val="0"/>
          <w:numId w:val="4"/>
        </w:numPr>
      </w:pPr>
      <w:r>
        <w:t xml:space="preserve">Generates special reports analyzing program activities and services by business types, industry trends, business starts, geographic profiles, successful capital and marketing opportunities, and other program elements. </w:t>
      </w:r>
    </w:p>
    <w:p w:rsidR="000B129F" w:rsidP="000B129F" w14:paraId="30204B3B" w14:textId="77777777"/>
    <w:p w:rsidR="000B129F" w:rsidP="00A03784" w14:paraId="61F2DBF7" w14:textId="6104D767">
      <w:pPr>
        <w:numPr>
          <w:ilvl w:val="0"/>
          <w:numId w:val="4"/>
        </w:numPr>
      </w:pPr>
      <w:r>
        <w:t xml:space="preserve">The system permits client identification using a unique computer-assigned identifier for each </w:t>
      </w:r>
      <w:r w:rsidRPr="00E3199B">
        <w:t xml:space="preserve">funded </w:t>
      </w:r>
      <w:r w:rsidR="00524CFA">
        <w:t>center</w:t>
      </w:r>
      <w:r w:rsidRPr="00E3199B">
        <w:t xml:space="preserve">. </w:t>
      </w:r>
      <w:r w:rsidRPr="00E3199B" w:rsidR="002803BE">
        <w:t xml:space="preserve">The identification is related to all client data fields. These data fields include number of clients assisted, types of assistance, number of hours of assistance, dollar value of all secured transactions, as well as the number of other variables available for analysis </w:t>
      </w:r>
      <w:r w:rsidR="00203A5A">
        <w:t>with respect to e</w:t>
      </w:r>
      <w:r w:rsidRPr="00E3199B" w:rsidR="002803BE">
        <w:t>ach client</w:t>
      </w:r>
      <w:r w:rsidR="00D00FDD">
        <w:t>,</w:t>
      </w:r>
      <w:r w:rsidRPr="00E3199B" w:rsidR="002803BE">
        <w:t xml:space="preserve"> </w:t>
      </w:r>
      <w:r w:rsidR="00D00FDD">
        <w:t>fund</w:t>
      </w:r>
      <w:r w:rsidRPr="00E3199B" w:rsidR="002803BE">
        <w:t xml:space="preserve">ed </w:t>
      </w:r>
      <w:r w:rsidR="00524CFA">
        <w:t>center</w:t>
      </w:r>
      <w:r w:rsidR="00D00FDD">
        <w:t>, or MBE.</w:t>
      </w:r>
      <w:r w:rsidRPr="00E3199B" w:rsidR="002803BE">
        <w:t xml:space="preserve"> </w:t>
      </w:r>
    </w:p>
    <w:p w:rsidR="00F50513" w:rsidP="004E4DBD" w14:paraId="5352E043" w14:textId="77777777">
      <w:pPr>
        <w:pStyle w:val="ListParagraph"/>
      </w:pPr>
    </w:p>
    <w:p w:rsidR="00F50513" w:rsidRPr="00E3199B" w:rsidP="00A03784" w14:paraId="11C87C3D" w14:textId="2134F828">
      <w:pPr>
        <w:numPr>
          <w:ilvl w:val="0"/>
          <w:numId w:val="4"/>
        </w:numPr>
      </w:pPr>
      <w:r>
        <w:t xml:space="preserve">The system </w:t>
      </w:r>
      <w:r w:rsidR="00622CCE">
        <w:t xml:space="preserve">allows </w:t>
      </w:r>
      <w:r w:rsidR="00F70516">
        <w:t>program participants</w:t>
      </w:r>
      <w:r w:rsidR="008B4CF2">
        <w:t xml:space="preserve"> (i.e., clients assisted)</w:t>
      </w:r>
      <w:r w:rsidR="00622CCE">
        <w:t xml:space="preserve"> to complete a digital registration and </w:t>
      </w:r>
      <w:r w:rsidR="00964194">
        <w:t xml:space="preserve">program </w:t>
      </w:r>
      <w:r w:rsidR="00622CCE">
        <w:t xml:space="preserve">engagement </w:t>
      </w:r>
      <w:r w:rsidR="00950A2C">
        <w:t xml:space="preserve">and transaction verification </w:t>
      </w:r>
      <w:r w:rsidR="00964194">
        <w:t>form</w:t>
      </w:r>
      <w:r w:rsidR="00950A2C">
        <w:t>s</w:t>
      </w:r>
      <w:r w:rsidR="00964194">
        <w:t xml:space="preserve"> </w:t>
      </w:r>
      <w:r w:rsidR="00E17FD3">
        <w:t xml:space="preserve">that includes </w:t>
      </w:r>
      <w:r w:rsidR="00B62B41">
        <w:t>contact information, acknowledgement of services to be rendered by the MBDA program</w:t>
      </w:r>
      <w:r w:rsidR="00B73B92">
        <w:t xml:space="preserve"> project</w:t>
      </w:r>
      <w:r w:rsidR="00F70516">
        <w:t>,</w:t>
      </w:r>
      <w:r w:rsidR="00B73B92">
        <w:t xml:space="preserve"> </w:t>
      </w:r>
      <w:r w:rsidR="00B81E7A">
        <w:t xml:space="preserve">outcomes due to </w:t>
      </w:r>
      <w:r w:rsidR="00187482">
        <w:t xml:space="preserve">the services rendered and </w:t>
      </w:r>
      <w:r w:rsidR="00F70516">
        <w:t>participant</w:t>
      </w:r>
      <w:r w:rsidR="00B73B92">
        <w:t xml:space="preserve"> </w:t>
      </w:r>
      <w:r w:rsidR="00B62B41">
        <w:t>digital signature</w:t>
      </w:r>
      <w:r w:rsidR="00B73B92">
        <w:t>.</w:t>
      </w:r>
    </w:p>
    <w:p w:rsidR="002803BE" w:rsidP="002803BE" w14:paraId="3CED8226" w14:textId="77777777"/>
    <w:p w:rsidR="00BE531F" w:rsidRPr="00E3199B" w:rsidP="004E4DBD" w14:paraId="7EA6C976" w14:textId="3256A99C">
      <w:r>
        <w:t xml:space="preserve">The purpose of this collection is to establish a framework for assessing and evaluating a project’s performance.  </w:t>
      </w:r>
      <w:r w:rsidRPr="009D6540">
        <w:t>MBDA requires this information to monitor, evaluate, and plan Agency programs which effectively enhance the development of the minority business sector.</w:t>
      </w:r>
      <w:r w:rsidRPr="009D6540" w:rsidR="00203A5A">
        <w:t xml:space="preserve">  </w:t>
      </w:r>
      <w:r w:rsidRPr="009D6540">
        <w:t xml:space="preserve">Using the information collected, MBDA produces ad hoc and recurring reports on its </w:t>
      </w:r>
      <w:r w:rsidR="00F70516">
        <w:t>technical assistance programs, including MBCs</w:t>
      </w:r>
      <w:r w:rsidRPr="006B35E7">
        <w:t>.</w:t>
      </w:r>
      <w:r w:rsidRPr="00E3199B">
        <w:t xml:space="preserve"> Because MBDA’s major funded activity is client service, the reports generated are a primary agency reporting and planning mechanism.</w:t>
      </w:r>
    </w:p>
    <w:p w:rsidR="00BE531F" w:rsidRPr="00E3199B" w:rsidP="004E4DBD" w14:paraId="5F8BB604" w14:textId="77777777">
      <w:pPr>
        <w:ind w:firstLine="360"/>
      </w:pPr>
    </w:p>
    <w:p w:rsidR="00BE531F" w:rsidRPr="00E3199B" w:rsidP="004E4DBD" w14:paraId="0DD2A4ED" w14:textId="77777777">
      <w:r w:rsidRPr="00E3199B">
        <w:t xml:space="preserve">The data collection activity is comprised of quarterly accomplishments </w:t>
      </w:r>
      <w:r w:rsidR="00203A5A">
        <w:t xml:space="preserve">of each </w:t>
      </w:r>
      <w:r w:rsidR="00D00FDD">
        <w:t>cooperative agreement or grant</w:t>
      </w:r>
      <w:r w:rsidR="00203A5A">
        <w:t xml:space="preserve"> consistent with the terms and conditions of the </w:t>
      </w:r>
      <w:r w:rsidR="00D00FDD">
        <w:t>funding instrument or announcement</w:t>
      </w:r>
      <w:r w:rsidR="00203A5A">
        <w:t xml:space="preserve"> </w:t>
      </w:r>
      <w:r w:rsidRPr="00E3199B">
        <w:t xml:space="preserve">and provides </w:t>
      </w:r>
      <w:r w:rsidR="00203A5A">
        <w:t xml:space="preserve">MBDA </w:t>
      </w:r>
      <w:r w:rsidRPr="00E3199B">
        <w:t xml:space="preserve">with the grantee’s actual accomplishments at the end of each reporting period. MBDA staff enters the grantee’s yearly goals at the time of </w:t>
      </w:r>
      <w:r w:rsidR="00524CFA">
        <w:t>award</w:t>
      </w:r>
      <w:r w:rsidRPr="00E3199B">
        <w:t xml:space="preserve">. </w:t>
      </w:r>
    </w:p>
    <w:p w:rsidR="00BE531F" w:rsidP="004E4DBD" w14:paraId="650DDA08" w14:textId="77777777">
      <w:pPr>
        <w:ind w:firstLine="360"/>
      </w:pPr>
    </w:p>
    <w:p w:rsidR="00BE531F" w:rsidP="004E4DBD" w14:paraId="5F725F1D" w14:textId="2E7E69FA">
      <w:r>
        <w:t xml:space="preserve">The </w:t>
      </w:r>
      <w:r w:rsidR="004811AD">
        <w:t>System</w:t>
      </w:r>
      <w:r>
        <w:t xml:space="preserve"> enables reporting entities to update files in real time via secure Internet </w:t>
      </w:r>
      <w:r w:rsidR="00F36776">
        <w:t>linkage</w:t>
      </w:r>
      <w:r>
        <w:t>.</w:t>
      </w:r>
      <w:r w:rsidR="00835529">
        <w:t xml:space="preserve"> </w:t>
      </w:r>
      <w:r>
        <w:t xml:space="preserve">The graphic user interface (GUI) is simple to understand and operate and has a built-in capability to detect errors at </w:t>
      </w:r>
      <w:r w:rsidR="00524CFA">
        <w:t xml:space="preserve">the </w:t>
      </w:r>
      <w:r>
        <w:t xml:space="preserve">time of entry to ensure more accurate data input. </w:t>
      </w:r>
    </w:p>
    <w:p w:rsidR="00BE531F" w:rsidP="004E4DBD" w14:paraId="41B7BF31" w14:textId="77777777">
      <w:pPr>
        <w:ind w:firstLine="360"/>
      </w:pPr>
    </w:p>
    <w:p w:rsidR="00BE531F" w:rsidP="004E4DBD" w14:paraId="412E849B" w14:textId="1F690DB3">
      <w:r>
        <w:t xml:space="preserve">MBDA Managers have the capability to monitor progress of projects on a day-to-day basis instead of waiting for quarterly reports to be submitted. The online, real-time interface permits </w:t>
      </w:r>
      <w:r w:rsidR="0001569B">
        <w:t xml:space="preserve">reporting entities to have full-time access to the </w:t>
      </w:r>
      <w:r w:rsidR="009D6540">
        <w:t xml:space="preserve">System </w:t>
      </w:r>
      <w:r w:rsidR="0001569B">
        <w:t xml:space="preserve">for internal management. This standardizes the reporting methodologies throughout the system. This </w:t>
      </w:r>
      <w:r w:rsidR="009A1C0F">
        <w:t xml:space="preserve">System </w:t>
      </w:r>
      <w:r w:rsidR="0001569B">
        <w:t>has removed several steps from the reporting process, with attendant savings in paperwork-burden hours.</w:t>
      </w:r>
    </w:p>
    <w:p w:rsidR="0001569B" w:rsidP="004E4DBD" w14:paraId="30A204ED" w14:textId="77777777">
      <w:pPr>
        <w:ind w:firstLine="360"/>
      </w:pPr>
    </w:p>
    <w:p w:rsidR="0001569B" w:rsidP="004E4DBD" w14:paraId="52A3D109" w14:textId="0B8DB9E7">
      <w:r>
        <w:t xml:space="preserve">The </w:t>
      </w:r>
      <w:r w:rsidR="009A1C0F">
        <w:t>System</w:t>
      </w:r>
      <w:r>
        <w:t xml:space="preserve"> documents “successes” in an accurate and definitive fashion. Each contract, loan and other minority business benefit is tabulated chronologically in the </w:t>
      </w:r>
      <w:r w:rsidR="009A1C0F">
        <w:t xml:space="preserve">System </w:t>
      </w:r>
      <w:r>
        <w:t>so that a progress history of each client can be tracked throughout the life of the client’s association with MBDA. The increases in number of employees and minority employees, size, number and type of contract</w:t>
      </w:r>
      <w:r w:rsidR="00736547">
        <w:t>s</w:t>
      </w:r>
      <w:r>
        <w:t xml:space="preserve">, increase in capitalization, export and domestic market data, advancement in certification, North American Industry Classification Standards and Standard Industry Industrial Codes-related information, and other growth and programmatic criteria is collected. The </w:t>
      </w:r>
      <w:r w:rsidR="009A1C0F">
        <w:t>System</w:t>
      </w:r>
      <w:r>
        <w:t xml:space="preserve"> is designed to meet the goals and objectives of the Government Performance Results Act</w:t>
      </w:r>
      <w:r w:rsidR="004E7A46">
        <w:t xml:space="preserve"> (GPRA)</w:t>
      </w:r>
      <w:r>
        <w:t>, and the technological construct of the system ensures accurate, timely reporting and ensures the strict security of privacy-protected data while maintaining a focus on the reduction of paperwork burden to the public.</w:t>
      </w:r>
    </w:p>
    <w:p w:rsidR="0091425D" w:rsidP="004E4DBD" w14:paraId="71973769" w14:textId="77777777">
      <w:pPr>
        <w:ind w:firstLine="360"/>
      </w:pPr>
    </w:p>
    <w:p w:rsidR="0091425D" w:rsidRPr="00E3199B" w:rsidP="004E4DBD" w14:paraId="51359B9F" w14:textId="572192FB">
      <w:r>
        <w:t xml:space="preserve">MBDA estimates that the overall cost savings and paperwork reduction enabled by the </w:t>
      </w:r>
      <w:r w:rsidR="004811AD">
        <w:t>System</w:t>
      </w:r>
      <w:r w:rsidR="00835529">
        <w:t xml:space="preserve"> </w:t>
      </w:r>
      <w:r w:rsidR="00524CFA">
        <w:t>is</w:t>
      </w:r>
      <w:r>
        <w:t xml:space="preserve"> significant</w:t>
      </w:r>
      <w:r w:rsidR="00835529">
        <w:t xml:space="preserve"> as compared to collecting such information via paper submissions</w:t>
      </w:r>
      <w:r>
        <w:t>.</w:t>
      </w:r>
      <w:r w:rsidR="00835529">
        <w:t xml:space="preserve">  </w:t>
      </w:r>
      <w:r w:rsidRPr="00E3199B">
        <w:t xml:space="preserve">The information collected is for MBDA internal analysis and programmatic decision-making and is not </w:t>
      </w:r>
      <w:r w:rsidR="00835529">
        <w:t xml:space="preserve">generally </w:t>
      </w:r>
      <w:r w:rsidRPr="00E3199B">
        <w:t>disseminated to the public.</w:t>
      </w:r>
    </w:p>
    <w:p w:rsidR="00FC43B5" w:rsidP="00FC43B5" w14:paraId="10A012EF" w14:textId="77777777"/>
    <w:p w:rsidR="00485D44" w:rsidP="00485D44" w14:paraId="68030B13" w14:textId="77777777">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485D44" w:rsidP="00835529" w14:paraId="57CCD734" w14:textId="77777777"/>
    <w:p w:rsidR="00736547" w:rsidP="00835529" w14:paraId="6868D708" w14:textId="389E1BF0">
      <w:r>
        <w:t>The subject information collection is captured e</w:t>
      </w:r>
      <w:r w:rsidRPr="00E3199B">
        <w:t>lectronically</w:t>
      </w:r>
      <w:r>
        <w:t xml:space="preserve"> via </w:t>
      </w:r>
      <w:r w:rsidR="00B4743E">
        <w:t>a cloud</w:t>
      </w:r>
      <w:r w:rsidRPr="00E3199B" w:rsidR="005F2FF1">
        <w:t xml:space="preserve">-based </w:t>
      </w:r>
      <w:r w:rsidR="00B4743E">
        <w:t xml:space="preserve">system </w:t>
      </w:r>
      <w:r>
        <w:t>form</w:t>
      </w:r>
      <w:r w:rsidR="00835529">
        <w:t xml:space="preserve"> </w:t>
      </w:r>
      <w:r w:rsidR="004A479C">
        <w:t xml:space="preserve">where </w:t>
      </w:r>
      <w:r w:rsidRPr="00E3199B" w:rsidR="005F2FF1">
        <w:t xml:space="preserve">data </w:t>
      </w:r>
      <w:r w:rsidR="004A479C">
        <w:t xml:space="preserve">is gathered </w:t>
      </w:r>
      <w:r w:rsidRPr="00E3199B" w:rsidR="005F2FF1">
        <w:t xml:space="preserve">from all MBDA clients, </w:t>
      </w:r>
      <w:r w:rsidR="004A479C">
        <w:t xml:space="preserve">funded </w:t>
      </w:r>
      <w:r w:rsidRPr="00E3199B" w:rsidR="005F2FF1">
        <w:t xml:space="preserve">centers, </w:t>
      </w:r>
      <w:r w:rsidR="00D00FDD">
        <w:t>and program participants</w:t>
      </w:r>
      <w:r w:rsidRPr="00E3199B" w:rsidR="005F2FF1">
        <w:t>. MBDA</w:t>
      </w:r>
      <w:r w:rsidR="005F2FF1">
        <w:t xml:space="preserve"> makes every effort, through training and publications for the </w:t>
      </w:r>
      <w:r w:rsidR="00E12B18">
        <w:t>System</w:t>
      </w:r>
      <w:r w:rsidR="005F2FF1">
        <w:t>, to educate the minority</w:t>
      </w:r>
      <w:r w:rsidR="00835529">
        <w:t xml:space="preserve"> business community o</w:t>
      </w:r>
      <w:r w:rsidR="005F2FF1">
        <w:t>n the use of this system and to minimize the amount of time organizations spend on data entry.</w:t>
      </w:r>
      <w:r>
        <w:t xml:space="preserve"> The </w:t>
      </w:r>
      <w:r w:rsidR="00E12B18">
        <w:t>Sy</w:t>
      </w:r>
      <w:r>
        <w:t>stem enables input on a daily basis</w:t>
      </w:r>
      <w:r w:rsidR="00ED113D">
        <w:t xml:space="preserve"> by the project using a two-factor authentication</w:t>
      </w:r>
      <w:r>
        <w:t xml:space="preserve">. The Manager is able to track </w:t>
      </w:r>
      <w:r w:rsidR="004C1B0D">
        <w:t>project</w:t>
      </w:r>
      <w:r>
        <w:t xml:space="preserve"> performance from their desktops</w:t>
      </w:r>
      <w:r w:rsidR="006B375D">
        <w:t xml:space="preserve"> in real time</w:t>
      </w:r>
      <w:r>
        <w:t xml:space="preserve">. </w:t>
      </w:r>
    </w:p>
    <w:p w:rsidR="00BB0BEA" w:rsidP="00835529" w14:paraId="190E3263" w14:textId="77777777"/>
    <w:p w:rsidR="005F2FF1" w:rsidRPr="00E3199B" w:rsidP="00835529" w14:paraId="6D42B71F" w14:textId="3293C693">
      <w:r>
        <w:t xml:space="preserve">MBDA has an integrated World Wide Web site and intranet portal to provide information to the public, the Department, and other interested entities. Minority business growth is tracked by increases in employment, gross </w:t>
      </w:r>
      <w:r w:rsidR="00A302BB">
        <w:t xml:space="preserve">revenue </w:t>
      </w:r>
      <w:r w:rsidR="00CF1CAE">
        <w:t xml:space="preserve">(i.e., </w:t>
      </w:r>
      <w:r>
        <w:t xml:space="preserve">sales, </w:t>
      </w:r>
      <w:r w:rsidR="005265AB">
        <w:t>service agreement</w:t>
      </w:r>
      <w:r w:rsidR="00256033">
        <w:t xml:space="preserve">, </w:t>
      </w:r>
      <w:r>
        <w:t>contract size</w:t>
      </w:r>
      <w:r w:rsidR="00256033">
        <w:t>, task order</w:t>
      </w:r>
      <w:r w:rsidR="00CF1CAE">
        <w:t>), financing (i.e.,</w:t>
      </w:r>
      <w:r w:rsidR="00B61CE5">
        <w:t xml:space="preserve"> loans,</w:t>
      </w:r>
      <w:r w:rsidR="00195FB1">
        <w:t xml:space="preserve"> credit,</w:t>
      </w:r>
      <w:r w:rsidR="00877EAC">
        <w:t xml:space="preserve"> trade credit, subordinated debt, </w:t>
      </w:r>
      <w:r w:rsidR="00B61CE5">
        <w:t>capital investments and bonding)</w:t>
      </w:r>
      <w:r>
        <w:t xml:space="preserve"> and industry. Because the </w:t>
      </w:r>
      <w:r w:rsidR="009A1C0F">
        <w:t xml:space="preserve">System </w:t>
      </w:r>
      <w:r>
        <w:t xml:space="preserve">organizes information in a standard format, it can be used, and shared, </w:t>
      </w:r>
      <w:r w:rsidRPr="00E3199B">
        <w:t xml:space="preserve">with data from other sources (Census, Labor Department, etc.) to measure various elements of evaluative interest. </w:t>
      </w:r>
    </w:p>
    <w:p w:rsidR="005F2FF1" w:rsidRPr="00E3199B" w:rsidP="00BB0BEA" w14:paraId="33781108" w14:textId="77777777"/>
    <w:p w:rsidR="008A4C07" w:rsidP="00BB0BEA" w14:paraId="41B02821" w14:textId="6C7FF1B5">
      <w:pPr>
        <w:rPr>
          <w:color w:val="FF0000"/>
        </w:rPr>
      </w:pPr>
      <w:r>
        <w:t xml:space="preserve">The </w:t>
      </w:r>
      <w:r w:rsidR="00AF29A8">
        <w:t xml:space="preserve">System automatically generates performance tabulations and integrates that </w:t>
      </w:r>
      <w:r w:rsidR="00102B44">
        <w:t xml:space="preserve">information into the </w:t>
      </w:r>
      <w:r>
        <w:t xml:space="preserve">online program </w:t>
      </w:r>
      <w:r w:rsidR="00602C53">
        <w:t xml:space="preserve">narrative </w:t>
      </w:r>
      <w:r>
        <w:t>report</w:t>
      </w:r>
      <w:r w:rsidR="00602C53">
        <w:t>s</w:t>
      </w:r>
      <w:r w:rsidR="00102B44">
        <w:t xml:space="preserve">. </w:t>
      </w:r>
      <w:r w:rsidR="00DE5FE8">
        <w:t>As part of MBDA’s ongoing mission, t</w:t>
      </w:r>
      <w:r w:rsidR="00102B44">
        <w:t>his feature</w:t>
      </w:r>
      <w:r>
        <w:t xml:space="preserve"> </w:t>
      </w:r>
      <w:r w:rsidR="00DE5FE8">
        <w:t>helps</w:t>
      </w:r>
      <w:r>
        <w:t xml:space="preserve"> to reduce the paperwork burden on </w:t>
      </w:r>
      <w:r w:rsidR="00102B44">
        <w:t>MBDA projects</w:t>
      </w:r>
      <w:r w:rsidR="00717820">
        <w:t xml:space="preserve"> and their respective clients</w:t>
      </w:r>
      <w:r>
        <w:t xml:space="preserve">. </w:t>
      </w:r>
    </w:p>
    <w:p w:rsidR="008A4C07" w:rsidP="00485D44" w14:paraId="1E004897" w14:textId="77777777">
      <w:pPr>
        <w:rPr>
          <w:b/>
        </w:rPr>
      </w:pPr>
    </w:p>
    <w:p w:rsidR="00485D44" w:rsidP="00485D44" w14:paraId="0BED9117" w14:textId="77777777">
      <w:r>
        <w:rPr>
          <w:b/>
          <w:bCs/>
        </w:rPr>
        <w:t xml:space="preserve">4.  </w:t>
      </w:r>
      <w:r>
        <w:rPr>
          <w:b/>
          <w:bCs/>
          <w:u w:val="single"/>
        </w:rPr>
        <w:t>Describe efforts to identify duplication</w:t>
      </w:r>
      <w:r>
        <w:rPr>
          <w:b/>
          <w:bCs/>
        </w:rPr>
        <w:t>.</w:t>
      </w:r>
    </w:p>
    <w:p w:rsidR="008A4C07" w:rsidP="008A4C07" w14:paraId="33E3D6BB" w14:textId="77777777"/>
    <w:p w:rsidR="000A1191" w:rsidP="00835529" w14:paraId="64CA7922" w14:textId="53A17C23">
      <w:r>
        <w:t xml:space="preserve">The requirements in the </w:t>
      </w:r>
      <w:r>
        <w:t>S</w:t>
      </w:r>
      <w:r>
        <w:t>ystem do</w:t>
      </w:r>
      <w:r>
        <w:t>es</w:t>
      </w:r>
      <w:r>
        <w:t xml:space="preserve"> not duplicate other MBDA program reporting requirements. Funding </w:t>
      </w:r>
      <w:r w:rsidRPr="00E3199B">
        <w:t xml:space="preserve">information is incorporated into the </w:t>
      </w:r>
      <w:r w:rsidR="00717820">
        <w:t>System</w:t>
      </w:r>
      <w:r w:rsidRPr="00E3199B">
        <w:t xml:space="preserve"> within the </w:t>
      </w:r>
      <w:r w:rsidR="00717820">
        <w:t>project</w:t>
      </w:r>
      <w:r w:rsidRPr="00E3199B" w:rsidR="00736547">
        <w:t xml:space="preserve">’s </w:t>
      </w:r>
      <w:r w:rsidRPr="00E3199B">
        <w:t xml:space="preserve">block of data fields. Status of account, time left on grant, amount of grant, and details about the </w:t>
      </w:r>
      <w:r w:rsidR="00B01908">
        <w:t>project</w:t>
      </w:r>
      <w:r w:rsidRPr="00E3199B">
        <w:t xml:space="preserve">, such as name of contact, address, phone, fax, email address, website, and </w:t>
      </w:r>
      <w:r w:rsidRPr="00E3199B">
        <w:t>a number of</w:t>
      </w:r>
      <w:r w:rsidRPr="00E3199B">
        <w:t xml:space="preserve"> other variables permit budget and program evaluation criteria to be reported in a more timely</w:t>
      </w:r>
      <w:r>
        <w:t xml:space="preserve"> and cost-effective manner. </w:t>
      </w:r>
      <w:r>
        <w:t xml:space="preserve">The System </w:t>
      </w:r>
      <w:r w:rsidR="008C6744">
        <w:t>flag</w:t>
      </w:r>
      <w:r w:rsidR="00E0101E">
        <w:t>s</w:t>
      </w:r>
      <w:r w:rsidR="008C6744">
        <w:t xml:space="preserve"> duplicate entries to the user and offers the user </w:t>
      </w:r>
      <w:r w:rsidR="002C668A">
        <w:t>a choice to accept the identified existing record, update the existing record or create a new record.</w:t>
      </w:r>
      <w:r w:rsidR="00E0101E">
        <w:t xml:space="preserve"> </w:t>
      </w:r>
    </w:p>
    <w:p w:rsidR="008A4C07" w:rsidP="008A4C07" w14:paraId="2294D96E" w14:textId="77777777">
      <w:pPr>
        <w:ind w:firstLine="360"/>
      </w:pPr>
    </w:p>
    <w:p w:rsidR="00485D44" w:rsidP="00485D44" w14:paraId="1D3FB715" w14:textId="77777777">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2A3F9F" w:rsidP="00F456C2" w14:paraId="305F53E2" w14:textId="77777777"/>
    <w:p w:rsidR="009A1C0F" w:rsidP="00F456C2" w14:paraId="21BA193E" w14:textId="28182375">
      <w:r>
        <w:t xml:space="preserve">MBDA provides standard guidelines for entering information into </w:t>
      </w:r>
      <w:r w:rsidR="008C1258">
        <w:t>the System</w:t>
      </w:r>
      <w:r>
        <w:t xml:space="preserve">.  These guidelines </w:t>
      </w:r>
      <w:r w:rsidR="002922DA">
        <w:t xml:space="preserve">apply </w:t>
      </w:r>
      <w:r>
        <w:t xml:space="preserve">to all client service programs and impose equal burden on all respondents. </w:t>
      </w:r>
    </w:p>
    <w:p w:rsidR="00BB0BEA" w:rsidP="00F456C2" w14:paraId="4E1B0785" w14:textId="708B2C9F">
      <w:r>
        <w:t>The collection effort is required “across the board” and affects all companies working with MBDA</w:t>
      </w:r>
      <w:r w:rsidR="00CE69C1">
        <w:t xml:space="preserve"> projects</w:t>
      </w:r>
      <w:r>
        <w:t>.</w:t>
      </w:r>
      <w:r w:rsidR="00CE69C1">
        <w:t xml:space="preserve"> MBDA has </w:t>
      </w:r>
      <w:r w:rsidR="000D416A">
        <w:t xml:space="preserve">streamlined basic information needed </w:t>
      </w:r>
      <w:r w:rsidR="00831058">
        <w:t xml:space="preserve">to record the beneficiary </w:t>
      </w:r>
      <w:r w:rsidR="0073492D">
        <w:t xml:space="preserve">(i.e., minority business) </w:t>
      </w:r>
      <w:r w:rsidR="00831058">
        <w:t xml:space="preserve">of the project. MBDA deployed a standard </w:t>
      </w:r>
      <w:r w:rsidR="00305BCB">
        <w:t>template engagement form</w:t>
      </w:r>
      <w:r w:rsidR="00B5616D">
        <w:t>. The form captures basic contact information of the minority business including a</w:t>
      </w:r>
      <w:r w:rsidR="001F4588">
        <w:t>ffirmation of services sought from the project. The</w:t>
      </w:r>
      <w:r w:rsidR="0073492D">
        <w:t xml:space="preserve"> minority business can complete the form </w:t>
      </w:r>
      <w:r w:rsidR="00716191">
        <w:t>digitally or in paper format. The System enables the project to complete the digital form</w:t>
      </w:r>
      <w:r w:rsidR="007F1775">
        <w:t xml:space="preserve"> and submit it to the minority business to be served to affirm</w:t>
      </w:r>
      <w:r w:rsidR="0098781E">
        <w:t xml:space="preserve">, </w:t>
      </w:r>
      <w:r w:rsidR="0098781E">
        <w:t>edit</w:t>
      </w:r>
      <w:r w:rsidR="0098781E">
        <w:t xml:space="preserve"> and digitally sign the engagement agreement.</w:t>
      </w:r>
      <w:r w:rsidR="001F4588">
        <w:t xml:space="preserve"> </w:t>
      </w:r>
      <w:r w:rsidR="00FA3843">
        <w:t xml:space="preserve">The System records the information </w:t>
      </w:r>
      <w:r>
        <w:t xml:space="preserve">to facilitate the ease of collection </w:t>
      </w:r>
      <w:r w:rsidR="0052714B">
        <w:t>online</w:t>
      </w:r>
      <w:r>
        <w:t xml:space="preserve">.  </w:t>
      </w:r>
    </w:p>
    <w:p w:rsidR="00485D44" w:rsidP="00F456C2" w14:paraId="7DFC4FA1" w14:textId="77777777"/>
    <w:p w:rsidR="00485D44" w:rsidP="00485D44" w14:paraId="5387DD48" w14:textId="77777777">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456C2" w:rsidRPr="002A3F9F" w:rsidP="00485D44" w14:paraId="1E40EE7F" w14:textId="77777777"/>
    <w:p w:rsidR="00F456C2" w:rsidP="00F456C2" w14:paraId="3C0A41B9" w14:textId="32D39D18">
      <w:r>
        <w:t xml:space="preserve">The data </w:t>
      </w:r>
      <w:r w:rsidR="00835529">
        <w:t xml:space="preserve">collected through the </w:t>
      </w:r>
      <w:r w:rsidR="0052714B">
        <w:t>System</w:t>
      </w:r>
      <w:r w:rsidR="00835529">
        <w:t xml:space="preserve"> </w:t>
      </w:r>
      <w:r>
        <w:t>are used to regularly monitor and evaluate the progress of MBDA’s funded</w:t>
      </w:r>
      <w:r w:rsidR="00835529">
        <w:t xml:space="preserve"> centers</w:t>
      </w:r>
      <w:r w:rsidR="00D00FDD">
        <w:t xml:space="preserve"> and financial assistance programs</w:t>
      </w:r>
      <w:r w:rsidR="00227BCF">
        <w:t>,</w:t>
      </w:r>
      <w:r>
        <w:t xml:space="preserve"> to provide </w:t>
      </w:r>
      <w:r w:rsidR="00835529">
        <w:t xml:space="preserve">the Department and OMB </w:t>
      </w:r>
      <w:r>
        <w:t xml:space="preserve">with </w:t>
      </w:r>
      <w:r w:rsidR="00835529">
        <w:t xml:space="preserve">a summary of </w:t>
      </w:r>
      <w:r>
        <w:t xml:space="preserve">the quantitative information that it requires about government supported programs, and to implement the </w:t>
      </w:r>
      <w:r w:rsidR="004E7A46">
        <w:t>G</w:t>
      </w:r>
      <w:r>
        <w:t>PRA</w:t>
      </w:r>
      <w:r w:rsidR="00B04AD2">
        <w:t xml:space="preserve"> and the Evidence Act</w:t>
      </w:r>
      <w:r>
        <w:t>.</w:t>
      </w:r>
      <w:r w:rsidR="00827C05">
        <w:t xml:space="preserve"> This information is also summarized and included in the MBDA Annual Performance Report, which is made available to the public</w:t>
      </w:r>
      <w:r w:rsidR="003D461C">
        <w:t xml:space="preserve"> through www.mbda.gov</w:t>
      </w:r>
      <w:r w:rsidR="00827C05">
        <w:t xml:space="preserve">.  </w:t>
      </w:r>
      <w:r w:rsidR="002922DA">
        <w:t xml:space="preserve">If collected less frequently, the information would likely not be as timely, which </w:t>
      </w:r>
      <w:r w:rsidR="003D461C">
        <w:t>would</w:t>
      </w:r>
      <w:r w:rsidR="002922DA">
        <w:t xml:space="preserve"> result in the missing of</w:t>
      </w:r>
      <w:r w:rsidR="00835529">
        <w:t xml:space="preserve"> </w:t>
      </w:r>
      <w:r w:rsidR="002922DA">
        <w:t xml:space="preserve">opportunities to proactively identify and resolve programmatic deficiencies. </w:t>
      </w:r>
      <w:r w:rsidR="007402A2">
        <w:t xml:space="preserve">If the information collection is not conducted, then MBDA would be unable to </w:t>
      </w:r>
      <w:r w:rsidR="0034413D">
        <w:t xml:space="preserve">conduct program evaluate or apply data/evidence </w:t>
      </w:r>
      <w:r w:rsidR="00DD55BA">
        <w:t xml:space="preserve">for </w:t>
      </w:r>
      <w:r w:rsidR="0034413D">
        <w:t>decision making</w:t>
      </w:r>
      <w:r w:rsidR="00DD55BA">
        <w:t xml:space="preserve"> purposes.</w:t>
      </w:r>
    </w:p>
    <w:p w:rsidR="00F456C2" w:rsidP="00F456C2" w14:paraId="708829E6" w14:textId="77777777"/>
    <w:p w:rsidR="00F456C2" w:rsidP="004E4DBD" w14:paraId="7EA13742" w14:textId="0AF3D559">
      <w:r>
        <w:t>This monitoring via the</w:t>
      </w:r>
      <w:r w:rsidR="00DD55BA">
        <w:t xml:space="preserve"> S</w:t>
      </w:r>
      <w:r>
        <w:t>ystem assures time and work schedules are met in accordance with cooperative agreement</w:t>
      </w:r>
      <w:r w:rsidR="00F21FDF">
        <w:t xml:space="preserve"> requirements</w:t>
      </w:r>
      <w:r>
        <w:t>. MBDA requires Semi-Annual and Annual Narrative Report</w:t>
      </w:r>
      <w:r w:rsidR="00227BCF">
        <w:t>s</w:t>
      </w:r>
      <w:r>
        <w:t xml:space="preserve"> from its </w:t>
      </w:r>
      <w:r w:rsidR="005B1D3B">
        <w:t>project</w:t>
      </w:r>
      <w:r w:rsidR="00736547">
        <w:t>s</w:t>
      </w:r>
      <w:r>
        <w:t xml:space="preserve">.  Should a problem arise with compliance, less frequent submissions would diminish the opportunity for project monitors to make a timely response with corrective action, and therefore, the </w:t>
      </w:r>
      <w:r w:rsidR="005B1D3B">
        <w:t xml:space="preserve">System </w:t>
      </w:r>
      <w:r>
        <w:t>is critical. The programmatic deficienc</w:t>
      </w:r>
      <w:r w:rsidR="00F21FDF">
        <w:t>ies</w:t>
      </w:r>
      <w:r>
        <w:t xml:space="preserve"> </w:t>
      </w:r>
      <w:r w:rsidR="00F21FDF">
        <w:t>c</w:t>
      </w:r>
      <w:r>
        <w:t xml:space="preserve">ould remain unchecked prior to the process for making recommendations </w:t>
      </w:r>
      <w:r w:rsidR="00F21FDF">
        <w:t xml:space="preserve">for renewal </w:t>
      </w:r>
      <w:r w:rsidR="009D6540">
        <w:t>funding and</w:t>
      </w:r>
      <w:r>
        <w:t xml:space="preserve"> would adversely impact the delivery of quality services to MBDA’s constituency.</w:t>
      </w:r>
    </w:p>
    <w:p w:rsidR="00F456C2" w:rsidP="00F456C2" w14:paraId="09D1DB36" w14:textId="77777777">
      <w:pPr>
        <w:rPr>
          <w:b/>
        </w:rPr>
      </w:pPr>
    </w:p>
    <w:p w:rsidR="00F456C2" w:rsidP="00485D44" w14:paraId="52D36063" w14:textId="77777777">
      <w:pPr>
        <w:rPr>
          <w:b/>
        </w:rPr>
      </w:pPr>
      <w:r>
        <w:rPr>
          <w:b/>
        </w:rPr>
        <w:t xml:space="preserve">7.  </w:t>
      </w:r>
      <w:r w:rsidRPr="00485D44">
        <w:rPr>
          <w:b/>
          <w:u w:val="single"/>
        </w:rPr>
        <w:t>Explain any special circumstances that require the collection to be conducted in a manner inconsistent with OMB guidelines</w:t>
      </w:r>
      <w:r w:rsidRPr="002A3F9F">
        <w:rPr>
          <w:b/>
        </w:rPr>
        <w:t>.</w:t>
      </w:r>
    </w:p>
    <w:p w:rsidR="002A3F9F" w:rsidRPr="002A3F9F" w:rsidP="002A3F9F" w14:paraId="12259188" w14:textId="77777777">
      <w:pPr>
        <w:ind w:left="360"/>
        <w:rPr>
          <w:b/>
        </w:rPr>
      </w:pPr>
    </w:p>
    <w:p w:rsidR="00485D44" w:rsidRPr="007609E2" w:rsidP="00DE5FE8" w14:paraId="570DF15D" w14:textId="1CBDB6B6">
      <w:r w:rsidRPr="007609E2">
        <w:t>There are no special circumstances that require this collection to be conducted in a manner inconsistent with the general information collection guidelines.</w:t>
      </w:r>
      <w:r>
        <w:t xml:space="preserve">  </w:t>
      </w:r>
    </w:p>
    <w:p w:rsidR="00F456C2" w:rsidP="00F456C2" w14:paraId="4CF16190" w14:textId="77777777">
      <w:pPr>
        <w:rPr>
          <w:b/>
        </w:rPr>
      </w:pPr>
    </w:p>
    <w:p w:rsidR="00F456C2" w:rsidP="00485D44" w14:paraId="6338B6EA" w14:textId="77777777">
      <w:pPr>
        <w:rPr>
          <w:b/>
        </w:rPr>
      </w:pPr>
      <w:r>
        <w:rPr>
          <w:b/>
        </w:rPr>
        <w:t xml:space="preserve">8.  </w:t>
      </w:r>
      <w:r w:rsidRPr="00485D44">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A3F9F">
        <w:rPr>
          <w:b/>
        </w:rPr>
        <w:t>.</w:t>
      </w:r>
    </w:p>
    <w:p w:rsidR="002A3F9F" w:rsidP="00F456C2" w14:paraId="11CE148A" w14:textId="77777777"/>
    <w:p w:rsidR="00092529" w:rsidP="00F456C2" w14:paraId="77AD0DEA" w14:textId="77777777">
      <w:r w:rsidRPr="006838DB">
        <w:t>MBDA published a notice in the Federal Register on September 1, 2022</w:t>
      </w:r>
      <w:r>
        <w:t>,</w:t>
      </w:r>
      <w:r w:rsidRPr="00092529">
        <w:t xml:space="preserve"> </w:t>
      </w:r>
      <w:r w:rsidRPr="00092529">
        <w:t>(</w:t>
      </w:r>
      <w:hyperlink r:id="rId4" w:history="1">
        <w:r w:rsidRPr="00092529">
          <w:rPr>
            <w:rStyle w:val="Hyperlink"/>
          </w:rPr>
          <w:t>87 FR 53730</w:t>
        </w:r>
      </w:hyperlink>
      <w:r w:rsidRPr="00092529">
        <w:t>)</w:t>
      </w:r>
      <w:r>
        <w:t>,</w:t>
      </w:r>
      <w:r w:rsidRPr="006838DB">
        <w:t xml:space="preserve"> soliciting public comments</w:t>
      </w:r>
      <w:r>
        <w:t>.</w:t>
      </w:r>
      <w:r>
        <w:t xml:space="preserve"> </w:t>
      </w:r>
      <w:r w:rsidRPr="006838DB">
        <w:t xml:space="preserve">No comments were received. </w:t>
      </w:r>
    </w:p>
    <w:p w:rsidR="00092529" w:rsidP="00F456C2" w14:paraId="0BA8BE6F" w14:textId="77777777"/>
    <w:p w:rsidR="00F456C2" w:rsidP="00F456C2" w14:paraId="78BC146B" w14:textId="6CA1189C">
      <w:r w:rsidRPr="006838DB">
        <w:t>Stakeholders, including MBDA financial assistance recipients and experts within the Department of Commerce, were consulted</w:t>
      </w:r>
      <w:r w:rsidR="00092529">
        <w:t xml:space="preserve"> for input, which was considered during the renewal process</w:t>
      </w:r>
      <w:r w:rsidRPr="006838DB">
        <w:t>.</w:t>
      </w:r>
      <w:r>
        <w:t xml:space="preserve">  </w:t>
      </w:r>
    </w:p>
    <w:p w:rsidR="006838DB" w:rsidP="00F456C2" w14:paraId="3927905C" w14:textId="77777777"/>
    <w:p w:rsidR="00F456C2" w:rsidP="00485D44" w14:paraId="6268474D" w14:textId="77777777">
      <w:pPr>
        <w:rPr>
          <w:b/>
        </w:rPr>
      </w:pPr>
      <w:r>
        <w:rPr>
          <w:b/>
        </w:rPr>
        <w:t xml:space="preserve">9.  </w:t>
      </w:r>
      <w:r w:rsidRPr="00485D44">
        <w:rPr>
          <w:b/>
          <w:u w:val="single"/>
        </w:rPr>
        <w:t>Explain any decisions to provide payments or gifts to respondents, other than remuneration of contractors or grantees</w:t>
      </w:r>
      <w:r w:rsidRPr="002A3F9F">
        <w:rPr>
          <w:b/>
        </w:rPr>
        <w:t>.</w:t>
      </w:r>
    </w:p>
    <w:p w:rsidR="002A3F9F" w:rsidRPr="002A3F9F" w:rsidP="002A3F9F" w14:paraId="55844DAE" w14:textId="77777777">
      <w:pPr>
        <w:ind w:left="360"/>
        <w:rPr>
          <w:b/>
        </w:rPr>
      </w:pPr>
    </w:p>
    <w:p w:rsidR="00F456C2" w:rsidP="00F456C2" w14:paraId="4FA4FDF4" w14:textId="77777777">
      <w:r>
        <w:t>There are no payments of gifts to respondents.</w:t>
      </w:r>
    </w:p>
    <w:p w:rsidR="00485D44" w:rsidRPr="00C20807" w:rsidP="00F456C2" w14:paraId="07AF4925" w14:textId="77777777"/>
    <w:p w:rsidR="00F456C2" w:rsidRPr="002A3F9F" w:rsidP="00485D44" w14:paraId="0CEED28A" w14:textId="77777777">
      <w:pPr>
        <w:rPr>
          <w:b/>
        </w:rPr>
      </w:pPr>
      <w:r>
        <w:rPr>
          <w:b/>
        </w:rPr>
        <w:t xml:space="preserve">10. </w:t>
      </w:r>
      <w:r w:rsidRPr="00485D44">
        <w:rPr>
          <w:b/>
          <w:u w:val="single"/>
        </w:rPr>
        <w:t>Describe any assurances of confidentiality provided to respondents and the basis for assurance in statute, regulation, or agency policy</w:t>
      </w:r>
      <w:r w:rsidRPr="002A3F9F">
        <w:rPr>
          <w:b/>
        </w:rPr>
        <w:t>.</w:t>
      </w:r>
    </w:p>
    <w:p w:rsidR="00F456C2" w:rsidP="00F456C2" w14:paraId="410FB905" w14:textId="77777777">
      <w:pPr>
        <w:rPr>
          <w:b/>
        </w:rPr>
      </w:pPr>
    </w:p>
    <w:p w:rsidR="00F456C2" w:rsidP="00F456C2" w14:paraId="1339DA33" w14:textId="7B3A1CB1">
      <w:r w:rsidRPr="006D4912">
        <w:t>There is no assurance of confidentiality provided to respondents of th</w:t>
      </w:r>
      <w:r>
        <w:t>is</w:t>
      </w:r>
      <w:r w:rsidRPr="006D4912">
        <w:t xml:space="preserve"> information collection.</w:t>
      </w:r>
      <w:r>
        <w:t xml:space="preserve">  However, MBDA will not release information collected through the </w:t>
      </w:r>
      <w:r w:rsidR="00AC068F">
        <w:t>S</w:t>
      </w:r>
      <w:r>
        <w:t xml:space="preserve">ystem, other than in connection with a FOIA request and then only to the extent that the requested information </w:t>
      </w:r>
      <w:r w:rsidRPr="006D4912">
        <w:t xml:space="preserve">is not </w:t>
      </w:r>
      <w:r>
        <w:t xml:space="preserve">protected </w:t>
      </w:r>
      <w:r w:rsidRPr="006D4912">
        <w:t>from disclosure under FOIA.</w:t>
      </w:r>
      <w:r>
        <w:t xml:space="preserve"> </w:t>
      </w:r>
      <w:r w:rsidRPr="009116EE">
        <w:t xml:space="preserve">MBDA also notes that the </w:t>
      </w:r>
      <w:r w:rsidRPr="009116EE">
        <w:t>security functions of the</w:t>
      </w:r>
      <w:r w:rsidRPr="009116EE">
        <w:t xml:space="preserve"> </w:t>
      </w:r>
      <w:r w:rsidR="00AC068F">
        <w:t>S</w:t>
      </w:r>
      <w:r w:rsidRPr="009116EE">
        <w:t xml:space="preserve">ystem enable the administrator to open and close access to information as directed by </w:t>
      </w:r>
      <w:r w:rsidR="00AC068F">
        <w:t xml:space="preserve">MBDA </w:t>
      </w:r>
      <w:r w:rsidRPr="009116EE">
        <w:t>management</w:t>
      </w:r>
      <w:r w:rsidRPr="009116EE">
        <w:t xml:space="preserve"> and as necessary to respond to outside threats.</w:t>
      </w:r>
      <w:r w:rsidRPr="009116EE">
        <w:t xml:space="preserve"> </w:t>
      </w:r>
    </w:p>
    <w:p w:rsidR="00485D44" w:rsidRPr="009116EE" w:rsidP="00F456C2" w14:paraId="2D7480CA" w14:textId="77777777"/>
    <w:p w:rsidR="00F456C2" w:rsidP="00485D44" w14:paraId="697D89F1" w14:textId="77777777">
      <w:pPr>
        <w:rPr>
          <w:b/>
        </w:rPr>
      </w:pPr>
      <w:r>
        <w:rPr>
          <w:b/>
        </w:rPr>
        <w:t xml:space="preserve">11. </w:t>
      </w:r>
      <w:r w:rsidRPr="00485D44">
        <w:rPr>
          <w:b/>
          <w:u w:val="single"/>
        </w:rPr>
        <w:t>Provide additional justification for any questions of a sensitive nature, such as sexual behavior and attitudes, religious beliefs, and other matters that are commonly considered private</w:t>
      </w:r>
      <w:r w:rsidRPr="002A3F9F">
        <w:rPr>
          <w:b/>
        </w:rPr>
        <w:t>.</w:t>
      </w:r>
    </w:p>
    <w:p w:rsidR="00F456C2" w:rsidP="00F456C2" w14:paraId="1021C41C" w14:textId="77777777">
      <w:pPr>
        <w:rPr>
          <w:b/>
        </w:rPr>
      </w:pPr>
    </w:p>
    <w:p w:rsidR="00F456C2" w:rsidP="00F456C2" w14:paraId="7A6D2CAD" w14:textId="519A12DD">
      <w:r>
        <w:t xml:space="preserve">MBDA collects information regarding the minority status of persons receiving services from the Agency and from its funded centers.  This information is collected via a self-certification </w:t>
      </w:r>
      <w:r>
        <w:t>in order to</w:t>
      </w:r>
      <w:r>
        <w:t xml:space="preserve"> ensure that MBDA is operating within the parameters of </w:t>
      </w:r>
      <w:r w:rsidRPr="003B66FD" w:rsidR="003B66FD">
        <w:t>Minority Business Development Act of 2021 (Division K – Infrastructure Investment and Jobs Act, P.L. 117-58)</w:t>
      </w:r>
      <w:r w:rsidRPr="006B35E7">
        <w:t>.</w:t>
      </w:r>
      <w:r>
        <w:t xml:space="preserve">  </w:t>
      </w:r>
    </w:p>
    <w:p w:rsidR="00F456C2" w:rsidP="00F456C2" w14:paraId="4C244E70" w14:textId="77777777"/>
    <w:p w:rsidR="00F456C2" w:rsidRPr="002A3F9F" w:rsidP="00F456C2" w14:paraId="27E1FF59" w14:textId="77777777">
      <w:pPr>
        <w:rPr>
          <w:b/>
        </w:rPr>
      </w:pPr>
      <w:r>
        <w:rPr>
          <w:b/>
        </w:rPr>
        <w:t xml:space="preserve">12.  </w:t>
      </w:r>
      <w:r w:rsidRPr="00485D44">
        <w:rPr>
          <w:b/>
          <w:u w:val="single"/>
        </w:rPr>
        <w:t>Provide an estimate in hours of the burden of collection of information</w:t>
      </w:r>
      <w:r w:rsidRPr="002A3F9F">
        <w:rPr>
          <w:b/>
        </w:rPr>
        <w:t>.</w:t>
      </w:r>
    </w:p>
    <w:p w:rsidR="00F456C2" w:rsidP="00F456C2" w14:paraId="240DB8F3" w14:textId="77777777">
      <w:pPr>
        <w:rPr>
          <w:b/>
        </w:rPr>
      </w:pPr>
    </w:p>
    <w:p w:rsidR="00077E57" w:rsidRPr="00C92406" w:rsidP="00E80788" w14:paraId="761003CB" w14:textId="27DC6047">
      <w:r w:rsidRPr="00C92406">
        <w:t>MBDA recalibrated its program</w:t>
      </w:r>
      <w:r w:rsidRPr="00C92406" w:rsidR="00851A60">
        <w:t xml:space="preserve">ming based on new guidance. </w:t>
      </w:r>
      <w:r w:rsidRPr="00C92406" w:rsidR="002F3678">
        <w:t>It is estimated that 6</w:t>
      </w:r>
      <w:r w:rsidRPr="004E4DBD" w:rsidR="00A56162">
        <w:t>,035</w:t>
      </w:r>
      <w:r w:rsidRPr="00C92406" w:rsidR="002F3678">
        <w:t xml:space="preserve"> respondents </w:t>
      </w:r>
      <w:r w:rsidRPr="00C92406">
        <w:t xml:space="preserve">(i.e., minority firms served) </w:t>
      </w:r>
      <w:r w:rsidRPr="00C92406" w:rsidR="002F3678">
        <w:t xml:space="preserve">will participate in </w:t>
      </w:r>
      <w:r w:rsidRPr="00C92406">
        <w:t xml:space="preserve">the </w:t>
      </w:r>
      <w:r w:rsidRPr="00C92406" w:rsidR="009D6540">
        <w:t>System</w:t>
      </w:r>
      <w:r w:rsidRPr="00C92406">
        <w:t xml:space="preserve"> on an annual basis. </w:t>
      </w:r>
    </w:p>
    <w:p w:rsidR="00077E57" w:rsidRPr="00C92406" w:rsidP="00E80788" w14:paraId="76541388" w14:textId="47CCBA05">
      <w:r w:rsidRPr="00C92406">
        <w:t xml:space="preserve">MBDA has placed </w:t>
      </w:r>
      <w:r w:rsidRPr="00C92406" w:rsidR="00E7450D">
        <w:t xml:space="preserve">majority of </w:t>
      </w:r>
      <w:r w:rsidRPr="00C92406">
        <w:t>responsibility for the collection of information onto MBDA grantees</w:t>
      </w:r>
      <w:r w:rsidRPr="00C92406">
        <w:t xml:space="preserve">, thereby reducing the burden of collection of information from their respective clients: </w:t>
      </w:r>
    </w:p>
    <w:p w:rsidR="00077E57" w:rsidRPr="00C92406" w:rsidP="00E80788" w14:paraId="20D02E54" w14:textId="793AA458">
      <w:r w:rsidRPr="00C92406">
        <w:tab/>
        <w:t xml:space="preserve">MBDA Grantee </w:t>
      </w:r>
      <w:r w:rsidRPr="00C92406">
        <w:tab/>
      </w:r>
      <w:r w:rsidRPr="00C92406">
        <w:tab/>
      </w:r>
      <w:r w:rsidRPr="00C92406">
        <w:tab/>
      </w:r>
      <w:r w:rsidRPr="00C92406">
        <w:tab/>
      </w:r>
      <w:r w:rsidRPr="00C92406">
        <w:tab/>
      </w:r>
      <w:r w:rsidRPr="00C92406" w:rsidR="0017072F">
        <w:t>3,055</w:t>
      </w:r>
      <w:r w:rsidRPr="00C92406">
        <w:t xml:space="preserve"> Hours</w:t>
      </w:r>
    </w:p>
    <w:p w:rsidR="00077E57" w:rsidRPr="00C92406" w:rsidP="00E80788" w14:paraId="63911C27" w14:textId="4A3AF97C">
      <w:r w:rsidRPr="00C92406">
        <w:tab/>
        <w:t xml:space="preserve">Program Beneficiary (i.e., </w:t>
      </w:r>
      <w:r w:rsidRPr="00C92406" w:rsidR="002B032F">
        <w:t>clients</w:t>
      </w:r>
      <w:r w:rsidRPr="00C92406">
        <w:t>)</w:t>
      </w:r>
      <w:r w:rsidRPr="00C92406" w:rsidR="00E7450D">
        <w:tab/>
      </w:r>
      <w:r w:rsidRPr="00C92406" w:rsidR="00E7450D">
        <w:tab/>
      </w:r>
      <w:r w:rsidRPr="00C92406">
        <w:tab/>
      </w:r>
      <w:r w:rsidRPr="004E4DBD">
        <w:rPr>
          <w:u w:val="single"/>
        </w:rPr>
        <w:t>1,976 Hours</w:t>
      </w:r>
    </w:p>
    <w:p w:rsidR="00077E57" w:rsidP="00E80788" w14:paraId="3FC33A64" w14:textId="446E6D47">
      <w:r w:rsidRPr="00C92406">
        <w:tab/>
        <w:t>Total Burden Hours</w:t>
      </w:r>
      <w:r w:rsidRPr="00C92406">
        <w:tab/>
      </w:r>
      <w:r w:rsidRPr="00C92406">
        <w:tab/>
      </w:r>
      <w:r w:rsidRPr="00C92406">
        <w:tab/>
      </w:r>
      <w:r w:rsidRPr="00C92406">
        <w:tab/>
      </w:r>
      <w:r w:rsidRPr="00C92406">
        <w:tab/>
      </w:r>
      <w:r w:rsidRPr="00C92406" w:rsidR="0017072F">
        <w:t>5,032 Hours</w:t>
      </w:r>
    </w:p>
    <w:p w:rsidR="00F456C2" w:rsidRPr="00D37D88" w:rsidP="00F456C2" w14:paraId="1D5B0B4E" w14:textId="77777777"/>
    <w:p w:rsidR="00F456C2" w:rsidP="00485D44" w14:paraId="48CD6522" w14:textId="29A49B95">
      <w:pPr>
        <w:rPr>
          <w:b/>
        </w:rPr>
      </w:pPr>
      <w:r>
        <w:rPr>
          <w:b/>
        </w:rPr>
        <w:t>1</w:t>
      </w:r>
      <w:r w:rsidR="002A3F9F">
        <w:rPr>
          <w:b/>
        </w:rPr>
        <w:t>3</w:t>
      </w:r>
      <w:r>
        <w:rPr>
          <w:b/>
        </w:rPr>
        <w:t xml:space="preserve">.  </w:t>
      </w:r>
      <w:r w:rsidRPr="002F3678">
        <w:rPr>
          <w:b/>
          <w:u w:val="single"/>
        </w:rPr>
        <w:t xml:space="preserve">Provide an estimate of the total annual cost burden to the respondents or </w:t>
      </w:r>
      <w:r w:rsidRPr="002F3678" w:rsidR="002A3F9F">
        <w:rPr>
          <w:b/>
          <w:u w:val="single"/>
        </w:rPr>
        <w:t xml:space="preserve"> </w:t>
      </w:r>
      <w:r w:rsidRPr="002F3678" w:rsidR="002A3F9F">
        <w:rPr>
          <w:b/>
          <w:u w:val="single"/>
        </w:rPr>
        <w:br/>
      </w:r>
      <w:r w:rsidRPr="002F3678">
        <w:rPr>
          <w:b/>
          <w:u w:val="single"/>
        </w:rPr>
        <w:t xml:space="preserve">record-keepers resulting from the collection (excluding the </w:t>
      </w:r>
      <w:r w:rsidRPr="002F3678" w:rsidR="002A3F9F">
        <w:rPr>
          <w:b/>
          <w:u w:val="single"/>
        </w:rPr>
        <w:t xml:space="preserve">cost </w:t>
      </w:r>
      <w:r w:rsidRPr="002F3678">
        <w:rPr>
          <w:b/>
          <w:u w:val="single"/>
        </w:rPr>
        <w:t xml:space="preserve">of </w:t>
      </w:r>
      <w:r w:rsidRPr="002F3678" w:rsidR="005E57F7">
        <w:rPr>
          <w:b/>
          <w:u w:val="single"/>
        </w:rPr>
        <w:t>any hour</w:t>
      </w:r>
      <w:r w:rsidRPr="002F3678" w:rsidR="005E57F7">
        <w:rPr>
          <w:b/>
          <w:u w:val="single"/>
        </w:rPr>
        <w:br/>
      </w:r>
      <w:r w:rsidRPr="002F3678">
        <w:rPr>
          <w:b/>
          <w:u w:val="single"/>
        </w:rPr>
        <w:t>burden</w:t>
      </w:r>
      <w:r w:rsidRPr="002F3678" w:rsidR="005E57F7">
        <w:rPr>
          <w:b/>
          <w:u w:val="single"/>
        </w:rPr>
        <w:t xml:space="preserve"> shown in </w:t>
      </w:r>
      <w:r w:rsidR="002F3678">
        <w:rPr>
          <w:b/>
          <w:u w:val="single"/>
        </w:rPr>
        <w:t xml:space="preserve">Question </w:t>
      </w:r>
      <w:r w:rsidRPr="002F3678" w:rsidR="005E57F7">
        <w:rPr>
          <w:b/>
          <w:u w:val="single"/>
        </w:rPr>
        <w:t>1</w:t>
      </w:r>
      <w:r w:rsidRPr="002F3678">
        <w:rPr>
          <w:b/>
          <w:u w:val="single"/>
        </w:rPr>
        <w:t>2</w:t>
      </w:r>
      <w:r w:rsidRPr="002F3678" w:rsidR="005E57F7">
        <w:rPr>
          <w:b/>
          <w:u w:val="single"/>
        </w:rPr>
        <w:t>).</w:t>
      </w:r>
    </w:p>
    <w:p w:rsidR="00F456C2" w:rsidP="00F456C2" w14:paraId="0AADB33B" w14:textId="77777777">
      <w:pPr>
        <w:rPr>
          <w:b/>
        </w:rPr>
      </w:pPr>
    </w:p>
    <w:p w:rsidR="00F456C2" w:rsidP="00F456C2" w14:paraId="44C184CC" w14:textId="56D583EA">
      <w:r>
        <w:t xml:space="preserve">This collection of information does not include any </w:t>
      </w:r>
      <w:r w:rsidRPr="0017072F">
        <w:t>cost burden</w:t>
      </w:r>
      <w:r w:rsidRPr="0017072F" w:rsidR="002F3678">
        <w:t xml:space="preserve"> to respondents</w:t>
      </w:r>
      <w:r w:rsidR="003B66FD">
        <w:t xml:space="preserve"> (i.e., minority businesses served under MBDA programs)</w:t>
      </w:r>
      <w:r w:rsidR="002F3678">
        <w:t xml:space="preserve">. </w:t>
      </w:r>
      <w:r>
        <w:t xml:space="preserve"> </w:t>
      </w:r>
    </w:p>
    <w:p w:rsidR="002F3678" w:rsidRPr="00D37D88" w:rsidP="00F456C2" w14:paraId="423DBEF3" w14:textId="77777777"/>
    <w:p w:rsidR="00F456C2" w:rsidRPr="005E57F7" w:rsidP="00F456C2" w14:paraId="55D349AA" w14:textId="77777777">
      <w:pPr>
        <w:rPr>
          <w:b/>
        </w:rPr>
      </w:pPr>
      <w:r>
        <w:rPr>
          <w:b/>
        </w:rPr>
        <w:t xml:space="preserve">14.  </w:t>
      </w:r>
      <w:r w:rsidRPr="002F3678">
        <w:rPr>
          <w:b/>
          <w:u w:val="single"/>
        </w:rPr>
        <w:t>Provide estimates of annualized cost to the Federal government</w:t>
      </w:r>
      <w:r w:rsidRPr="005E57F7">
        <w:rPr>
          <w:b/>
        </w:rPr>
        <w:t>.</w:t>
      </w:r>
    </w:p>
    <w:p w:rsidR="00F456C2" w:rsidP="00F456C2" w14:paraId="25BDF359" w14:textId="77777777">
      <w:pPr>
        <w:rPr>
          <w:b/>
        </w:rPr>
      </w:pPr>
    </w:p>
    <w:p w:rsidR="009D6540" w:rsidP="00F456C2" w14:paraId="1FA66CC8" w14:textId="20E48098">
      <w:r>
        <w:t>Online Performance Database System</w:t>
      </w:r>
      <w:r w:rsidRPr="00A23FDA" w:rsidR="00F456C2">
        <w:t>:</w:t>
      </w:r>
      <w:r w:rsidRPr="00A23FDA" w:rsidR="00F456C2">
        <w:tab/>
      </w:r>
    </w:p>
    <w:p w:rsidR="00197D5E" w:rsidP="004E4DBD" w14:paraId="032D6917" w14:textId="5454F679">
      <w:pPr>
        <w:ind w:left="2160" w:firstLine="720"/>
      </w:pPr>
      <w:r w:rsidRPr="00197D5E">
        <w:t>MBDA staff</w:t>
      </w:r>
      <w:r w:rsidRPr="00197D5E">
        <w:tab/>
      </w:r>
      <w:r w:rsidRPr="00197D5E">
        <w:tab/>
      </w:r>
      <w:r w:rsidRPr="00197D5E">
        <w:tab/>
        <w:t>$</w:t>
      </w:r>
      <w:r w:rsidR="00CC5B8F">
        <w:t xml:space="preserve">   </w:t>
      </w:r>
      <w:r>
        <w:t>534,820</w:t>
      </w:r>
    </w:p>
    <w:p w:rsidR="00F456C2" w:rsidRPr="00A23FDA" w:rsidP="00197D5E" w14:paraId="00253CF9" w14:textId="79260302">
      <w:pPr>
        <w:ind w:left="2160" w:firstLine="720"/>
      </w:pPr>
      <w:r>
        <w:t xml:space="preserve">MBDA </w:t>
      </w:r>
      <w:r w:rsidRPr="00A23FDA">
        <w:t>IT Contractors</w:t>
      </w:r>
      <w:r w:rsidRPr="00A23FDA">
        <w:tab/>
      </w:r>
      <w:r w:rsidRPr="004E4DBD">
        <w:t>$</w:t>
      </w:r>
      <w:r w:rsidRPr="004E4DBD" w:rsidR="00915E71">
        <w:t>1,068,667</w:t>
      </w:r>
    </w:p>
    <w:p w:rsidR="00CC5B8F" w:rsidP="00F456C2" w14:paraId="1049B7B4" w14:textId="27C1FE51">
      <w:r w:rsidRPr="00197D5E">
        <w:tab/>
      </w:r>
      <w:r w:rsidRPr="00197D5E">
        <w:tab/>
      </w:r>
      <w:r w:rsidRPr="00197D5E">
        <w:tab/>
      </w:r>
      <w:r w:rsidRPr="00197D5E">
        <w:tab/>
      </w:r>
      <w:r>
        <w:t>Licenses</w:t>
      </w:r>
      <w:r>
        <w:tab/>
      </w:r>
      <w:r>
        <w:tab/>
      </w:r>
      <w:r>
        <w:tab/>
      </w:r>
      <w:r w:rsidRPr="004E4DBD">
        <w:rPr>
          <w:u w:val="single"/>
        </w:rPr>
        <w:t>$   430,440</w:t>
      </w:r>
    </w:p>
    <w:p w:rsidR="00915E71" w:rsidP="004E4DBD" w14:paraId="579DC382" w14:textId="5CD304E4">
      <w:pPr>
        <w:ind w:left="2160" w:firstLine="720"/>
      </w:pPr>
      <w:r>
        <w:t>C</w:t>
      </w:r>
      <w:r w:rsidRPr="00197D5E" w:rsidR="00F456C2">
        <w:t>ost to government</w:t>
      </w:r>
      <w:r w:rsidRPr="00197D5E" w:rsidR="00F456C2">
        <w:tab/>
      </w:r>
      <w:r w:rsidRPr="00197D5E" w:rsidR="00F456C2">
        <w:tab/>
        <w:t>$</w:t>
      </w:r>
      <w:r w:rsidR="00CC5B8F">
        <w:t>2,033,927</w:t>
      </w:r>
    </w:p>
    <w:p w:rsidR="000B5329" w:rsidP="000B5329" w14:paraId="443965EC" w14:textId="57534C4A">
      <w:pPr>
        <w:ind w:left="3600" w:firstLine="720"/>
        <w:rPr>
          <w:b/>
        </w:rPr>
      </w:pPr>
      <w:r>
        <w:rPr>
          <w:b/>
        </w:rPr>
        <w:t xml:space="preserve">Total </w:t>
      </w:r>
      <w:r w:rsidRPr="00CC5B8F">
        <w:rPr>
          <w:b/>
        </w:rPr>
        <w:t>Cost: $</w:t>
      </w:r>
      <w:r w:rsidRPr="004E4DBD" w:rsidR="00CC5B8F">
        <w:rPr>
          <w:b/>
        </w:rPr>
        <w:t>2,033,927</w:t>
      </w:r>
    </w:p>
    <w:p w:rsidR="002B032F" w:rsidP="000B5329" w14:paraId="2AB9170B" w14:textId="4106E1D1">
      <w:pPr>
        <w:ind w:left="3600" w:firstLine="720"/>
        <w:rPr>
          <w:b/>
        </w:rPr>
      </w:pPr>
    </w:p>
    <w:p w:rsidR="004E4DBD" w:rsidP="000B5329" w14:paraId="4011F235" w14:textId="6FC95731">
      <w:pPr>
        <w:ind w:left="3600" w:firstLine="720"/>
        <w:rPr>
          <w:b/>
        </w:rPr>
      </w:pPr>
    </w:p>
    <w:p w:rsidR="004E4DBD" w:rsidRPr="000B5329" w:rsidP="000B5329" w14:paraId="1A22DD47" w14:textId="77777777">
      <w:pPr>
        <w:ind w:left="3600" w:firstLine="720"/>
        <w:rPr>
          <w:b/>
        </w:rPr>
      </w:pPr>
    </w:p>
    <w:p w:rsidR="00F456C2" w:rsidRPr="003D31CE" w:rsidP="005E57F7" w14:paraId="35806CF0" w14:textId="77777777">
      <w:pPr>
        <w:numPr>
          <w:ilvl w:val="1"/>
          <w:numId w:val="2"/>
        </w:numPr>
        <w:tabs>
          <w:tab w:val="clear" w:pos="1140"/>
        </w:tabs>
        <w:ind w:left="360" w:hanging="360"/>
        <w:rPr>
          <w:b/>
          <w:u w:val="single"/>
        </w:rPr>
      </w:pPr>
      <w:r w:rsidRPr="003D31CE">
        <w:rPr>
          <w:b/>
          <w:u w:val="single"/>
        </w:rPr>
        <w:t>Explain the reasons for any program changes or adjustm</w:t>
      </w:r>
      <w:r w:rsidRPr="003D31CE" w:rsidR="007A2EFD">
        <w:rPr>
          <w:b/>
          <w:u w:val="single"/>
        </w:rPr>
        <w:t>ents</w:t>
      </w:r>
      <w:r w:rsidRPr="003D31CE" w:rsidR="007A2EFD">
        <w:rPr>
          <w:b/>
        </w:rPr>
        <w:t>.</w:t>
      </w:r>
    </w:p>
    <w:p w:rsidR="005E57F7" w:rsidRPr="003D31CE" w:rsidP="005E57F7" w14:paraId="1AE00589" w14:textId="77777777">
      <w:pPr>
        <w:ind w:left="720"/>
        <w:rPr>
          <w:b/>
        </w:rPr>
      </w:pPr>
    </w:p>
    <w:p w:rsidR="0049455E" w:rsidP="0077408E" w14:paraId="6A7A85CF" w14:textId="49B826BA">
      <w:r w:rsidRPr="0049455E">
        <w:t>The decrease in the estimated respondent burden is due to an adjustment since the collection was last cleared/approved.</w:t>
      </w:r>
    </w:p>
    <w:p w:rsidR="007C332C" w:rsidRPr="003D31CE" w:rsidP="00F456C2" w14:paraId="1AD1EEA3" w14:textId="77777777"/>
    <w:tbl>
      <w:tblPr>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6"/>
        <w:gridCol w:w="1687"/>
        <w:gridCol w:w="1383"/>
        <w:gridCol w:w="1866"/>
        <w:gridCol w:w="1866"/>
      </w:tblGrid>
      <w:tr w14:paraId="5186E668" w14:textId="77777777" w:rsidTr="00992A37">
        <w:tblPrEx>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96" w:type="dxa"/>
            <w:shd w:val="clear" w:color="auto" w:fill="E6E6E6"/>
          </w:tcPr>
          <w:p w:rsidR="00850F2C" w:rsidRPr="003D31CE" w:rsidP="00F456C2" w14:paraId="02BC9B6A" w14:textId="77777777">
            <w:pPr>
              <w:rPr>
                <w:b/>
              </w:rPr>
            </w:pPr>
          </w:p>
        </w:tc>
        <w:tc>
          <w:tcPr>
            <w:tcW w:w="1687" w:type="dxa"/>
            <w:shd w:val="clear" w:color="auto" w:fill="E6E6E6"/>
          </w:tcPr>
          <w:p w:rsidR="00850F2C" w:rsidRPr="003D31CE" w:rsidP="00F456C2" w14:paraId="18A2EDD4" w14:textId="77777777">
            <w:pPr>
              <w:rPr>
                <w:b/>
              </w:rPr>
            </w:pPr>
            <w:r w:rsidRPr="003D31CE">
              <w:rPr>
                <w:b/>
              </w:rPr>
              <w:t xml:space="preserve">Annual </w:t>
            </w:r>
            <w:r w:rsidRPr="003D31CE">
              <w:rPr>
                <w:b/>
              </w:rPr>
              <w:t>Number of Respondents</w:t>
            </w:r>
          </w:p>
        </w:tc>
        <w:tc>
          <w:tcPr>
            <w:tcW w:w="1383" w:type="dxa"/>
            <w:shd w:val="clear" w:color="auto" w:fill="E6E6E6"/>
          </w:tcPr>
          <w:p w:rsidR="00850F2C" w:rsidRPr="003D31CE" w:rsidP="00F456C2" w14:paraId="3D8A99F6" w14:textId="77777777">
            <w:pPr>
              <w:rPr>
                <w:b/>
              </w:rPr>
            </w:pPr>
            <w:r w:rsidRPr="003D31CE">
              <w:rPr>
                <w:b/>
              </w:rPr>
              <w:t xml:space="preserve">Annual </w:t>
            </w:r>
            <w:r w:rsidRPr="003D31CE">
              <w:rPr>
                <w:b/>
              </w:rPr>
              <w:t>Number of Responses</w:t>
            </w:r>
          </w:p>
        </w:tc>
        <w:tc>
          <w:tcPr>
            <w:tcW w:w="1866" w:type="dxa"/>
            <w:shd w:val="clear" w:color="auto" w:fill="E6E6E6"/>
          </w:tcPr>
          <w:p w:rsidR="00850F2C" w:rsidRPr="003D31CE" w:rsidP="00F456C2" w14:paraId="094148D7" w14:textId="77777777">
            <w:pPr>
              <w:rPr>
                <w:b/>
              </w:rPr>
            </w:pPr>
            <w:r w:rsidRPr="003D31CE">
              <w:rPr>
                <w:b/>
              </w:rPr>
              <w:t xml:space="preserve">Annual </w:t>
            </w:r>
            <w:r w:rsidRPr="003D31CE">
              <w:rPr>
                <w:b/>
              </w:rPr>
              <w:t>Total Burden Hours</w:t>
            </w:r>
          </w:p>
        </w:tc>
        <w:tc>
          <w:tcPr>
            <w:tcW w:w="1866" w:type="dxa"/>
            <w:shd w:val="clear" w:color="auto" w:fill="E6E6E6"/>
          </w:tcPr>
          <w:p w:rsidR="00850F2C" w:rsidRPr="003D31CE" w:rsidP="00F456C2" w14:paraId="289404BF" w14:textId="77777777">
            <w:pPr>
              <w:rPr>
                <w:b/>
              </w:rPr>
            </w:pPr>
            <w:r w:rsidRPr="003D31CE">
              <w:rPr>
                <w:b/>
              </w:rPr>
              <w:t xml:space="preserve">Average </w:t>
            </w:r>
            <w:r w:rsidRPr="003D31CE">
              <w:rPr>
                <w:b/>
              </w:rPr>
              <w:t xml:space="preserve">Burden Hour </w:t>
            </w:r>
            <w:r w:rsidRPr="003D31CE">
              <w:rPr>
                <w:b/>
              </w:rPr>
              <w:t>P</w:t>
            </w:r>
            <w:r w:rsidRPr="003D31CE">
              <w:rPr>
                <w:b/>
              </w:rPr>
              <w:t>er Respondent</w:t>
            </w:r>
          </w:p>
        </w:tc>
      </w:tr>
      <w:tr w14:paraId="798104DA" w14:textId="77777777" w:rsidTr="00992A37">
        <w:tblPrEx>
          <w:tblW w:w="8798" w:type="dxa"/>
          <w:tblLook w:val="01E0"/>
        </w:tblPrEx>
        <w:tc>
          <w:tcPr>
            <w:tcW w:w="1996" w:type="dxa"/>
            <w:shd w:val="clear" w:color="auto" w:fill="auto"/>
          </w:tcPr>
          <w:p w:rsidR="00850F2C" w:rsidRPr="003D31CE" w:rsidP="00F456C2" w14:paraId="3F420783" w14:textId="77777777">
            <w:pPr>
              <w:rPr>
                <w:b/>
              </w:rPr>
            </w:pPr>
            <w:r w:rsidRPr="003D31CE">
              <w:rPr>
                <w:b/>
              </w:rPr>
              <w:t>Current Data Collections</w:t>
            </w:r>
          </w:p>
        </w:tc>
        <w:tc>
          <w:tcPr>
            <w:tcW w:w="1687" w:type="dxa"/>
            <w:shd w:val="clear" w:color="auto" w:fill="auto"/>
          </w:tcPr>
          <w:p w:rsidR="00850F2C" w:rsidRPr="00C92406" w:rsidP="00F456C2" w14:paraId="6326FD5C" w14:textId="06BE0763">
            <w:pPr>
              <w:rPr>
                <w:b/>
              </w:rPr>
            </w:pPr>
            <w:r w:rsidRPr="004E4DBD">
              <w:rPr>
                <w:b/>
              </w:rPr>
              <w:t>10,615</w:t>
            </w:r>
          </w:p>
        </w:tc>
        <w:tc>
          <w:tcPr>
            <w:tcW w:w="1383" w:type="dxa"/>
            <w:shd w:val="clear" w:color="auto" w:fill="auto"/>
          </w:tcPr>
          <w:p w:rsidR="00850F2C" w:rsidRPr="00C92406" w:rsidP="00F456C2" w14:paraId="69D2AB47" w14:textId="432E1471">
            <w:pPr>
              <w:rPr>
                <w:b/>
              </w:rPr>
            </w:pPr>
            <w:r w:rsidRPr="004E4DBD">
              <w:rPr>
                <w:b/>
              </w:rPr>
              <w:t>46,621</w:t>
            </w:r>
          </w:p>
        </w:tc>
        <w:tc>
          <w:tcPr>
            <w:tcW w:w="1866" w:type="dxa"/>
            <w:shd w:val="clear" w:color="auto" w:fill="auto"/>
          </w:tcPr>
          <w:p w:rsidR="00850F2C" w:rsidRPr="00C92406" w:rsidP="00F456C2" w14:paraId="5201C278" w14:textId="59D304B9">
            <w:pPr>
              <w:rPr>
                <w:b/>
              </w:rPr>
            </w:pPr>
            <w:r w:rsidRPr="004E4DBD">
              <w:rPr>
                <w:b/>
              </w:rPr>
              <w:t>7,802</w:t>
            </w:r>
          </w:p>
        </w:tc>
        <w:tc>
          <w:tcPr>
            <w:tcW w:w="1866" w:type="dxa"/>
            <w:shd w:val="clear" w:color="auto" w:fill="auto"/>
          </w:tcPr>
          <w:p w:rsidR="00850F2C" w:rsidRPr="00C92406" w:rsidP="00F456C2" w14:paraId="288E6337" w14:textId="0F69069A">
            <w:pPr>
              <w:rPr>
                <w:b/>
              </w:rPr>
            </w:pPr>
            <w:r w:rsidRPr="004E4DBD">
              <w:rPr>
                <w:b/>
              </w:rPr>
              <w:t>1</w:t>
            </w:r>
            <w:r w:rsidRPr="00C92406" w:rsidR="00947F11">
              <w:rPr>
                <w:b/>
              </w:rPr>
              <w:t>0 minutes</w:t>
            </w:r>
          </w:p>
        </w:tc>
      </w:tr>
      <w:tr w14:paraId="056B1D95" w14:textId="77777777" w:rsidTr="00992A37">
        <w:tblPrEx>
          <w:tblW w:w="8798" w:type="dxa"/>
          <w:tblLook w:val="01E0"/>
        </w:tblPrEx>
        <w:tc>
          <w:tcPr>
            <w:tcW w:w="1996" w:type="dxa"/>
            <w:shd w:val="clear" w:color="auto" w:fill="auto"/>
          </w:tcPr>
          <w:p w:rsidR="00850F2C" w:rsidRPr="003D31CE" w:rsidP="00F456C2" w14:paraId="65A41129" w14:textId="77777777">
            <w:pPr>
              <w:rPr>
                <w:b/>
              </w:rPr>
            </w:pPr>
            <w:r w:rsidRPr="003D31CE">
              <w:rPr>
                <w:b/>
              </w:rPr>
              <w:t>Revised Data Collections</w:t>
            </w:r>
          </w:p>
        </w:tc>
        <w:tc>
          <w:tcPr>
            <w:tcW w:w="1687" w:type="dxa"/>
            <w:shd w:val="clear" w:color="auto" w:fill="auto"/>
          </w:tcPr>
          <w:p w:rsidR="00850F2C" w:rsidRPr="00C92406" w:rsidP="00F456C2" w14:paraId="6233365F" w14:textId="4B2EE9CF">
            <w:pPr>
              <w:rPr>
                <w:b/>
              </w:rPr>
            </w:pPr>
            <w:r w:rsidRPr="004E4DBD">
              <w:rPr>
                <w:b/>
              </w:rPr>
              <w:t>6,035</w:t>
            </w:r>
          </w:p>
        </w:tc>
        <w:tc>
          <w:tcPr>
            <w:tcW w:w="1383" w:type="dxa"/>
            <w:shd w:val="clear" w:color="auto" w:fill="auto"/>
          </w:tcPr>
          <w:p w:rsidR="00850F2C" w:rsidRPr="00C92406" w:rsidP="00F456C2" w14:paraId="61B9CA9A" w14:textId="1DE200F5">
            <w:pPr>
              <w:rPr>
                <w:b/>
              </w:rPr>
            </w:pPr>
            <w:r>
              <w:rPr>
                <w:b/>
              </w:rPr>
              <w:t>1</w:t>
            </w:r>
            <w:r w:rsidR="00F35F02">
              <w:rPr>
                <w:b/>
              </w:rPr>
              <w:t>7,683</w:t>
            </w:r>
          </w:p>
        </w:tc>
        <w:tc>
          <w:tcPr>
            <w:tcW w:w="1866" w:type="dxa"/>
            <w:shd w:val="clear" w:color="auto" w:fill="auto"/>
          </w:tcPr>
          <w:p w:rsidR="00850F2C" w:rsidRPr="00C92406" w:rsidP="00F456C2" w14:paraId="2F9E6BF5" w14:textId="04630275">
            <w:pPr>
              <w:rPr>
                <w:b/>
              </w:rPr>
            </w:pPr>
            <w:r>
              <w:rPr>
                <w:b/>
              </w:rPr>
              <w:t>5</w:t>
            </w:r>
            <w:r w:rsidR="002B480C">
              <w:rPr>
                <w:b/>
              </w:rPr>
              <w:t>,032</w:t>
            </w:r>
          </w:p>
        </w:tc>
        <w:tc>
          <w:tcPr>
            <w:tcW w:w="1866" w:type="dxa"/>
            <w:shd w:val="clear" w:color="auto" w:fill="auto"/>
          </w:tcPr>
          <w:p w:rsidR="00850F2C" w:rsidRPr="004E4DBD" w:rsidP="00F456C2" w14:paraId="6BA07310" w14:textId="2312A68E">
            <w:pPr>
              <w:rPr>
                <w:b/>
                <w:highlight w:val="yellow"/>
              </w:rPr>
            </w:pPr>
            <w:r>
              <w:rPr>
                <w:b/>
              </w:rPr>
              <w:t>7</w:t>
            </w:r>
            <w:r w:rsidRPr="00C92406" w:rsidR="00947F11">
              <w:rPr>
                <w:b/>
              </w:rPr>
              <w:t xml:space="preserve"> minutes</w:t>
            </w:r>
          </w:p>
        </w:tc>
      </w:tr>
    </w:tbl>
    <w:p w:rsidR="00F456C2" w:rsidRPr="003D31CE" w:rsidP="00F456C2" w14:paraId="795A9ED6" w14:textId="77777777">
      <w:pPr>
        <w:rPr>
          <w:b/>
        </w:rPr>
      </w:pPr>
    </w:p>
    <w:p w:rsidR="002F3678" w:rsidRPr="003D31CE" w:rsidP="00F456C2" w14:paraId="248C8369" w14:textId="77777777">
      <w:pPr>
        <w:rPr>
          <w:b/>
        </w:rPr>
      </w:pPr>
    </w:p>
    <w:p w:rsidR="00F456C2" w:rsidRPr="003D31CE" w:rsidP="002F3678" w14:paraId="3D9A1CCD" w14:textId="77777777">
      <w:pPr>
        <w:rPr>
          <w:b/>
        </w:rPr>
      </w:pPr>
      <w:r w:rsidRPr="003D31CE">
        <w:rPr>
          <w:b/>
        </w:rPr>
        <w:t xml:space="preserve">16. </w:t>
      </w:r>
      <w:r w:rsidRPr="003D31CE">
        <w:rPr>
          <w:b/>
          <w:u w:val="single"/>
        </w:rPr>
        <w:t xml:space="preserve">For collections </w:t>
      </w:r>
      <w:r w:rsidRPr="003D31CE" w:rsidR="00827C05">
        <w:rPr>
          <w:b/>
          <w:u w:val="single"/>
        </w:rPr>
        <w:t xml:space="preserve">of information </w:t>
      </w:r>
      <w:r w:rsidRPr="003D31CE">
        <w:rPr>
          <w:b/>
          <w:u w:val="single"/>
        </w:rPr>
        <w:t>whose results will be published, outline the plans for tabulation and publication.</w:t>
      </w:r>
    </w:p>
    <w:p w:rsidR="00F456C2" w:rsidRPr="003D31CE" w:rsidP="00F456C2" w14:paraId="5C4FAD27" w14:textId="77777777">
      <w:pPr>
        <w:rPr>
          <w:b/>
        </w:rPr>
      </w:pPr>
    </w:p>
    <w:p w:rsidR="002244DB" w:rsidRPr="003D31CE" w:rsidP="00F456C2" w14:paraId="18A550BA" w14:textId="54E9274F">
      <w:bookmarkStart w:id="0" w:name="_Hlk22298856"/>
      <w:r w:rsidRPr="003D31CE">
        <w:t>D</w:t>
      </w:r>
      <w:r w:rsidRPr="003D31CE" w:rsidR="00F456C2">
        <w:t xml:space="preserve">ata </w:t>
      </w:r>
      <w:r w:rsidRPr="003D31CE">
        <w:t xml:space="preserve">from the </w:t>
      </w:r>
      <w:r w:rsidR="00D92939">
        <w:t>S</w:t>
      </w:r>
      <w:r w:rsidRPr="003D31CE">
        <w:t xml:space="preserve">ystem is </w:t>
      </w:r>
      <w:r w:rsidRPr="003D31CE" w:rsidR="00F456C2">
        <w:t xml:space="preserve">collected </w:t>
      </w:r>
      <w:r w:rsidRPr="003D31CE">
        <w:t xml:space="preserve">primarily </w:t>
      </w:r>
      <w:r w:rsidRPr="003D31CE" w:rsidR="00F456C2">
        <w:t>for internal review purposes</w:t>
      </w:r>
      <w:r w:rsidR="003D3617">
        <w:t>;</w:t>
      </w:r>
      <w:r w:rsidRPr="003D31CE" w:rsidR="00F456C2">
        <w:t xml:space="preserve"> to monitor and evaluate the </w:t>
      </w:r>
      <w:r w:rsidRPr="003D31CE">
        <w:t xml:space="preserve">MBDA </w:t>
      </w:r>
      <w:r w:rsidRPr="003D31CE" w:rsidR="00F456C2">
        <w:t>funded organizations</w:t>
      </w:r>
      <w:r w:rsidR="003D3617">
        <w:t>, and for statistical purposes</w:t>
      </w:r>
      <w:r w:rsidRPr="003D31CE">
        <w:t xml:space="preserve">. </w:t>
      </w:r>
      <w:r w:rsidRPr="0095216D" w:rsidR="0095216D">
        <w:t xml:space="preserve">The data </w:t>
      </w:r>
      <w:r w:rsidR="003D3617">
        <w:t>are</w:t>
      </w:r>
      <w:r w:rsidRPr="0095216D" w:rsidR="0095216D">
        <w:t xml:space="preserve"> used to conduct </w:t>
      </w:r>
      <w:r w:rsidRPr="0095216D" w:rsidR="0095216D">
        <w:t>federal research and studies on minority businesses to support policy</w:t>
      </w:r>
      <w:r w:rsidR="0012206B">
        <w:t xml:space="preserve"> and new program design</w:t>
      </w:r>
      <w:r w:rsidRPr="0095216D" w:rsidR="0095216D">
        <w:t>.</w:t>
      </w:r>
      <w:r w:rsidRPr="003D31CE">
        <w:t xml:space="preserve"> Th</w:t>
      </w:r>
      <w:r w:rsidR="0012206B">
        <w:t>e</w:t>
      </w:r>
      <w:r w:rsidRPr="003D31CE">
        <w:t xml:space="preserve"> data </w:t>
      </w:r>
      <w:r w:rsidR="0012206B">
        <w:t>are</w:t>
      </w:r>
      <w:r w:rsidRPr="003D31CE">
        <w:t xml:space="preserve"> also summarized and reported to the Department and to OMB as part of the GPRA reporting process</w:t>
      </w:r>
      <w:r w:rsidR="0012206B">
        <w:t>, Evidence Act</w:t>
      </w:r>
      <w:r w:rsidR="009C6CD8">
        <w:t xml:space="preserve"> for decision making purposes,</w:t>
      </w:r>
      <w:r w:rsidRPr="003D31CE">
        <w:t xml:space="preserve"> and is also summarized in the MBDA Annual Performance Report (which is made publicly available</w:t>
      </w:r>
      <w:r w:rsidR="00E5428A">
        <w:t xml:space="preserve"> </w:t>
      </w:r>
      <w:r w:rsidR="009C6CD8">
        <w:t>at www.</w:t>
      </w:r>
      <w:r w:rsidR="00E5428A">
        <w:t>mbda.gov</w:t>
      </w:r>
      <w:r w:rsidRPr="003D31CE">
        <w:t>)</w:t>
      </w:r>
      <w:r w:rsidRPr="003D31CE" w:rsidR="00F456C2">
        <w:t>.</w:t>
      </w:r>
      <w:r w:rsidRPr="003D31CE">
        <w:t xml:space="preserve">  </w:t>
      </w:r>
      <w:r w:rsidRPr="003D31CE" w:rsidR="00F456C2">
        <w:t xml:space="preserve">Reports </w:t>
      </w:r>
      <w:r w:rsidRPr="003D31CE" w:rsidR="00340EC0">
        <w:t>concerning</w:t>
      </w:r>
      <w:r w:rsidRPr="003D31CE" w:rsidR="00F456C2">
        <w:t xml:space="preserve"> the characteristics and performance of the </w:t>
      </w:r>
      <w:r w:rsidRPr="003D31CE">
        <w:t xml:space="preserve">MBDA funded centers </w:t>
      </w:r>
      <w:r w:rsidRPr="003D31CE" w:rsidR="00F456C2">
        <w:t xml:space="preserve">will include statistical tables and charts generated from the </w:t>
      </w:r>
      <w:r w:rsidR="00E5428A">
        <w:t>System</w:t>
      </w:r>
      <w:r w:rsidRPr="003D31CE" w:rsidR="00F456C2">
        <w:t>.</w:t>
      </w:r>
      <w:r w:rsidRPr="003D31CE">
        <w:t xml:space="preserve"> </w:t>
      </w:r>
      <w:r w:rsidRPr="00572268" w:rsidR="00572268">
        <w:t>When publishing th</w:t>
      </w:r>
      <w:r w:rsidR="00E5428A">
        <w:t>e</w:t>
      </w:r>
      <w:r w:rsidRPr="00572268" w:rsidR="00572268">
        <w:t xml:space="preserve"> data</w:t>
      </w:r>
      <w:r w:rsidR="008F3F51">
        <w:t>,</w:t>
      </w:r>
      <w:r w:rsidRPr="00572268" w:rsidR="00572268">
        <w:t xml:space="preserve"> it will be clearly stated </w:t>
      </w:r>
      <w:r w:rsidR="008F3F51">
        <w:t xml:space="preserve">if </w:t>
      </w:r>
      <w:r w:rsidRPr="00572268" w:rsidR="00572268">
        <w:t>the results are</w:t>
      </w:r>
      <w:r w:rsidR="008F3F51">
        <w:t>/are</w:t>
      </w:r>
      <w:r w:rsidRPr="00572268" w:rsidR="00572268">
        <w:t xml:space="preserve"> not statistically representative</w:t>
      </w:r>
      <w:r w:rsidR="00982040">
        <w:t>,</w:t>
      </w:r>
      <w:r w:rsidRPr="00572268" w:rsidR="00572268">
        <w:t xml:space="preserve"> and </w:t>
      </w:r>
      <w:r w:rsidR="00982040">
        <w:t>whether or not</w:t>
      </w:r>
      <w:r w:rsidR="00982040">
        <w:t xml:space="preserve"> it </w:t>
      </w:r>
      <w:r w:rsidRPr="00572268" w:rsidR="00572268">
        <w:t>can be generalized across any geographic, demographic or industry group.</w:t>
      </w:r>
    </w:p>
    <w:bookmarkEnd w:id="0"/>
    <w:p w:rsidR="00F456C2" w:rsidRPr="003D31CE" w:rsidP="00F456C2" w14:paraId="49D80B7E" w14:textId="77777777">
      <w:pPr>
        <w:rPr>
          <w:b/>
        </w:rPr>
      </w:pPr>
    </w:p>
    <w:p w:rsidR="00F456C2" w:rsidRPr="003D31CE" w:rsidP="002F3678" w14:paraId="003DBAB1" w14:textId="77777777">
      <w:pPr>
        <w:rPr>
          <w:b/>
        </w:rPr>
      </w:pPr>
      <w:r w:rsidRPr="003D31CE">
        <w:rPr>
          <w:b/>
        </w:rPr>
        <w:t xml:space="preserve">17. </w:t>
      </w:r>
      <w:r w:rsidRPr="003D31CE">
        <w:rPr>
          <w:b/>
          <w:u w:val="single"/>
        </w:rPr>
        <w:t>If seeking approval to not display the expiration date of OMB approval of the information collection, explain the reasons why display would be inappropriate</w:t>
      </w:r>
      <w:r w:rsidRPr="003D31CE">
        <w:rPr>
          <w:b/>
        </w:rPr>
        <w:t>.</w:t>
      </w:r>
    </w:p>
    <w:p w:rsidR="005E57F7" w:rsidRPr="003D31CE" w:rsidP="005E57F7" w14:paraId="5B2FCA94" w14:textId="77777777">
      <w:pPr>
        <w:ind w:left="720"/>
        <w:rPr>
          <w:b/>
          <w:u w:val="single"/>
        </w:rPr>
      </w:pPr>
    </w:p>
    <w:p w:rsidR="002F3678" w:rsidRPr="003D31CE" w:rsidP="00827C05" w14:paraId="537B6509" w14:textId="77777777">
      <w:r w:rsidRPr="003D31CE">
        <w:t>The a</w:t>
      </w:r>
      <w:r w:rsidRPr="003D31CE" w:rsidR="00827C05">
        <w:t xml:space="preserve">ppropriate OMB </w:t>
      </w:r>
      <w:r w:rsidRPr="003D31CE">
        <w:t xml:space="preserve">control </w:t>
      </w:r>
      <w:r w:rsidRPr="003D31CE" w:rsidR="00827C05">
        <w:t xml:space="preserve">number and expiration </w:t>
      </w:r>
      <w:r w:rsidRPr="003D31CE">
        <w:t xml:space="preserve">date </w:t>
      </w:r>
      <w:r w:rsidRPr="003D31CE" w:rsidR="00827C05">
        <w:t xml:space="preserve">will be displayed.  </w:t>
      </w:r>
    </w:p>
    <w:p w:rsidR="004E7A46" w:rsidRPr="003D31CE" w:rsidP="00827C05" w14:paraId="3FDFE742" w14:textId="77777777"/>
    <w:p w:rsidR="00F456C2" w:rsidRPr="003D31CE" w:rsidP="00F456C2" w14:paraId="0BB7926A" w14:textId="77777777">
      <w:pPr>
        <w:rPr>
          <w:b/>
        </w:rPr>
      </w:pPr>
    </w:p>
    <w:p w:rsidR="00F456C2" w:rsidRPr="003D31CE" w:rsidP="002F3678" w14:paraId="1C78B245" w14:textId="77777777">
      <w:pPr>
        <w:rPr>
          <w:b/>
        </w:rPr>
      </w:pPr>
      <w:r w:rsidRPr="003D31CE">
        <w:rPr>
          <w:b/>
        </w:rPr>
        <w:t xml:space="preserve">18. </w:t>
      </w:r>
      <w:r w:rsidRPr="003D31CE">
        <w:rPr>
          <w:b/>
          <w:u w:val="single"/>
        </w:rPr>
        <w:t>Explain each exception to the certification statement</w:t>
      </w:r>
      <w:r w:rsidRPr="003D31CE">
        <w:rPr>
          <w:b/>
        </w:rPr>
        <w:t>.</w:t>
      </w:r>
    </w:p>
    <w:p w:rsidR="002F3678" w:rsidRPr="003D31CE" w:rsidP="002F3678" w14:paraId="5D5BB8A9" w14:textId="77777777">
      <w:pPr>
        <w:rPr>
          <w:b/>
        </w:rPr>
      </w:pPr>
    </w:p>
    <w:p w:rsidR="00F456C2" w:rsidRPr="003D31CE" w:rsidP="00F456C2" w14:paraId="22C8230F" w14:textId="77777777">
      <w:r w:rsidRPr="003D31CE">
        <w:t>No exceptions to the certification statement</w:t>
      </w:r>
      <w:r w:rsidRPr="003D31CE" w:rsidR="004E7A46">
        <w:t xml:space="preserve"> apply</w:t>
      </w:r>
      <w:r w:rsidRPr="003D31CE">
        <w:t>.</w:t>
      </w:r>
    </w:p>
    <w:p w:rsidR="00F456C2" w:rsidRPr="003D31CE" w:rsidP="00F456C2" w14:paraId="72F5ACFF" w14:textId="77777777">
      <w:pPr>
        <w:rPr>
          <w:b/>
        </w:rPr>
      </w:pPr>
    </w:p>
    <w:p w:rsidR="002F3678" w:rsidRPr="003D31CE" w:rsidP="002F3678" w14:paraId="0944E68D" w14:textId="77777777">
      <w:pPr>
        <w:rPr>
          <w:b/>
          <w:u w:val="single"/>
        </w:rPr>
      </w:pPr>
    </w:p>
    <w:p w:rsidR="00F456C2" w:rsidRPr="003D31CE" w:rsidP="002F3678" w14:paraId="334D6D6A" w14:textId="77777777">
      <w:pPr>
        <w:rPr>
          <w:b/>
          <w:u w:val="single"/>
        </w:rPr>
      </w:pPr>
      <w:r w:rsidRPr="003D31CE">
        <w:rPr>
          <w:b/>
        </w:rPr>
        <w:t xml:space="preserve">B.  </w:t>
      </w:r>
      <w:r w:rsidRPr="003D31CE">
        <w:rPr>
          <w:b/>
          <w:u w:val="single"/>
        </w:rPr>
        <w:t xml:space="preserve">COLLECTONS OF INFORMATION EMPLOYING STATISTICAL METHODS </w:t>
      </w:r>
    </w:p>
    <w:p w:rsidR="00F456C2" w:rsidRPr="003D31CE" w:rsidP="00F456C2" w14:paraId="3C6B4C35" w14:textId="77777777">
      <w:pPr>
        <w:ind w:left="1440"/>
        <w:rPr>
          <w:b/>
          <w:u w:val="single"/>
        </w:rPr>
      </w:pPr>
    </w:p>
    <w:p w:rsidR="005E57F7" w:rsidRPr="0058162C" w:rsidP="005E57F7" w14:paraId="7B5758C7" w14:textId="1ED27936">
      <w:r w:rsidRPr="003D31CE">
        <w:t xml:space="preserve">These information collections do not employ statistical methods.  </w:t>
      </w:r>
    </w:p>
    <w:sectPr w:rsidSect="00485D44">
      <w:headerReference w:type="default" r:id="rId5"/>
      <w:footerReference w:type="even" r:id="rId6"/>
      <w:footerReference w:type="defaul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D89" w:rsidP="00B92C42" w14:paraId="1318DB8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5D89" w14:paraId="3BAA2D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D89" w:rsidP="00B92C42" w14:paraId="74024A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10B">
      <w:rPr>
        <w:rStyle w:val="PageNumber"/>
        <w:noProof/>
      </w:rPr>
      <w:t>2</w:t>
    </w:r>
    <w:r>
      <w:rPr>
        <w:rStyle w:val="PageNumber"/>
      </w:rPr>
      <w:fldChar w:fldCharType="end"/>
    </w:r>
  </w:p>
  <w:p w:rsidR="00D95D89" w14:paraId="16ED0E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D89" w:rsidRPr="00EB4C49" w:rsidP="00EB4C49" w14:paraId="74A85B1B" w14:textId="77777777">
    <w:pPr>
      <w:jc w:val="right"/>
      <w:rPr>
        <w:sz w:val="20"/>
        <w:szCs w:val="20"/>
      </w:rPr>
    </w:pPr>
    <w:r w:rsidRPr="00EB4C49">
      <w:rPr>
        <w:sz w:val="20"/>
        <w:szCs w:val="20"/>
      </w:rPr>
      <w:t>U.S Department of Commerce</w:t>
    </w:r>
  </w:p>
  <w:p w:rsidR="00D95D89" w:rsidRPr="00EB4C49" w:rsidP="00EB4C49" w14:paraId="79BC08F3" w14:textId="77777777">
    <w:pPr>
      <w:jc w:val="right"/>
      <w:rPr>
        <w:sz w:val="20"/>
        <w:szCs w:val="20"/>
      </w:rPr>
    </w:pPr>
    <w:r w:rsidRPr="00EB4C49">
      <w:rPr>
        <w:sz w:val="20"/>
        <w:szCs w:val="20"/>
      </w:rPr>
      <w:t>Minority Business Development Agency</w:t>
    </w:r>
  </w:p>
  <w:p w:rsidR="00D95D89" w:rsidRPr="00EB4C49" w:rsidP="00EB4C49" w14:paraId="3DB05314" w14:textId="77777777">
    <w:pPr>
      <w:jc w:val="right"/>
      <w:rPr>
        <w:sz w:val="20"/>
        <w:szCs w:val="20"/>
      </w:rPr>
    </w:pPr>
    <w:r w:rsidRPr="00EB4C49">
      <w:rPr>
        <w:sz w:val="20"/>
        <w:szCs w:val="20"/>
      </w:rPr>
      <w:t>OMB C</w:t>
    </w:r>
    <w:r>
      <w:rPr>
        <w:sz w:val="20"/>
        <w:szCs w:val="20"/>
      </w:rPr>
      <w:t>ontrol</w:t>
    </w:r>
    <w:r w:rsidRPr="00EB4C49">
      <w:rPr>
        <w:sz w:val="20"/>
        <w:szCs w:val="20"/>
      </w:rPr>
      <w:t xml:space="preserve"> N</w:t>
    </w:r>
    <w:r>
      <w:rPr>
        <w:sz w:val="20"/>
        <w:szCs w:val="20"/>
      </w:rPr>
      <w:t xml:space="preserve">umber </w:t>
    </w:r>
    <w:r w:rsidRPr="00EB4C49">
      <w:rPr>
        <w:sz w:val="20"/>
        <w:szCs w:val="20"/>
      </w:rPr>
      <w:t>0640-0002</w:t>
    </w:r>
  </w:p>
  <w:p w:rsidR="00D95D89" w:rsidP="00EB4C49" w14:paraId="3070096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1F6CDA"/>
    <w:multiLevelType w:val="hybridMultilevel"/>
    <w:tmpl w:val="D0386BA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E2B052F"/>
    <w:multiLevelType w:val="hybridMultilevel"/>
    <w:tmpl w:val="5CA6E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ACA4226"/>
    <w:multiLevelType w:val="hybridMultilevel"/>
    <w:tmpl w:val="190C5BAA"/>
    <w:lvl w:ilvl="0">
      <w:start w:val="6"/>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1110363"/>
    <w:multiLevelType w:val="hybridMultilevel"/>
    <w:tmpl w:val="2C4CBC0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77EA23B7"/>
    <w:multiLevelType w:val="hybridMultilevel"/>
    <w:tmpl w:val="C160F148"/>
    <w:lvl w:ilvl="0">
      <w:start w:val="1"/>
      <w:numFmt w:val="upperLetter"/>
      <w:lvlText w:val="%1."/>
      <w:lvlJc w:val="left"/>
      <w:pPr>
        <w:tabs>
          <w:tab w:val="num" w:pos="360"/>
        </w:tabs>
        <w:ind w:left="360" w:hanging="360"/>
      </w:pPr>
      <w:rPr>
        <w:rFonts w:hint="default"/>
      </w:rPr>
    </w:lvl>
    <w:lvl w:ilvl="1">
      <w:start w:val="15"/>
      <w:numFmt w:val="decimal"/>
      <w:lvlText w:val="%2."/>
      <w:lvlJc w:val="left"/>
      <w:pPr>
        <w:tabs>
          <w:tab w:val="num" w:pos="1140"/>
        </w:tabs>
        <w:ind w:left="1140" w:hanging="4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886331601">
    <w:abstractNumId w:val="0"/>
  </w:num>
  <w:num w:numId="2" w16cid:durableId="1927223366">
    <w:abstractNumId w:val="4"/>
  </w:num>
  <w:num w:numId="3" w16cid:durableId="1767263879">
    <w:abstractNumId w:val="3"/>
  </w:num>
  <w:num w:numId="4" w16cid:durableId="1911883897">
    <w:abstractNumId w:val="1"/>
  </w:num>
  <w:num w:numId="5" w16cid:durableId="436632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F2"/>
    <w:rsid w:val="0000136C"/>
    <w:rsid w:val="00002880"/>
    <w:rsid w:val="0001005A"/>
    <w:rsid w:val="000111AB"/>
    <w:rsid w:val="0001569B"/>
    <w:rsid w:val="000406AC"/>
    <w:rsid w:val="00077E57"/>
    <w:rsid w:val="00092529"/>
    <w:rsid w:val="000929E9"/>
    <w:rsid w:val="0009512B"/>
    <w:rsid w:val="00096857"/>
    <w:rsid w:val="000A1191"/>
    <w:rsid w:val="000A5828"/>
    <w:rsid w:val="000B129F"/>
    <w:rsid w:val="000B5329"/>
    <w:rsid w:val="000B794F"/>
    <w:rsid w:val="000D1C08"/>
    <w:rsid w:val="000D416A"/>
    <w:rsid w:val="000D4BD8"/>
    <w:rsid w:val="000F4C19"/>
    <w:rsid w:val="0010101E"/>
    <w:rsid w:val="00102B44"/>
    <w:rsid w:val="0012206B"/>
    <w:rsid w:val="0013110B"/>
    <w:rsid w:val="001320E2"/>
    <w:rsid w:val="001424A7"/>
    <w:rsid w:val="00142680"/>
    <w:rsid w:val="00150DEF"/>
    <w:rsid w:val="00155825"/>
    <w:rsid w:val="00157C81"/>
    <w:rsid w:val="0017072F"/>
    <w:rsid w:val="00185D0C"/>
    <w:rsid w:val="001868EE"/>
    <w:rsid w:val="00187482"/>
    <w:rsid w:val="00195FB1"/>
    <w:rsid w:val="001965EC"/>
    <w:rsid w:val="00197D5E"/>
    <w:rsid w:val="001E247F"/>
    <w:rsid w:val="001F4588"/>
    <w:rsid w:val="00203A5A"/>
    <w:rsid w:val="002244DB"/>
    <w:rsid w:val="00227BCF"/>
    <w:rsid w:val="00256033"/>
    <w:rsid w:val="002638CA"/>
    <w:rsid w:val="002803BE"/>
    <w:rsid w:val="00281407"/>
    <w:rsid w:val="002922DA"/>
    <w:rsid w:val="002A3F9F"/>
    <w:rsid w:val="002B032F"/>
    <w:rsid w:val="002B480C"/>
    <w:rsid w:val="002C1381"/>
    <w:rsid w:val="002C51F2"/>
    <w:rsid w:val="002C668A"/>
    <w:rsid w:val="002D3ACB"/>
    <w:rsid w:val="002D505F"/>
    <w:rsid w:val="002E212A"/>
    <w:rsid w:val="002F3678"/>
    <w:rsid w:val="00302E77"/>
    <w:rsid w:val="00305BCB"/>
    <w:rsid w:val="00320978"/>
    <w:rsid w:val="00334690"/>
    <w:rsid w:val="00340EC0"/>
    <w:rsid w:val="0034413D"/>
    <w:rsid w:val="0036468C"/>
    <w:rsid w:val="00367E3D"/>
    <w:rsid w:val="00370426"/>
    <w:rsid w:val="00376D51"/>
    <w:rsid w:val="00390370"/>
    <w:rsid w:val="003910F0"/>
    <w:rsid w:val="003921B1"/>
    <w:rsid w:val="003A1B20"/>
    <w:rsid w:val="003B479C"/>
    <w:rsid w:val="003B66FD"/>
    <w:rsid w:val="003C109A"/>
    <w:rsid w:val="003D31CE"/>
    <w:rsid w:val="003D3617"/>
    <w:rsid w:val="003D461C"/>
    <w:rsid w:val="003F0EA1"/>
    <w:rsid w:val="00420B87"/>
    <w:rsid w:val="00447855"/>
    <w:rsid w:val="004512B1"/>
    <w:rsid w:val="00466453"/>
    <w:rsid w:val="004811AD"/>
    <w:rsid w:val="00485D44"/>
    <w:rsid w:val="004863B1"/>
    <w:rsid w:val="00487A21"/>
    <w:rsid w:val="00494045"/>
    <w:rsid w:val="0049455E"/>
    <w:rsid w:val="004A3578"/>
    <w:rsid w:val="004A479C"/>
    <w:rsid w:val="004B79DB"/>
    <w:rsid w:val="004C1B0D"/>
    <w:rsid w:val="004C7425"/>
    <w:rsid w:val="004D37CF"/>
    <w:rsid w:val="004E4DBD"/>
    <w:rsid w:val="004E7A46"/>
    <w:rsid w:val="004F00F9"/>
    <w:rsid w:val="004F410E"/>
    <w:rsid w:val="0050057F"/>
    <w:rsid w:val="005026DD"/>
    <w:rsid w:val="005048B4"/>
    <w:rsid w:val="005168BB"/>
    <w:rsid w:val="00521F55"/>
    <w:rsid w:val="00524CFA"/>
    <w:rsid w:val="005265AB"/>
    <w:rsid w:val="0052714B"/>
    <w:rsid w:val="00530412"/>
    <w:rsid w:val="00537501"/>
    <w:rsid w:val="00567911"/>
    <w:rsid w:val="00572268"/>
    <w:rsid w:val="0057402D"/>
    <w:rsid w:val="0058162C"/>
    <w:rsid w:val="005B1D3B"/>
    <w:rsid w:val="005B5BC6"/>
    <w:rsid w:val="005C4E21"/>
    <w:rsid w:val="005E57F7"/>
    <w:rsid w:val="005F2FF1"/>
    <w:rsid w:val="00602C53"/>
    <w:rsid w:val="00613668"/>
    <w:rsid w:val="00621128"/>
    <w:rsid w:val="00622CCE"/>
    <w:rsid w:val="006509E7"/>
    <w:rsid w:val="00653FD5"/>
    <w:rsid w:val="006637F2"/>
    <w:rsid w:val="00675F8A"/>
    <w:rsid w:val="006838DB"/>
    <w:rsid w:val="006842D7"/>
    <w:rsid w:val="00684918"/>
    <w:rsid w:val="006A1D1E"/>
    <w:rsid w:val="006A6D60"/>
    <w:rsid w:val="006B35E7"/>
    <w:rsid w:val="006B375D"/>
    <w:rsid w:val="006D4912"/>
    <w:rsid w:val="006E14C7"/>
    <w:rsid w:val="006E2905"/>
    <w:rsid w:val="006F4579"/>
    <w:rsid w:val="00716191"/>
    <w:rsid w:val="00717820"/>
    <w:rsid w:val="0073492D"/>
    <w:rsid w:val="00736547"/>
    <w:rsid w:val="007402A2"/>
    <w:rsid w:val="00745A8E"/>
    <w:rsid w:val="00747DE1"/>
    <w:rsid w:val="0075370E"/>
    <w:rsid w:val="007609E2"/>
    <w:rsid w:val="0077408E"/>
    <w:rsid w:val="0078152E"/>
    <w:rsid w:val="00790BBB"/>
    <w:rsid w:val="00794ECF"/>
    <w:rsid w:val="007A16C5"/>
    <w:rsid w:val="007A2EFD"/>
    <w:rsid w:val="007A747C"/>
    <w:rsid w:val="007B616A"/>
    <w:rsid w:val="007C332C"/>
    <w:rsid w:val="007D1775"/>
    <w:rsid w:val="007E0864"/>
    <w:rsid w:val="007E3427"/>
    <w:rsid w:val="007F0EDD"/>
    <w:rsid w:val="007F1775"/>
    <w:rsid w:val="008226C8"/>
    <w:rsid w:val="00827C05"/>
    <w:rsid w:val="00831058"/>
    <w:rsid w:val="0083142F"/>
    <w:rsid w:val="00834421"/>
    <w:rsid w:val="00835529"/>
    <w:rsid w:val="00850F2C"/>
    <w:rsid w:val="00851A60"/>
    <w:rsid w:val="00852194"/>
    <w:rsid w:val="008612D2"/>
    <w:rsid w:val="00877EAC"/>
    <w:rsid w:val="008877CB"/>
    <w:rsid w:val="00893DE9"/>
    <w:rsid w:val="008A039F"/>
    <w:rsid w:val="008A3019"/>
    <w:rsid w:val="008A4456"/>
    <w:rsid w:val="008A4C07"/>
    <w:rsid w:val="008B4CF2"/>
    <w:rsid w:val="008C0568"/>
    <w:rsid w:val="008C1258"/>
    <w:rsid w:val="008C6744"/>
    <w:rsid w:val="008D1F52"/>
    <w:rsid w:val="008F3F51"/>
    <w:rsid w:val="009001A3"/>
    <w:rsid w:val="0090309A"/>
    <w:rsid w:val="009116EE"/>
    <w:rsid w:val="0091425D"/>
    <w:rsid w:val="00915E71"/>
    <w:rsid w:val="0091698C"/>
    <w:rsid w:val="00947F11"/>
    <w:rsid w:val="00950A2C"/>
    <w:rsid w:val="0095216D"/>
    <w:rsid w:val="00952DE0"/>
    <w:rsid w:val="0095585F"/>
    <w:rsid w:val="00963D45"/>
    <w:rsid w:val="00964194"/>
    <w:rsid w:val="0097551F"/>
    <w:rsid w:val="00982040"/>
    <w:rsid w:val="0098781E"/>
    <w:rsid w:val="00991F94"/>
    <w:rsid w:val="00992A37"/>
    <w:rsid w:val="009A1C0F"/>
    <w:rsid w:val="009B1DAC"/>
    <w:rsid w:val="009C6CD8"/>
    <w:rsid w:val="009D33AA"/>
    <w:rsid w:val="009D6540"/>
    <w:rsid w:val="009E3779"/>
    <w:rsid w:val="009E5D31"/>
    <w:rsid w:val="00A03784"/>
    <w:rsid w:val="00A06D7E"/>
    <w:rsid w:val="00A23FDA"/>
    <w:rsid w:val="00A302BB"/>
    <w:rsid w:val="00A32393"/>
    <w:rsid w:val="00A331D9"/>
    <w:rsid w:val="00A33F2F"/>
    <w:rsid w:val="00A56162"/>
    <w:rsid w:val="00A86738"/>
    <w:rsid w:val="00A96695"/>
    <w:rsid w:val="00AB32FA"/>
    <w:rsid w:val="00AC004D"/>
    <w:rsid w:val="00AC068F"/>
    <w:rsid w:val="00AE5EB2"/>
    <w:rsid w:val="00AF29A8"/>
    <w:rsid w:val="00B01908"/>
    <w:rsid w:val="00B04AD2"/>
    <w:rsid w:val="00B32726"/>
    <w:rsid w:val="00B4743E"/>
    <w:rsid w:val="00B5616D"/>
    <w:rsid w:val="00B61CE5"/>
    <w:rsid w:val="00B62B41"/>
    <w:rsid w:val="00B73B92"/>
    <w:rsid w:val="00B81E7A"/>
    <w:rsid w:val="00B87492"/>
    <w:rsid w:val="00B92C42"/>
    <w:rsid w:val="00B952EB"/>
    <w:rsid w:val="00BA1210"/>
    <w:rsid w:val="00BA177E"/>
    <w:rsid w:val="00BA6CE1"/>
    <w:rsid w:val="00BB0BEA"/>
    <w:rsid w:val="00BB6098"/>
    <w:rsid w:val="00BB7808"/>
    <w:rsid w:val="00BD0F34"/>
    <w:rsid w:val="00BE531F"/>
    <w:rsid w:val="00C14C7D"/>
    <w:rsid w:val="00C20807"/>
    <w:rsid w:val="00C24C0B"/>
    <w:rsid w:val="00C34233"/>
    <w:rsid w:val="00C44C2F"/>
    <w:rsid w:val="00C5041C"/>
    <w:rsid w:val="00C51D8B"/>
    <w:rsid w:val="00C66590"/>
    <w:rsid w:val="00C72124"/>
    <w:rsid w:val="00C73781"/>
    <w:rsid w:val="00C91AF1"/>
    <w:rsid w:val="00C92406"/>
    <w:rsid w:val="00CA7536"/>
    <w:rsid w:val="00CC5B8F"/>
    <w:rsid w:val="00CD5E46"/>
    <w:rsid w:val="00CE4E79"/>
    <w:rsid w:val="00CE60B4"/>
    <w:rsid w:val="00CE69C1"/>
    <w:rsid w:val="00CF1CAE"/>
    <w:rsid w:val="00D00FDD"/>
    <w:rsid w:val="00D02511"/>
    <w:rsid w:val="00D048B1"/>
    <w:rsid w:val="00D12763"/>
    <w:rsid w:val="00D37D88"/>
    <w:rsid w:val="00D41A7E"/>
    <w:rsid w:val="00D516B9"/>
    <w:rsid w:val="00D53F43"/>
    <w:rsid w:val="00D714F2"/>
    <w:rsid w:val="00D74331"/>
    <w:rsid w:val="00D92939"/>
    <w:rsid w:val="00D93BC6"/>
    <w:rsid w:val="00D95D89"/>
    <w:rsid w:val="00DD55BA"/>
    <w:rsid w:val="00DE5FE8"/>
    <w:rsid w:val="00DF31CD"/>
    <w:rsid w:val="00DF75F1"/>
    <w:rsid w:val="00E0101E"/>
    <w:rsid w:val="00E11AEF"/>
    <w:rsid w:val="00E12B18"/>
    <w:rsid w:val="00E17FD3"/>
    <w:rsid w:val="00E3199B"/>
    <w:rsid w:val="00E33E06"/>
    <w:rsid w:val="00E424CA"/>
    <w:rsid w:val="00E43198"/>
    <w:rsid w:val="00E5428A"/>
    <w:rsid w:val="00E565A7"/>
    <w:rsid w:val="00E67DCC"/>
    <w:rsid w:val="00E7450D"/>
    <w:rsid w:val="00E80788"/>
    <w:rsid w:val="00E82A0C"/>
    <w:rsid w:val="00E86F3E"/>
    <w:rsid w:val="00EB4C49"/>
    <w:rsid w:val="00EC4EB5"/>
    <w:rsid w:val="00ED113D"/>
    <w:rsid w:val="00EE1163"/>
    <w:rsid w:val="00F063A0"/>
    <w:rsid w:val="00F21FDF"/>
    <w:rsid w:val="00F252DC"/>
    <w:rsid w:val="00F345DB"/>
    <w:rsid w:val="00F35F02"/>
    <w:rsid w:val="00F36776"/>
    <w:rsid w:val="00F456C2"/>
    <w:rsid w:val="00F47B90"/>
    <w:rsid w:val="00F50513"/>
    <w:rsid w:val="00F66ADF"/>
    <w:rsid w:val="00F70516"/>
    <w:rsid w:val="00F74C1F"/>
    <w:rsid w:val="00F94881"/>
    <w:rsid w:val="00F94BB1"/>
    <w:rsid w:val="00F95AAA"/>
    <w:rsid w:val="00FA3843"/>
    <w:rsid w:val="00FC0F86"/>
    <w:rsid w:val="00FC43B5"/>
    <w:rsid w:val="00FC57AF"/>
    <w:rsid w:val="00FE5DF4"/>
    <w:rsid w:val="00FF7E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E063F3"/>
  <w15:chartTrackingRefBased/>
  <w15:docId w15:val="{02240674-D113-4171-853B-2E2449C1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3198"/>
    <w:rPr>
      <w:color w:val="0000FF"/>
      <w:u w:val="single"/>
    </w:rPr>
  </w:style>
  <w:style w:type="paragraph" w:styleId="Footer">
    <w:name w:val="footer"/>
    <w:basedOn w:val="Normal"/>
    <w:rsid w:val="005048B4"/>
    <w:pPr>
      <w:tabs>
        <w:tab w:val="center" w:pos="4320"/>
        <w:tab w:val="right" w:pos="8640"/>
      </w:tabs>
    </w:pPr>
  </w:style>
  <w:style w:type="character" w:styleId="PageNumber">
    <w:name w:val="page number"/>
    <w:basedOn w:val="DefaultParagraphFont"/>
    <w:rsid w:val="005048B4"/>
  </w:style>
  <w:style w:type="paragraph" w:styleId="BalloonText">
    <w:name w:val="Balloon Text"/>
    <w:basedOn w:val="Normal"/>
    <w:semiHidden/>
    <w:rsid w:val="00524CFA"/>
    <w:rPr>
      <w:rFonts w:ascii="Tahoma" w:hAnsi="Tahoma" w:cs="Tahoma"/>
      <w:sz w:val="16"/>
      <w:szCs w:val="16"/>
    </w:rPr>
  </w:style>
  <w:style w:type="paragraph" w:styleId="Header">
    <w:name w:val="header"/>
    <w:basedOn w:val="Normal"/>
    <w:rsid w:val="00EB4C49"/>
    <w:pPr>
      <w:tabs>
        <w:tab w:val="center" w:pos="4320"/>
        <w:tab w:val="right" w:pos="8640"/>
      </w:tabs>
    </w:pPr>
  </w:style>
  <w:style w:type="character" w:styleId="CommentReference">
    <w:name w:val="annotation reference"/>
    <w:semiHidden/>
    <w:rsid w:val="00CE60B4"/>
    <w:rPr>
      <w:sz w:val="16"/>
      <w:szCs w:val="16"/>
    </w:rPr>
  </w:style>
  <w:style w:type="paragraph" w:styleId="CommentText">
    <w:name w:val="annotation text"/>
    <w:basedOn w:val="Normal"/>
    <w:semiHidden/>
    <w:rsid w:val="00CE60B4"/>
    <w:rPr>
      <w:sz w:val="20"/>
      <w:szCs w:val="20"/>
    </w:rPr>
  </w:style>
  <w:style w:type="paragraph" w:styleId="CommentSubject">
    <w:name w:val="annotation subject"/>
    <w:basedOn w:val="CommentText"/>
    <w:next w:val="CommentText"/>
    <w:semiHidden/>
    <w:rsid w:val="00CE60B4"/>
    <w:rPr>
      <w:b/>
      <w:bCs/>
    </w:rPr>
  </w:style>
  <w:style w:type="table" w:styleId="TableGrid">
    <w:name w:val="Table Grid"/>
    <w:basedOn w:val="TableNormal"/>
    <w:rsid w:val="0091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1F94"/>
    <w:rPr>
      <w:sz w:val="24"/>
      <w:szCs w:val="24"/>
    </w:rPr>
  </w:style>
  <w:style w:type="paragraph" w:styleId="ListParagraph">
    <w:name w:val="List Paragraph"/>
    <w:basedOn w:val="Normal"/>
    <w:uiPriority w:val="34"/>
    <w:qFormat/>
    <w:rsid w:val="00F50513"/>
    <w:pPr>
      <w:ind w:left="720"/>
      <w:contextualSpacing/>
    </w:pPr>
  </w:style>
  <w:style w:type="character" w:styleId="UnresolvedMention">
    <w:name w:val="Unresolved Mention"/>
    <w:basedOn w:val="DefaultParagraphFont"/>
    <w:uiPriority w:val="99"/>
    <w:semiHidden/>
    <w:unhideWhenUsed/>
    <w:rsid w:val="00683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2/09/01/2022-18899/agency-information-collection-activities-submission-to-the-office-of-management-and-budget-omb-for"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dc:creator>
  <cp:lastModifiedBy>Dumas, Sheleen (Federal)</cp:lastModifiedBy>
  <cp:revision>4</cp:revision>
  <cp:lastPrinted>2019-02-08T20:42:00Z</cp:lastPrinted>
  <dcterms:created xsi:type="dcterms:W3CDTF">2022-10-31T18:59:00Z</dcterms:created>
  <dcterms:modified xsi:type="dcterms:W3CDTF">2022-10-31T19:45:00Z</dcterms:modified>
</cp:coreProperties>
</file>