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121C" w14:paraId="5909E3C6" w14:textId="52291FAD">
      <w:pPr>
        <w:spacing w:before="79"/>
        <w:ind w:left="4564"/>
        <w:rPr>
          <w:rFonts w:ascii="Arial"/>
          <w:b/>
        </w:rPr>
      </w:pPr>
      <w:r>
        <w:rPr>
          <w:noProof/>
        </w:rPr>
        <w:drawing>
          <wp:anchor distT="0" distB="0" distL="0" distR="0" simplePos="0" relativeHeight="251660288" behindDoc="0" locked="0" layoutInCell="1" allowOverlap="1">
            <wp:simplePos x="0" y="0"/>
            <wp:positionH relativeFrom="page">
              <wp:posOffset>2743200</wp:posOffset>
            </wp:positionH>
            <wp:positionV relativeFrom="paragraph">
              <wp:posOffset>91285</wp:posOffset>
            </wp:positionV>
            <wp:extent cx="810768" cy="8656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6" cstate="print"/>
                    <a:stretch>
                      <a:fillRect/>
                    </a:stretch>
                  </pic:blipFill>
                  <pic:spPr>
                    <a:xfrm>
                      <a:off x="0" y="0"/>
                      <a:ext cx="810768" cy="865631"/>
                    </a:xfrm>
                    <a:prstGeom prst="rect">
                      <a:avLst/>
                    </a:prstGeom>
                  </pic:spPr>
                </pic:pic>
              </a:graphicData>
            </a:graphic>
          </wp:anchor>
        </w:drawing>
      </w:r>
      <w:r w:rsidR="00D03D34">
        <w:rPr>
          <w:noProof/>
        </w:rPr>
        <mc:AlternateContent>
          <mc:Choice Requires="wps">
            <w:drawing>
              <wp:anchor distT="0" distB="0" distL="114300" distR="114300" simplePos="0" relativeHeight="251658240" behindDoc="0" locked="0" layoutInCell="1" allowOverlap="1">
                <wp:simplePos x="0" y="0"/>
                <wp:positionH relativeFrom="page">
                  <wp:posOffset>3655060</wp:posOffset>
                </wp:positionH>
                <wp:positionV relativeFrom="paragraph">
                  <wp:posOffset>76200</wp:posOffset>
                </wp:positionV>
                <wp:extent cx="0" cy="880110"/>
                <wp:effectExtent l="6985" t="9525" r="12065" b="571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8011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position-horizontal-relative:page;mso-width-percent:0;mso-width-relative:page;mso-wrap-distance-bottom:0;mso-wrap-distance-left:9pt;mso-wrap-distance-right:9pt;mso-wrap-distance-top:0;mso-wrap-style:square;position:absolute;visibility:visible;z-index:251659264" from="287.8pt,6pt" to="287.8pt,75.3pt"/>
            </w:pict>
          </mc:Fallback>
        </mc:AlternateContent>
      </w:r>
      <w:r>
        <w:rPr>
          <w:rFonts w:ascii="Arial"/>
          <w:b/>
          <w:w w:val="105"/>
        </w:rPr>
        <w:t>UNITED STATES DEPARTMENT OF COMMERCE</w:t>
      </w:r>
    </w:p>
    <w:p w:rsidR="00F0121C" w14:paraId="6B73F845" w14:textId="77777777">
      <w:pPr>
        <w:spacing w:line="229" w:lineRule="exact"/>
        <w:ind w:left="4562"/>
        <w:rPr>
          <w:rFonts w:ascii="Arial"/>
          <w:b/>
          <w:sz w:val="20"/>
        </w:rPr>
      </w:pPr>
      <w:r>
        <w:rPr>
          <w:rFonts w:ascii="Arial"/>
          <w:b/>
          <w:sz w:val="20"/>
        </w:rPr>
        <w:t>Bureau of Industry and Security</w:t>
      </w:r>
    </w:p>
    <w:p w:rsidR="00F0121C" w14:paraId="5B086AFF" w14:textId="77777777">
      <w:pPr>
        <w:spacing w:line="206" w:lineRule="exact"/>
        <w:ind w:left="4564"/>
        <w:rPr>
          <w:rFonts w:ascii="Arial"/>
          <w:sz w:val="18"/>
        </w:rPr>
      </w:pPr>
      <w:r>
        <w:rPr>
          <w:rFonts w:ascii="Arial"/>
          <w:sz w:val="18"/>
        </w:rPr>
        <w:t>1401 Constitution Avenue, Suite 3896</w:t>
      </w:r>
    </w:p>
    <w:p w:rsidR="00F0121C" w14:paraId="6CFDA342" w14:textId="77777777">
      <w:pPr>
        <w:spacing w:before="1"/>
        <w:ind w:left="3777" w:right="3590"/>
        <w:jc w:val="center"/>
        <w:rPr>
          <w:rFonts w:ascii="Arial"/>
          <w:sz w:val="18"/>
        </w:rPr>
      </w:pPr>
      <w:r>
        <w:rPr>
          <w:rFonts w:ascii="Arial"/>
          <w:sz w:val="18"/>
        </w:rPr>
        <w:t>Washington, DC 20230</w:t>
      </w:r>
    </w:p>
    <w:p w:rsidR="00F0121C" w14:paraId="596D0706" w14:textId="77777777">
      <w:pPr>
        <w:pStyle w:val="BodyText"/>
        <w:rPr>
          <w:rFonts w:ascii="Arial"/>
          <w:sz w:val="20"/>
        </w:rPr>
      </w:pPr>
    </w:p>
    <w:p w:rsidR="00F0121C" w14:paraId="46B34852" w14:textId="77777777">
      <w:pPr>
        <w:pStyle w:val="BodyText"/>
        <w:spacing w:before="11"/>
        <w:rPr>
          <w:rFonts w:ascii="Arial"/>
          <w:sz w:val="19"/>
        </w:rPr>
      </w:pPr>
    </w:p>
    <w:p w:rsidR="00D03D34" w14:paraId="5DCA4B32" w14:textId="77777777">
      <w:pPr>
        <w:pStyle w:val="BodyText"/>
        <w:ind w:right="1945"/>
        <w:jc w:val="right"/>
        <w:rPr>
          <w:color w:val="231F20"/>
        </w:rPr>
      </w:pPr>
    </w:p>
    <w:p w:rsidR="00F0121C" w14:paraId="66EA5524" w14:textId="0191BF34">
      <w:pPr>
        <w:pStyle w:val="BodyText"/>
        <w:ind w:right="1945"/>
        <w:jc w:val="right"/>
      </w:pPr>
      <w:r>
        <w:rPr>
          <w:color w:val="231F20"/>
        </w:rPr>
        <w:t xml:space="preserve">October </w:t>
      </w:r>
      <w:r w:rsidR="00B00863">
        <w:rPr>
          <w:color w:val="231F20"/>
        </w:rPr>
        <w:t>1</w:t>
      </w:r>
      <w:r w:rsidR="00F27430">
        <w:rPr>
          <w:color w:val="231F20"/>
        </w:rPr>
        <w:t>2</w:t>
      </w:r>
      <w:r>
        <w:rPr>
          <w:color w:val="231F20"/>
        </w:rPr>
        <w:t>, 2023</w:t>
      </w:r>
    </w:p>
    <w:p w:rsidR="00D03D34" w:rsidP="00FA0CDC" w14:paraId="6A2D77F4" w14:textId="77777777">
      <w:pPr>
        <w:pStyle w:val="BodyText"/>
        <w:tabs>
          <w:tab w:val="left" w:pos="3844"/>
        </w:tabs>
        <w:ind w:left="331"/>
        <w:rPr>
          <w:sz w:val="15"/>
        </w:rPr>
      </w:pPr>
    </w:p>
    <w:p w:rsidR="00D03D34" w:rsidP="00FA0CDC" w14:paraId="0C6CEE0E" w14:textId="77777777">
      <w:pPr>
        <w:pStyle w:val="BodyText"/>
        <w:tabs>
          <w:tab w:val="left" w:pos="3844"/>
        </w:tabs>
        <w:ind w:left="331"/>
        <w:rPr>
          <w:sz w:val="15"/>
        </w:rPr>
      </w:pPr>
    </w:p>
    <w:p w:rsidR="00D03D34" w:rsidP="00FA0CDC" w14:paraId="5F18F63A" w14:textId="77777777">
      <w:pPr>
        <w:pStyle w:val="BodyText"/>
        <w:tabs>
          <w:tab w:val="left" w:pos="3844"/>
        </w:tabs>
        <w:ind w:left="331"/>
        <w:rPr>
          <w:sz w:val="15"/>
        </w:rPr>
      </w:pPr>
    </w:p>
    <w:p w:rsidR="00D03D34" w:rsidP="00FA0CDC" w14:paraId="49622589" w14:textId="77777777">
      <w:pPr>
        <w:pStyle w:val="BodyText"/>
        <w:tabs>
          <w:tab w:val="left" w:pos="3844"/>
        </w:tabs>
        <w:ind w:left="331"/>
        <w:rPr>
          <w:sz w:val="15"/>
        </w:rPr>
      </w:pPr>
    </w:p>
    <w:p w:rsidR="008C5D04" w:rsidP="008C5D04" w14:paraId="53C79755" w14:textId="77777777">
      <w:pPr>
        <w:pStyle w:val="BodyText"/>
        <w:tabs>
          <w:tab w:val="left" w:pos="3844"/>
        </w:tabs>
        <w:rPr>
          <w:color w:val="231F20"/>
        </w:rPr>
      </w:pPr>
      <w:r>
        <w:rPr>
          <w:color w:val="231F20"/>
        </w:rPr>
        <w:t>MEMORANDUM</w:t>
      </w:r>
      <w:r>
        <w:rPr>
          <w:color w:val="231F20"/>
          <w:spacing w:val="-5"/>
        </w:rPr>
        <w:t xml:space="preserve"> </w:t>
      </w:r>
      <w:r>
        <w:rPr>
          <w:color w:val="231F20"/>
        </w:rPr>
        <w:t>FOR:</w:t>
      </w:r>
      <w:r>
        <w:rPr>
          <w:color w:val="231F20"/>
        </w:rPr>
        <w:tab/>
        <w:t>Dominic Mancini</w:t>
      </w:r>
    </w:p>
    <w:p w:rsidR="008C5D04" w:rsidP="008C5D04" w14:paraId="2B05782A" w14:textId="77777777">
      <w:pPr>
        <w:pStyle w:val="BodyText"/>
        <w:tabs>
          <w:tab w:val="left" w:pos="3844"/>
        </w:tabs>
        <w:ind w:left="331"/>
        <w:rPr>
          <w:color w:val="231F20"/>
        </w:rPr>
      </w:pPr>
      <w:r>
        <w:rPr>
          <w:color w:val="231F20"/>
        </w:rPr>
        <w:tab/>
        <w:t xml:space="preserve">Deputy Director </w:t>
      </w:r>
    </w:p>
    <w:p w:rsidR="008C5D04" w:rsidP="008C5D04" w14:paraId="0BDFA666" w14:textId="77777777">
      <w:pPr>
        <w:pStyle w:val="BodyText"/>
        <w:tabs>
          <w:tab w:val="left" w:pos="3844"/>
        </w:tabs>
        <w:ind w:left="331"/>
        <w:rPr>
          <w:color w:val="231F20"/>
        </w:rPr>
      </w:pPr>
      <w:r>
        <w:rPr>
          <w:color w:val="231F20"/>
        </w:rPr>
        <w:tab/>
        <w:t>Office of Information and Regulatory Affairs</w:t>
      </w:r>
    </w:p>
    <w:p w:rsidR="008C5D04" w:rsidP="008C5D04" w14:paraId="1DFF40F1" w14:textId="77777777">
      <w:pPr>
        <w:pStyle w:val="BodyText"/>
        <w:tabs>
          <w:tab w:val="left" w:pos="3844"/>
        </w:tabs>
        <w:ind w:left="331"/>
      </w:pPr>
      <w:r>
        <w:rPr>
          <w:color w:val="231F20"/>
        </w:rPr>
        <w:tab/>
        <w:t>Office of Management and Budget</w:t>
      </w:r>
    </w:p>
    <w:p w:rsidR="00F0121C" w14:paraId="66F7662C" w14:textId="77777777">
      <w:pPr>
        <w:pStyle w:val="BodyText"/>
        <w:spacing w:before="2"/>
        <w:rPr>
          <w:sz w:val="16"/>
        </w:rPr>
      </w:pPr>
    </w:p>
    <w:p w:rsidR="00F0121C" w14:paraId="3C178E96" w14:textId="77777777">
      <w:pPr>
        <w:rPr>
          <w:sz w:val="16"/>
        </w:rPr>
        <w:sectPr>
          <w:type w:val="continuous"/>
          <w:pgSz w:w="12240" w:h="15840"/>
          <w:pgMar w:top="360" w:right="100" w:bottom="280" w:left="1340" w:header="720" w:footer="720" w:gutter="0"/>
          <w:cols w:space="720"/>
        </w:sectPr>
      </w:pPr>
    </w:p>
    <w:p w:rsidR="00F0121C" w:rsidRPr="008868A6" w:rsidP="008C5D04" w14:paraId="6EC5D9D8" w14:textId="0A26B4A5">
      <w:pPr>
        <w:pStyle w:val="BodyText"/>
        <w:tabs>
          <w:tab w:val="left" w:pos="3844"/>
        </w:tabs>
        <w:spacing w:before="89"/>
      </w:pPr>
      <w:r>
        <w:rPr>
          <w:color w:val="231F20"/>
        </w:rPr>
        <w:t xml:space="preserve">                           </w:t>
      </w:r>
      <w:r w:rsidR="00C87CEE">
        <w:rPr>
          <w:color w:val="231F20"/>
        </w:rPr>
        <w:t>FROM:</w:t>
      </w:r>
      <w:r w:rsidR="00C87CEE">
        <w:rPr>
          <w:color w:val="231F20"/>
        </w:rPr>
        <w:tab/>
      </w:r>
      <w:r w:rsidRPr="008868A6" w:rsidR="000A52D5">
        <w:rPr>
          <w:color w:val="231F20"/>
        </w:rPr>
        <w:t>Eileen Albanese</w:t>
      </w:r>
      <w:r w:rsidR="00A81CE5">
        <w:rPr>
          <w:color w:val="231F20"/>
        </w:rPr>
        <w:t xml:space="preserve"> </w:t>
      </w:r>
      <w:r w:rsidRPr="00A81CE5" w:rsidR="00A81CE5">
        <w:rPr>
          <w:rFonts w:ascii="Script MT Bold" w:hAnsi="Script MT Bold"/>
          <w:color w:val="231F20"/>
          <w:sz w:val="40"/>
          <w:szCs w:val="40"/>
        </w:rPr>
        <w:t>ealbanese</w:t>
      </w:r>
    </w:p>
    <w:p w:rsidR="00F0121C" w:rsidRPr="008868A6" w:rsidP="008C5D04" w14:paraId="6C2972AF" w14:textId="356BDB81">
      <w:pPr>
        <w:pStyle w:val="BodyText"/>
        <w:ind w:left="3844"/>
        <w:rPr>
          <w:b/>
          <w:bCs/>
          <w:color w:val="231F20"/>
        </w:rPr>
      </w:pPr>
      <w:r w:rsidRPr="008868A6">
        <w:rPr>
          <w:color w:val="231F20"/>
        </w:rPr>
        <w:t>Director,</w:t>
      </w:r>
      <w:r w:rsidRPr="008868A6">
        <w:rPr>
          <w:b/>
          <w:bCs/>
          <w:color w:val="231F20"/>
        </w:rPr>
        <w:t xml:space="preserve"> </w:t>
      </w:r>
      <w:r w:rsidRPr="008868A6" w:rsidR="008868A6">
        <w:rPr>
          <w:rStyle w:val="Strong"/>
          <w:b w:val="0"/>
          <w:bCs w:val="0"/>
          <w:color w:val="242424"/>
          <w:shd w:val="clear" w:color="auto" w:fill="FFFFFF"/>
        </w:rPr>
        <w:t>Office of National Security and Technology Transfer Controls</w:t>
      </w:r>
    </w:p>
    <w:p w:rsidR="00D8717F" w:rsidP="00D8717F" w14:paraId="609F9116" w14:textId="77777777">
      <w:pPr>
        <w:pStyle w:val="BodyText"/>
        <w:spacing w:line="218" w:lineRule="exact"/>
        <w:ind w:left="3844"/>
        <w:rPr>
          <w:rFonts w:ascii="Calibri"/>
          <w:sz w:val="19"/>
        </w:rPr>
      </w:pPr>
    </w:p>
    <w:p w:rsidR="00F0121C" w:rsidP="00D03D34" w14:paraId="0D21874F" w14:textId="217952D8">
      <w:pPr>
        <w:tabs>
          <w:tab w:val="left" w:pos="3804"/>
          <w:tab w:val="left" w:pos="9169"/>
        </w:tabs>
        <w:rPr>
          <w:rFonts w:ascii="Calibri"/>
          <w:sz w:val="19"/>
        </w:rPr>
      </w:pPr>
      <w:r>
        <w:rPr>
          <w:color w:val="231F20"/>
          <w:sz w:val="24"/>
        </w:rPr>
        <w:t xml:space="preserve">                     </w:t>
      </w:r>
      <w:r w:rsidR="00C87CEE">
        <w:rPr>
          <w:color w:val="231F20"/>
          <w:sz w:val="24"/>
        </w:rPr>
        <w:t>SUBJECT:</w:t>
      </w:r>
      <w:r w:rsidR="00C87CEE">
        <w:rPr>
          <w:color w:val="231F20"/>
          <w:sz w:val="24"/>
        </w:rPr>
        <w:tab/>
      </w:r>
      <w:bookmarkStart w:id="0" w:name="_Hlk147225812"/>
      <w:r w:rsidR="00C87CEE">
        <w:rPr>
          <w:color w:val="231F20"/>
          <w:sz w:val="24"/>
        </w:rPr>
        <w:t>Request for OMB Emergency</w:t>
      </w:r>
      <w:r w:rsidR="00C87CEE">
        <w:rPr>
          <w:color w:val="231F20"/>
          <w:spacing w:val="-1"/>
          <w:sz w:val="24"/>
        </w:rPr>
        <w:t xml:space="preserve"> </w:t>
      </w:r>
      <w:r w:rsidR="00C87CEE">
        <w:rPr>
          <w:color w:val="231F20"/>
          <w:sz w:val="24"/>
        </w:rPr>
        <w:t>Review</w:t>
      </w:r>
      <w:r w:rsidR="00C87CEE">
        <w:rPr>
          <w:color w:val="231F20"/>
          <w:spacing w:val="-1"/>
          <w:sz w:val="24"/>
        </w:rPr>
        <w:t xml:space="preserve"> </w:t>
      </w:r>
      <w:r w:rsidR="00C87CEE">
        <w:rPr>
          <w:color w:val="231F20"/>
          <w:sz w:val="24"/>
        </w:rPr>
        <w:t>and</w:t>
      </w:r>
      <w:r w:rsidR="00C87CEE">
        <w:rPr>
          <w:color w:val="231F20"/>
          <w:sz w:val="24"/>
        </w:rPr>
        <w:tab/>
      </w:r>
    </w:p>
    <w:p w:rsidR="00222119" w:rsidRPr="00D03D34" w:rsidP="00222119" w14:paraId="675CC866" w14:textId="7FB83DBA">
      <w:pPr>
        <w:pStyle w:val="BodyText"/>
        <w:ind w:left="3804" w:right="1280"/>
      </w:pPr>
      <w:r>
        <w:rPr>
          <w:color w:val="231F20"/>
        </w:rPr>
        <w:t>Approval of Information</w:t>
      </w:r>
      <w:r w:rsidR="001F6E09">
        <w:rPr>
          <w:color w:val="231F20"/>
        </w:rPr>
        <w:t xml:space="preserve"> </w:t>
      </w:r>
      <w:r>
        <w:rPr>
          <w:color w:val="231F20"/>
        </w:rPr>
        <w:t xml:space="preserve">Collection </w:t>
      </w:r>
      <w:r w:rsidR="004F3A56">
        <w:rPr>
          <w:color w:val="231F20"/>
        </w:rPr>
        <w:t xml:space="preserve">0694-0088, </w:t>
      </w:r>
      <w:r>
        <w:rPr>
          <w:color w:val="231F20"/>
        </w:rPr>
        <w:t xml:space="preserve">for </w:t>
      </w:r>
      <w:bookmarkStart w:id="1" w:name="_Hlk147225284"/>
      <w:r>
        <w:t xml:space="preserve">the addition of </w:t>
      </w:r>
      <w:r w:rsidRPr="00D8717F">
        <w:t xml:space="preserve">the </w:t>
      </w:r>
      <w:r>
        <w:t xml:space="preserve">notification requirement for License Exception </w:t>
      </w:r>
      <w:r w:rsidRPr="00D03D34">
        <w:t>Notified Advanced Computing (NAC) Under the Export Administration Regulations (EAR)</w:t>
      </w:r>
    </w:p>
    <w:bookmarkEnd w:id="1"/>
    <w:p w:rsidR="00F0121C" w:rsidRPr="00D03D34" w:rsidP="001F6E09" w14:paraId="5A508C2F" w14:textId="5D2330E4">
      <w:pPr>
        <w:pStyle w:val="BodyText"/>
        <w:ind w:left="3804" w:right="1280"/>
      </w:pPr>
    </w:p>
    <w:bookmarkEnd w:id="0"/>
    <w:p w:rsidR="00F0121C" w:rsidRPr="00D03D34" w14:paraId="5F1EC089" w14:textId="77777777">
      <w:pPr>
        <w:pStyle w:val="BodyText"/>
        <w:spacing w:before="1"/>
      </w:pPr>
    </w:p>
    <w:p w:rsidR="00877740" w:rsidRPr="00D03D34" w:rsidP="00877740" w14:paraId="06318420" w14:textId="138C4C58">
      <w:pPr>
        <w:rPr>
          <w:color w:val="231F20"/>
          <w:sz w:val="24"/>
          <w:szCs w:val="24"/>
        </w:rPr>
      </w:pPr>
      <w:r w:rsidRPr="00D03D34">
        <w:rPr>
          <w:color w:val="231F20"/>
          <w:sz w:val="24"/>
          <w:szCs w:val="24"/>
        </w:rPr>
        <w:t>On behalf of the Bureau of Industry and Security (BIS), I am seeking approval for emergency Paperwork Reduction Act (PRA) clearances to allow the Department of Commerce (DOC), as</w:t>
      </w:r>
      <w:r w:rsidRPr="00D03D34" w:rsidR="001F6E09">
        <w:rPr>
          <w:color w:val="231F20"/>
          <w:sz w:val="24"/>
          <w:szCs w:val="24"/>
        </w:rPr>
        <w:t xml:space="preserve"> </w:t>
      </w:r>
      <w:r w:rsidRPr="00D03D34">
        <w:rPr>
          <w:color w:val="231F20"/>
          <w:sz w:val="24"/>
          <w:szCs w:val="24"/>
        </w:rPr>
        <w:t xml:space="preserve">represented by BIS, to publish a Federal Register Notice (FRN)(rule) on the </w:t>
      </w:r>
      <w:r w:rsidRPr="00D03D34">
        <w:rPr>
          <w:rFonts w:eastAsia="MS Mincho"/>
          <w:i/>
          <w:iCs/>
          <w:sz w:val="24"/>
          <w:szCs w:val="24"/>
        </w:rPr>
        <w:t xml:space="preserve">Implementation of Additional Export Controls: Certain Advanced Computing Items; Supercomputer and Semiconductor End Use; Updates and Corrections </w:t>
      </w:r>
      <w:r w:rsidRPr="00D03D34">
        <w:rPr>
          <w:rFonts w:eastAsia="MS Mincho"/>
          <w:sz w:val="24"/>
          <w:szCs w:val="24"/>
        </w:rPr>
        <w:t>(AC/S IFR), which will include the addition of a new EAR authorization called</w:t>
      </w:r>
      <w:r w:rsidRPr="00D03D34" w:rsidR="00D8717F">
        <w:rPr>
          <w:sz w:val="24"/>
          <w:szCs w:val="24"/>
        </w:rPr>
        <w:t xml:space="preserve"> “</w:t>
      </w:r>
      <w:r w:rsidRPr="00D03D34">
        <w:rPr>
          <w:sz w:val="24"/>
          <w:szCs w:val="24"/>
        </w:rPr>
        <w:t xml:space="preserve">License Exception </w:t>
      </w:r>
      <w:r w:rsidRPr="00D03D34" w:rsidR="00D8717F">
        <w:rPr>
          <w:sz w:val="24"/>
          <w:szCs w:val="24"/>
        </w:rPr>
        <w:t xml:space="preserve">Notified </w:t>
      </w:r>
      <w:r w:rsidRPr="00D03D34">
        <w:rPr>
          <w:sz w:val="24"/>
          <w:szCs w:val="24"/>
        </w:rPr>
        <w:t>Advanced Computing (NAC)</w:t>
      </w:r>
      <w:r w:rsidRPr="00D03D34" w:rsidR="00D8717F">
        <w:rPr>
          <w:sz w:val="24"/>
          <w:szCs w:val="24"/>
        </w:rPr>
        <w:t>”</w:t>
      </w:r>
      <w:r w:rsidRPr="00D03D34">
        <w:rPr>
          <w:sz w:val="24"/>
          <w:szCs w:val="24"/>
        </w:rPr>
        <w:t xml:space="preserve"> </w:t>
      </w:r>
      <w:r w:rsidR="00A259D7">
        <w:rPr>
          <w:sz w:val="24"/>
          <w:szCs w:val="24"/>
        </w:rPr>
        <w:t>u</w:t>
      </w:r>
      <w:r w:rsidRPr="00D03D34">
        <w:rPr>
          <w:sz w:val="24"/>
          <w:szCs w:val="24"/>
        </w:rPr>
        <w:t>nder the Export Administration Regulations (EAR) (15 CFR 730 – 774)</w:t>
      </w:r>
      <w:r w:rsidRPr="00D03D34">
        <w:rPr>
          <w:sz w:val="24"/>
          <w:szCs w:val="24"/>
        </w:rPr>
        <w:t xml:space="preserve">. </w:t>
      </w:r>
    </w:p>
    <w:p w:rsidR="00F0121C" w:rsidRPr="00D03D34" w:rsidP="00D03D34" w14:paraId="20DE3F29" w14:textId="56BF3D6B">
      <w:pPr>
        <w:pStyle w:val="BodyText"/>
        <w:ind w:left="100" w:right="20"/>
      </w:pPr>
      <w:r w:rsidRPr="00D03D34">
        <w:t xml:space="preserve"> </w:t>
      </w:r>
    </w:p>
    <w:p w:rsidR="00F0121C" w:rsidRPr="00D03D34" w:rsidP="00D03D34" w14:paraId="0929BEE5" w14:textId="77777777">
      <w:pPr>
        <w:pStyle w:val="Heading1"/>
        <w:ind w:left="0"/>
      </w:pPr>
      <w:r w:rsidRPr="00D03D34">
        <w:rPr>
          <w:color w:val="231F20"/>
        </w:rPr>
        <w:t>BACKGROUND</w:t>
      </w:r>
    </w:p>
    <w:p w:rsidR="00877740" w:rsidP="00D03D34" w14:paraId="3646A92E" w14:textId="4773DAA3">
      <w:pPr>
        <w:pStyle w:val="Heading1"/>
        <w:tabs>
          <w:tab w:val="left" w:pos="360"/>
          <w:tab w:val="left" w:pos="720"/>
          <w:tab w:val="left" w:pos="1080"/>
          <w:tab w:val="left" w:pos="1440"/>
          <w:tab w:val="left" w:pos="1800"/>
          <w:tab w:val="left" w:pos="2160"/>
          <w:tab w:val="left" w:pos="2520"/>
          <w:tab w:val="left" w:pos="2880"/>
        </w:tabs>
        <w:ind w:left="0"/>
        <w:rPr>
          <w:rStyle w:val="normaltextrun"/>
          <w:b w:val="0"/>
          <w:bCs w:val="0"/>
        </w:rPr>
      </w:pPr>
      <w:r w:rsidRPr="00D03D34">
        <w:rPr>
          <w:rStyle w:val="normaltextrun"/>
          <w:b w:val="0"/>
          <w:bCs w:val="0"/>
        </w:rPr>
        <w:t>In § 740.8</w:t>
      </w:r>
      <w:r w:rsidR="00A259D7">
        <w:rPr>
          <w:rStyle w:val="normaltextrun"/>
          <w:b w:val="0"/>
          <w:bCs w:val="0"/>
        </w:rPr>
        <w:t xml:space="preserve"> of the EAR</w:t>
      </w:r>
      <w:r w:rsidRPr="00D03D34">
        <w:rPr>
          <w:rStyle w:val="normaltextrun"/>
          <w:b w:val="0"/>
          <w:bCs w:val="0"/>
        </w:rPr>
        <w:t>, which prior to the effective date of th</w:t>
      </w:r>
      <w:r w:rsidR="00A259D7">
        <w:rPr>
          <w:rStyle w:val="normaltextrun"/>
          <w:b w:val="0"/>
          <w:bCs w:val="0"/>
        </w:rPr>
        <w:t>e AC/S IFR</w:t>
      </w:r>
      <w:r w:rsidRPr="00D03D34">
        <w:rPr>
          <w:rStyle w:val="normaltextrun"/>
          <w:b w:val="0"/>
          <w:bCs w:val="0"/>
        </w:rPr>
        <w:t xml:space="preserve"> was reserved, </w:t>
      </w:r>
      <w:r w:rsidR="00A259D7">
        <w:rPr>
          <w:rStyle w:val="normaltextrun"/>
          <w:b w:val="0"/>
          <w:bCs w:val="0"/>
        </w:rPr>
        <w:t>the</w:t>
      </w:r>
      <w:r w:rsidRPr="00D03D34">
        <w:rPr>
          <w:rStyle w:val="normaltextrun"/>
          <w:b w:val="0"/>
          <w:bCs w:val="0"/>
        </w:rPr>
        <w:t xml:space="preserve"> AC/S IFR</w:t>
      </w:r>
      <w:r w:rsidR="00A259D7">
        <w:rPr>
          <w:rStyle w:val="normaltextrun"/>
          <w:b w:val="0"/>
          <w:bCs w:val="0"/>
        </w:rPr>
        <w:t>, which will be published today,</w:t>
      </w:r>
      <w:r w:rsidRPr="00D03D34">
        <w:rPr>
          <w:rStyle w:val="normaltextrun"/>
          <w:b w:val="0"/>
          <w:bCs w:val="0"/>
        </w:rPr>
        <w:t xml:space="preserve"> adds</w:t>
      </w:r>
      <w:r w:rsidRPr="001060EF">
        <w:rPr>
          <w:rStyle w:val="normaltextrun"/>
          <w:b w:val="0"/>
          <w:bCs w:val="0"/>
        </w:rPr>
        <w:t xml:space="preserve"> new </w:t>
      </w:r>
      <w:r w:rsidRPr="001060EF">
        <w:rPr>
          <w:rStyle w:val="findhit"/>
          <w:b w:val="0"/>
          <w:bCs w:val="0"/>
        </w:rPr>
        <w:t>license exception</w:t>
      </w:r>
      <w:r>
        <w:rPr>
          <w:rStyle w:val="FootnoteReference"/>
          <w:b w:val="0"/>
          <w:bCs w:val="0"/>
        </w:rPr>
        <w:footnoteReference w:id="2"/>
      </w:r>
      <w:r w:rsidRPr="001060EF">
        <w:rPr>
          <w:rStyle w:val="findhit"/>
          <w:b w:val="0"/>
          <w:bCs w:val="0"/>
        </w:rPr>
        <w:t xml:space="preserve"> NAC</w:t>
      </w:r>
      <w:r w:rsidRPr="001060EF">
        <w:rPr>
          <w:rStyle w:val="normaltextrun"/>
          <w:b w:val="0"/>
          <w:bCs w:val="0"/>
        </w:rPr>
        <w:t xml:space="preserve">.  This license exception is for less powerful </w:t>
      </w:r>
      <w:r w:rsidR="00A259D7">
        <w:rPr>
          <w:rStyle w:val="normaltextrun"/>
          <w:b w:val="0"/>
          <w:bCs w:val="0"/>
        </w:rPr>
        <w:t>integrated circuits (</w:t>
      </w:r>
      <w:r w:rsidRPr="001060EF">
        <w:rPr>
          <w:rStyle w:val="normaltextrun"/>
          <w:b w:val="0"/>
          <w:bCs w:val="0"/>
        </w:rPr>
        <w:t>ICs</w:t>
      </w:r>
      <w:r w:rsidR="00A259D7">
        <w:rPr>
          <w:rStyle w:val="normaltextrun"/>
          <w:b w:val="0"/>
          <w:bCs w:val="0"/>
        </w:rPr>
        <w:t>)</w:t>
      </w:r>
      <w:r w:rsidRPr="001060EF">
        <w:rPr>
          <w:rStyle w:val="normaltextrun"/>
          <w:b w:val="0"/>
          <w:bCs w:val="0"/>
        </w:rPr>
        <w:t xml:space="preserve"> </w:t>
      </w:r>
      <w:r w:rsidR="00A259D7">
        <w:rPr>
          <w:rStyle w:val="normaltextrun"/>
          <w:b w:val="0"/>
          <w:bCs w:val="0"/>
        </w:rPr>
        <w:t xml:space="preserve">controlled </w:t>
      </w:r>
      <w:r w:rsidRPr="001060EF">
        <w:rPr>
          <w:rStyle w:val="normaltextrun"/>
          <w:b w:val="0"/>
          <w:bCs w:val="0"/>
        </w:rPr>
        <w:t xml:space="preserve">under </w:t>
      </w:r>
      <w:r w:rsidR="00A259D7">
        <w:rPr>
          <w:rStyle w:val="normaltextrun"/>
          <w:b w:val="0"/>
          <w:bCs w:val="0"/>
        </w:rPr>
        <w:t>export control classification numbers (</w:t>
      </w:r>
      <w:r w:rsidRPr="001060EF">
        <w:rPr>
          <w:rStyle w:val="normaltextrun"/>
          <w:b w:val="0"/>
          <w:bCs w:val="0"/>
        </w:rPr>
        <w:t>ECCN</w:t>
      </w:r>
      <w:r w:rsidR="00A259D7">
        <w:rPr>
          <w:rStyle w:val="normaltextrun"/>
          <w:b w:val="0"/>
          <w:bCs w:val="0"/>
        </w:rPr>
        <w:t>s)</w:t>
      </w:r>
      <w:r w:rsidRPr="001060EF">
        <w:rPr>
          <w:rStyle w:val="normaltextrun"/>
          <w:b w:val="0"/>
          <w:bCs w:val="0"/>
        </w:rPr>
        <w:t xml:space="preserve"> 3A090.b (</w:t>
      </w:r>
      <w:r w:rsidRPr="001060EF">
        <w:rPr>
          <w:rStyle w:val="normaltextrun"/>
          <w:b w:val="0"/>
          <w:bCs w:val="0"/>
          <w:i/>
          <w:iCs/>
        </w:rPr>
        <w:t>i.e.</w:t>
      </w:r>
      <w:r w:rsidRPr="001060EF">
        <w:rPr>
          <w:rStyle w:val="normaltextrun"/>
          <w:b w:val="0"/>
          <w:bCs w:val="0"/>
        </w:rPr>
        <w:t>, ICs designed or marketed for use in data</w:t>
      </w:r>
      <w:r w:rsidR="00A259D7">
        <w:rPr>
          <w:rStyle w:val="normaltextrun"/>
          <w:b w:val="0"/>
          <w:bCs w:val="0"/>
        </w:rPr>
        <w:t xml:space="preserve"> </w:t>
      </w:r>
      <w:r w:rsidRPr="001060EF">
        <w:rPr>
          <w:rStyle w:val="normaltextrun"/>
          <w:b w:val="0"/>
          <w:bCs w:val="0"/>
        </w:rPr>
        <w:t>centers) and 3A090.a (</w:t>
      </w:r>
      <w:r w:rsidRPr="001060EF">
        <w:rPr>
          <w:rStyle w:val="normaltextrun"/>
          <w:b w:val="0"/>
          <w:bCs w:val="0"/>
          <w:i/>
          <w:iCs/>
        </w:rPr>
        <w:t>i.e.</w:t>
      </w:r>
      <w:r w:rsidRPr="001060EF">
        <w:rPr>
          <w:rStyle w:val="normaltextrun"/>
          <w:b w:val="0"/>
          <w:bCs w:val="0"/>
        </w:rPr>
        <w:t xml:space="preserve">, ICs </w:t>
      </w:r>
      <w:r w:rsidRPr="001060EF">
        <w:rPr>
          <w:rStyle w:val="normaltextrun"/>
          <w:b w:val="0"/>
          <w:bCs w:val="0"/>
          <w:i/>
          <w:iCs/>
        </w:rPr>
        <w:t>not</w:t>
      </w:r>
      <w:r w:rsidRPr="001060EF">
        <w:rPr>
          <w:rStyle w:val="normaltextrun"/>
          <w:b w:val="0"/>
          <w:bCs w:val="0"/>
        </w:rPr>
        <w:t xml:space="preserve"> designed or marketed for use in data</w:t>
      </w:r>
      <w:r w:rsidR="00A259D7">
        <w:rPr>
          <w:rStyle w:val="normaltextrun"/>
          <w:b w:val="0"/>
          <w:bCs w:val="0"/>
        </w:rPr>
        <w:t xml:space="preserve"> </w:t>
      </w:r>
      <w:r w:rsidRPr="001060EF">
        <w:rPr>
          <w:rStyle w:val="normaltextrun"/>
          <w:b w:val="0"/>
          <w:bCs w:val="0"/>
        </w:rPr>
        <w:t xml:space="preserve">centers and that </w:t>
      </w:r>
      <w:r w:rsidRPr="001060EF">
        <w:rPr>
          <w:rStyle w:val="normaltextrun"/>
          <w:b w:val="0"/>
          <w:bCs w:val="0"/>
          <w:i/>
          <w:iCs/>
        </w:rPr>
        <w:t xml:space="preserve">do have </w:t>
      </w:r>
      <w:r w:rsidRPr="001060EF">
        <w:rPr>
          <w:rStyle w:val="normaltextrun"/>
          <w:b w:val="0"/>
          <w:bCs w:val="0"/>
        </w:rPr>
        <w:t xml:space="preserve">a ‘total processing performance’ of 4800 or more).  </w:t>
      </w:r>
      <w:r w:rsidR="00A259D7">
        <w:rPr>
          <w:rStyle w:val="normaltextrun"/>
          <w:b w:val="0"/>
          <w:bCs w:val="0"/>
        </w:rPr>
        <w:t xml:space="preserve">License Exception </w:t>
      </w:r>
      <w:r w:rsidRPr="001060EF">
        <w:rPr>
          <w:rStyle w:val="normaltextrun"/>
          <w:b w:val="0"/>
          <w:bCs w:val="0"/>
        </w:rPr>
        <w:t>NAC is available for exports, reexports, and transfers in or within Country Groups D:1, D:4, or D:5</w:t>
      </w:r>
      <w:r>
        <w:rPr>
          <w:rStyle w:val="FootnoteReference"/>
          <w:b w:val="0"/>
          <w:bCs w:val="0"/>
        </w:rPr>
        <w:footnoteReference w:id="3"/>
      </w:r>
      <w:r w:rsidRPr="001060EF">
        <w:rPr>
          <w:rStyle w:val="normaltextrun"/>
          <w:b w:val="0"/>
          <w:bCs w:val="0"/>
        </w:rPr>
        <w:t xml:space="preserve"> with different requirements applicable to China and Macau.  The purpose of the notification process, which is only required for exports and reexports to China and Macau, is to provide BIS and its interagency export control partners </w:t>
      </w:r>
      <w:r w:rsidR="00A259D7">
        <w:rPr>
          <w:rStyle w:val="normaltextrun"/>
          <w:b w:val="0"/>
          <w:bCs w:val="0"/>
        </w:rPr>
        <w:t xml:space="preserve">with </w:t>
      </w:r>
      <w:r w:rsidRPr="001060EF">
        <w:rPr>
          <w:rStyle w:val="normaltextrun"/>
          <w:b w:val="0"/>
          <w:bCs w:val="0"/>
        </w:rPr>
        <w:t>the opportunity to evaluate the national security risk posed by ICs that fall within th</w:t>
      </w:r>
      <w:r w:rsidR="00A259D7">
        <w:rPr>
          <w:rStyle w:val="normaltextrun"/>
          <w:b w:val="0"/>
          <w:bCs w:val="0"/>
        </w:rPr>
        <w:t>e</w:t>
      </w:r>
      <w:r w:rsidRPr="001060EF">
        <w:rPr>
          <w:rStyle w:val="normaltextrun"/>
          <w:b w:val="0"/>
          <w:bCs w:val="0"/>
        </w:rPr>
        <w:t>s</w:t>
      </w:r>
      <w:r w:rsidR="00A259D7">
        <w:rPr>
          <w:rStyle w:val="normaltextrun"/>
          <w:b w:val="0"/>
          <w:bCs w:val="0"/>
        </w:rPr>
        <w:t>e</w:t>
      </w:r>
      <w:r w:rsidRPr="001060EF">
        <w:rPr>
          <w:rStyle w:val="normaltextrun"/>
          <w:b w:val="0"/>
          <w:bCs w:val="0"/>
        </w:rPr>
        <w:t xml:space="preserve"> parameter</w:t>
      </w:r>
      <w:r w:rsidR="00A259D7">
        <w:rPr>
          <w:rStyle w:val="normaltextrun"/>
          <w:b w:val="0"/>
          <w:bCs w:val="0"/>
        </w:rPr>
        <w:t>s</w:t>
      </w:r>
      <w:r w:rsidRPr="001060EF">
        <w:rPr>
          <w:rStyle w:val="normaltextrun"/>
          <w:b w:val="0"/>
          <w:bCs w:val="0"/>
        </w:rPr>
        <w:t>. </w:t>
      </w:r>
    </w:p>
    <w:p w:rsidR="00877740" w:rsidP="00877740" w14:paraId="46A707F7" w14:textId="77777777">
      <w:pPr>
        <w:pStyle w:val="Heading1"/>
        <w:tabs>
          <w:tab w:val="left" w:pos="360"/>
          <w:tab w:val="left" w:pos="720"/>
          <w:tab w:val="left" w:pos="1080"/>
          <w:tab w:val="left" w:pos="1440"/>
          <w:tab w:val="left" w:pos="1800"/>
          <w:tab w:val="left" w:pos="2160"/>
          <w:tab w:val="left" w:pos="2520"/>
          <w:tab w:val="left" w:pos="2880"/>
        </w:tabs>
        <w:rPr>
          <w:rStyle w:val="normaltextrun"/>
          <w:b w:val="0"/>
          <w:bCs w:val="0"/>
        </w:rPr>
      </w:pPr>
    </w:p>
    <w:p w:rsidR="00877740" w:rsidRPr="00877740" w:rsidP="00B00863" w14:paraId="58A8E7E8" w14:textId="42978BC9">
      <w:pPr>
        <w:pStyle w:val="paragraph"/>
        <w:spacing w:before="0" w:beforeAutospacing="0" w:after="0" w:afterAutospacing="0"/>
        <w:textAlignment w:val="baseline"/>
        <w:rPr>
          <w:rFonts w:ascii="Segoe UI" w:hAnsi="Segoe UI" w:cs="Segoe UI"/>
          <w:sz w:val="18"/>
          <w:szCs w:val="18"/>
        </w:rPr>
      </w:pPr>
      <w:r>
        <w:rPr>
          <w:rStyle w:val="normaltextrun"/>
        </w:rPr>
        <w:t>This license exception</w:t>
      </w:r>
      <w:r w:rsidR="00A259D7">
        <w:rPr>
          <w:rStyle w:val="normaltextrun"/>
        </w:rPr>
        <w:t>,</w:t>
      </w:r>
      <w:r>
        <w:rPr>
          <w:rStyle w:val="normaltextrun"/>
        </w:rPr>
        <w:t xml:space="preserve"> as specified under the paragraph (a) (Eligibility requirements)</w:t>
      </w:r>
      <w:r w:rsidR="00A259D7">
        <w:rPr>
          <w:rStyle w:val="normaltextrun"/>
        </w:rPr>
        <w:t>,</w:t>
      </w:r>
      <w:r>
        <w:rPr>
          <w:rStyle w:val="normaltextrun"/>
        </w:rPr>
        <w:t xml:space="preserve"> will authorize </w:t>
      </w:r>
      <w:r w:rsidR="00A259D7">
        <w:rPr>
          <w:rStyle w:val="normaltextrun"/>
        </w:rPr>
        <w:t xml:space="preserve">the </w:t>
      </w:r>
      <w:r>
        <w:rPr>
          <w:rStyle w:val="normaltextrun"/>
        </w:rPr>
        <w:t xml:space="preserve">export, reexport, and transfer (in-country) of any item classified in ECCNs 3A090, 4A090, 3A001.z,  4A003.z, 4A004.z, 4A005.z,  5A002.z, 5A004.z, 5A992.z, 5D002.z, or 5D992.z, except for items designed or marketed for use in a datacenter and meeting the parameters of 3A090.a.  </w:t>
      </w:r>
      <w:r>
        <w:rPr>
          <w:rStyle w:val="findhit"/>
        </w:rPr>
        <w:t>License Exception NAC</w:t>
      </w:r>
      <w:r>
        <w:rPr>
          <w:rStyle w:val="normaltextrun"/>
        </w:rPr>
        <w:t xml:space="preserve"> </w:t>
      </w:r>
      <w:r w:rsidR="00A259D7">
        <w:rPr>
          <w:rStyle w:val="normaltextrun"/>
        </w:rPr>
        <w:t xml:space="preserve">will </w:t>
      </w:r>
      <w:r>
        <w:rPr>
          <w:rStyle w:val="normaltextrun"/>
        </w:rPr>
        <w:t xml:space="preserve">authorize exports, reexports, or transfers (in-country) to any destination specified in Country Groups D:1, D:4, or D:5, provided the criteria specified under paragraphs (a) and (b) </w:t>
      </w:r>
      <w:r w:rsidR="00A259D7">
        <w:rPr>
          <w:rStyle w:val="normaltextrun"/>
        </w:rPr>
        <w:t xml:space="preserve">of the license exception </w:t>
      </w:r>
      <w:r>
        <w:rPr>
          <w:rStyle w:val="normaltextrun"/>
        </w:rPr>
        <w:t xml:space="preserve">are met.  For exports and reexports to China or Macau, in addition to meeting the criteria under paragraphs (a) and (b), the notification requirements under paragraph (c) of </w:t>
      </w:r>
      <w:r>
        <w:rPr>
          <w:rStyle w:val="findhit"/>
        </w:rPr>
        <w:t>License Exception NAC</w:t>
      </w:r>
      <w:r>
        <w:rPr>
          <w:rStyle w:val="normaltextrun"/>
        </w:rPr>
        <w:t xml:space="preserve"> must all be met.  The notification requirement does not apply to transfers (in-country) within China and Macau.</w:t>
      </w:r>
      <w:r>
        <w:rPr>
          <w:rStyle w:val="eop"/>
        </w:rPr>
        <w:t> </w:t>
      </w:r>
    </w:p>
    <w:p w:rsidR="00D03D34" w14:paraId="668A2B34" w14:textId="77777777">
      <w:pPr>
        <w:pStyle w:val="BodyText"/>
        <w:spacing w:before="11"/>
        <w:rPr>
          <w:sz w:val="23"/>
        </w:rPr>
      </w:pPr>
    </w:p>
    <w:p w:rsidR="00F0121C" w:rsidP="00D03D34" w14:paraId="42F0788F" w14:textId="77777777">
      <w:pPr>
        <w:pStyle w:val="Heading1"/>
        <w:ind w:left="0" w:right="20"/>
      </w:pPr>
      <w:r>
        <w:rPr>
          <w:color w:val="231F20"/>
        </w:rPr>
        <w:t>JUSTIFICATION</w:t>
      </w:r>
    </w:p>
    <w:p w:rsidR="00B00863" w:rsidRPr="00D03D34" w:rsidP="00D03D34" w14:paraId="40309935" w14:textId="61851760">
      <w:pPr>
        <w:pStyle w:val="BodyText"/>
        <w:ind w:right="20"/>
      </w:pPr>
      <w:r>
        <w:rPr>
          <w:color w:val="231F20"/>
        </w:rPr>
        <w:t xml:space="preserve">The collection of information is needed prior to the expiration of the time period </w:t>
      </w:r>
      <w:r w:rsidRPr="00D03D34">
        <w:rPr>
          <w:color w:val="231F20"/>
        </w:rPr>
        <w:t xml:space="preserve">normally associated with a routine submission for review under the provisions of the PRA. </w:t>
      </w:r>
      <w:r w:rsidRPr="00D03D34">
        <w:t xml:space="preserve">The export control measures implemented in this </w:t>
      </w:r>
      <w:r w:rsidRPr="00D03D34" w:rsidR="00877740">
        <w:t>AC/</w:t>
      </w:r>
      <w:r w:rsidRPr="00D03D34">
        <w:t>S</w:t>
      </w:r>
      <w:r w:rsidRPr="00D03D34" w:rsidR="00877740">
        <w:t xml:space="preserve"> IFR</w:t>
      </w:r>
      <w:r w:rsidRPr="00D03D34">
        <w:t xml:space="preserve"> build upon the policy objectives set forth</w:t>
      </w:r>
      <w:r w:rsidRPr="00D03D34" w:rsidR="00877740">
        <w:t xml:space="preserve"> in the October 7, 2022, </w:t>
      </w:r>
      <w:r w:rsidRPr="00D03D34">
        <w:t xml:space="preserve">BIS interim final rule </w:t>
      </w:r>
      <w:r w:rsidRPr="00D03D34">
        <w:rPr>
          <w:i/>
          <w:iCs/>
        </w:rPr>
        <w:t>Implementation of Additional Export Controls: Certain Advanced Computing and Semiconductor Manufacturing Items; Supercomputer and Semiconductor End Use; Entity List Modification</w:t>
      </w:r>
      <w:r w:rsidRPr="00D03D34">
        <w:t xml:space="preserve"> (October 7 IFR) (87 FR 62186), which amended the EAR to implement controls on advanced computing ICs, </w:t>
      </w:r>
      <w:r w:rsidR="00A259D7">
        <w:t xml:space="preserve">the </w:t>
      </w:r>
      <w:r w:rsidRPr="00D03D34">
        <w:t>computer commodities that contain such ICs, and certain semiconductor manufacturing items, and ma</w:t>
      </w:r>
      <w:r w:rsidR="00A259D7">
        <w:t>d</w:t>
      </w:r>
      <w:r w:rsidRPr="00D03D34">
        <w:t xml:space="preserve">e other EAR changes to implement appropriate related controls, including on certain “U.S. person” activities.  </w:t>
      </w:r>
    </w:p>
    <w:p w:rsidR="00B00863" w:rsidRPr="00D03D34" w:rsidP="00D03D34" w14:paraId="73215F5D" w14:textId="149E18CD">
      <w:pPr>
        <w:pStyle w:val="BodyText"/>
        <w:ind w:left="120" w:right="20"/>
      </w:pPr>
      <w:r w:rsidRPr="00D03D34">
        <w:t xml:space="preserve"> </w:t>
      </w:r>
    </w:p>
    <w:p w:rsidR="002F6E93" w:rsidRPr="00D03D34" w:rsidP="00D03D34" w14:paraId="646D6C3F" w14:textId="49DEA593">
      <w:pPr>
        <w:ind w:right="20"/>
        <w:rPr>
          <w:sz w:val="24"/>
          <w:szCs w:val="24"/>
        </w:rPr>
      </w:pPr>
      <w:r w:rsidRPr="00D03D34">
        <w:rPr>
          <w:sz w:val="24"/>
          <w:szCs w:val="24"/>
        </w:rPr>
        <w:t>T</w:t>
      </w:r>
      <w:r w:rsidRPr="00D03D34" w:rsidR="00B00863">
        <w:rPr>
          <w:sz w:val="24"/>
          <w:szCs w:val="24"/>
        </w:rPr>
        <w:t>oday</w:t>
      </w:r>
      <w:r w:rsidRPr="00D03D34">
        <w:rPr>
          <w:sz w:val="24"/>
          <w:szCs w:val="24"/>
        </w:rPr>
        <w:t>’</w:t>
      </w:r>
      <w:r w:rsidRPr="00D03D34" w:rsidR="00B00863">
        <w:rPr>
          <w:sz w:val="24"/>
          <w:szCs w:val="24"/>
        </w:rPr>
        <w:t>s AC/S</w:t>
      </w:r>
      <w:r w:rsidRPr="00D03D34">
        <w:rPr>
          <w:sz w:val="24"/>
          <w:szCs w:val="24"/>
        </w:rPr>
        <w:t xml:space="preserve"> IFR revise</w:t>
      </w:r>
      <w:r w:rsidRPr="00D03D34" w:rsidR="00B00863">
        <w:rPr>
          <w:sz w:val="24"/>
          <w:szCs w:val="24"/>
        </w:rPr>
        <w:t>s</w:t>
      </w:r>
      <w:r w:rsidRPr="00D03D34">
        <w:rPr>
          <w:sz w:val="24"/>
          <w:szCs w:val="24"/>
        </w:rPr>
        <w:t xml:space="preserve"> the October 7 IFR controls to more effectively achieve BIS’s targeted national security policy objectives.  These revisions further restrict China’s ability to obtain critical technologies to modernize its military capabilities in ways that threaten the national security interests of the United States and its allies and to abuse human rights.</w:t>
      </w:r>
      <w:r w:rsidRPr="00D03D34">
        <w:rPr>
          <w:sz w:val="24"/>
          <w:szCs w:val="24"/>
        </w:rPr>
        <w:t xml:space="preserve">  The changes to the October 7 IFR </w:t>
      </w:r>
      <w:r w:rsidR="00A259D7">
        <w:rPr>
          <w:sz w:val="24"/>
          <w:szCs w:val="24"/>
        </w:rPr>
        <w:t xml:space="preserve">published today </w:t>
      </w:r>
      <w:r w:rsidRPr="00D03D34">
        <w:rPr>
          <w:sz w:val="24"/>
          <w:szCs w:val="24"/>
        </w:rPr>
        <w:t>include</w:t>
      </w:r>
      <w:r w:rsidR="00D03D34">
        <w:rPr>
          <w:sz w:val="24"/>
          <w:szCs w:val="24"/>
        </w:rPr>
        <w:t xml:space="preserve"> </w:t>
      </w:r>
      <w:r w:rsidRPr="00D03D34">
        <w:rPr>
          <w:sz w:val="24"/>
          <w:szCs w:val="24"/>
        </w:rPr>
        <w:t xml:space="preserve">expanding the Regional Stability (RS) license requirements and the country scope of these license requirements.  </w:t>
      </w:r>
    </w:p>
    <w:p w:rsidR="002F6E93" w:rsidRPr="00D03D34" w:rsidP="00D03D34" w14:paraId="3865E8EF" w14:textId="704A10A5">
      <w:pPr>
        <w:ind w:right="20"/>
        <w:rPr>
          <w:sz w:val="24"/>
          <w:szCs w:val="24"/>
        </w:rPr>
      </w:pPr>
      <w:r w:rsidRPr="00D03D34">
        <w:rPr>
          <w:sz w:val="24"/>
          <w:szCs w:val="24"/>
        </w:rPr>
        <w:t xml:space="preserve">  </w:t>
      </w:r>
    </w:p>
    <w:p w:rsidR="00877740" w:rsidRPr="00D03D34" w:rsidP="00D03D34" w14:paraId="730DAC0A" w14:textId="50F5CADD">
      <w:pPr>
        <w:ind w:right="20"/>
        <w:rPr>
          <w:sz w:val="24"/>
          <w:szCs w:val="24"/>
        </w:rPr>
      </w:pPr>
      <w:r w:rsidRPr="00D03D34">
        <w:rPr>
          <w:sz w:val="24"/>
          <w:szCs w:val="24"/>
        </w:rPr>
        <w:t xml:space="preserve">The addition of License Exception NAC </w:t>
      </w:r>
      <w:r w:rsidRPr="00D03D34" w:rsidR="002F6E93">
        <w:rPr>
          <w:sz w:val="24"/>
          <w:szCs w:val="24"/>
        </w:rPr>
        <w:t xml:space="preserve">to the EAR is an important part of the changes being made to the October 7 </w:t>
      </w:r>
      <w:r w:rsidRPr="00D03D34" w:rsidR="00C87CEE">
        <w:rPr>
          <w:sz w:val="24"/>
          <w:szCs w:val="24"/>
        </w:rPr>
        <w:t>IFR</w:t>
      </w:r>
      <w:r w:rsidRPr="00D03D34" w:rsidR="002F6E93">
        <w:rPr>
          <w:sz w:val="24"/>
          <w:szCs w:val="24"/>
        </w:rPr>
        <w:t xml:space="preserve"> to ensure that the </w:t>
      </w:r>
      <w:r w:rsidR="00A259D7">
        <w:rPr>
          <w:sz w:val="24"/>
          <w:szCs w:val="24"/>
        </w:rPr>
        <w:t>expand</w:t>
      </w:r>
      <w:r w:rsidRPr="00D03D34" w:rsidR="002F6E93">
        <w:rPr>
          <w:sz w:val="24"/>
          <w:szCs w:val="24"/>
        </w:rPr>
        <w:t>ed controls are implemented efficiently, do not unnecessarily burden exporters, reexporters, and transfero</w:t>
      </w:r>
      <w:r w:rsidRPr="00D03D34" w:rsidR="00C87CEE">
        <w:rPr>
          <w:sz w:val="24"/>
          <w:szCs w:val="24"/>
        </w:rPr>
        <w:t>r</w:t>
      </w:r>
      <w:r w:rsidRPr="00D03D34" w:rsidR="002F6E93">
        <w:rPr>
          <w:sz w:val="24"/>
          <w:szCs w:val="24"/>
        </w:rPr>
        <w:t>s</w:t>
      </w:r>
      <w:r w:rsidR="00A259D7">
        <w:rPr>
          <w:sz w:val="24"/>
          <w:szCs w:val="24"/>
        </w:rPr>
        <w:t>. License Exception NAC will also</w:t>
      </w:r>
      <w:r w:rsidRPr="00D03D34" w:rsidR="002F6E93">
        <w:rPr>
          <w:sz w:val="24"/>
          <w:szCs w:val="24"/>
        </w:rPr>
        <w:t xml:space="preserve"> allow for additional oversight </w:t>
      </w:r>
      <w:r w:rsidR="00A259D7">
        <w:rPr>
          <w:sz w:val="24"/>
          <w:szCs w:val="24"/>
        </w:rPr>
        <w:t>of the</w:t>
      </w:r>
      <w:r w:rsidRPr="00D03D34" w:rsidR="002F6E93">
        <w:rPr>
          <w:sz w:val="24"/>
          <w:szCs w:val="24"/>
        </w:rPr>
        <w:t xml:space="preserve"> export and reexport to China and Macau </w:t>
      </w:r>
      <w:r w:rsidR="00A259D7">
        <w:rPr>
          <w:sz w:val="24"/>
          <w:szCs w:val="24"/>
        </w:rPr>
        <w:t>of the eligible</w:t>
      </w:r>
      <w:r w:rsidRPr="00D03D34" w:rsidR="002F6E93">
        <w:rPr>
          <w:sz w:val="24"/>
          <w:szCs w:val="24"/>
        </w:rPr>
        <w:t xml:space="preserve"> </w:t>
      </w:r>
      <w:r w:rsidRPr="00D03D34" w:rsidR="002845F0">
        <w:rPr>
          <w:sz w:val="24"/>
          <w:szCs w:val="24"/>
        </w:rPr>
        <w:t>items through</w:t>
      </w:r>
      <w:r w:rsidRPr="00D03D34" w:rsidR="002F6E93">
        <w:rPr>
          <w:sz w:val="24"/>
          <w:szCs w:val="24"/>
        </w:rPr>
        <w:t xml:space="preserve"> a prior notification and approval process by BIS. </w:t>
      </w:r>
    </w:p>
    <w:p w:rsidR="00F0121C" w:rsidP="00D03D34" w14:paraId="7E70B2FD" w14:textId="231073C5">
      <w:pPr>
        <w:pStyle w:val="BodyText"/>
        <w:ind w:left="120" w:right="20"/>
      </w:pPr>
    </w:p>
    <w:p w:rsidR="00D03D34" w:rsidRPr="00D03D34" w:rsidP="00D03D34" w14:paraId="49360E21" w14:textId="77777777">
      <w:pPr>
        <w:pStyle w:val="BodyText"/>
        <w:ind w:left="120" w:right="20"/>
      </w:pPr>
    </w:p>
    <w:sectPr w:rsidSect="00D8717F">
      <w:type w:val="continuous"/>
      <w:pgSz w:w="12240" w:h="15840"/>
      <w:pgMar w:top="1380" w:right="1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4F90" w:rsidP="00A259D7" w14:paraId="137FE46D" w14:textId="77777777">
      <w:r>
        <w:separator/>
      </w:r>
    </w:p>
  </w:footnote>
  <w:footnote w:type="continuationSeparator" w:id="1">
    <w:p w:rsidR="00684F90" w:rsidP="00A259D7" w14:paraId="1B456CDA" w14:textId="77777777">
      <w:r>
        <w:continuationSeparator/>
      </w:r>
    </w:p>
  </w:footnote>
  <w:footnote w:id="2">
    <w:p w:rsidR="00A259D7" w14:paraId="34588BAC" w14:textId="2A1B87D0">
      <w:pPr>
        <w:pStyle w:val="FootnoteText"/>
      </w:pPr>
      <w:r>
        <w:rPr>
          <w:rStyle w:val="FootnoteReference"/>
        </w:rPr>
        <w:footnoteRef/>
      </w:r>
      <w:r>
        <w:t xml:space="preserve"> </w:t>
      </w:r>
      <w:r w:rsidRPr="00A259D7">
        <w:t xml:space="preserve">  A license exception is an authorization for export, reexport or transfer (in-country) specified items under certain conditions that would otherwise require a BIS license.  </w:t>
      </w:r>
    </w:p>
    <w:p w:rsidR="00A259D7" w14:paraId="1A8ADB25" w14:textId="77777777">
      <w:pPr>
        <w:pStyle w:val="FootnoteText"/>
      </w:pPr>
    </w:p>
  </w:footnote>
  <w:footnote w:id="3">
    <w:p w:rsidR="00A259D7" w14:paraId="093656AD" w14:textId="71C3E147">
      <w:pPr>
        <w:pStyle w:val="FootnoteText"/>
      </w:pPr>
      <w:r>
        <w:rPr>
          <w:rStyle w:val="FootnoteReference"/>
        </w:rPr>
        <w:footnoteRef/>
      </w:r>
      <w:r>
        <w:t xml:space="preserve"> </w:t>
      </w:r>
      <w:r w:rsidRPr="00A259D7">
        <w:t>Within the EAR, country groups delineate countries by their relationship with the United States, the relative maturity of their export control systems, and other factors. While Country Group A countries are generally allies and partners of the United States with mature export control systems, Country Group E countries include the designated state sponsors of terrorism and Cuba.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1C"/>
    <w:rsid w:val="000A52D5"/>
    <w:rsid w:val="001060EF"/>
    <w:rsid w:val="001F6E09"/>
    <w:rsid w:val="00222119"/>
    <w:rsid w:val="002845F0"/>
    <w:rsid w:val="002F6E93"/>
    <w:rsid w:val="004F3A56"/>
    <w:rsid w:val="0068095C"/>
    <w:rsid w:val="00684F90"/>
    <w:rsid w:val="0083224F"/>
    <w:rsid w:val="00877740"/>
    <w:rsid w:val="008868A6"/>
    <w:rsid w:val="008C5D04"/>
    <w:rsid w:val="009418D2"/>
    <w:rsid w:val="00A259D7"/>
    <w:rsid w:val="00A81CE5"/>
    <w:rsid w:val="00AD71F8"/>
    <w:rsid w:val="00B00863"/>
    <w:rsid w:val="00C87CEE"/>
    <w:rsid w:val="00D03D34"/>
    <w:rsid w:val="00D8717F"/>
    <w:rsid w:val="00E46DC5"/>
    <w:rsid w:val="00F0121C"/>
    <w:rsid w:val="00F27430"/>
    <w:rsid w:val="00FA0C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FAA894"/>
  <w15:docId w15:val="{1BE29768-B43C-407E-99CC-576727E9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D8717F"/>
    <w:pPr>
      <w:widowControl/>
      <w:autoSpaceDE/>
      <w:autoSpaceDN/>
      <w:spacing w:after="200"/>
    </w:pPr>
    <w:rPr>
      <w:rFonts w:eastAsiaTheme="minorHAnsi"/>
      <w:sz w:val="20"/>
      <w:szCs w:val="20"/>
    </w:rPr>
  </w:style>
  <w:style w:type="character" w:customStyle="1" w:styleId="CommentTextChar">
    <w:name w:val="Comment Text Char"/>
    <w:basedOn w:val="DefaultParagraphFont"/>
    <w:link w:val="CommentText"/>
    <w:uiPriority w:val="99"/>
    <w:rsid w:val="00D8717F"/>
    <w:rPr>
      <w:rFonts w:ascii="Times New Roman" w:hAnsi="Times New Roman" w:cs="Times New Roman"/>
      <w:sz w:val="20"/>
      <w:szCs w:val="20"/>
    </w:rPr>
  </w:style>
  <w:style w:type="character" w:styleId="CommentReference">
    <w:name w:val="annotation reference"/>
    <w:basedOn w:val="DefaultParagraphFont"/>
    <w:uiPriority w:val="99"/>
    <w:unhideWhenUsed/>
    <w:rsid w:val="00D8717F"/>
    <w:rPr>
      <w:sz w:val="16"/>
      <w:szCs w:val="16"/>
    </w:rPr>
  </w:style>
  <w:style w:type="character" w:customStyle="1" w:styleId="normaltextrun">
    <w:name w:val="normaltextrun"/>
    <w:basedOn w:val="DefaultParagraphFont"/>
    <w:rsid w:val="00D8717F"/>
  </w:style>
  <w:style w:type="character" w:customStyle="1" w:styleId="eop">
    <w:name w:val="eop"/>
    <w:basedOn w:val="DefaultParagraphFont"/>
    <w:rsid w:val="00D8717F"/>
  </w:style>
  <w:style w:type="paragraph" w:styleId="CommentSubject">
    <w:name w:val="annotation subject"/>
    <w:basedOn w:val="CommentText"/>
    <w:next w:val="CommentText"/>
    <w:link w:val="CommentSubjectChar"/>
    <w:uiPriority w:val="99"/>
    <w:semiHidden/>
    <w:unhideWhenUsed/>
    <w:rsid w:val="00D8717F"/>
    <w:pPr>
      <w:widowControl w:val="0"/>
      <w:autoSpaceDE w:val="0"/>
      <w:autoSpaceDN w:val="0"/>
      <w:spacing w:after="0"/>
    </w:pPr>
    <w:rPr>
      <w:rFonts w:eastAsia="Times New Roman"/>
      <w:b/>
      <w:bCs/>
    </w:rPr>
  </w:style>
  <w:style w:type="character" w:customStyle="1" w:styleId="CommentSubjectChar">
    <w:name w:val="Comment Subject Char"/>
    <w:basedOn w:val="CommentTextChar"/>
    <w:link w:val="CommentSubject"/>
    <w:uiPriority w:val="99"/>
    <w:semiHidden/>
    <w:rsid w:val="00D8717F"/>
    <w:rPr>
      <w:rFonts w:ascii="Times New Roman" w:eastAsia="Times New Roman" w:hAnsi="Times New Roman" w:cs="Times New Roman"/>
      <w:b/>
      <w:bCs/>
      <w:sz w:val="20"/>
      <w:szCs w:val="20"/>
    </w:rPr>
  </w:style>
  <w:style w:type="paragraph" w:styleId="Revision">
    <w:name w:val="Revision"/>
    <w:hidden/>
    <w:uiPriority w:val="99"/>
    <w:semiHidden/>
    <w:rsid w:val="00877740"/>
    <w:pPr>
      <w:widowControl/>
      <w:autoSpaceDE/>
      <w:autoSpaceDN/>
    </w:pPr>
    <w:rPr>
      <w:rFonts w:ascii="Times New Roman" w:eastAsia="Times New Roman" w:hAnsi="Times New Roman" w:cs="Times New Roman"/>
    </w:rPr>
  </w:style>
  <w:style w:type="character" w:customStyle="1" w:styleId="findhit">
    <w:name w:val="findhit"/>
    <w:basedOn w:val="DefaultParagraphFont"/>
    <w:rsid w:val="00877740"/>
  </w:style>
  <w:style w:type="paragraph" w:customStyle="1" w:styleId="paragraph">
    <w:name w:val="paragraph"/>
    <w:basedOn w:val="Normal"/>
    <w:rsid w:val="00877740"/>
    <w:pPr>
      <w:widowControl/>
      <w:autoSpaceDE/>
      <w:autoSpaceDN/>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A259D7"/>
    <w:rPr>
      <w:sz w:val="20"/>
      <w:szCs w:val="20"/>
    </w:rPr>
  </w:style>
  <w:style w:type="character" w:customStyle="1" w:styleId="FootnoteTextChar">
    <w:name w:val="Footnote Text Char"/>
    <w:basedOn w:val="DefaultParagraphFont"/>
    <w:link w:val="FootnoteText"/>
    <w:uiPriority w:val="99"/>
    <w:semiHidden/>
    <w:rsid w:val="00A259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59D7"/>
    <w:rPr>
      <w:vertAlign w:val="superscript"/>
    </w:rPr>
  </w:style>
  <w:style w:type="character" w:styleId="Strong">
    <w:name w:val="Strong"/>
    <w:basedOn w:val="DefaultParagraphFont"/>
    <w:uiPriority w:val="22"/>
    <w:qFormat/>
    <w:rsid w:val="008868A6"/>
    <w:rPr>
      <w:b/>
      <w:bCs/>
    </w:rPr>
  </w:style>
  <w:style w:type="character" w:customStyle="1" w:styleId="BodyTextChar">
    <w:name w:val="Body Text Char"/>
    <w:basedOn w:val="DefaultParagraphFont"/>
    <w:link w:val="BodyText"/>
    <w:uiPriority w:val="1"/>
    <w:rsid w:val="008322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C07A-9AD9-4B49-8EC5-BBB80659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BIS request for emergency approval of IC 0694-0088 Luxury Item Sanctions.docx</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BIS request for emergency approval of IC 0694-0088 Luxury Item Sanctions.docx</dc:title>
  <dc:creator>KNiesVogel</dc:creator>
  <cp:lastModifiedBy>Eileen Albanese</cp:lastModifiedBy>
  <cp:revision>2</cp:revision>
  <dcterms:created xsi:type="dcterms:W3CDTF">2023-10-12T15:31:00Z</dcterms:created>
  <dcterms:modified xsi:type="dcterms:W3CDTF">2023-10-12T15:31:00Z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PScript5.dll Version 5.2.2</vt:lpwstr>
  </property>
  <property fmtid="{D5CDD505-2E9C-101B-9397-08002B2CF9AE}" pid="4" name="LastSaved">
    <vt:filetime>2023-10-03T00:00:00Z</vt:filetime>
  </property>
</Properties>
</file>