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40E1" w14:paraId="00000001" w14:textId="77777777">
      <w:pPr>
        <w:jc w:val="center"/>
        <w:rPr>
          <w:b/>
          <w:sz w:val="32"/>
          <w:szCs w:val="32"/>
        </w:rPr>
      </w:pPr>
      <w:r>
        <w:rPr>
          <w:b/>
          <w:sz w:val="32"/>
          <w:szCs w:val="32"/>
        </w:rPr>
        <w:t>GenIC</w:t>
      </w:r>
      <w:r>
        <w:rPr>
          <w:b/>
          <w:sz w:val="32"/>
          <w:szCs w:val="32"/>
        </w:rPr>
        <w:t xml:space="preserve"> Clearance for CDC/ATSDR</w:t>
      </w:r>
    </w:p>
    <w:p w:rsidR="000B40E1" w14:paraId="00000002" w14:textId="77777777">
      <w:pPr>
        <w:jc w:val="center"/>
        <w:rPr>
          <w:b/>
          <w:sz w:val="32"/>
          <w:szCs w:val="32"/>
        </w:rPr>
      </w:pPr>
      <w:r>
        <w:rPr>
          <w:b/>
          <w:sz w:val="32"/>
          <w:szCs w:val="32"/>
        </w:rPr>
        <w:t>Formative Research and Tool Development</w:t>
      </w:r>
    </w:p>
    <w:p w:rsidR="000B40E1" w14:paraId="00000003" w14:textId="77777777"/>
    <w:p w:rsidR="000B40E1" w:rsidP="003E447A" w14:paraId="00000005" w14:textId="06A9F34B">
      <w:pPr>
        <w:jc w:val="center"/>
        <w:rPr>
          <w:b/>
        </w:rPr>
      </w:pPr>
      <w:r>
        <w:rPr>
          <w:b/>
          <w:sz w:val="48"/>
          <w:szCs w:val="48"/>
        </w:rPr>
        <w:t>Harmful Algal Bloom Communication Evaluation</w:t>
      </w:r>
    </w:p>
    <w:p w:rsidR="003E447A" w:rsidP="003E447A" w14:paraId="19E1B31B" w14:textId="77777777">
      <w:pPr>
        <w:jc w:val="center"/>
        <w:rPr>
          <w:b/>
        </w:rPr>
      </w:pPr>
      <w:r>
        <w:rPr>
          <w:b/>
        </w:rPr>
        <w:t>OMB Control No. 0920-1154</w:t>
      </w:r>
    </w:p>
    <w:p w:rsidR="000B40E1" w14:paraId="00000006" w14:textId="77777777">
      <w:pPr>
        <w:jc w:val="center"/>
        <w:rPr>
          <w:b/>
        </w:rPr>
      </w:pPr>
    </w:p>
    <w:p w:rsidR="000B40E1" w14:paraId="00000007" w14:textId="77777777"/>
    <w:p w:rsidR="000B40E1" w14:paraId="00000008" w14:textId="77777777"/>
    <w:p w:rsidR="000B40E1" w14:paraId="00000009" w14:textId="77777777"/>
    <w:p w:rsidR="000B40E1" w14:paraId="0000000A" w14:textId="77777777">
      <w:pPr>
        <w:jc w:val="center"/>
        <w:rPr>
          <w:b/>
        </w:rPr>
      </w:pPr>
    </w:p>
    <w:p w:rsidR="000B40E1" w14:paraId="0000000B" w14:textId="77777777">
      <w:pPr>
        <w:pStyle w:val="Heading4"/>
        <w:rPr>
          <w:b w:val="0"/>
          <w:i/>
        </w:rPr>
      </w:pPr>
      <w:bookmarkStart w:id="0" w:name="_heading=h.l14owpsge8bf" w:colFirst="0" w:colLast="0"/>
      <w:bookmarkEnd w:id="0"/>
      <w:r>
        <w:t>Supporting Statement B</w:t>
      </w:r>
    </w:p>
    <w:p w:rsidR="000B40E1" w14:paraId="0000000C" w14:textId="77777777">
      <w:pPr>
        <w:rPr>
          <w:b/>
        </w:rPr>
      </w:pPr>
    </w:p>
    <w:p w:rsidR="000B40E1" w14:paraId="0000000D" w14:textId="77777777">
      <w:pPr>
        <w:rPr>
          <w:b/>
        </w:rPr>
      </w:pPr>
    </w:p>
    <w:p w:rsidR="000B40E1" w14:paraId="0000000E" w14:textId="77777777">
      <w:pPr>
        <w:rPr>
          <w:b/>
        </w:rPr>
      </w:pPr>
    </w:p>
    <w:p w:rsidR="000B40E1" w14:paraId="0000000F" w14:textId="77777777">
      <w:pPr>
        <w:rPr>
          <w:b/>
        </w:rPr>
      </w:pPr>
    </w:p>
    <w:p w:rsidR="000B40E1" w14:paraId="00000010" w14:textId="77777777">
      <w:pPr>
        <w:spacing w:after="0" w:line="240" w:lineRule="auto"/>
        <w:rPr>
          <w:b/>
        </w:rPr>
      </w:pPr>
    </w:p>
    <w:p w:rsidR="000B40E1" w14:paraId="00000011" w14:textId="77777777">
      <w:pPr>
        <w:spacing w:after="0" w:line="240" w:lineRule="auto"/>
        <w:rPr>
          <w:b/>
        </w:rPr>
      </w:pPr>
    </w:p>
    <w:p w:rsidR="000B40E1" w14:paraId="00000012" w14:textId="77777777">
      <w:pPr>
        <w:spacing w:after="0" w:line="240" w:lineRule="auto"/>
        <w:rPr>
          <w:b/>
        </w:rPr>
      </w:pPr>
    </w:p>
    <w:p w:rsidR="000B40E1" w14:paraId="00000013" w14:textId="77777777">
      <w:pPr>
        <w:pBdr>
          <w:top w:val="nil"/>
          <w:left w:val="nil"/>
          <w:bottom w:val="nil"/>
          <w:right w:val="nil"/>
          <w:between w:val="nil"/>
        </w:pBdr>
        <w:spacing w:after="0" w:line="240" w:lineRule="auto"/>
        <w:rPr>
          <w:b/>
        </w:rPr>
      </w:pPr>
    </w:p>
    <w:p w:rsidR="000B40E1" w14:paraId="00000014" w14:textId="77777777">
      <w:pPr>
        <w:pBdr>
          <w:top w:val="nil"/>
          <w:left w:val="nil"/>
          <w:bottom w:val="nil"/>
          <w:right w:val="nil"/>
          <w:between w:val="nil"/>
        </w:pBdr>
        <w:spacing w:after="0" w:line="240" w:lineRule="auto"/>
        <w:rPr>
          <w:b/>
        </w:rPr>
      </w:pPr>
    </w:p>
    <w:p w:rsidR="000B40E1" w:rsidP="001E3A87" w14:paraId="00000015" w14:textId="77777777">
      <w:pPr>
        <w:pBdr>
          <w:top w:val="nil"/>
          <w:left w:val="nil"/>
          <w:bottom w:val="nil"/>
          <w:right w:val="nil"/>
          <w:between w:val="nil"/>
        </w:pBdr>
        <w:spacing w:after="0" w:line="240" w:lineRule="auto"/>
        <w:contextualSpacing/>
        <w:rPr>
          <w:b/>
        </w:rPr>
      </w:pPr>
    </w:p>
    <w:p w:rsidR="000B40E1" w:rsidP="001E3A87" w14:paraId="00000016" w14:textId="77777777">
      <w:pPr>
        <w:pBdr>
          <w:top w:val="nil"/>
          <w:left w:val="nil"/>
          <w:bottom w:val="nil"/>
          <w:right w:val="nil"/>
          <w:between w:val="nil"/>
        </w:pBdr>
        <w:spacing w:after="0" w:line="240" w:lineRule="auto"/>
        <w:contextualSpacing/>
        <w:rPr>
          <w:color w:val="000000"/>
        </w:rPr>
      </w:pPr>
      <w:r>
        <w:rPr>
          <w:b/>
          <w:color w:val="000000"/>
        </w:rPr>
        <w:t xml:space="preserve">Contact: </w:t>
      </w:r>
      <w:r>
        <w:rPr>
          <w:color w:val="000000"/>
        </w:rPr>
        <w:t>Amy Jacobi, MPH</w:t>
      </w:r>
    </w:p>
    <w:p w:rsidR="001E3A87" w:rsidP="001E3A87" w14:paraId="34BBB1D7" w14:textId="77777777">
      <w:pPr>
        <w:pBdr>
          <w:top w:val="nil"/>
          <w:left w:val="nil"/>
          <w:bottom w:val="nil"/>
          <w:right w:val="nil"/>
          <w:between w:val="nil"/>
        </w:pBdr>
        <w:spacing w:line="240" w:lineRule="auto"/>
        <w:contextualSpacing/>
      </w:pPr>
      <w:r>
        <w:t>Waterborne Disease Prevention Branch</w:t>
      </w:r>
    </w:p>
    <w:p w:rsidR="000B40E1" w:rsidRPr="001E3A87" w:rsidP="001E3A87" w14:paraId="00000018" w14:textId="5053AA5E">
      <w:pPr>
        <w:pBdr>
          <w:top w:val="nil"/>
          <w:left w:val="nil"/>
          <w:bottom w:val="nil"/>
          <w:right w:val="nil"/>
          <w:between w:val="nil"/>
        </w:pBdr>
        <w:spacing w:line="240" w:lineRule="auto"/>
        <w:contextualSpacing/>
      </w:pPr>
      <w:r>
        <w:rPr>
          <w:color w:val="000000"/>
        </w:rPr>
        <w:t>Division of Foodborne, Waterborne, and Environmental Diseases</w:t>
      </w:r>
    </w:p>
    <w:p w:rsidR="000B40E1" w:rsidP="001E3A87" w14:paraId="00000019" w14:textId="77777777">
      <w:pPr>
        <w:pBdr>
          <w:top w:val="nil"/>
          <w:left w:val="nil"/>
          <w:bottom w:val="nil"/>
          <w:right w:val="nil"/>
          <w:between w:val="nil"/>
        </w:pBdr>
        <w:spacing w:after="0" w:line="240" w:lineRule="auto"/>
        <w:contextualSpacing/>
        <w:rPr>
          <w:color w:val="000000"/>
        </w:rPr>
      </w:pPr>
      <w:r>
        <w:rPr>
          <w:color w:val="000000"/>
        </w:rPr>
        <w:t xml:space="preserve">Centers for Disease Control and Prevention </w:t>
      </w:r>
    </w:p>
    <w:p w:rsidR="000B40E1" w:rsidP="001E3A87" w14:paraId="0000001A" w14:textId="77777777">
      <w:pPr>
        <w:pBdr>
          <w:top w:val="nil"/>
          <w:left w:val="nil"/>
          <w:bottom w:val="nil"/>
          <w:right w:val="nil"/>
          <w:between w:val="nil"/>
        </w:pBdr>
        <w:spacing w:after="0" w:line="240" w:lineRule="auto"/>
        <w:contextualSpacing/>
        <w:rPr>
          <w:color w:val="000000"/>
        </w:rPr>
      </w:pPr>
      <w:r>
        <w:rPr>
          <w:color w:val="000000"/>
        </w:rPr>
        <w:t xml:space="preserve">1600 Clifton Road, NE </w:t>
      </w:r>
    </w:p>
    <w:p w:rsidR="000B40E1" w:rsidP="001E3A87" w14:paraId="0000001B" w14:textId="77777777">
      <w:pPr>
        <w:pBdr>
          <w:top w:val="nil"/>
          <w:left w:val="nil"/>
          <w:bottom w:val="nil"/>
          <w:right w:val="nil"/>
          <w:between w:val="nil"/>
        </w:pBdr>
        <w:spacing w:after="0" w:line="240" w:lineRule="auto"/>
        <w:contextualSpacing/>
        <w:rPr>
          <w:color w:val="000000"/>
        </w:rPr>
      </w:pPr>
      <w:r>
        <w:rPr>
          <w:color w:val="000000"/>
        </w:rPr>
        <w:t xml:space="preserve">Atlanta, Georgia 30333 </w:t>
      </w:r>
    </w:p>
    <w:p w:rsidR="000B40E1" w:rsidP="001E3A87" w14:paraId="0000001C" w14:textId="77777777">
      <w:pPr>
        <w:pBdr>
          <w:top w:val="nil"/>
          <w:left w:val="nil"/>
          <w:bottom w:val="nil"/>
          <w:right w:val="nil"/>
          <w:between w:val="nil"/>
        </w:pBdr>
        <w:spacing w:line="240" w:lineRule="auto"/>
        <w:contextualSpacing/>
        <w:rPr>
          <w:color w:val="000000"/>
        </w:rPr>
      </w:pPr>
      <w:r>
        <w:rPr>
          <w:color w:val="000000"/>
        </w:rPr>
        <w:t xml:space="preserve">Phone: </w:t>
      </w:r>
      <w:r>
        <w:t>(404) 718.3715</w:t>
      </w:r>
      <w:r>
        <w:rPr>
          <w:color w:val="000000"/>
        </w:rPr>
        <w:br/>
        <w:t xml:space="preserve">Email: </w:t>
      </w:r>
      <w:r>
        <w:t>puw6</w:t>
      </w:r>
      <w:r>
        <w:rPr>
          <w:color w:val="000000"/>
        </w:rPr>
        <w:t>@cdc.gov</w:t>
      </w:r>
      <w:r>
        <w:br w:type="page"/>
      </w:r>
    </w:p>
    <w:p w:rsidR="000B40E1" w14:paraId="0000001D" w14:textId="77777777">
      <w:pPr>
        <w:pStyle w:val="Heading4"/>
        <w:rPr>
          <w:sz w:val="22"/>
          <w:szCs w:val="22"/>
        </w:rPr>
      </w:pPr>
      <w:r>
        <w:rPr>
          <w:sz w:val="22"/>
          <w:szCs w:val="22"/>
        </w:rPr>
        <w:t>Table of Contents</w:t>
      </w:r>
    </w:p>
    <w:sdt>
      <w:sdtPr>
        <w:id w:val="1807588737"/>
        <w:docPartObj>
          <w:docPartGallery w:val="Table of Contents"/>
          <w:docPartUnique/>
        </w:docPartObj>
      </w:sdtPr>
      <w:sdtContent>
        <w:p w:rsidR="000B40E1" w14:paraId="0000001E" w14:textId="77777777">
          <w:pPr>
            <w:pBdr>
              <w:top w:val="nil"/>
              <w:left w:val="nil"/>
              <w:bottom w:val="nil"/>
              <w:right w:val="nil"/>
              <w:between w:val="nil"/>
            </w:pBdr>
            <w:tabs>
              <w:tab w:val="right" w:pos="10070"/>
            </w:tabs>
            <w:spacing w:after="100"/>
            <w:ind w:left="240"/>
            <w:rPr>
              <w:sz w:val="22"/>
              <w:szCs w:val="22"/>
            </w:rPr>
          </w:pPr>
          <w:r>
            <w:fldChar w:fldCharType="begin"/>
          </w:r>
          <w:r>
            <w:instrText xml:space="preserve"> TOC \h \u \z \t "Heading 1,1,Heading 2,2,Heading 3,3,Heading 4,4,Heading 5,5,Heading 6,6,"</w:instrText>
          </w:r>
          <w:r>
            <w:fldChar w:fldCharType="separate"/>
          </w:r>
        </w:p>
        <w:p w:rsidR="000B40E1" w14:paraId="0000001F"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1.</w:t>
          </w:r>
          <w:r>
            <w:rPr>
              <w:rFonts w:ascii="Calibri" w:eastAsia="Calibri" w:hAnsi="Calibri" w:cs="Calibri"/>
              <w:sz w:val="22"/>
              <w:szCs w:val="22"/>
            </w:rPr>
            <w:tab/>
          </w:r>
          <w:r>
            <w:fldChar w:fldCharType="begin"/>
          </w:r>
          <w:r>
            <w:instrText xml:space="preserve"> PAGEREF bookmark=id.crtbecaxrtt5 \h </w:instrText>
          </w:r>
          <w:r>
            <w:fldChar w:fldCharType="separate"/>
          </w:r>
          <w:r>
            <w:rPr>
              <w:sz w:val="22"/>
              <w:szCs w:val="22"/>
              <w:u w:val="single"/>
            </w:rPr>
            <w:t>Respondent Universe and Sampling Methods</w:t>
          </w:r>
          <w:r>
            <w:fldChar w:fldCharType="end"/>
          </w:r>
          <w:r>
            <w:rPr>
              <w:sz w:val="22"/>
              <w:szCs w:val="22"/>
            </w:rPr>
            <w:tab/>
            <w:t>3</w:t>
          </w:r>
        </w:p>
        <w:p w:rsidR="000B40E1" w14:paraId="00000020"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2.</w:t>
          </w:r>
          <w:r>
            <w:rPr>
              <w:rFonts w:ascii="Calibri" w:eastAsia="Calibri" w:hAnsi="Calibri" w:cs="Calibri"/>
              <w:sz w:val="22"/>
              <w:szCs w:val="22"/>
            </w:rPr>
            <w:tab/>
          </w:r>
          <w:r>
            <w:fldChar w:fldCharType="begin"/>
          </w:r>
          <w:r>
            <w:instrText xml:space="preserve"> PAGEREF bookmark=id.566atxgnj4wn \h </w:instrText>
          </w:r>
          <w:r>
            <w:fldChar w:fldCharType="separate"/>
          </w:r>
          <w:r>
            <w:rPr>
              <w:sz w:val="22"/>
              <w:szCs w:val="22"/>
              <w:u w:val="single"/>
            </w:rPr>
            <w:t>Procedures for the Collection of Information</w:t>
          </w:r>
          <w:r>
            <w:fldChar w:fldCharType="end"/>
          </w:r>
          <w:r>
            <w:rPr>
              <w:sz w:val="22"/>
              <w:szCs w:val="22"/>
            </w:rPr>
            <w:tab/>
            <w:t>4</w:t>
          </w:r>
        </w:p>
        <w:p w:rsidR="000B40E1" w14:paraId="00000021"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3.</w:t>
          </w:r>
          <w:r>
            <w:rPr>
              <w:rFonts w:ascii="Calibri" w:eastAsia="Calibri" w:hAnsi="Calibri" w:cs="Calibri"/>
              <w:sz w:val="22"/>
              <w:szCs w:val="22"/>
            </w:rPr>
            <w:tab/>
          </w:r>
          <w:r>
            <w:fldChar w:fldCharType="begin"/>
          </w:r>
          <w:r>
            <w:instrText xml:space="preserve"> PAGEREF bookmark=id.mllwovj3glm9 \h </w:instrText>
          </w:r>
          <w:r>
            <w:fldChar w:fldCharType="separate"/>
          </w:r>
          <w:r>
            <w:rPr>
              <w:sz w:val="22"/>
              <w:szCs w:val="22"/>
              <w:u w:val="single"/>
            </w:rPr>
            <w:t>Methods to Maximize Response Rates and Deal with No Response</w:t>
          </w:r>
          <w:r>
            <w:fldChar w:fldCharType="end"/>
          </w:r>
          <w:r>
            <w:rPr>
              <w:sz w:val="22"/>
              <w:szCs w:val="22"/>
            </w:rPr>
            <w:tab/>
            <w:t>5</w:t>
          </w:r>
        </w:p>
        <w:p w:rsidR="000B40E1" w14:paraId="00000022"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4.</w:t>
          </w:r>
          <w:r>
            <w:rPr>
              <w:rFonts w:ascii="Calibri" w:eastAsia="Calibri" w:hAnsi="Calibri" w:cs="Calibri"/>
              <w:sz w:val="22"/>
              <w:szCs w:val="22"/>
            </w:rPr>
            <w:tab/>
          </w:r>
          <w:r>
            <w:fldChar w:fldCharType="begin"/>
          </w:r>
          <w:r>
            <w:instrText xml:space="preserve"> PAGEREF bookmark=id.b669ohpuavww \h </w:instrText>
          </w:r>
          <w:r>
            <w:fldChar w:fldCharType="separate"/>
          </w:r>
          <w:r>
            <w:rPr>
              <w:sz w:val="22"/>
              <w:szCs w:val="22"/>
              <w:u w:val="single"/>
            </w:rPr>
            <w:t>Tests of Procedures or Methods to be Undertaken</w:t>
          </w:r>
          <w:r>
            <w:fldChar w:fldCharType="end"/>
          </w:r>
          <w:r>
            <w:rPr>
              <w:sz w:val="22"/>
              <w:szCs w:val="22"/>
            </w:rPr>
            <w:tab/>
            <w:t>5</w:t>
          </w:r>
        </w:p>
        <w:p w:rsidR="000B40E1" w14:paraId="00000023" w14:textId="77777777">
          <w:pPr>
            <w:pBdr>
              <w:top w:val="nil"/>
              <w:left w:val="nil"/>
              <w:bottom w:val="nil"/>
              <w:right w:val="nil"/>
              <w:between w:val="nil"/>
            </w:pBdr>
            <w:tabs>
              <w:tab w:val="left" w:pos="480"/>
              <w:tab w:val="right" w:pos="10070"/>
            </w:tabs>
            <w:spacing w:after="100"/>
            <w:rPr>
              <w:rFonts w:ascii="Calibri" w:eastAsia="Calibri" w:hAnsi="Calibri" w:cs="Calibri"/>
              <w:sz w:val="22"/>
              <w:szCs w:val="22"/>
            </w:rPr>
          </w:pPr>
          <w:r>
            <w:rPr>
              <w:sz w:val="22"/>
              <w:szCs w:val="22"/>
            </w:rPr>
            <w:t>5.</w:t>
          </w:r>
          <w:r>
            <w:rPr>
              <w:rFonts w:ascii="Calibri" w:eastAsia="Calibri" w:hAnsi="Calibri" w:cs="Calibri"/>
              <w:sz w:val="22"/>
              <w:szCs w:val="22"/>
            </w:rPr>
            <w:tab/>
          </w:r>
          <w:r>
            <w:fldChar w:fldCharType="begin"/>
          </w:r>
          <w:r>
            <w:instrText xml:space="preserve"> PAGEREF bookmark=id.4saba2t3l2sv \h </w:instrText>
          </w:r>
          <w:r>
            <w:fldChar w:fldCharType="separate"/>
          </w:r>
          <w:r>
            <w:rPr>
              <w:sz w:val="22"/>
              <w:szCs w:val="22"/>
              <w:u w:val="single"/>
            </w:rPr>
            <w:t>Individuals Consulted on Statistical Aspects and Individuals Collecting and/or Analyzing Data</w:t>
          </w:r>
          <w:r>
            <w:fldChar w:fldCharType="end"/>
          </w:r>
          <w:r>
            <w:rPr>
              <w:sz w:val="22"/>
              <w:szCs w:val="22"/>
            </w:rPr>
            <w:tab/>
            <w:t>6</w:t>
          </w:r>
        </w:p>
        <w:p w:rsidR="000B40E1" w14:paraId="00000024" w14:textId="77777777">
          <w:pPr>
            <w:rPr>
              <w:sz w:val="22"/>
              <w:szCs w:val="22"/>
            </w:rPr>
          </w:pPr>
          <w:r>
            <w:fldChar w:fldCharType="end"/>
          </w:r>
        </w:p>
      </w:sdtContent>
    </w:sdt>
    <w:p w:rsidR="000B40E1" w14:paraId="00000025" w14:textId="77777777">
      <w:bookmarkStart w:id="1" w:name="_heading=h.30j0zll" w:colFirst="0" w:colLast="0"/>
      <w:bookmarkEnd w:id="1"/>
    </w:p>
    <w:p w:rsidR="000B40E1" w14:paraId="00000026" w14:textId="77777777">
      <w:pPr>
        <w:pBdr>
          <w:top w:val="nil"/>
          <w:left w:val="nil"/>
          <w:bottom w:val="nil"/>
          <w:right w:val="nil"/>
          <w:between w:val="nil"/>
        </w:pBdr>
        <w:tabs>
          <w:tab w:val="right" w:pos="9360"/>
        </w:tabs>
        <w:spacing w:before="240" w:after="80" w:line="360" w:lineRule="auto"/>
        <w:ind w:right="720"/>
        <w:rPr>
          <w:color w:val="000000"/>
        </w:rPr>
      </w:pPr>
      <w:bookmarkStart w:id="2" w:name="_heading=h.lap1jrqt6als" w:colFirst="0" w:colLast="0"/>
      <w:bookmarkEnd w:id="2"/>
      <w:r>
        <w:rPr>
          <w:b/>
          <w:color w:val="000000"/>
        </w:rPr>
        <w:t>LIST OF ATTACHMENTS</w:t>
      </w:r>
    </w:p>
    <w:p w:rsidR="000B40E1" w14:paraId="00000027" w14:textId="77777777">
      <w:pPr>
        <w:numPr>
          <w:ilvl w:val="0"/>
          <w:numId w:val="4"/>
        </w:numPr>
        <w:pBdr>
          <w:top w:val="nil"/>
          <w:left w:val="nil"/>
          <w:bottom w:val="nil"/>
          <w:right w:val="nil"/>
          <w:between w:val="nil"/>
        </w:pBdr>
        <w:tabs>
          <w:tab w:val="left" w:pos="2160"/>
        </w:tabs>
        <w:spacing w:after="0"/>
      </w:pPr>
      <w:r>
        <w:rPr>
          <w:color w:val="000000"/>
        </w:rPr>
        <w:t>Eligibility Screener</w:t>
      </w:r>
    </w:p>
    <w:p w:rsidR="000B40E1" w14:paraId="00000028" w14:textId="77777777">
      <w:pPr>
        <w:numPr>
          <w:ilvl w:val="0"/>
          <w:numId w:val="4"/>
        </w:numPr>
        <w:pBdr>
          <w:top w:val="nil"/>
          <w:left w:val="nil"/>
          <w:bottom w:val="nil"/>
          <w:right w:val="nil"/>
          <w:between w:val="nil"/>
        </w:pBdr>
        <w:tabs>
          <w:tab w:val="left" w:pos="2160"/>
        </w:tabs>
        <w:spacing w:after="0"/>
      </w:pPr>
      <w:r>
        <w:rPr>
          <w:color w:val="000000"/>
        </w:rPr>
        <w:t>Recruitment Materials</w:t>
      </w:r>
    </w:p>
    <w:p w:rsidR="000B40E1" w14:paraId="00000029" w14:textId="77777777">
      <w:pPr>
        <w:numPr>
          <w:ilvl w:val="0"/>
          <w:numId w:val="4"/>
        </w:numPr>
        <w:pBdr>
          <w:top w:val="nil"/>
          <w:left w:val="nil"/>
          <w:bottom w:val="nil"/>
          <w:right w:val="nil"/>
          <w:between w:val="nil"/>
        </w:pBdr>
        <w:tabs>
          <w:tab w:val="left" w:pos="2160"/>
        </w:tabs>
        <w:spacing w:after="0"/>
      </w:pPr>
      <w:r>
        <w:rPr>
          <w:color w:val="000000"/>
        </w:rPr>
        <w:t>Eligible Participant Screener</w:t>
      </w:r>
    </w:p>
    <w:p w:rsidR="000B40E1" w14:paraId="0000002A" w14:textId="77777777">
      <w:pPr>
        <w:numPr>
          <w:ilvl w:val="0"/>
          <w:numId w:val="4"/>
        </w:numPr>
        <w:pBdr>
          <w:top w:val="nil"/>
          <w:left w:val="nil"/>
          <w:bottom w:val="nil"/>
          <w:right w:val="nil"/>
          <w:between w:val="nil"/>
        </w:pBdr>
        <w:tabs>
          <w:tab w:val="left" w:pos="2160"/>
        </w:tabs>
        <w:spacing w:after="0"/>
      </w:pPr>
      <w:r>
        <w:rPr>
          <w:color w:val="000000"/>
        </w:rPr>
        <w:t>Privacy Agreement</w:t>
      </w:r>
    </w:p>
    <w:p w:rsidR="000B40E1" w14:paraId="0000002B" w14:textId="77777777">
      <w:pPr>
        <w:numPr>
          <w:ilvl w:val="0"/>
          <w:numId w:val="4"/>
        </w:numPr>
        <w:pBdr>
          <w:top w:val="nil"/>
          <w:left w:val="nil"/>
          <w:bottom w:val="nil"/>
          <w:right w:val="nil"/>
          <w:between w:val="nil"/>
        </w:pBdr>
        <w:tabs>
          <w:tab w:val="left" w:pos="2160"/>
        </w:tabs>
        <w:spacing w:after="0"/>
      </w:pPr>
      <w:r>
        <w:rPr>
          <w:color w:val="000000"/>
        </w:rPr>
        <w:t>Respondent Consent Form for Focus Groups</w:t>
      </w:r>
    </w:p>
    <w:p w:rsidR="000B40E1" w14:paraId="0000002C" w14:textId="77777777">
      <w:pPr>
        <w:numPr>
          <w:ilvl w:val="0"/>
          <w:numId w:val="4"/>
        </w:numPr>
        <w:pBdr>
          <w:top w:val="nil"/>
          <w:left w:val="nil"/>
          <w:bottom w:val="nil"/>
          <w:right w:val="nil"/>
          <w:between w:val="nil"/>
        </w:pBdr>
        <w:tabs>
          <w:tab w:val="left" w:pos="2160"/>
        </w:tabs>
        <w:spacing w:after="0"/>
      </w:pPr>
      <w:r>
        <w:rPr>
          <w:color w:val="000000"/>
        </w:rPr>
        <w:t>Standard Invitation for FGs</w:t>
      </w:r>
    </w:p>
    <w:p w:rsidR="000B40E1" w14:paraId="0000002D" w14:textId="77777777">
      <w:pPr>
        <w:numPr>
          <w:ilvl w:val="0"/>
          <w:numId w:val="4"/>
        </w:numPr>
        <w:pBdr>
          <w:top w:val="nil"/>
          <w:left w:val="nil"/>
          <w:bottom w:val="nil"/>
          <w:right w:val="nil"/>
          <w:between w:val="nil"/>
        </w:pBdr>
        <w:tabs>
          <w:tab w:val="left" w:pos="2160"/>
        </w:tabs>
        <w:spacing w:after="0"/>
      </w:pPr>
      <w:r>
        <w:rPr>
          <w:color w:val="000000"/>
        </w:rPr>
        <w:t>Participant Confirmation Email</w:t>
      </w:r>
    </w:p>
    <w:p w:rsidR="000B40E1" w14:paraId="0000002E" w14:textId="77777777">
      <w:pPr>
        <w:numPr>
          <w:ilvl w:val="0"/>
          <w:numId w:val="4"/>
        </w:numPr>
        <w:pBdr>
          <w:top w:val="nil"/>
          <w:left w:val="nil"/>
          <w:bottom w:val="nil"/>
          <w:right w:val="nil"/>
          <w:between w:val="nil"/>
        </w:pBdr>
        <w:tabs>
          <w:tab w:val="left" w:pos="2160"/>
        </w:tabs>
        <w:spacing w:after="0"/>
      </w:pPr>
      <w:r>
        <w:rPr>
          <w:color w:val="000000"/>
        </w:rPr>
        <w:t>Focus Group Moderator Guide</w:t>
      </w:r>
    </w:p>
    <w:p w:rsidR="000B40E1" w:rsidRPr="001E3A87" w14:paraId="0000002F" w14:textId="77777777">
      <w:pPr>
        <w:numPr>
          <w:ilvl w:val="0"/>
          <w:numId w:val="4"/>
        </w:numPr>
        <w:pBdr>
          <w:top w:val="nil"/>
          <w:left w:val="nil"/>
          <w:bottom w:val="nil"/>
          <w:right w:val="nil"/>
          <w:between w:val="nil"/>
        </w:pBdr>
        <w:tabs>
          <w:tab w:val="left" w:pos="2160"/>
        </w:tabs>
        <w:spacing w:after="0"/>
      </w:pPr>
      <w:r>
        <w:rPr>
          <w:color w:val="000000"/>
        </w:rPr>
        <w:t xml:space="preserve">Messages to be </w:t>
      </w:r>
      <w:r>
        <w:rPr>
          <w:color w:val="000000"/>
        </w:rPr>
        <w:t>Tested</w:t>
      </w:r>
    </w:p>
    <w:p w:rsidR="003E447A" w:rsidRPr="001E3A87" w14:paraId="75CEB2F0" w14:textId="398B295F">
      <w:pPr>
        <w:numPr>
          <w:ilvl w:val="0"/>
          <w:numId w:val="4"/>
        </w:numPr>
        <w:pBdr>
          <w:top w:val="nil"/>
          <w:left w:val="nil"/>
          <w:bottom w:val="nil"/>
          <w:right w:val="nil"/>
          <w:between w:val="nil"/>
        </w:pBdr>
        <w:tabs>
          <w:tab w:val="left" w:pos="2160"/>
        </w:tabs>
        <w:spacing w:after="0"/>
      </w:pPr>
      <w:r>
        <w:rPr>
          <w:color w:val="000000"/>
        </w:rPr>
        <w:t xml:space="preserve">Human Subjects Determination </w:t>
      </w:r>
    </w:p>
    <w:p w:rsidR="003E447A" w:rsidP="001E3A87" w14:paraId="525C14A4" w14:textId="77777777">
      <w:pPr>
        <w:pBdr>
          <w:top w:val="nil"/>
          <w:left w:val="nil"/>
          <w:bottom w:val="nil"/>
          <w:right w:val="nil"/>
          <w:between w:val="nil"/>
        </w:pBdr>
        <w:tabs>
          <w:tab w:val="left" w:pos="2160"/>
        </w:tabs>
        <w:spacing w:after="0"/>
        <w:ind w:left="720"/>
      </w:pPr>
    </w:p>
    <w:p w:rsidR="000B40E1" w14:paraId="00000030" w14:textId="77777777"/>
    <w:p w:rsidR="000B40E1" w14:paraId="00000031" w14:textId="77777777">
      <w:bookmarkStart w:id="3" w:name="_heading=h.jpgfq7y5umng" w:colFirst="0" w:colLast="0"/>
      <w:bookmarkEnd w:id="3"/>
    </w:p>
    <w:p w:rsidR="000B40E1" w14:paraId="00000032" w14:textId="77777777">
      <w:bookmarkStart w:id="4" w:name="_heading=h.r56d4g8zidj1" w:colFirst="0" w:colLast="0"/>
      <w:bookmarkEnd w:id="4"/>
    </w:p>
    <w:p w:rsidR="000B40E1" w14:paraId="00000033" w14:textId="77777777">
      <w:bookmarkStart w:id="5" w:name="_heading=h.8b5af7eqwpqa" w:colFirst="0" w:colLast="0"/>
      <w:bookmarkEnd w:id="5"/>
    </w:p>
    <w:p w:rsidR="000B40E1" w14:paraId="00000034" w14:textId="77777777">
      <w:bookmarkStart w:id="6" w:name="_heading=h.nnu4xqee762d" w:colFirst="0" w:colLast="0"/>
      <w:bookmarkEnd w:id="6"/>
    </w:p>
    <w:p w:rsidR="000B40E1" w14:paraId="00000035" w14:textId="77777777">
      <w:bookmarkStart w:id="7" w:name="_heading=h.wm38pzrhvusx" w:colFirst="0" w:colLast="0"/>
      <w:bookmarkEnd w:id="7"/>
    </w:p>
    <w:p w:rsidR="000B40E1" w14:paraId="00000036" w14:textId="77777777">
      <w:bookmarkStart w:id="8" w:name="_heading=h.s20enp5xmulv" w:colFirst="0" w:colLast="0"/>
      <w:bookmarkEnd w:id="8"/>
    </w:p>
    <w:p w:rsidR="000B40E1" w14:paraId="00000037" w14:textId="77777777">
      <w:bookmarkStart w:id="9" w:name="_heading=h.789g5zj2xa9x" w:colFirst="0" w:colLast="0"/>
      <w:bookmarkEnd w:id="9"/>
    </w:p>
    <w:p w:rsidR="000B40E1" w14:paraId="00000038" w14:textId="77777777">
      <w:pPr>
        <w:rPr>
          <w:b/>
          <w:sz w:val="22"/>
          <w:szCs w:val="22"/>
        </w:rPr>
      </w:pPr>
      <w:bookmarkStart w:id="10" w:name="_heading=h.5cpeji35m7hv" w:colFirst="0" w:colLast="0"/>
      <w:bookmarkEnd w:id="10"/>
      <w:r>
        <w:br w:type="page"/>
      </w:r>
    </w:p>
    <w:p w:rsidR="000B40E1" w14:paraId="00000039" w14:textId="77777777">
      <w:pPr>
        <w:rPr>
          <w:b/>
          <w:sz w:val="22"/>
          <w:szCs w:val="22"/>
        </w:rPr>
      </w:pPr>
      <w:bookmarkStart w:id="11" w:name="_heading=h.a2n6z089llmm" w:colFirst="0" w:colLast="0"/>
      <w:bookmarkEnd w:id="11"/>
      <w:r>
        <w:rPr>
          <w:b/>
          <w:sz w:val="22"/>
          <w:szCs w:val="22"/>
        </w:rPr>
        <w:t>Supporting Statement B</w:t>
      </w:r>
    </w:p>
    <w:p w:rsidR="000B40E1" w14:paraId="0000003A" w14:textId="77777777">
      <w:pPr>
        <w:rPr>
          <w:sz w:val="22"/>
          <w:szCs w:val="22"/>
        </w:rPr>
      </w:pPr>
      <w:r>
        <w:rPr>
          <w:sz w:val="22"/>
          <w:szCs w:val="22"/>
        </w:rPr>
        <w:t>The collection of data for this project does not involve statistical methods, and the purpose of the collection is not to make statistical generalizations beyond the respondents included in the study. The objectives of the project are to:</w:t>
      </w:r>
    </w:p>
    <w:p w:rsidR="000B40E1" w14:paraId="0000003B" w14:textId="77777777">
      <w:pPr>
        <w:numPr>
          <w:ilvl w:val="0"/>
          <w:numId w:val="2"/>
        </w:numPr>
        <w:pBdr>
          <w:top w:val="nil"/>
          <w:left w:val="nil"/>
          <w:bottom w:val="nil"/>
          <w:right w:val="nil"/>
          <w:between w:val="nil"/>
        </w:pBdr>
        <w:rPr>
          <w:sz w:val="22"/>
          <w:szCs w:val="22"/>
        </w:rPr>
      </w:pPr>
      <w:r>
        <w:rPr>
          <w:sz w:val="22"/>
          <w:szCs w:val="22"/>
        </w:rPr>
        <w:t>Identify appropriate and effective messages for the public to increase awareness on preventing harmful algal blooms (HABs)-associated illness and following proper water safety practices.</w:t>
      </w:r>
    </w:p>
    <w:p w:rsidR="000B40E1" w14:paraId="0000003C" w14:textId="77777777">
      <w:pPr>
        <w:numPr>
          <w:ilvl w:val="0"/>
          <w:numId w:val="2"/>
        </w:numPr>
        <w:pBdr>
          <w:top w:val="nil"/>
          <w:left w:val="nil"/>
          <w:bottom w:val="nil"/>
          <w:right w:val="nil"/>
          <w:between w:val="nil"/>
        </w:pBdr>
        <w:rPr>
          <w:sz w:val="22"/>
          <w:szCs w:val="22"/>
        </w:rPr>
      </w:pPr>
      <w:r>
        <w:rPr>
          <w:sz w:val="22"/>
          <w:szCs w:val="22"/>
        </w:rPr>
        <w:t>Gather data on the preferred tone, format, and placement of those messages on CDC’s communication channels.</w:t>
      </w:r>
    </w:p>
    <w:p w:rsidR="000B40E1" w14:paraId="0000003D" w14:textId="77777777">
      <w:pPr>
        <w:pStyle w:val="Heading1"/>
        <w:numPr>
          <w:ilvl w:val="0"/>
          <w:numId w:val="3"/>
        </w:numPr>
        <w:rPr>
          <w:sz w:val="22"/>
          <w:szCs w:val="22"/>
        </w:rPr>
      </w:pPr>
      <w:bookmarkStart w:id="12" w:name="bookmark=id.crtbecaxrtt5" w:colFirst="0" w:colLast="0"/>
      <w:bookmarkEnd w:id="12"/>
      <w:r>
        <w:rPr>
          <w:sz w:val="22"/>
          <w:szCs w:val="22"/>
        </w:rPr>
        <w:t>Respondent Universe and Sampling Methods</w:t>
      </w:r>
    </w:p>
    <w:p w:rsidR="000B40E1" w14:paraId="0000003E" w14:textId="33B871AC">
      <w:pPr>
        <w:rPr>
          <w:sz w:val="22"/>
          <w:szCs w:val="22"/>
        </w:rPr>
      </w:pPr>
      <w:r>
        <w:rPr>
          <w:sz w:val="22"/>
          <w:szCs w:val="22"/>
        </w:rPr>
        <w:t xml:space="preserve">The project team will enlist a national recruitment agency to recruit and manage participant screening. They will recruit from a national proprietary database of individuals. The primary audience for the focus groups is U.S. adults aged 18 and older who visit freshwater bodies at least once per month in summer months. </w:t>
      </w:r>
      <w:sdt>
        <w:sdtPr>
          <w:tag w:val="goog_rdk_0"/>
          <w:id w:val="-1358265649"/>
          <w:richText/>
        </w:sdtPr>
        <w:sdtContent>
          <w:r>
            <w:rPr>
              <w:sz w:val="22"/>
              <w:szCs w:val="22"/>
            </w:rPr>
            <w:t xml:space="preserve">We have set targets for the research focus group sample by key audiences, based on data </w:t>
          </w:r>
          <w:r w:rsidR="003C48BB">
            <w:rPr>
              <w:sz w:val="22"/>
              <w:szCs w:val="22"/>
            </w:rPr>
            <w:t>about</w:t>
          </w:r>
          <w:r>
            <w:rPr>
              <w:sz w:val="22"/>
              <w:szCs w:val="22"/>
            </w:rPr>
            <w:t xml:space="preserve"> risk for illness associated with harmful algal blooms (HABs) (</w:t>
          </w:r>
          <w:r>
            <w:rPr>
              <w:sz w:val="22"/>
              <w:szCs w:val="22"/>
            </w:rPr>
            <w:t>Hilborn</w:t>
          </w:r>
          <w:r>
            <w:rPr>
              <w:sz w:val="22"/>
              <w:szCs w:val="22"/>
            </w:rPr>
            <w:t xml:space="preserve"> &amp; Beasley, 2015; </w:t>
          </w:r>
          <w:r>
            <w:rPr>
              <w:sz w:val="22"/>
              <w:szCs w:val="22"/>
            </w:rPr>
            <w:t>Lavery</w:t>
          </w:r>
          <w:r>
            <w:rPr>
              <w:sz w:val="22"/>
              <w:szCs w:val="22"/>
            </w:rPr>
            <w:t xml:space="preserve">, </w:t>
          </w:r>
          <w:r>
            <w:rPr>
              <w:sz w:val="22"/>
              <w:szCs w:val="22"/>
            </w:rPr>
            <w:t>Kieszak</w:t>
          </w:r>
          <w:r>
            <w:rPr>
              <w:sz w:val="22"/>
              <w:szCs w:val="22"/>
            </w:rPr>
            <w:t xml:space="preserve">, Law et al., 2019). </w:t>
          </w:r>
        </w:sdtContent>
      </w:sdt>
      <w:sdt>
        <w:sdtPr>
          <w:tag w:val="goog_rdk_1"/>
          <w:id w:val="1617176368"/>
          <w:richText/>
        </w:sdtPr>
        <w:sdtContent>
          <w:sdt>
            <w:sdtPr>
              <w:tag w:val="goog_rdk_2"/>
              <w:id w:val="-1851173316"/>
              <w:richText/>
            </w:sdtPr>
            <w:sdtContent/>
          </w:sdt>
        </w:sdtContent>
      </w:sdt>
      <w:r>
        <w:rPr>
          <w:sz w:val="22"/>
          <w:szCs w:val="22"/>
        </w:rPr>
        <w:t xml:space="preserve">Key audiences will consist of general consumer audiences who visit freshwater bodies, parents who visit freshwater bodies with their children, and dog owners who visit freshwater bodies with their dogs. The project team will aim to recruit a sample of diverse participants that aligns with </w:t>
      </w:r>
      <w:hyperlink r:id="rId8">
        <w:r>
          <w:rPr>
            <w:color w:val="1155CC"/>
            <w:sz w:val="22"/>
            <w:szCs w:val="22"/>
            <w:u w:val="single"/>
          </w:rPr>
          <w:t>U.S Census data</w:t>
        </w:r>
      </w:hyperlink>
      <w:r>
        <w:rPr>
          <w:sz w:val="22"/>
          <w:szCs w:val="22"/>
        </w:rPr>
        <w:t>. The project team will aim to recruit a sample of diverse participants by various demographic and harmful algal bloom risk characteristics segmented as shown in Tables 1 and 2, respectively. We will conduct a series of 4 virtual focus groups lasting 60 minutes each. Each focus group will consist of up to eight participants (n=32).</w:t>
      </w:r>
    </w:p>
    <w:p w:rsidR="000B40E1" w14:paraId="0000003F" w14:textId="77777777">
      <w:pPr>
        <w:spacing w:line="240" w:lineRule="auto"/>
        <w:rPr>
          <w:sz w:val="22"/>
          <w:szCs w:val="22"/>
        </w:rPr>
      </w:pPr>
      <w:r>
        <w:rPr>
          <w:sz w:val="22"/>
          <w:szCs w:val="22"/>
        </w:rPr>
        <w:t xml:space="preserve">     Table 1. Focus group demographic makeup by key audience, type, and number.</w:t>
      </w:r>
    </w:p>
    <w:tbl>
      <w:tblPr>
        <w:tblStyle w:val="a"/>
        <w:tblW w:w="96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
      <w:tblGrid>
        <w:gridCol w:w="5581"/>
        <w:gridCol w:w="2148"/>
        <w:gridCol w:w="1946"/>
      </w:tblGrid>
      <w:tr w14:paraId="4E038E0E" w14:textId="77777777">
        <w:tblPrEx>
          <w:tblW w:w="9675" w:type="dxa"/>
          <w:jc w:val="center"/>
          <w:tblBorders>
            <w:top w:val="single" w:sz="4" w:space="0" w:color="3C4043"/>
            <w:left w:val="single" w:sz="4" w:space="0" w:color="3C4043"/>
            <w:bottom w:val="single" w:sz="4" w:space="0" w:color="3C4043"/>
            <w:right w:val="single" w:sz="4" w:space="0" w:color="3C4043"/>
            <w:insideH w:val="single" w:sz="4" w:space="0" w:color="3C4043"/>
            <w:insideV w:val="single" w:sz="4" w:space="0" w:color="3C4043"/>
          </w:tblBorders>
          <w:tblLayout w:type="fixed"/>
          <w:tblLook w:val="0400"/>
        </w:tblPrEx>
        <w:trPr>
          <w:tblHeader/>
          <w:jc w:val="center"/>
        </w:trPr>
        <w:tc>
          <w:tcPr>
            <w:tcW w:w="5581" w:type="dxa"/>
            <w:tcBorders>
              <w:bottom w:val="single" w:sz="4" w:space="0" w:color="3C4043"/>
            </w:tcBorders>
            <w:shd w:val="clear" w:color="auto" w:fill="auto"/>
            <w:vAlign w:val="center"/>
          </w:tcPr>
          <w:p w:rsidR="000B40E1" w14:paraId="00000040" w14:textId="77777777">
            <w:pPr>
              <w:spacing w:after="18"/>
              <w:rPr>
                <w:b/>
                <w:color w:val="000000"/>
                <w:sz w:val="21"/>
                <w:szCs w:val="21"/>
              </w:rPr>
            </w:pPr>
            <w:r>
              <w:rPr>
                <w:b/>
                <w:color w:val="000000"/>
                <w:sz w:val="21"/>
                <w:szCs w:val="21"/>
              </w:rPr>
              <w:t>Population</w:t>
            </w:r>
          </w:p>
        </w:tc>
        <w:tc>
          <w:tcPr>
            <w:tcW w:w="2148" w:type="dxa"/>
            <w:tcBorders>
              <w:bottom w:val="single" w:sz="4" w:space="0" w:color="3C4043"/>
            </w:tcBorders>
            <w:shd w:val="clear" w:color="auto" w:fill="auto"/>
            <w:vAlign w:val="center"/>
          </w:tcPr>
          <w:p w:rsidR="000B40E1" w14:paraId="00000041" w14:textId="4BBD5A1C">
            <w:pPr>
              <w:spacing w:after="18"/>
              <w:jc w:val="center"/>
              <w:rPr>
                <w:b/>
                <w:color w:val="000000"/>
                <w:sz w:val="21"/>
                <w:szCs w:val="21"/>
              </w:rPr>
            </w:pPr>
            <w:r>
              <w:rPr>
                <w:b/>
                <w:color w:val="000000"/>
                <w:sz w:val="21"/>
                <w:szCs w:val="21"/>
              </w:rPr>
              <w:t xml:space="preserve">Number of </w:t>
            </w:r>
            <w:r w:rsidR="003E447A">
              <w:rPr>
                <w:b/>
                <w:color w:val="000000"/>
                <w:sz w:val="21"/>
                <w:szCs w:val="21"/>
              </w:rPr>
              <w:t>Focus Group Discussions (</w:t>
            </w:r>
            <w:r>
              <w:rPr>
                <w:b/>
                <w:color w:val="000000"/>
                <w:sz w:val="21"/>
                <w:szCs w:val="21"/>
              </w:rPr>
              <w:t>FGDs</w:t>
            </w:r>
            <w:r w:rsidR="003E447A">
              <w:rPr>
                <w:b/>
                <w:color w:val="000000"/>
                <w:sz w:val="21"/>
                <w:szCs w:val="21"/>
              </w:rPr>
              <w:t>)</w:t>
            </w:r>
          </w:p>
        </w:tc>
        <w:tc>
          <w:tcPr>
            <w:tcW w:w="1946" w:type="dxa"/>
            <w:tcBorders>
              <w:bottom w:val="single" w:sz="4" w:space="0" w:color="3C4043"/>
            </w:tcBorders>
          </w:tcPr>
          <w:p w:rsidR="000B40E1" w14:paraId="00000042" w14:textId="77777777">
            <w:pPr>
              <w:spacing w:after="18"/>
              <w:jc w:val="center"/>
              <w:rPr>
                <w:b/>
                <w:color w:val="000000"/>
                <w:sz w:val="21"/>
                <w:szCs w:val="21"/>
              </w:rPr>
            </w:pPr>
            <w:r>
              <w:rPr>
                <w:b/>
                <w:color w:val="000000"/>
                <w:sz w:val="21"/>
                <w:szCs w:val="21"/>
              </w:rPr>
              <w:t>Number of Participants</w:t>
            </w:r>
          </w:p>
        </w:tc>
      </w:tr>
      <w:tr w14:paraId="796D8BFE" w14:textId="77777777">
        <w:tblPrEx>
          <w:tblW w:w="9675" w:type="dxa"/>
          <w:jc w:val="center"/>
          <w:tblLayout w:type="fixed"/>
          <w:tblLook w:val="0400"/>
        </w:tblPrEx>
        <w:trPr>
          <w:trHeight w:val="324"/>
          <w:jc w:val="center"/>
        </w:trPr>
        <w:tc>
          <w:tcPr>
            <w:tcW w:w="5581" w:type="dxa"/>
            <w:shd w:val="clear" w:color="auto" w:fill="auto"/>
            <w:tcMar>
              <w:top w:w="72" w:type="dxa"/>
              <w:left w:w="72" w:type="dxa"/>
              <w:bottom w:w="72" w:type="dxa"/>
              <w:right w:w="72" w:type="dxa"/>
            </w:tcMar>
          </w:tcPr>
          <w:p w:rsidR="000B40E1" w14:paraId="00000043" w14:textId="77777777">
            <w:pPr>
              <w:tabs>
                <w:tab w:val="left" w:pos="456"/>
              </w:tabs>
              <w:rPr>
                <w:sz w:val="20"/>
                <w:szCs w:val="20"/>
              </w:rPr>
            </w:pPr>
            <w:r>
              <w:rPr>
                <w:sz w:val="20"/>
                <w:szCs w:val="20"/>
              </w:rPr>
              <w:t xml:space="preserve">General population (18+), who visit freshwater bodies </w:t>
            </w:r>
          </w:p>
        </w:tc>
        <w:tc>
          <w:tcPr>
            <w:tcW w:w="2148" w:type="dxa"/>
            <w:tcMar>
              <w:top w:w="72" w:type="dxa"/>
              <w:left w:w="72" w:type="dxa"/>
              <w:bottom w:w="72" w:type="dxa"/>
              <w:right w:w="72" w:type="dxa"/>
            </w:tcMar>
          </w:tcPr>
          <w:p w:rsidR="000B40E1" w14:paraId="00000044" w14:textId="77777777">
            <w:pPr>
              <w:tabs>
                <w:tab w:val="left" w:pos="456"/>
              </w:tabs>
              <w:jc w:val="center"/>
              <w:rPr>
                <w:sz w:val="20"/>
                <w:szCs w:val="20"/>
              </w:rPr>
            </w:pPr>
            <w:r>
              <w:rPr>
                <w:sz w:val="20"/>
                <w:szCs w:val="20"/>
              </w:rPr>
              <w:t>2</w:t>
            </w:r>
          </w:p>
        </w:tc>
        <w:tc>
          <w:tcPr>
            <w:tcW w:w="1946" w:type="dxa"/>
          </w:tcPr>
          <w:p w:rsidR="000B40E1" w14:paraId="00000045" w14:textId="77777777">
            <w:pPr>
              <w:tabs>
                <w:tab w:val="left" w:pos="456"/>
              </w:tabs>
              <w:jc w:val="center"/>
              <w:rPr>
                <w:sz w:val="20"/>
                <w:szCs w:val="20"/>
              </w:rPr>
            </w:pPr>
            <w:r>
              <w:rPr>
                <w:sz w:val="20"/>
                <w:szCs w:val="20"/>
              </w:rPr>
              <w:t>16</w:t>
            </w:r>
          </w:p>
        </w:tc>
      </w:tr>
      <w:tr w14:paraId="7AA09877" w14:textId="77777777">
        <w:tblPrEx>
          <w:tblW w:w="9675" w:type="dxa"/>
          <w:jc w:val="center"/>
          <w:tblLayout w:type="fixed"/>
          <w:tblLook w:val="0400"/>
        </w:tblPrEx>
        <w:trPr>
          <w:trHeight w:val="324"/>
          <w:jc w:val="center"/>
        </w:trPr>
        <w:tc>
          <w:tcPr>
            <w:tcW w:w="5581" w:type="dxa"/>
            <w:shd w:val="clear" w:color="auto" w:fill="auto"/>
            <w:tcMar>
              <w:top w:w="72" w:type="dxa"/>
              <w:left w:w="72" w:type="dxa"/>
              <w:bottom w:w="72" w:type="dxa"/>
              <w:right w:w="72" w:type="dxa"/>
            </w:tcMar>
          </w:tcPr>
          <w:p w:rsidR="000B40E1" w14:paraId="00000046" w14:textId="77777777">
            <w:pPr>
              <w:tabs>
                <w:tab w:val="left" w:pos="456"/>
              </w:tabs>
              <w:rPr>
                <w:sz w:val="20"/>
                <w:szCs w:val="20"/>
              </w:rPr>
            </w:pPr>
            <w:r>
              <w:rPr>
                <w:sz w:val="20"/>
                <w:szCs w:val="20"/>
              </w:rPr>
              <w:t>Parents (18+), who visit freshwater bodies with their kids/teens</w:t>
            </w:r>
          </w:p>
        </w:tc>
        <w:tc>
          <w:tcPr>
            <w:tcW w:w="2148" w:type="dxa"/>
            <w:tcMar>
              <w:top w:w="72" w:type="dxa"/>
              <w:left w:w="72" w:type="dxa"/>
              <w:bottom w:w="72" w:type="dxa"/>
              <w:right w:w="72" w:type="dxa"/>
            </w:tcMar>
          </w:tcPr>
          <w:p w:rsidR="000B40E1" w14:paraId="00000047" w14:textId="77777777">
            <w:pPr>
              <w:tabs>
                <w:tab w:val="left" w:pos="456"/>
              </w:tabs>
              <w:jc w:val="center"/>
              <w:rPr>
                <w:sz w:val="20"/>
                <w:szCs w:val="20"/>
              </w:rPr>
            </w:pPr>
            <w:r>
              <w:rPr>
                <w:sz w:val="20"/>
                <w:szCs w:val="20"/>
              </w:rPr>
              <w:t>1</w:t>
            </w:r>
          </w:p>
        </w:tc>
        <w:tc>
          <w:tcPr>
            <w:tcW w:w="1946" w:type="dxa"/>
          </w:tcPr>
          <w:p w:rsidR="000B40E1" w14:paraId="00000048" w14:textId="77777777">
            <w:pPr>
              <w:tabs>
                <w:tab w:val="left" w:pos="456"/>
              </w:tabs>
              <w:jc w:val="center"/>
              <w:rPr>
                <w:sz w:val="20"/>
                <w:szCs w:val="20"/>
              </w:rPr>
            </w:pPr>
            <w:r>
              <w:rPr>
                <w:sz w:val="20"/>
                <w:szCs w:val="20"/>
              </w:rPr>
              <w:t>8</w:t>
            </w:r>
          </w:p>
        </w:tc>
      </w:tr>
      <w:tr w14:paraId="7E05FD8B" w14:textId="77777777">
        <w:tblPrEx>
          <w:tblW w:w="9675" w:type="dxa"/>
          <w:jc w:val="center"/>
          <w:tblLayout w:type="fixed"/>
          <w:tblLook w:val="0400"/>
        </w:tblPrEx>
        <w:trPr>
          <w:trHeight w:val="324"/>
          <w:jc w:val="center"/>
        </w:trPr>
        <w:tc>
          <w:tcPr>
            <w:tcW w:w="5581" w:type="dxa"/>
            <w:shd w:val="clear" w:color="auto" w:fill="auto"/>
            <w:tcMar>
              <w:top w:w="72" w:type="dxa"/>
              <w:left w:w="72" w:type="dxa"/>
              <w:bottom w:w="72" w:type="dxa"/>
              <w:right w:w="72" w:type="dxa"/>
            </w:tcMar>
          </w:tcPr>
          <w:p w:rsidR="000B40E1" w14:paraId="00000049" w14:textId="77777777">
            <w:pPr>
              <w:tabs>
                <w:tab w:val="left" w:pos="456"/>
              </w:tabs>
              <w:rPr>
                <w:sz w:val="20"/>
                <w:szCs w:val="20"/>
              </w:rPr>
            </w:pPr>
            <w:r>
              <w:rPr>
                <w:sz w:val="20"/>
                <w:szCs w:val="20"/>
              </w:rPr>
              <w:t xml:space="preserve">Dog owners (18+), who visit freshwater bodies with their dogs </w:t>
            </w:r>
          </w:p>
        </w:tc>
        <w:tc>
          <w:tcPr>
            <w:tcW w:w="2148" w:type="dxa"/>
            <w:tcMar>
              <w:top w:w="72" w:type="dxa"/>
              <w:left w:w="72" w:type="dxa"/>
              <w:bottom w:w="72" w:type="dxa"/>
              <w:right w:w="72" w:type="dxa"/>
            </w:tcMar>
          </w:tcPr>
          <w:p w:rsidR="000B40E1" w14:paraId="0000004A" w14:textId="77777777">
            <w:pPr>
              <w:tabs>
                <w:tab w:val="left" w:pos="456"/>
              </w:tabs>
              <w:jc w:val="center"/>
              <w:rPr>
                <w:sz w:val="20"/>
                <w:szCs w:val="20"/>
              </w:rPr>
            </w:pPr>
            <w:r>
              <w:rPr>
                <w:sz w:val="20"/>
                <w:szCs w:val="20"/>
              </w:rPr>
              <w:t>1</w:t>
            </w:r>
          </w:p>
        </w:tc>
        <w:tc>
          <w:tcPr>
            <w:tcW w:w="1946" w:type="dxa"/>
          </w:tcPr>
          <w:p w:rsidR="000B40E1" w14:paraId="0000004B" w14:textId="77777777">
            <w:pPr>
              <w:tabs>
                <w:tab w:val="left" w:pos="456"/>
              </w:tabs>
              <w:jc w:val="center"/>
              <w:rPr>
                <w:sz w:val="20"/>
                <w:szCs w:val="20"/>
              </w:rPr>
            </w:pPr>
            <w:r>
              <w:rPr>
                <w:sz w:val="20"/>
                <w:szCs w:val="20"/>
              </w:rPr>
              <w:t>8</w:t>
            </w:r>
          </w:p>
        </w:tc>
      </w:tr>
      <w:tr w14:paraId="46DCC87D" w14:textId="77777777">
        <w:tblPrEx>
          <w:tblW w:w="9675" w:type="dxa"/>
          <w:jc w:val="center"/>
          <w:tblLayout w:type="fixed"/>
          <w:tblLook w:val="0400"/>
        </w:tblPrEx>
        <w:trPr>
          <w:trHeight w:val="324"/>
          <w:jc w:val="center"/>
        </w:trPr>
        <w:tc>
          <w:tcPr>
            <w:tcW w:w="5581" w:type="dxa"/>
            <w:shd w:val="clear" w:color="auto" w:fill="auto"/>
            <w:tcMar>
              <w:top w:w="72" w:type="dxa"/>
              <w:left w:w="72" w:type="dxa"/>
              <w:bottom w:w="72" w:type="dxa"/>
              <w:right w:w="72" w:type="dxa"/>
            </w:tcMar>
          </w:tcPr>
          <w:p w:rsidR="000B40E1" w14:paraId="0000004C" w14:textId="77777777">
            <w:pPr>
              <w:tabs>
                <w:tab w:val="left" w:pos="456"/>
              </w:tabs>
              <w:rPr>
                <w:b/>
                <w:sz w:val="20"/>
                <w:szCs w:val="20"/>
              </w:rPr>
            </w:pPr>
            <w:r>
              <w:rPr>
                <w:b/>
                <w:sz w:val="20"/>
                <w:szCs w:val="20"/>
              </w:rPr>
              <w:t>Total</w:t>
            </w:r>
          </w:p>
        </w:tc>
        <w:tc>
          <w:tcPr>
            <w:tcW w:w="2148" w:type="dxa"/>
            <w:tcMar>
              <w:top w:w="72" w:type="dxa"/>
              <w:left w:w="72" w:type="dxa"/>
              <w:bottom w:w="72" w:type="dxa"/>
              <w:right w:w="72" w:type="dxa"/>
            </w:tcMar>
          </w:tcPr>
          <w:p w:rsidR="000B40E1" w14:paraId="0000004D" w14:textId="77777777">
            <w:pPr>
              <w:tabs>
                <w:tab w:val="left" w:pos="456"/>
              </w:tabs>
              <w:jc w:val="center"/>
              <w:rPr>
                <w:b/>
                <w:sz w:val="20"/>
                <w:szCs w:val="20"/>
              </w:rPr>
            </w:pPr>
            <w:r>
              <w:rPr>
                <w:b/>
                <w:sz w:val="20"/>
                <w:szCs w:val="20"/>
              </w:rPr>
              <w:t>4</w:t>
            </w:r>
          </w:p>
        </w:tc>
        <w:tc>
          <w:tcPr>
            <w:tcW w:w="1946" w:type="dxa"/>
          </w:tcPr>
          <w:p w:rsidR="000B40E1" w14:paraId="0000004E" w14:textId="77777777">
            <w:pPr>
              <w:tabs>
                <w:tab w:val="left" w:pos="456"/>
              </w:tabs>
              <w:jc w:val="center"/>
              <w:rPr>
                <w:b/>
                <w:sz w:val="20"/>
                <w:szCs w:val="20"/>
              </w:rPr>
            </w:pPr>
            <w:r>
              <w:rPr>
                <w:b/>
                <w:sz w:val="20"/>
                <w:szCs w:val="20"/>
              </w:rPr>
              <w:t>32</w:t>
            </w:r>
          </w:p>
        </w:tc>
      </w:tr>
    </w:tbl>
    <w:p w:rsidR="000B40E1" w14:paraId="0000004F" w14:textId="77777777">
      <w:pPr>
        <w:spacing w:after="0" w:line="240" w:lineRule="auto"/>
        <w:rPr>
          <w:sz w:val="22"/>
          <w:szCs w:val="22"/>
          <w:highlight w:val="yellow"/>
        </w:rPr>
      </w:pPr>
    </w:p>
    <w:p w:rsidR="000B40E1" w14:paraId="00000050" w14:textId="77777777">
      <w:pPr>
        <w:spacing w:line="240" w:lineRule="auto"/>
        <w:rPr>
          <w:sz w:val="22"/>
          <w:szCs w:val="22"/>
        </w:rPr>
      </w:pPr>
      <w:r>
        <w:rPr>
          <w:sz w:val="22"/>
          <w:szCs w:val="22"/>
        </w:rPr>
        <w:t>Table 2. Demographic characteristics to be captured.</w:t>
      </w:r>
    </w:p>
    <w:tbl>
      <w:tblPr>
        <w:tblStyle w:val="a0"/>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
      <w:tblGrid>
        <w:gridCol w:w="6915"/>
      </w:tblGrid>
      <w:tr w14:paraId="1F043B27" w14:textId="77777777">
        <w:tblPrEx>
          <w:tblW w:w="6915" w:type="dxa"/>
          <w:tblInd w:w="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600"/>
        </w:tblPrEx>
        <w:trPr>
          <w:trHeight w:val="2096"/>
        </w:trPr>
        <w:tc>
          <w:tcPr>
            <w:tcW w:w="6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B40E1" w14:paraId="00000051" w14:textId="77777777">
            <w:pPr>
              <w:numPr>
                <w:ilvl w:val="0"/>
                <w:numId w:val="5"/>
              </w:numPr>
              <w:rPr>
                <w:sz w:val="22"/>
                <w:szCs w:val="22"/>
              </w:rPr>
            </w:pPr>
            <w:r>
              <w:rPr>
                <w:sz w:val="22"/>
                <w:szCs w:val="22"/>
              </w:rPr>
              <w:t>Geographic location</w:t>
            </w:r>
          </w:p>
          <w:p w:rsidR="000B40E1" w14:paraId="00000052" w14:textId="77777777">
            <w:pPr>
              <w:numPr>
                <w:ilvl w:val="0"/>
                <w:numId w:val="5"/>
              </w:numPr>
              <w:rPr>
                <w:sz w:val="22"/>
                <w:szCs w:val="22"/>
              </w:rPr>
            </w:pPr>
            <w:r>
              <w:rPr>
                <w:sz w:val="22"/>
                <w:szCs w:val="22"/>
              </w:rPr>
              <w:t>Race and ethnicity</w:t>
            </w:r>
          </w:p>
          <w:p w:rsidR="000B40E1" w14:paraId="00000053" w14:textId="77777777">
            <w:pPr>
              <w:numPr>
                <w:ilvl w:val="0"/>
                <w:numId w:val="5"/>
              </w:numPr>
              <w:rPr>
                <w:sz w:val="22"/>
                <w:szCs w:val="22"/>
              </w:rPr>
            </w:pPr>
            <w:r>
              <w:rPr>
                <w:sz w:val="22"/>
                <w:szCs w:val="22"/>
              </w:rPr>
              <w:t>Income</w:t>
            </w:r>
          </w:p>
          <w:p w:rsidR="000B40E1" w14:paraId="00000054" w14:textId="77777777">
            <w:pPr>
              <w:numPr>
                <w:ilvl w:val="0"/>
                <w:numId w:val="5"/>
              </w:numPr>
              <w:rPr>
                <w:sz w:val="22"/>
                <w:szCs w:val="22"/>
              </w:rPr>
            </w:pPr>
            <w:r>
              <w:rPr>
                <w:sz w:val="22"/>
                <w:szCs w:val="22"/>
              </w:rPr>
              <w:t>Education level</w:t>
            </w:r>
          </w:p>
          <w:p w:rsidR="000B40E1" w14:paraId="00000055" w14:textId="77777777">
            <w:pPr>
              <w:numPr>
                <w:ilvl w:val="0"/>
                <w:numId w:val="5"/>
              </w:numPr>
              <w:rPr>
                <w:sz w:val="22"/>
                <w:szCs w:val="22"/>
              </w:rPr>
            </w:pPr>
            <w:r>
              <w:rPr>
                <w:sz w:val="22"/>
                <w:szCs w:val="22"/>
              </w:rPr>
              <w:t>Occupational status</w:t>
            </w:r>
          </w:p>
          <w:p w:rsidR="000B40E1" w14:paraId="00000056" w14:textId="77777777">
            <w:pPr>
              <w:numPr>
                <w:ilvl w:val="0"/>
                <w:numId w:val="5"/>
              </w:numPr>
              <w:rPr>
                <w:sz w:val="22"/>
                <w:szCs w:val="22"/>
              </w:rPr>
            </w:pPr>
            <w:r>
              <w:rPr>
                <w:sz w:val="22"/>
                <w:szCs w:val="22"/>
              </w:rPr>
              <w:t>Parental/guardian status</w:t>
            </w:r>
          </w:p>
          <w:p w:rsidR="000B40E1" w14:paraId="00000057" w14:textId="77777777">
            <w:pPr>
              <w:numPr>
                <w:ilvl w:val="0"/>
                <w:numId w:val="5"/>
              </w:numPr>
              <w:rPr>
                <w:sz w:val="22"/>
                <w:szCs w:val="22"/>
              </w:rPr>
            </w:pPr>
            <w:r>
              <w:rPr>
                <w:sz w:val="22"/>
                <w:szCs w:val="22"/>
              </w:rPr>
              <w:t xml:space="preserve">Immunocompromised status </w:t>
            </w:r>
          </w:p>
        </w:tc>
      </w:tr>
    </w:tbl>
    <w:p w:rsidR="000B40E1" w14:paraId="00000058" w14:textId="77777777">
      <w:pPr>
        <w:rPr>
          <w:sz w:val="22"/>
          <w:szCs w:val="22"/>
          <w:highlight w:val="yellow"/>
        </w:rPr>
      </w:pPr>
    </w:p>
    <w:p w:rsidR="000B40E1" w14:paraId="00000059" w14:textId="77777777">
      <w:pPr>
        <w:pStyle w:val="Heading1"/>
        <w:numPr>
          <w:ilvl w:val="0"/>
          <w:numId w:val="3"/>
        </w:numPr>
        <w:rPr>
          <w:sz w:val="22"/>
          <w:szCs w:val="22"/>
        </w:rPr>
      </w:pPr>
      <w:bookmarkStart w:id="13" w:name="bookmark=id.566atxgnj4wn" w:colFirst="0" w:colLast="0"/>
      <w:bookmarkStart w:id="14" w:name="_heading=h.1fob9te" w:colFirst="0" w:colLast="0"/>
      <w:bookmarkEnd w:id="13"/>
      <w:bookmarkEnd w:id="14"/>
      <w:r>
        <w:rPr>
          <w:sz w:val="22"/>
          <w:szCs w:val="22"/>
        </w:rPr>
        <w:t>Procedures for the Collection of Information</w:t>
      </w:r>
    </w:p>
    <w:p w:rsidR="000B40E1" w14:paraId="0000005A" w14:textId="77777777">
      <w:pPr>
        <w:rPr>
          <w:i/>
          <w:sz w:val="22"/>
          <w:szCs w:val="22"/>
          <w:u w:val="single"/>
        </w:rPr>
      </w:pPr>
      <w:r>
        <w:rPr>
          <w:i/>
          <w:sz w:val="22"/>
          <w:szCs w:val="22"/>
          <w:u w:val="single"/>
        </w:rPr>
        <w:t>Recruitment</w:t>
      </w:r>
    </w:p>
    <w:p w:rsidR="000B40E1" w14:paraId="0000005B" w14:textId="3237EAC2">
      <w:pPr>
        <w:rPr>
          <w:sz w:val="22"/>
          <w:szCs w:val="22"/>
        </w:rPr>
      </w:pPr>
      <w:r>
        <w:rPr>
          <w:sz w:val="22"/>
          <w:szCs w:val="22"/>
        </w:rPr>
        <w:t xml:space="preserve">For the focus group discussions, to identify and recruit participants, we will employ a </w:t>
      </w:r>
      <w:r w:rsidR="005D4F7D">
        <w:rPr>
          <w:sz w:val="22"/>
          <w:szCs w:val="22"/>
        </w:rPr>
        <w:t>two-part</w:t>
      </w:r>
      <w:r>
        <w:rPr>
          <w:sz w:val="22"/>
          <w:szCs w:val="22"/>
        </w:rPr>
        <w:t xml:space="preserve"> screening process to assess eligibility for participation. The first screener (</w:t>
      </w:r>
      <w:r>
        <w:rPr>
          <w:b/>
          <w:sz w:val="22"/>
          <w:szCs w:val="22"/>
        </w:rPr>
        <w:t>Attachment 1)</w:t>
      </w:r>
      <w:r>
        <w:rPr>
          <w:sz w:val="22"/>
          <w:szCs w:val="22"/>
        </w:rPr>
        <w:t xml:space="preserve"> will ensure they are eligible to participate in the focus groups. The second screener (</w:t>
      </w:r>
      <w:r>
        <w:rPr>
          <w:b/>
          <w:sz w:val="22"/>
          <w:szCs w:val="22"/>
        </w:rPr>
        <w:t>Attachment 3</w:t>
      </w:r>
      <w:r>
        <w:rPr>
          <w:sz w:val="22"/>
          <w:szCs w:val="22"/>
        </w:rPr>
        <w:t xml:space="preserve">) will allow the recruiters to group the participants into specific focus groups (e.g., parents). </w:t>
      </w:r>
    </w:p>
    <w:p w:rsidR="000B40E1" w14:paraId="0000005C" w14:textId="77777777">
      <w:pPr>
        <w:spacing w:after="0"/>
        <w:rPr>
          <w:sz w:val="22"/>
          <w:szCs w:val="22"/>
        </w:rPr>
      </w:pPr>
      <w:r>
        <w:rPr>
          <w:sz w:val="22"/>
          <w:szCs w:val="22"/>
        </w:rPr>
        <w:t xml:space="preserve">Exclusion criteria for participation includes people: </w:t>
      </w:r>
    </w:p>
    <w:p w:rsidR="000B40E1" w14:paraId="0000005D" w14:textId="77777777">
      <w:pPr>
        <w:numPr>
          <w:ilvl w:val="0"/>
          <w:numId w:val="1"/>
        </w:numPr>
        <w:spacing w:after="0"/>
        <w:rPr>
          <w:sz w:val="22"/>
          <w:szCs w:val="22"/>
        </w:rPr>
      </w:pPr>
      <w:r>
        <w:rPr>
          <w:sz w:val="22"/>
          <w:szCs w:val="22"/>
        </w:rPr>
        <w:t xml:space="preserve">under 18 years of </w:t>
      </w:r>
      <w:r>
        <w:rPr>
          <w:sz w:val="22"/>
          <w:szCs w:val="22"/>
        </w:rPr>
        <w:t>age;</w:t>
      </w:r>
    </w:p>
    <w:p w:rsidR="000B40E1" w14:paraId="0000005E" w14:textId="77777777">
      <w:pPr>
        <w:numPr>
          <w:ilvl w:val="0"/>
          <w:numId w:val="1"/>
        </w:numPr>
        <w:spacing w:after="0"/>
        <w:rPr>
          <w:sz w:val="22"/>
          <w:szCs w:val="22"/>
        </w:rPr>
      </w:pPr>
      <w:r>
        <w:rPr>
          <w:sz w:val="22"/>
          <w:szCs w:val="22"/>
        </w:rPr>
        <w:t xml:space="preserve">who </w:t>
      </w:r>
      <w:r>
        <w:rPr>
          <w:sz w:val="22"/>
          <w:szCs w:val="22"/>
        </w:rPr>
        <w:t>are</w:t>
      </w:r>
      <w:r>
        <w:rPr>
          <w:sz w:val="22"/>
          <w:szCs w:val="22"/>
        </w:rPr>
        <w:t xml:space="preserve"> not comfortable speaking or reading in English; </w:t>
      </w:r>
    </w:p>
    <w:p w:rsidR="000B40E1" w14:paraId="0000005F" w14:textId="77777777">
      <w:pPr>
        <w:numPr>
          <w:ilvl w:val="0"/>
          <w:numId w:val="1"/>
        </w:numPr>
        <w:spacing w:after="0"/>
        <w:rPr>
          <w:sz w:val="22"/>
          <w:szCs w:val="22"/>
        </w:rPr>
      </w:pPr>
      <w:r>
        <w:rPr>
          <w:sz w:val="22"/>
          <w:szCs w:val="22"/>
        </w:rPr>
        <w:t xml:space="preserve">who don't visit freshwater bodies at least once per month in summer </w:t>
      </w:r>
      <w:r>
        <w:rPr>
          <w:sz w:val="22"/>
          <w:szCs w:val="22"/>
        </w:rPr>
        <w:t>months</w:t>
      </w:r>
    </w:p>
    <w:p w:rsidR="000B40E1" w14:paraId="00000060" w14:textId="77777777">
      <w:pPr>
        <w:numPr>
          <w:ilvl w:val="0"/>
          <w:numId w:val="1"/>
        </w:numPr>
        <w:spacing w:after="0"/>
        <w:rPr>
          <w:sz w:val="22"/>
          <w:szCs w:val="22"/>
        </w:rPr>
      </w:pPr>
      <w:r w:rsidRPr="26278A2F">
        <w:rPr>
          <w:sz w:val="22"/>
          <w:szCs w:val="22"/>
        </w:rPr>
        <w:t xml:space="preserve">who have participated in a focus group in the last 6 </w:t>
      </w:r>
      <w:r w:rsidRPr="26278A2F">
        <w:rPr>
          <w:sz w:val="22"/>
          <w:szCs w:val="22"/>
        </w:rPr>
        <w:t>months;</w:t>
      </w:r>
      <w:r w:rsidRPr="26278A2F">
        <w:rPr>
          <w:sz w:val="22"/>
          <w:szCs w:val="22"/>
        </w:rPr>
        <w:t xml:space="preserve"> </w:t>
      </w:r>
    </w:p>
    <w:p w:rsidR="000B40E1" w14:paraId="00000061" w14:textId="77777777">
      <w:pPr>
        <w:numPr>
          <w:ilvl w:val="0"/>
          <w:numId w:val="1"/>
        </w:numPr>
        <w:spacing w:after="0"/>
        <w:rPr>
          <w:sz w:val="22"/>
          <w:szCs w:val="22"/>
        </w:rPr>
      </w:pPr>
      <w:r w:rsidRPr="26278A2F">
        <w:rPr>
          <w:sz w:val="22"/>
          <w:szCs w:val="22"/>
        </w:rPr>
        <w:t xml:space="preserve">who work in the following industries: market research, graphic design or website design, advertising or public relations, media (TV/radio/newspapers/magazines), healthcare (e.g., doctor, nurse, pharmacist, dietician), federal </w:t>
      </w:r>
      <w:r w:rsidRPr="26278A2F">
        <w:rPr>
          <w:sz w:val="22"/>
          <w:szCs w:val="22"/>
        </w:rPr>
        <w:t>government;</w:t>
      </w:r>
    </w:p>
    <w:p w:rsidR="000B40E1" w14:paraId="00000062" w14:textId="77777777">
      <w:pPr>
        <w:numPr>
          <w:ilvl w:val="0"/>
          <w:numId w:val="1"/>
        </w:numPr>
        <w:spacing w:after="0"/>
        <w:rPr>
          <w:sz w:val="22"/>
          <w:szCs w:val="22"/>
        </w:rPr>
      </w:pPr>
      <w:r>
        <w:rPr>
          <w:sz w:val="22"/>
          <w:szCs w:val="22"/>
        </w:rPr>
        <w:t>whose occupation is related to HABs; and</w:t>
      </w:r>
    </w:p>
    <w:p w:rsidR="000B40E1" w14:paraId="00000063" w14:textId="77777777">
      <w:pPr>
        <w:numPr>
          <w:ilvl w:val="0"/>
          <w:numId w:val="1"/>
        </w:numPr>
        <w:spacing w:after="0"/>
        <w:rPr>
          <w:sz w:val="22"/>
          <w:szCs w:val="22"/>
        </w:rPr>
      </w:pPr>
      <w:r>
        <w:rPr>
          <w:sz w:val="22"/>
          <w:szCs w:val="22"/>
        </w:rPr>
        <w:t>who do not have access to the internet with a computer or mobile device.</w:t>
      </w:r>
    </w:p>
    <w:p w:rsidR="000B40E1" w14:paraId="00000064" w14:textId="77777777">
      <w:pPr>
        <w:spacing w:after="0"/>
        <w:ind w:left="720"/>
        <w:rPr>
          <w:sz w:val="22"/>
          <w:szCs w:val="22"/>
        </w:rPr>
      </w:pPr>
    </w:p>
    <w:p w:rsidR="000B40E1" w:rsidRPr="00242193" w14:paraId="00000065" w14:textId="4996E865">
      <w:pPr>
        <w:rPr>
          <w:color w:val="000000"/>
          <w:sz w:val="22"/>
          <w:szCs w:val="22"/>
        </w:rPr>
      </w:pPr>
      <w:r>
        <w:rPr>
          <w:sz w:val="22"/>
          <w:szCs w:val="22"/>
        </w:rPr>
        <w:t xml:space="preserve">These comprehensive screeners were developed in collaboration between CDC and the contractor. During the recruitment phase, the recruitment firm will provide a respondent report, confirmed attendees, and respondents for review. CDC and contractor staff will review these documents to ensure the recruitment mix is being reached. The recruitment firm will complete confirmation calls and provide a recruitment report after each focus group session is completed and each survey administration is completed. </w:t>
      </w:r>
      <w:r w:rsidR="00313D47">
        <w:rPr>
          <w:sz w:val="22"/>
          <w:szCs w:val="22"/>
        </w:rPr>
        <w:t xml:space="preserve">Once participants are chosen, they will receive </w:t>
      </w:r>
      <w:r w:rsidR="00242193">
        <w:rPr>
          <w:sz w:val="22"/>
          <w:szCs w:val="22"/>
        </w:rPr>
        <w:t>a standard invitation (</w:t>
      </w:r>
      <w:r w:rsidRPr="00242193" w:rsidR="00242193">
        <w:rPr>
          <w:b/>
          <w:bCs/>
          <w:sz w:val="22"/>
          <w:szCs w:val="22"/>
        </w:rPr>
        <w:t>Attachment 6</w:t>
      </w:r>
      <w:r w:rsidR="00242193">
        <w:rPr>
          <w:sz w:val="22"/>
          <w:szCs w:val="22"/>
        </w:rPr>
        <w:t>). Once they accept the invitation, they will receive the participant confirmation email (</w:t>
      </w:r>
      <w:r w:rsidR="00242193">
        <w:rPr>
          <w:b/>
          <w:bCs/>
          <w:sz w:val="22"/>
          <w:szCs w:val="22"/>
        </w:rPr>
        <w:t>Attachment 7</w:t>
      </w:r>
      <w:r w:rsidR="00242193">
        <w:rPr>
          <w:sz w:val="22"/>
          <w:szCs w:val="22"/>
        </w:rPr>
        <w:t xml:space="preserve">). </w:t>
      </w:r>
    </w:p>
    <w:p w:rsidR="000B40E1" w14:paraId="00000066" w14:textId="77777777">
      <w:pPr>
        <w:pBdr>
          <w:top w:val="nil"/>
          <w:left w:val="nil"/>
          <w:bottom w:val="nil"/>
          <w:right w:val="nil"/>
          <w:between w:val="nil"/>
        </w:pBdr>
        <w:spacing w:after="0"/>
        <w:rPr>
          <w:sz w:val="22"/>
          <w:szCs w:val="22"/>
        </w:rPr>
      </w:pPr>
      <w:r>
        <w:rPr>
          <w:color w:val="000000"/>
          <w:sz w:val="22"/>
          <w:szCs w:val="22"/>
        </w:rPr>
        <w:t xml:space="preserve">The contractor and recruitment agency will provide ongoing screening and recruitment updates to CDC and work with the project team to select a diverse sample for the groups during the recruitment phase. </w:t>
      </w:r>
      <w:r>
        <w:rPr>
          <w:sz w:val="22"/>
          <w:szCs w:val="22"/>
        </w:rPr>
        <w:t xml:space="preserve">Samples of the </w:t>
      </w:r>
      <w:r>
        <w:rPr>
          <w:color w:val="000000"/>
          <w:sz w:val="22"/>
          <w:szCs w:val="22"/>
        </w:rPr>
        <w:t>recruitment materials</w:t>
      </w:r>
      <w:r>
        <w:rPr>
          <w:sz w:val="22"/>
          <w:szCs w:val="22"/>
        </w:rPr>
        <w:t xml:space="preserve"> that may be used by the recruitment agency can be found in </w:t>
      </w:r>
      <w:r>
        <w:rPr>
          <w:b/>
          <w:sz w:val="22"/>
          <w:szCs w:val="22"/>
        </w:rPr>
        <w:t>Attachment 2</w:t>
      </w:r>
      <w:r>
        <w:rPr>
          <w:sz w:val="22"/>
          <w:szCs w:val="22"/>
        </w:rPr>
        <w:t xml:space="preserve">. These, and similar items, will be used for recruitment. </w:t>
      </w:r>
    </w:p>
    <w:p w:rsidR="000B40E1" w14:paraId="00000067" w14:textId="77777777">
      <w:pPr>
        <w:pBdr>
          <w:top w:val="nil"/>
          <w:left w:val="nil"/>
          <w:bottom w:val="nil"/>
          <w:right w:val="nil"/>
          <w:between w:val="nil"/>
        </w:pBdr>
        <w:spacing w:after="0"/>
        <w:rPr>
          <w:sz w:val="22"/>
          <w:szCs w:val="22"/>
        </w:rPr>
      </w:pPr>
    </w:p>
    <w:p w:rsidR="000B40E1" w14:paraId="00000068" w14:textId="77777777">
      <w:pPr>
        <w:pBdr>
          <w:top w:val="nil"/>
          <w:left w:val="nil"/>
          <w:bottom w:val="nil"/>
          <w:right w:val="nil"/>
          <w:between w:val="nil"/>
        </w:pBdr>
        <w:spacing w:after="0"/>
        <w:rPr>
          <w:color w:val="000000"/>
          <w:sz w:val="22"/>
          <w:szCs w:val="22"/>
        </w:rPr>
      </w:pPr>
      <w:r>
        <w:rPr>
          <w:i/>
          <w:color w:val="000000"/>
          <w:sz w:val="22"/>
          <w:szCs w:val="22"/>
          <w:u w:val="single"/>
        </w:rPr>
        <w:t>Implementation</w:t>
      </w:r>
    </w:p>
    <w:p w:rsidR="000B40E1" w14:paraId="00000069" w14:textId="169D8340">
      <w:pPr>
        <w:pBdr>
          <w:top w:val="nil"/>
          <w:left w:val="nil"/>
          <w:bottom w:val="nil"/>
          <w:right w:val="nil"/>
          <w:between w:val="nil"/>
        </w:pBdr>
        <w:spacing w:after="0"/>
        <w:rPr>
          <w:sz w:val="22"/>
          <w:szCs w:val="22"/>
        </w:rPr>
      </w:pPr>
      <w:r>
        <w:rPr>
          <w:sz w:val="22"/>
          <w:szCs w:val="22"/>
        </w:rPr>
        <w:t>The project team will conduct four virtual focus groups lasting about 60 minutes each. The team has developed a focus group approach designed to gather information about and assess participants’ knowledge, attitudes, beliefs, and behaviors related to HABs and related messages. Specifically, the focus groups will provide responses to targeted questions about interests, behaviors, and opinions related to visiting freshwater bodies, as well as the effectiveness, preferred tone, format, and placement of new and existing messages related to HABs. Experienced moderators will facilitate the focus groups following approved semi-structured facilitator discussion guides</w:t>
      </w:r>
      <w:r>
        <w:rPr>
          <w:b/>
          <w:sz w:val="22"/>
          <w:szCs w:val="22"/>
        </w:rPr>
        <w:t xml:space="preserve"> (Attachment 8</w:t>
      </w:r>
      <w:r>
        <w:rPr>
          <w:sz w:val="22"/>
          <w:szCs w:val="22"/>
        </w:rPr>
        <w:t xml:space="preserve">). The guides will contain multiple items and probes, which start more generally and get more specific, for individuals to respond to throughout the session. </w:t>
      </w:r>
      <w:r w:rsidR="00F969BC">
        <w:rPr>
          <w:sz w:val="22"/>
          <w:szCs w:val="22"/>
        </w:rPr>
        <w:t>M</w:t>
      </w:r>
      <w:r w:rsidR="00720C95">
        <w:rPr>
          <w:sz w:val="22"/>
          <w:szCs w:val="22"/>
        </w:rPr>
        <w:t xml:space="preserve">oderators will </w:t>
      </w:r>
      <w:r w:rsidR="009F3A1F">
        <w:rPr>
          <w:sz w:val="22"/>
          <w:szCs w:val="22"/>
        </w:rPr>
        <w:t xml:space="preserve">test select messages and communication materials </w:t>
      </w:r>
      <w:r w:rsidR="00364F23">
        <w:rPr>
          <w:sz w:val="22"/>
          <w:szCs w:val="22"/>
        </w:rPr>
        <w:t xml:space="preserve">with </w:t>
      </w:r>
      <w:r w:rsidR="00E23C5B">
        <w:rPr>
          <w:sz w:val="22"/>
          <w:szCs w:val="22"/>
        </w:rPr>
        <w:t>the focus groups</w:t>
      </w:r>
      <w:r w:rsidR="00364F23">
        <w:rPr>
          <w:sz w:val="22"/>
          <w:szCs w:val="22"/>
        </w:rPr>
        <w:t xml:space="preserve"> (</w:t>
      </w:r>
      <w:r w:rsidRPr="00364F23" w:rsidR="00364F23">
        <w:rPr>
          <w:b/>
          <w:bCs/>
          <w:sz w:val="22"/>
          <w:szCs w:val="22"/>
        </w:rPr>
        <w:t>Attachment 9</w:t>
      </w:r>
      <w:r w:rsidR="00364F23">
        <w:rPr>
          <w:sz w:val="22"/>
          <w:szCs w:val="22"/>
        </w:rPr>
        <w:t xml:space="preserve">). </w:t>
      </w:r>
      <w:r>
        <w:rPr>
          <w:sz w:val="22"/>
          <w:szCs w:val="22"/>
        </w:rPr>
        <w:t>The contractor will conduct the virtual focus groups using a web conferencing platform.</w:t>
      </w:r>
    </w:p>
    <w:p w:rsidR="000B40E1" w14:paraId="0000006A" w14:textId="77777777">
      <w:pPr>
        <w:pBdr>
          <w:top w:val="nil"/>
          <w:left w:val="nil"/>
          <w:bottom w:val="nil"/>
          <w:right w:val="nil"/>
          <w:between w:val="nil"/>
        </w:pBdr>
        <w:spacing w:after="0"/>
        <w:rPr>
          <w:sz w:val="22"/>
          <w:szCs w:val="22"/>
        </w:rPr>
      </w:pPr>
    </w:p>
    <w:p w:rsidR="000B40E1" w14:paraId="0000006B" w14:textId="77777777">
      <w:pPr>
        <w:pBdr>
          <w:top w:val="nil"/>
          <w:left w:val="nil"/>
          <w:bottom w:val="nil"/>
          <w:right w:val="nil"/>
          <w:between w:val="nil"/>
        </w:pBdr>
        <w:spacing w:after="0"/>
        <w:rPr>
          <w:color w:val="000000"/>
          <w:sz w:val="22"/>
          <w:szCs w:val="22"/>
        </w:rPr>
      </w:pPr>
      <w:r>
        <w:rPr>
          <w:color w:val="000000"/>
          <w:sz w:val="22"/>
          <w:szCs w:val="22"/>
        </w:rPr>
        <w:t xml:space="preserve">CDC project staff who have signed privacy forms will have access to observe live focus groups. </w:t>
      </w:r>
      <w:sdt>
        <w:sdtPr>
          <w:tag w:val="goog_rdk_5"/>
          <w:id w:val="12347610"/>
          <w:richText/>
        </w:sdtPr>
        <w:sdtContent/>
      </w:sdt>
      <w:sdt>
        <w:sdtPr>
          <w:tag w:val="goog_rdk_6"/>
          <w:id w:val="-1056543826"/>
          <w:richText/>
        </w:sdtPr>
        <w:sdtContent/>
      </w:sdt>
      <w:r>
        <w:rPr>
          <w:color w:val="000000"/>
          <w:sz w:val="22"/>
          <w:szCs w:val="22"/>
        </w:rPr>
        <w:t xml:space="preserve">The focus groups will be audio and video recorded and </w:t>
      </w:r>
      <w:r>
        <w:rPr>
          <w:sz w:val="22"/>
          <w:szCs w:val="22"/>
        </w:rPr>
        <w:t>the de-identified transcripts will be provided to CDC upon completion of all focus groups.</w:t>
      </w:r>
    </w:p>
    <w:p w:rsidR="000B40E1" w14:paraId="0000006C" w14:textId="77777777">
      <w:pPr>
        <w:pBdr>
          <w:top w:val="nil"/>
          <w:left w:val="nil"/>
          <w:bottom w:val="nil"/>
          <w:right w:val="nil"/>
          <w:between w:val="nil"/>
        </w:pBdr>
        <w:spacing w:after="0"/>
        <w:rPr>
          <w:color w:val="000000"/>
          <w:sz w:val="22"/>
          <w:szCs w:val="22"/>
        </w:rPr>
      </w:pPr>
    </w:p>
    <w:p w:rsidR="000B40E1" w14:paraId="0000006D" w14:textId="77777777">
      <w:pPr>
        <w:pBdr>
          <w:top w:val="nil"/>
          <w:left w:val="nil"/>
          <w:bottom w:val="nil"/>
          <w:right w:val="nil"/>
          <w:between w:val="nil"/>
        </w:pBdr>
        <w:spacing w:after="0"/>
        <w:rPr>
          <w:color w:val="000000"/>
          <w:sz w:val="22"/>
          <w:szCs w:val="22"/>
        </w:rPr>
      </w:pPr>
      <w:r>
        <w:rPr>
          <w:color w:val="000000"/>
          <w:sz w:val="22"/>
          <w:szCs w:val="22"/>
        </w:rPr>
        <w:t xml:space="preserve">To protect the privacy of participants, </w:t>
      </w:r>
      <w:r>
        <w:rPr>
          <w:sz w:val="22"/>
          <w:szCs w:val="22"/>
        </w:rPr>
        <w:t>personally</w:t>
      </w:r>
      <w:r>
        <w:rPr>
          <w:color w:val="000000"/>
          <w:sz w:val="22"/>
          <w:szCs w:val="22"/>
        </w:rPr>
        <w:t xml:space="preserve"> identifiable information (e.g., names, places of employment mentioned) will be redacted from all transcripts and not included in the field notes, final report, or any presentation about the project. Further, to ensure security, the contractor will provide CDC with password-protected files of the transcripts, notes, and analysis files.</w:t>
      </w:r>
    </w:p>
    <w:p w:rsidR="000B40E1" w14:paraId="0000006E" w14:textId="77777777">
      <w:pPr>
        <w:pBdr>
          <w:top w:val="nil"/>
          <w:left w:val="nil"/>
          <w:bottom w:val="nil"/>
          <w:right w:val="nil"/>
          <w:between w:val="nil"/>
        </w:pBdr>
        <w:spacing w:after="0"/>
        <w:rPr>
          <w:color w:val="000000"/>
          <w:sz w:val="22"/>
          <w:szCs w:val="22"/>
        </w:rPr>
      </w:pPr>
    </w:p>
    <w:p w:rsidR="000B40E1" w14:paraId="0000006F" w14:textId="77777777">
      <w:pPr>
        <w:pBdr>
          <w:top w:val="nil"/>
          <w:left w:val="nil"/>
          <w:bottom w:val="nil"/>
          <w:right w:val="nil"/>
          <w:between w:val="nil"/>
        </w:pBdr>
        <w:spacing w:after="0"/>
        <w:rPr>
          <w:color w:val="000000"/>
          <w:sz w:val="22"/>
          <w:szCs w:val="22"/>
        </w:rPr>
      </w:pPr>
      <w:r>
        <w:rPr>
          <w:i/>
          <w:color w:val="000000"/>
          <w:sz w:val="22"/>
          <w:szCs w:val="22"/>
          <w:u w:val="single"/>
        </w:rPr>
        <w:t>Analysis and Reporting</w:t>
      </w:r>
    </w:p>
    <w:p w:rsidR="000B40E1" w14:paraId="00000070" w14:textId="77777777">
      <w:pPr>
        <w:pBdr>
          <w:top w:val="nil"/>
          <w:left w:val="nil"/>
          <w:bottom w:val="nil"/>
          <w:right w:val="nil"/>
          <w:between w:val="nil"/>
        </w:pBdr>
        <w:spacing w:after="0"/>
        <w:rPr>
          <w:color w:val="000000"/>
          <w:sz w:val="22"/>
          <w:szCs w:val="22"/>
        </w:rPr>
      </w:pPr>
      <w:r>
        <w:rPr>
          <w:color w:val="000000"/>
          <w:sz w:val="22"/>
          <w:szCs w:val="22"/>
        </w:rPr>
        <w:t xml:space="preserve">The contractor will use iterative thematic analysis to identify key themes and subthemes captured in the data collected during focus groups. Using </w:t>
      </w:r>
      <w:r>
        <w:rPr>
          <w:color w:val="000000"/>
          <w:sz w:val="22"/>
          <w:szCs w:val="22"/>
        </w:rPr>
        <w:t>ATLAS.ti</w:t>
      </w:r>
      <w:r>
        <w:rPr>
          <w:color w:val="000000"/>
          <w:sz w:val="22"/>
          <w:szCs w:val="22"/>
        </w:rPr>
        <w:t xml:space="preserve">, the contractor will use both inductive and deductive coding to identify themes and organize the data captured from participants. The contractor will provide CDC </w:t>
      </w:r>
      <w:r>
        <w:rPr>
          <w:sz w:val="22"/>
          <w:szCs w:val="22"/>
        </w:rPr>
        <w:t>with</w:t>
      </w:r>
      <w:r>
        <w:rPr>
          <w:color w:val="000000"/>
          <w:sz w:val="22"/>
          <w:szCs w:val="22"/>
        </w:rPr>
        <w:t xml:space="preserve"> a final report summarizing the results of the focus groups. The report will also include quotes from participants to illustrate themes and topics of interest. </w:t>
      </w:r>
    </w:p>
    <w:p w:rsidR="000B40E1" w14:paraId="00000071" w14:textId="77777777">
      <w:pPr>
        <w:pBdr>
          <w:top w:val="nil"/>
          <w:left w:val="nil"/>
          <w:bottom w:val="nil"/>
          <w:right w:val="nil"/>
          <w:between w:val="nil"/>
        </w:pBdr>
        <w:spacing w:after="0"/>
        <w:rPr>
          <w:color w:val="000000"/>
          <w:sz w:val="22"/>
          <w:szCs w:val="22"/>
        </w:rPr>
      </w:pPr>
    </w:p>
    <w:p w:rsidR="000B40E1" w14:paraId="00000072" w14:textId="77777777">
      <w:pPr>
        <w:pStyle w:val="Heading1"/>
        <w:numPr>
          <w:ilvl w:val="0"/>
          <w:numId w:val="3"/>
        </w:numPr>
        <w:rPr>
          <w:sz w:val="22"/>
          <w:szCs w:val="22"/>
        </w:rPr>
      </w:pPr>
      <w:bookmarkStart w:id="15" w:name="bookmark=id.mllwovj3glm9" w:colFirst="0" w:colLast="0"/>
      <w:bookmarkStart w:id="16" w:name="_heading=h.3znysh7" w:colFirst="0" w:colLast="0"/>
      <w:bookmarkEnd w:id="15"/>
      <w:bookmarkEnd w:id="16"/>
      <w:r>
        <w:rPr>
          <w:sz w:val="22"/>
          <w:szCs w:val="22"/>
        </w:rPr>
        <w:t>Methods to Maximize Response Rates and Deal with No Response</w:t>
      </w:r>
    </w:p>
    <w:p w:rsidR="000B40E1" w14:paraId="00000073" w14:textId="77777777">
      <w:pPr>
        <w:rPr>
          <w:sz w:val="22"/>
          <w:szCs w:val="22"/>
        </w:rPr>
      </w:pPr>
      <w:r>
        <w:rPr>
          <w:sz w:val="22"/>
          <w:szCs w:val="22"/>
        </w:rPr>
        <w:t>Tokens of appreciation will be used in the focus groups to increase the likelihood of participation and offer a token of appreciation to participants for their time and input to the study. Based on industry standards and national vendor’s expertise, and a previously cleared project, the team recommends a participant token of appreciation of $75.00 per focus group participant</w:t>
      </w:r>
      <w:r>
        <w:rPr>
          <w:color w:val="000000"/>
          <w:sz w:val="22"/>
          <w:szCs w:val="22"/>
        </w:rPr>
        <w:t xml:space="preserve">. </w:t>
      </w:r>
      <w:r>
        <w:rPr>
          <w:sz w:val="22"/>
          <w:szCs w:val="22"/>
        </w:rPr>
        <w:t xml:space="preserve">To optimize and increase the chance of having at least a minimum of eight participants in each focus group, the contractor will over-recruit by 20 percent. This will account for any last-minute cancellations or no-shows and aim to get eight people per focus group. </w:t>
      </w:r>
    </w:p>
    <w:p w:rsidR="000B40E1" w14:paraId="00000074" w14:textId="5BF9F7DA">
      <w:pPr>
        <w:rPr>
          <w:sz w:val="22"/>
          <w:szCs w:val="22"/>
        </w:rPr>
      </w:pPr>
      <w:r>
        <w:rPr>
          <w:sz w:val="22"/>
          <w:szCs w:val="22"/>
        </w:rPr>
        <w:t>A similar communication evaluation project that was conducted in the summer of 2023 proposed and was approved for $75 per person for a 60</w:t>
      </w:r>
      <w:r w:rsidR="003C48BB">
        <w:rPr>
          <w:sz w:val="22"/>
          <w:szCs w:val="22"/>
        </w:rPr>
        <w:t>-</w:t>
      </w:r>
      <w:r>
        <w:rPr>
          <w:sz w:val="22"/>
          <w:szCs w:val="22"/>
        </w:rPr>
        <w:t>minute focus group discussion (OMB</w:t>
      </w:r>
      <w:r w:rsidR="00B15A24">
        <w:rPr>
          <w:sz w:val="22"/>
          <w:szCs w:val="22"/>
        </w:rPr>
        <w:t xml:space="preserve"> Co. Number</w:t>
      </w:r>
      <w:r>
        <w:rPr>
          <w:sz w:val="22"/>
          <w:szCs w:val="22"/>
        </w:rPr>
        <w:t>: 0920-1154</w:t>
      </w:r>
      <w:r w:rsidRPr="00B15A24" w:rsidR="00B15A24">
        <w:rPr>
          <w:sz w:val="22"/>
          <w:szCs w:val="22"/>
        </w:rPr>
        <w:t xml:space="preserve"> </w:t>
      </w:r>
      <w:r w:rsidRPr="00BC0C40" w:rsidR="00B15A24">
        <w:rPr>
          <w:sz w:val="22"/>
          <w:szCs w:val="22"/>
        </w:rPr>
        <w:t>Food Safety Communication Evaluation Assessing Food Safety Messages, Knowledge, and Attitudes</w:t>
      </w:r>
      <w:r w:rsidRPr="00BC0C40" w:rsidR="00B15A24">
        <w:rPr>
          <w:sz w:val="22"/>
          <w:szCs w:val="22"/>
        </w:rPr>
        <w:t xml:space="preserve"> </w:t>
      </w:r>
      <w:r w:rsidRPr="00BC0C40" w:rsidR="00B15A24">
        <w:rPr>
          <w:sz w:val="22"/>
          <w:szCs w:val="22"/>
        </w:rPr>
        <w:t>)</w:t>
      </w:r>
      <w:r w:rsidR="00B15A24">
        <w:rPr>
          <w:sz w:val="22"/>
          <w:szCs w:val="22"/>
        </w:rPr>
        <w:t>.</w:t>
      </w:r>
      <w:r>
        <w:rPr>
          <w:sz w:val="22"/>
          <w:szCs w:val="22"/>
        </w:rPr>
        <w:t xml:space="preserve"> During this project, the team recruited 115 individuals (the goal was to recruit 144). </w:t>
      </w:r>
    </w:p>
    <w:p w:rsidR="000B40E1" w14:paraId="00000075" w14:textId="76195BBE">
      <w:pPr>
        <w:rPr>
          <w:sz w:val="22"/>
          <w:szCs w:val="22"/>
        </w:rPr>
      </w:pPr>
      <w:r>
        <w:rPr>
          <w:sz w:val="22"/>
          <w:szCs w:val="22"/>
        </w:rPr>
        <w:t>R</w:t>
      </w:r>
      <w:r>
        <w:rPr>
          <w:color w:val="000000"/>
          <w:sz w:val="22"/>
          <w:szCs w:val="22"/>
        </w:rPr>
        <w:t xml:space="preserve">eviewed literature revealed the payment of incentives can provide significant advantages to the government in terms of direct cost savings and improved data quality. (See </w:t>
      </w:r>
      <w:r w:rsidR="00F6713D">
        <w:rPr>
          <w:color w:val="000000"/>
          <w:sz w:val="22"/>
          <w:szCs w:val="22"/>
        </w:rPr>
        <w:t>r</w:t>
      </w:r>
      <w:r>
        <w:rPr>
          <w:color w:val="000000"/>
          <w:sz w:val="22"/>
          <w:szCs w:val="22"/>
        </w:rPr>
        <w:t>eferences.</w:t>
      </w:r>
      <w:r>
        <w:rPr>
          <w:sz w:val="22"/>
          <w:szCs w:val="22"/>
        </w:rPr>
        <w:t xml:space="preserve">) </w:t>
      </w:r>
    </w:p>
    <w:p w:rsidR="000B40E1" w14:paraId="00000076" w14:textId="77777777">
      <w:pPr>
        <w:pStyle w:val="Heading1"/>
        <w:numPr>
          <w:ilvl w:val="0"/>
          <w:numId w:val="3"/>
        </w:numPr>
        <w:rPr>
          <w:sz w:val="22"/>
          <w:szCs w:val="22"/>
        </w:rPr>
      </w:pPr>
      <w:bookmarkStart w:id="17" w:name="bookmark=id.b669ohpuavww" w:colFirst="0" w:colLast="0"/>
      <w:bookmarkStart w:id="18" w:name="_heading=h.2et92p0" w:colFirst="0" w:colLast="0"/>
      <w:bookmarkEnd w:id="17"/>
      <w:bookmarkEnd w:id="18"/>
      <w:r>
        <w:rPr>
          <w:sz w:val="22"/>
          <w:szCs w:val="22"/>
        </w:rPr>
        <w:t>Tests of Procedures or Methods to be Undertaken</w:t>
      </w:r>
    </w:p>
    <w:p w:rsidR="000B40E1" w14:paraId="00000077" w14:textId="77777777">
      <w:pPr>
        <w:rPr>
          <w:sz w:val="22"/>
          <w:szCs w:val="22"/>
        </w:rPr>
      </w:pPr>
      <w:r>
        <w:rPr>
          <w:sz w:val="22"/>
          <w:szCs w:val="22"/>
        </w:rPr>
        <w:t xml:space="preserve">One technical run-through will be conducted with contractor staff prior to the start of the study. </w:t>
      </w:r>
    </w:p>
    <w:p w:rsidR="000B40E1" w14:paraId="00000078" w14:textId="77777777">
      <w:pPr>
        <w:pStyle w:val="Heading1"/>
        <w:numPr>
          <w:ilvl w:val="0"/>
          <w:numId w:val="3"/>
        </w:numPr>
        <w:rPr>
          <w:sz w:val="22"/>
          <w:szCs w:val="22"/>
        </w:rPr>
      </w:pPr>
      <w:bookmarkStart w:id="19" w:name="bookmark=id.4saba2t3l2sv" w:colFirst="0" w:colLast="0"/>
      <w:bookmarkStart w:id="20" w:name="_heading=h.tyjcwt" w:colFirst="0" w:colLast="0"/>
      <w:bookmarkEnd w:id="19"/>
      <w:bookmarkEnd w:id="20"/>
      <w:r>
        <w:rPr>
          <w:sz w:val="22"/>
          <w:szCs w:val="22"/>
        </w:rPr>
        <w:t>Individuals Consulted on Statistical Aspects and Individuals Collecting and/or Analyzing Data</w:t>
      </w:r>
    </w:p>
    <w:p w:rsidR="000B40E1" w14:paraId="00000079" w14:textId="28F67CC0">
      <w:pPr>
        <w:rPr>
          <w:sz w:val="22"/>
          <w:szCs w:val="22"/>
        </w:rPr>
      </w:pPr>
      <w:r>
        <w:rPr>
          <w:sz w:val="22"/>
          <w:szCs w:val="22"/>
        </w:rPr>
        <w:t xml:space="preserve">No individuals outside of the project team were consulted for statistical aspects of the design. The data being collected are qualitative and descriptive and there will be no statistical aspects of analysis. Target numbers for the focus participants and groups were informed by the project scope of work, public health surveillance data and research, and DFWED priorities. The individuals collecting and/or analyzing data include: </w:t>
      </w:r>
    </w:p>
    <w:p w:rsidR="000B40E1" w14:paraId="0000007A" w14:textId="77777777">
      <w:pPr>
        <w:pBdr>
          <w:top w:val="nil"/>
          <w:left w:val="nil"/>
          <w:bottom w:val="nil"/>
          <w:right w:val="nil"/>
          <w:between w:val="nil"/>
        </w:pBdr>
        <w:spacing w:after="0" w:line="240" w:lineRule="auto"/>
        <w:rPr>
          <w:b/>
          <w:color w:val="000000"/>
          <w:sz w:val="22"/>
          <w:szCs w:val="22"/>
          <w:u w:val="single"/>
        </w:rPr>
      </w:pPr>
      <w:r>
        <w:rPr>
          <w:b/>
          <w:color w:val="000000"/>
          <w:sz w:val="22"/>
          <w:szCs w:val="22"/>
        </w:rPr>
        <w:t>Lead Investigator:</w:t>
      </w:r>
      <w:r>
        <w:rPr>
          <w:color w:val="000000"/>
          <w:sz w:val="22"/>
          <w:szCs w:val="22"/>
        </w:rPr>
        <w:t xml:space="preserve"> Amy Jacobi, MPH, Project Lead, Centers for Disease Control and Prevention (CDC), National Center for Emerging and Zoonotic Infectious Diseases (NCEZID), Division of Foodborne, Waterborne, and Environmental Diseases (DFWED), Waterborne Disease Prevention Branch (WDPB)</w:t>
      </w:r>
    </w:p>
    <w:p w:rsidR="000B40E1" w14:paraId="0000007B" w14:textId="77777777">
      <w:pPr>
        <w:pBdr>
          <w:top w:val="nil"/>
          <w:left w:val="nil"/>
          <w:bottom w:val="nil"/>
          <w:right w:val="nil"/>
          <w:between w:val="nil"/>
        </w:pBdr>
        <w:spacing w:after="0" w:line="240" w:lineRule="auto"/>
        <w:rPr>
          <w:b/>
          <w:color w:val="000000"/>
          <w:sz w:val="22"/>
          <w:szCs w:val="22"/>
        </w:rPr>
      </w:pPr>
    </w:p>
    <w:p w:rsidR="000B40E1" w14:paraId="0000007C" w14:textId="77777777">
      <w:pPr>
        <w:pBdr>
          <w:top w:val="nil"/>
          <w:left w:val="nil"/>
          <w:bottom w:val="nil"/>
          <w:right w:val="nil"/>
          <w:between w:val="nil"/>
        </w:pBdr>
        <w:spacing w:after="0" w:line="240" w:lineRule="auto"/>
        <w:rPr>
          <w:color w:val="000000"/>
          <w:sz w:val="22"/>
          <w:szCs w:val="22"/>
        </w:rPr>
      </w:pPr>
    </w:p>
    <w:p w:rsidR="000B40E1" w14:paraId="0000007D" w14:textId="77777777">
      <w:pPr>
        <w:pBdr>
          <w:top w:val="nil"/>
          <w:left w:val="nil"/>
          <w:bottom w:val="nil"/>
          <w:right w:val="nil"/>
          <w:between w:val="nil"/>
        </w:pBdr>
        <w:spacing w:after="0" w:line="240" w:lineRule="auto"/>
        <w:rPr>
          <w:b/>
          <w:color w:val="000000"/>
          <w:sz w:val="22"/>
          <w:szCs w:val="22"/>
        </w:rPr>
      </w:pPr>
      <w:r>
        <w:rPr>
          <w:b/>
          <w:color w:val="000000"/>
          <w:sz w:val="22"/>
          <w:szCs w:val="22"/>
        </w:rPr>
        <w:t>Collaborators</w:t>
      </w:r>
      <w:r>
        <w:rPr>
          <w:color w:val="000000"/>
          <w:sz w:val="22"/>
          <w:szCs w:val="22"/>
        </w:rPr>
        <w:t xml:space="preserve"> </w:t>
      </w:r>
    </w:p>
    <w:tbl>
      <w:tblPr>
        <w:tblStyle w:val="a1"/>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86"/>
        <w:gridCol w:w="3289"/>
      </w:tblGrid>
      <w:tr w14:paraId="57B530BD" w14:textId="77777777">
        <w:tblPrEx>
          <w:tblW w:w="100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6786" w:type="dxa"/>
          </w:tcPr>
          <w:p w:rsidR="000B40E1" w14:paraId="0000007E" w14:textId="77777777">
            <w:pPr>
              <w:pBdr>
                <w:top w:val="nil"/>
                <w:left w:val="nil"/>
                <w:bottom w:val="nil"/>
                <w:right w:val="nil"/>
                <w:between w:val="nil"/>
              </w:pBdr>
              <w:tabs>
                <w:tab w:val="left" w:pos="360"/>
              </w:tabs>
              <w:rPr>
                <w:b/>
                <w:color w:val="000000"/>
                <w:sz w:val="22"/>
                <w:szCs w:val="22"/>
              </w:rPr>
            </w:pPr>
            <w:r>
              <w:rPr>
                <w:b/>
                <w:color w:val="000000"/>
                <w:sz w:val="22"/>
                <w:szCs w:val="22"/>
              </w:rPr>
              <w:t>Name</w:t>
            </w:r>
          </w:p>
        </w:tc>
        <w:tc>
          <w:tcPr>
            <w:tcW w:w="3289" w:type="dxa"/>
          </w:tcPr>
          <w:p w:rsidR="000B40E1" w14:paraId="0000007F" w14:textId="77777777">
            <w:pPr>
              <w:pBdr>
                <w:top w:val="nil"/>
                <w:left w:val="nil"/>
                <w:bottom w:val="nil"/>
                <w:right w:val="nil"/>
                <w:between w:val="nil"/>
              </w:pBdr>
              <w:tabs>
                <w:tab w:val="left" w:pos="360"/>
              </w:tabs>
              <w:rPr>
                <w:b/>
                <w:color w:val="000000"/>
                <w:sz w:val="22"/>
                <w:szCs w:val="22"/>
              </w:rPr>
            </w:pPr>
            <w:r>
              <w:rPr>
                <w:b/>
                <w:color w:val="000000"/>
                <w:sz w:val="22"/>
                <w:szCs w:val="22"/>
              </w:rPr>
              <w:t>Organizational Unit</w:t>
            </w:r>
          </w:p>
        </w:tc>
      </w:tr>
      <w:tr w14:paraId="5D1BAE2E" w14:textId="77777777">
        <w:tblPrEx>
          <w:tblW w:w="10075" w:type="dxa"/>
          <w:tblInd w:w="-120" w:type="dxa"/>
          <w:tblLayout w:type="fixed"/>
          <w:tblLook w:val="0400"/>
        </w:tblPrEx>
        <w:tc>
          <w:tcPr>
            <w:tcW w:w="6786" w:type="dxa"/>
          </w:tcPr>
          <w:p w:rsidR="000B40E1" w14:paraId="00000080" w14:textId="77777777">
            <w:pPr>
              <w:pBdr>
                <w:top w:val="nil"/>
                <w:left w:val="nil"/>
                <w:bottom w:val="nil"/>
                <w:right w:val="nil"/>
                <w:between w:val="nil"/>
              </w:pBdr>
              <w:tabs>
                <w:tab w:val="left" w:pos="360"/>
              </w:tabs>
              <w:rPr>
                <w:sz w:val="22"/>
                <w:szCs w:val="22"/>
              </w:rPr>
            </w:pPr>
            <w:r>
              <w:rPr>
                <w:sz w:val="22"/>
                <w:szCs w:val="22"/>
              </w:rPr>
              <w:t>Tola Aina</w:t>
            </w:r>
            <w:r>
              <w:rPr>
                <w:color w:val="000000"/>
                <w:sz w:val="22"/>
                <w:szCs w:val="22"/>
              </w:rPr>
              <w:t>, Project Director</w:t>
            </w:r>
          </w:p>
        </w:tc>
        <w:tc>
          <w:tcPr>
            <w:tcW w:w="3289" w:type="dxa"/>
          </w:tcPr>
          <w:p w:rsidR="000B40E1" w14:paraId="00000081" w14:textId="77777777">
            <w:pPr>
              <w:pBdr>
                <w:top w:val="nil"/>
                <w:left w:val="nil"/>
                <w:bottom w:val="nil"/>
                <w:right w:val="nil"/>
                <w:between w:val="nil"/>
              </w:pBdr>
              <w:tabs>
                <w:tab w:val="left" w:pos="360"/>
              </w:tabs>
              <w:rPr>
                <w:color w:val="000000"/>
                <w:sz w:val="22"/>
                <w:szCs w:val="22"/>
              </w:rPr>
            </w:pPr>
            <w:r>
              <w:rPr>
                <w:color w:val="000000"/>
                <w:sz w:val="22"/>
                <w:szCs w:val="22"/>
              </w:rPr>
              <w:t>Banyan Communications  (contractor)</w:t>
            </w:r>
          </w:p>
        </w:tc>
      </w:tr>
      <w:tr w14:paraId="09F60DA8" w14:textId="77777777">
        <w:tblPrEx>
          <w:tblW w:w="10075" w:type="dxa"/>
          <w:tblInd w:w="-120" w:type="dxa"/>
          <w:tblLayout w:type="fixed"/>
          <w:tblLook w:val="0400"/>
        </w:tblPrEx>
        <w:tc>
          <w:tcPr>
            <w:tcW w:w="6786" w:type="dxa"/>
          </w:tcPr>
          <w:p w:rsidR="000B40E1" w14:paraId="00000082" w14:textId="77777777">
            <w:pPr>
              <w:rPr>
                <w:color w:val="000000"/>
                <w:sz w:val="22"/>
                <w:szCs w:val="22"/>
              </w:rPr>
            </w:pPr>
            <w:r>
              <w:rPr>
                <w:color w:val="000000"/>
                <w:sz w:val="22"/>
                <w:szCs w:val="22"/>
              </w:rPr>
              <w:t>Sharanya</w:t>
            </w:r>
            <w:r>
              <w:rPr>
                <w:color w:val="000000"/>
                <w:sz w:val="22"/>
                <w:szCs w:val="22"/>
              </w:rPr>
              <w:t xml:space="preserve"> Thummalapally, Lead Research and Evaluation Specialist</w:t>
            </w:r>
          </w:p>
        </w:tc>
        <w:tc>
          <w:tcPr>
            <w:tcW w:w="3289" w:type="dxa"/>
          </w:tcPr>
          <w:p w:rsidR="000B40E1" w14:paraId="00000083" w14:textId="77777777">
            <w:pPr>
              <w:tabs>
                <w:tab w:val="left" w:pos="360"/>
              </w:tabs>
              <w:rPr>
                <w:color w:val="000000"/>
                <w:sz w:val="22"/>
                <w:szCs w:val="22"/>
              </w:rPr>
            </w:pPr>
            <w:r>
              <w:rPr>
                <w:color w:val="000000"/>
                <w:sz w:val="22"/>
                <w:szCs w:val="22"/>
              </w:rPr>
              <w:t>Banyan Communications (contractor)</w:t>
            </w:r>
          </w:p>
        </w:tc>
      </w:tr>
      <w:tr w14:paraId="3F768B92" w14:textId="77777777">
        <w:tblPrEx>
          <w:tblW w:w="10075" w:type="dxa"/>
          <w:tblInd w:w="-120" w:type="dxa"/>
          <w:tblLayout w:type="fixed"/>
          <w:tblLook w:val="0400"/>
        </w:tblPrEx>
        <w:tc>
          <w:tcPr>
            <w:tcW w:w="6786" w:type="dxa"/>
          </w:tcPr>
          <w:p w:rsidR="000B40E1" w14:paraId="00000084" w14:textId="77777777">
            <w:pPr>
              <w:rPr>
                <w:sz w:val="22"/>
                <w:szCs w:val="22"/>
              </w:rPr>
            </w:pPr>
            <w:r>
              <w:rPr>
                <w:sz w:val="22"/>
                <w:szCs w:val="22"/>
              </w:rPr>
              <w:t>Amanda White, Senior Communications Strategist</w:t>
            </w:r>
          </w:p>
        </w:tc>
        <w:tc>
          <w:tcPr>
            <w:tcW w:w="3289" w:type="dxa"/>
          </w:tcPr>
          <w:p w:rsidR="000B40E1" w14:paraId="00000085" w14:textId="77777777">
            <w:pPr>
              <w:tabs>
                <w:tab w:val="left" w:pos="360"/>
              </w:tabs>
              <w:rPr>
                <w:sz w:val="22"/>
                <w:szCs w:val="22"/>
              </w:rPr>
            </w:pPr>
            <w:r>
              <w:rPr>
                <w:sz w:val="22"/>
                <w:szCs w:val="22"/>
              </w:rPr>
              <w:t>Banyan Communications  (contractor)</w:t>
            </w:r>
          </w:p>
        </w:tc>
      </w:tr>
      <w:tr w14:paraId="41D539F4" w14:textId="77777777">
        <w:tblPrEx>
          <w:tblW w:w="10075" w:type="dxa"/>
          <w:tblInd w:w="-120" w:type="dxa"/>
          <w:tblLayout w:type="fixed"/>
          <w:tblLook w:val="0400"/>
        </w:tblPrEx>
        <w:tc>
          <w:tcPr>
            <w:tcW w:w="6786" w:type="dxa"/>
          </w:tcPr>
          <w:p w:rsidR="000B40E1" w14:paraId="00000086" w14:textId="77777777">
            <w:pPr>
              <w:rPr>
                <w:sz w:val="22"/>
                <w:szCs w:val="22"/>
              </w:rPr>
            </w:pPr>
            <w:r>
              <w:rPr>
                <w:sz w:val="22"/>
                <w:szCs w:val="22"/>
              </w:rPr>
              <w:t>Bria Berry, Research and Evaluation Specialist</w:t>
            </w:r>
          </w:p>
        </w:tc>
        <w:tc>
          <w:tcPr>
            <w:tcW w:w="3289" w:type="dxa"/>
          </w:tcPr>
          <w:p w:rsidR="000B40E1" w14:paraId="00000087" w14:textId="77777777">
            <w:pPr>
              <w:tabs>
                <w:tab w:val="left" w:pos="360"/>
              </w:tabs>
              <w:rPr>
                <w:sz w:val="22"/>
                <w:szCs w:val="22"/>
              </w:rPr>
            </w:pPr>
            <w:r>
              <w:rPr>
                <w:sz w:val="22"/>
                <w:szCs w:val="22"/>
              </w:rPr>
              <w:t>Banyan Communications  (contractor)</w:t>
            </w:r>
          </w:p>
        </w:tc>
      </w:tr>
    </w:tbl>
    <w:p w:rsidR="000B40E1" w14:paraId="00000088" w14:textId="77777777">
      <w:pPr>
        <w:pStyle w:val="Heading2"/>
        <w:spacing w:before="0" w:after="0"/>
      </w:pPr>
    </w:p>
    <w:p w:rsidR="000B40E1" w14:paraId="00000089" w14:textId="77777777">
      <w:pPr>
        <w:pStyle w:val="Heading2"/>
        <w:spacing w:before="0" w:after="0"/>
        <w:rPr>
          <w:sz w:val="22"/>
          <w:szCs w:val="22"/>
        </w:rPr>
      </w:pPr>
    </w:p>
    <w:p w:rsidR="000B40E1" w14:paraId="0000008A" w14:textId="77777777">
      <w:pPr>
        <w:pStyle w:val="Heading2"/>
        <w:spacing w:before="0" w:after="0"/>
        <w:rPr>
          <w:sz w:val="22"/>
          <w:szCs w:val="22"/>
        </w:rPr>
      </w:pPr>
      <w:r>
        <w:rPr>
          <w:sz w:val="22"/>
          <w:szCs w:val="22"/>
        </w:rPr>
        <w:t>References</w:t>
      </w:r>
    </w:p>
    <w:p w:rsidR="000B40E1" w14:paraId="0000008B" w14:textId="77777777">
      <w:pPr>
        <w:keepLines/>
        <w:pBdr>
          <w:top w:val="nil"/>
          <w:left w:val="nil"/>
          <w:bottom w:val="nil"/>
          <w:right w:val="nil"/>
          <w:between w:val="nil"/>
        </w:pBdr>
        <w:ind w:left="720" w:hanging="720"/>
        <w:rPr>
          <w:color w:val="222222"/>
          <w:sz w:val="22"/>
          <w:szCs w:val="22"/>
          <w:highlight w:val="white"/>
        </w:rPr>
      </w:pPr>
      <w:r>
        <w:rPr>
          <w:color w:val="000000"/>
          <w:sz w:val="22"/>
          <w:szCs w:val="22"/>
        </w:rPr>
        <w:t xml:space="preserve">Abreu, D.A., &amp; Winters, F. (1999). Using monetary incentives to reduce attrition in the survey of income and program participation. </w:t>
      </w:r>
      <w:r>
        <w:rPr>
          <w:i/>
          <w:color w:val="000000"/>
          <w:sz w:val="22"/>
          <w:szCs w:val="22"/>
        </w:rPr>
        <w:t>Proceedings of the Survey Research Methods Section of the American Statistical Association</w:t>
      </w:r>
      <w:r>
        <w:rPr>
          <w:color w:val="000000"/>
          <w:sz w:val="22"/>
          <w:szCs w:val="22"/>
        </w:rPr>
        <w:t>.</w:t>
      </w:r>
    </w:p>
    <w:p w:rsidR="000B40E1" w14:paraId="0000008C" w14:textId="77777777">
      <w:pPr>
        <w:ind w:left="720" w:hanging="720"/>
        <w:rPr>
          <w:color w:val="222222"/>
          <w:sz w:val="22"/>
          <w:szCs w:val="22"/>
          <w:highlight w:val="white"/>
        </w:rPr>
      </w:pPr>
      <w:r>
        <w:rPr>
          <w:color w:val="222222"/>
          <w:sz w:val="22"/>
          <w:szCs w:val="22"/>
          <w:highlight w:val="white"/>
        </w:rPr>
        <w:t>Bonevski</w:t>
      </w:r>
      <w:r>
        <w:rPr>
          <w:color w:val="222222"/>
          <w:sz w:val="22"/>
          <w:szCs w:val="22"/>
          <w:highlight w:val="white"/>
        </w:rPr>
        <w:t xml:space="preserve">, B., Randell, M., Paul, C., Chapman, K., Twyman, L., Bryant, J., </w:t>
      </w:r>
      <w:r>
        <w:rPr>
          <w:color w:val="222222"/>
          <w:sz w:val="22"/>
          <w:szCs w:val="22"/>
          <w:highlight w:val="white"/>
        </w:rPr>
        <w:t>Brozek</w:t>
      </w:r>
      <w:r>
        <w:rPr>
          <w:color w:val="222222"/>
          <w:sz w:val="22"/>
          <w:szCs w:val="22"/>
          <w:highlight w:val="white"/>
        </w:rPr>
        <w:t xml:space="preserve">, I., &amp; Hughes, C. (2014). Reaching the hard-to-reach: a systematic review of strategies for improving health and medical research </w:t>
      </w:r>
      <w:r>
        <w:rPr>
          <w:color w:val="222222"/>
          <w:sz w:val="22"/>
          <w:szCs w:val="22"/>
          <w:highlight w:val="white"/>
        </w:rPr>
        <w:t>with socially disadvantaged groups. BMC medical research methodology, 14, 42. https://doi.org/10.1186/1471-2288-14-42</w:t>
      </w:r>
    </w:p>
    <w:sdt>
      <w:sdtPr>
        <w:tag w:val="goog_rdk_9"/>
        <w:id w:val="-258217500"/>
        <w:richText/>
      </w:sdtPr>
      <w:sdtContent>
        <w:sdt>
          <w:sdtPr>
            <w:tag w:val="goog_rdk_8"/>
            <w:id w:val="1480190014"/>
            <w:richText/>
          </w:sdtPr>
          <w:sdtContent>
            <w:p w:rsidR="003C48BB" w:rsidP="003C48BB" w14:paraId="0B3A713C" w14:textId="77777777">
              <w:pPr>
                <w:spacing w:after="0"/>
                <w:rPr>
                  <w:color w:val="222222"/>
                  <w:sz w:val="22"/>
                  <w:szCs w:val="22"/>
                  <w:highlight w:val="white"/>
                </w:rPr>
              </w:pPr>
              <w:r>
                <w:rPr>
                  <w:color w:val="222222"/>
                  <w:sz w:val="22"/>
                  <w:szCs w:val="22"/>
                  <w:highlight w:val="white"/>
                </w:rPr>
                <w:t>Hilborn</w:t>
              </w:r>
              <w:r>
                <w:rPr>
                  <w:color w:val="222222"/>
                  <w:sz w:val="22"/>
                  <w:szCs w:val="22"/>
                  <w:highlight w:val="white"/>
                </w:rPr>
                <w:t>, E. D., &amp; Beasley, V. R. (2015). One health and cyanobacteria in freshwater systems: animal illnesses and</w:t>
              </w:r>
            </w:p>
            <w:p w:rsidR="000B40E1" w:rsidP="003C48BB" w14:paraId="0000008D" w14:textId="07A2D282">
              <w:pPr>
                <w:ind w:left="720"/>
                <w:rPr>
                  <w:color w:val="222222"/>
                  <w:sz w:val="22"/>
                  <w:szCs w:val="22"/>
                  <w:highlight w:val="white"/>
                </w:rPr>
              </w:pPr>
              <w:r>
                <w:rPr>
                  <w:color w:val="222222"/>
                  <w:sz w:val="22"/>
                  <w:szCs w:val="22"/>
                  <w:highlight w:val="white"/>
                </w:rPr>
                <w:t>deaths are sentinel events for human health risks. Toxins, 7(4), 1374–1395. https://doi.org/10.3390/toxins7041374</w:t>
              </w:r>
            </w:p>
          </w:sdtContent>
        </w:sdt>
      </w:sdtContent>
    </w:sdt>
    <w:p w:rsidR="000B40E1" w14:paraId="0000008E" w14:textId="77777777">
      <w:pPr>
        <w:rPr>
          <w:color w:val="222222"/>
          <w:sz w:val="22"/>
          <w:szCs w:val="22"/>
          <w:highlight w:val="white"/>
        </w:rPr>
      </w:pPr>
      <w:r>
        <w:rPr>
          <w:color w:val="222222"/>
          <w:sz w:val="22"/>
          <w:szCs w:val="22"/>
          <w:highlight w:val="white"/>
        </w:rPr>
        <w:t xml:space="preserve">Krueger, R. and Casey, M. (2009) </w:t>
      </w:r>
      <w:r>
        <w:rPr>
          <w:i/>
          <w:color w:val="222222"/>
          <w:sz w:val="22"/>
          <w:szCs w:val="22"/>
          <w:highlight w:val="white"/>
        </w:rPr>
        <w:t>Focus Groups: A Practical Guide for Applied Research</w:t>
      </w:r>
      <w:r>
        <w:rPr>
          <w:color w:val="222222"/>
          <w:sz w:val="22"/>
          <w:szCs w:val="22"/>
          <w:highlight w:val="white"/>
        </w:rPr>
        <w:t xml:space="preserve">. Sage </w:t>
      </w:r>
    </w:p>
    <w:p w:rsidR="000B40E1" w14:paraId="0000008F" w14:textId="77777777">
      <w:pPr>
        <w:ind w:firstLine="720"/>
        <w:rPr>
          <w:color w:val="222222"/>
          <w:sz w:val="22"/>
          <w:szCs w:val="22"/>
          <w:highlight w:val="white"/>
        </w:rPr>
      </w:pPr>
      <w:r>
        <w:rPr>
          <w:color w:val="222222"/>
          <w:sz w:val="22"/>
          <w:szCs w:val="22"/>
          <w:highlight w:val="white"/>
        </w:rPr>
        <w:t>Publications: Thousand Oaks, CA.</w:t>
      </w:r>
    </w:p>
    <w:sdt>
      <w:sdtPr>
        <w:tag w:val="goog_rdk_12"/>
        <w:id w:val="-2032248442"/>
        <w:richText/>
      </w:sdtPr>
      <w:sdtContent>
        <w:sdt>
          <w:sdtPr>
            <w:tag w:val="goog_rdk_11"/>
            <w:id w:val="1295335390"/>
            <w:richText/>
          </w:sdtPr>
          <w:sdtContent>
            <w:p w:rsidR="003C48BB" w:rsidP="003C48BB" w14:paraId="210AF2B9" w14:textId="77777777">
              <w:pPr>
                <w:spacing w:after="0"/>
                <w:rPr>
                  <w:color w:val="222222"/>
                  <w:sz w:val="22"/>
                  <w:szCs w:val="22"/>
                  <w:highlight w:val="white"/>
                </w:rPr>
              </w:pPr>
              <w:r>
                <w:rPr>
                  <w:color w:val="222222"/>
                  <w:sz w:val="22"/>
                  <w:szCs w:val="22"/>
                  <w:highlight w:val="white"/>
                </w:rPr>
                <w:t>Lavery</w:t>
              </w:r>
              <w:r>
                <w:rPr>
                  <w:color w:val="222222"/>
                  <w:sz w:val="22"/>
                  <w:szCs w:val="22"/>
                  <w:highlight w:val="white"/>
                </w:rPr>
                <w:t xml:space="preserve">, A. M., </w:t>
              </w:r>
              <w:r>
                <w:rPr>
                  <w:color w:val="222222"/>
                  <w:sz w:val="22"/>
                  <w:szCs w:val="22"/>
                  <w:highlight w:val="white"/>
                </w:rPr>
                <w:t>Kieszak</w:t>
              </w:r>
              <w:r>
                <w:rPr>
                  <w:color w:val="222222"/>
                  <w:sz w:val="22"/>
                  <w:szCs w:val="22"/>
                  <w:highlight w:val="white"/>
                </w:rPr>
                <w:t xml:space="preserve">, S. M., Law, R., Bronstein, A. C., Funk, A. R., Banerji, S., Brown, K., </w:t>
              </w:r>
              <w:r>
                <w:rPr>
                  <w:color w:val="222222"/>
                  <w:sz w:val="22"/>
                  <w:szCs w:val="22"/>
                  <w:highlight w:val="white"/>
                </w:rPr>
                <w:t>Sollee</w:t>
              </w:r>
              <w:r>
                <w:rPr>
                  <w:color w:val="222222"/>
                  <w:sz w:val="22"/>
                  <w:szCs w:val="22"/>
                  <w:highlight w:val="white"/>
                </w:rPr>
                <w:t>, D. R., &amp;</w:t>
              </w:r>
            </w:p>
            <w:p w:rsidR="000B40E1" w:rsidP="003C48BB" w14:paraId="00000090" w14:textId="3C0E546F">
              <w:pPr>
                <w:ind w:left="720"/>
                <w:rPr>
                  <w:color w:val="222222"/>
                  <w:sz w:val="22"/>
                  <w:szCs w:val="22"/>
                  <w:highlight w:val="white"/>
                </w:rPr>
              </w:pPr>
              <w:r>
                <w:rPr>
                  <w:color w:val="222222"/>
                  <w:sz w:val="22"/>
                  <w:szCs w:val="22"/>
                  <w:highlight w:val="white"/>
                </w:rPr>
                <w:t>Backer, L. C. (2023). Harmful Algal Bloom Exposures Self-reported to Poison Centers in the United States, May-October 2019. Public health reports (Washington, D.C. : 1974), 138(6), 865–869. https://doi.org/10.1177/00333549221146654</w:t>
              </w:r>
            </w:p>
          </w:sdtContent>
        </w:sdt>
      </w:sdtContent>
    </w:sdt>
    <w:p w:rsidR="000B40E1" w14:paraId="00000091" w14:textId="77777777">
      <w:pPr>
        <w:ind w:left="720" w:hanging="720"/>
        <w:rPr>
          <w:color w:val="222222"/>
          <w:sz w:val="22"/>
          <w:szCs w:val="22"/>
          <w:highlight w:val="white"/>
        </w:rPr>
      </w:pPr>
      <w:r>
        <w:rPr>
          <w:color w:val="222222"/>
          <w:sz w:val="22"/>
          <w:szCs w:val="22"/>
          <w:highlight w:val="white"/>
        </w:rPr>
        <w:t xml:space="preserve">Robinson, K. A., Dennison, C. R., Wayman, D. M., Pronovost, P. J., &amp; Needham, D. M. (2007). Systematic review identifies number of strategies important for retaining study participants. </w:t>
      </w:r>
      <w:r>
        <w:rPr>
          <w:i/>
          <w:color w:val="222222"/>
          <w:sz w:val="22"/>
          <w:szCs w:val="22"/>
          <w:highlight w:val="white"/>
        </w:rPr>
        <w:t>Journal of clinical epidemiology</w:t>
      </w:r>
      <w:r>
        <w:rPr>
          <w:color w:val="222222"/>
          <w:sz w:val="22"/>
          <w:szCs w:val="22"/>
          <w:highlight w:val="white"/>
        </w:rPr>
        <w:t>, 60(8), 757–765. https://doi.org/10.1016/j.jclinepi.2006.11.023</w:t>
      </w:r>
    </w:p>
    <w:p w:rsidR="000B40E1" w14:paraId="00000092" w14:textId="77777777">
      <w:pPr>
        <w:rPr>
          <w:i/>
          <w:sz w:val="22"/>
          <w:szCs w:val="22"/>
        </w:rPr>
      </w:pPr>
      <w:r>
        <w:rPr>
          <w:sz w:val="22"/>
          <w:szCs w:val="22"/>
        </w:rPr>
        <w:t>Shettle</w:t>
      </w:r>
      <w:r>
        <w:rPr>
          <w:sz w:val="22"/>
          <w:szCs w:val="22"/>
        </w:rPr>
        <w:t xml:space="preserve">, C., &amp; Mooney, G. (1999). Monetary incentives in U.S. government surveys. </w:t>
      </w:r>
      <w:r>
        <w:rPr>
          <w:i/>
          <w:sz w:val="22"/>
          <w:szCs w:val="22"/>
        </w:rPr>
        <w:t>Journal of Official</w:t>
      </w:r>
    </w:p>
    <w:p w:rsidR="000B40E1" w14:paraId="00000093" w14:textId="77777777">
      <w:pPr>
        <w:ind w:firstLine="720"/>
        <w:rPr>
          <w:i/>
          <w:sz w:val="22"/>
          <w:szCs w:val="22"/>
        </w:rPr>
      </w:pPr>
      <w:r>
        <w:rPr>
          <w:i/>
          <w:sz w:val="22"/>
          <w:szCs w:val="22"/>
        </w:rPr>
        <w:t>Statistics, 15</w:t>
      </w:r>
      <w:r>
        <w:rPr>
          <w:sz w:val="22"/>
          <w:szCs w:val="22"/>
        </w:rPr>
        <w:t>, 231–250.</w:t>
      </w:r>
    </w:p>
    <w:p w:rsidR="000B40E1" w14:paraId="00000094" w14:textId="77777777">
      <w:pPr>
        <w:rPr>
          <w:i/>
          <w:color w:val="222222"/>
          <w:sz w:val="22"/>
          <w:szCs w:val="22"/>
          <w:highlight w:val="white"/>
        </w:rPr>
      </w:pPr>
      <w:r>
        <w:rPr>
          <w:color w:val="222222"/>
          <w:sz w:val="22"/>
          <w:szCs w:val="22"/>
          <w:highlight w:val="white"/>
        </w:rPr>
        <w:t xml:space="preserve">Singer, E., N. </w:t>
      </w:r>
      <w:r>
        <w:rPr>
          <w:color w:val="222222"/>
          <w:sz w:val="22"/>
          <w:szCs w:val="22"/>
          <w:highlight w:val="white"/>
        </w:rPr>
        <w:t>Gelber</w:t>
      </w:r>
      <w:r>
        <w:rPr>
          <w:color w:val="222222"/>
          <w:sz w:val="22"/>
          <w:szCs w:val="22"/>
          <w:highlight w:val="white"/>
        </w:rPr>
        <w:t xml:space="preserve">, J. Van </w:t>
      </w:r>
      <w:r>
        <w:rPr>
          <w:color w:val="222222"/>
          <w:sz w:val="22"/>
          <w:szCs w:val="22"/>
          <w:highlight w:val="white"/>
        </w:rPr>
        <w:t>Hoewyk</w:t>
      </w:r>
      <w:r>
        <w:rPr>
          <w:color w:val="222222"/>
          <w:sz w:val="22"/>
          <w:szCs w:val="22"/>
          <w:highlight w:val="white"/>
        </w:rPr>
        <w:t xml:space="preserve">, and J. Brown (1997). </w:t>
      </w:r>
      <w:r>
        <w:rPr>
          <w:i/>
          <w:color w:val="222222"/>
          <w:sz w:val="22"/>
          <w:szCs w:val="22"/>
          <w:highlight w:val="white"/>
        </w:rPr>
        <w:t xml:space="preserve">Does $10 Equal $10? The Effect of Framing </w:t>
      </w:r>
    </w:p>
    <w:p w:rsidR="000B40E1" w14:paraId="00000095" w14:textId="77777777">
      <w:pPr>
        <w:ind w:firstLine="720"/>
        <w:rPr>
          <w:color w:val="222222"/>
          <w:sz w:val="22"/>
          <w:szCs w:val="22"/>
          <w:highlight w:val="white"/>
        </w:rPr>
      </w:pPr>
      <w:r>
        <w:rPr>
          <w:i/>
          <w:color w:val="222222"/>
          <w:sz w:val="22"/>
          <w:szCs w:val="22"/>
          <w:highlight w:val="white"/>
        </w:rPr>
        <w:t>on the Impact of Incentives</w:t>
      </w:r>
      <w:r>
        <w:rPr>
          <w:color w:val="222222"/>
          <w:sz w:val="22"/>
          <w:szCs w:val="22"/>
          <w:highlight w:val="white"/>
        </w:rPr>
        <w:t xml:space="preserve">. Paper presented at the American Association for Public </w:t>
      </w:r>
      <w:r>
        <w:rPr>
          <w:color w:val="222222"/>
          <w:sz w:val="22"/>
          <w:szCs w:val="22"/>
          <w:highlight w:val="white"/>
        </w:rPr>
        <w:t>Opinion;</w:t>
      </w:r>
      <w:r>
        <w:rPr>
          <w:color w:val="222222"/>
          <w:sz w:val="22"/>
          <w:szCs w:val="22"/>
          <w:highlight w:val="white"/>
        </w:rPr>
        <w:t xml:space="preserve"> </w:t>
      </w:r>
    </w:p>
    <w:p w:rsidR="000B40E1" w14:paraId="00000096" w14:textId="77777777">
      <w:pPr>
        <w:ind w:firstLine="720"/>
        <w:rPr>
          <w:color w:val="222222"/>
          <w:sz w:val="22"/>
          <w:szCs w:val="22"/>
          <w:highlight w:val="white"/>
        </w:rPr>
      </w:pPr>
      <w:r>
        <w:rPr>
          <w:color w:val="222222"/>
          <w:sz w:val="22"/>
          <w:szCs w:val="22"/>
          <w:highlight w:val="white"/>
        </w:rPr>
        <w:t>Norfolk, VA.</w:t>
      </w:r>
    </w:p>
    <w:p w:rsidR="000B40E1" w14:paraId="00000097" w14:textId="77777777">
      <w:pPr>
        <w:rPr>
          <w:color w:val="222222"/>
          <w:sz w:val="22"/>
          <w:szCs w:val="22"/>
          <w:highlight w:val="white"/>
        </w:rPr>
      </w:pPr>
      <w:r>
        <w:rPr>
          <w:color w:val="222222"/>
          <w:sz w:val="22"/>
          <w:szCs w:val="22"/>
          <w:highlight w:val="white"/>
        </w:rPr>
        <w:t xml:space="preserve">Singer, E., Van </w:t>
      </w:r>
      <w:r>
        <w:rPr>
          <w:color w:val="222222"/>
          <w:sz w:val="22"/>
          <w:szCs w:val="22"/>
          <w:highlight w:val="white"/>
        </w:rPr>
        <w:t>Hoewyk</w:t>
      </w:r>
      <w:r>
        <w:rPr>
          <w:color w:val="222222"/>
          <w:sz w:val="22"/>
          <w:szCs w:val="22"/>
          <w:highlight w:val="white"/>
        </w:rPr>
        <w:t xml:space="preserve">, J., and Maher, M.P. (2000). Experiments with Incentives in Telephone Surveys. </w:t>
      </w:r>
    </w:p>
    <w:p w:rsidR="000B40E1" w14:paraId="00000098" w14:textId="77777777">
      <w:pPr>
        <w:ind w:firstLine="720"/>
        <w:rPr>
          <w:color w:val="222222"/>
          <w:sz w:val="22"/>
          <w:szCs w:val="22"/>
          <w:highlight w:val="white"/>
        </w:rPr>
      </w:pPr>
      <w:r>
        <w:rPr>
          <w:i/>
          <w:color w:val="222222"/>
          <w:sz w:val="22"/>
          <w:szCs w:val="22"/>
          <w:highlight w:val="white"/>
        </w:rPr>
        <w:t>Public Opinion Quarterly 64</w:t>
      </w:r>
      <w:r>
        <w:rPr>
          <w:color w:val="222222"/>
          <w:sz w:val="22"/>
          <w:szCs w:val="22"/>
          <w:highlight w:val="white"/>
        </w:rPr>
        <w:t>(3):171-188.</w:t>
      </w:r>
    </w:p>
    <w:p w:rsidR="000B40E1" w14:paraId="00000099" w14:textId="77777777">
      <w:pPr>
        <w:ind w:left="720" w:hanging="720"/>
        <w:rPr>
          <w:sz w:val="22"/>
          <w:szCs w:val="22"/>
        </w:rPr>
      </w:pPr>
      <w:r>
        <w:rPr>
          <w:color w:val="222222"/>
          <w:sz w:val="22"/>
          <w:szCs w:val="22"/>
          <w:highlight w:val="white"/>
        </w:rPr>
        <w:t xml:space="preserve">U.S. Bureau of Labor Statistics. Economy </w:t>
      </w:r>
      <w:r>
        <w:rPr>
          <w:color w:val="222222"/>
          <w:sz w:val="22"/>
          <w:szCs w:val="22"/>
          <w:highlight w:val="white"/>
        </w:rPr>
        <w:t>at a Glance</w:t>
      </w:r>
      <w:r>
        <w:rPr>
          <w:color w:val="222222"/>
          <w:sz w:val="22"/>
          <w:szCs w:val="22"/>
          <w:highlight w:val="white"/>
        </w:rPr>
        <w:t xml:space="preserve">. Retrieved from </w:t>
      </w:r>
      <w:hyperlink r:id="rId9">
        <w:r>
          <w:rPr>
            <w:color w:val="1155CC"/>
            <w:sz w:val="22"/>
            <w:szCs w:val="22"/>
            <w:highlight w:val="white"/>
            <w:u w:val="single"/>
          </w:rPr>
          <w:t>https://www.bls.gov/eag/eag.us.htm</w:t>
        </w:r>
      </w:hyperlink>
      <w:r>
        <w:rPr>
          <w:color w:val="222222"/>
          <w:sz w:val="22"/>
          <w:szCs w:val="22"/>
          <w:highlight w:val="white"/>
        </w:rPr>
        <w:t xml:space="preserve">, on December 2, 2021. </w:t>
      </w:r>
    </w:p>
    <w:p w:rsidR="000B40E1" w14:paraId="0000009A" w14:textId="77777777">
      <w:pPr>
        <w:rPr>
          <w:sz w:val="22"/>
          <w:szCs w:val="22"/>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0E1" w14:paraId="0000009E"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0E1" w14:paraId="000000A0" w14:textId="77777777">
    <w:pPr>
      <w:pBdr>
        <w:top w:val="nil"/>
        <w:left w:val="nil"/>
        <w:bottom w:val="nil"/>
        <w:right w:val="nil"/>
        <w:between w:val="nil"/>
      </w:pBdr>
      <w:tabs>
        <w:tab w:val="center" w:pos="4680"/>
        <w:tab w:val="right" w:pos="9360"/>
      </w:tabs>
      <w:spacing w:after="0" w:line="240" w:lineRule="auto"/>
      <w:jc w:val="center"/>
      <w:rPr>
        <w:color w:val="000000"/>
      </w:rPr>
    </w:pPr>
  </w:p>
  <w:p w:rsidR="000B40E1" w14:paraId="000000A1" w14:textId="77777777">
    <w:pPr>
      <w:pBdr>
        <w:top w:val="nil"/>
        <w:left w:val="nil"/>
        <w:bottom w:val="nil"/>
        <w:right w:val="nil"/>
        <w:between w:val="nil"/>
      </w:pBdr>
      <w:tabs>
        <w:tab w:val="center" w:pos="4680"/>
        <w:tab w:val="right" w:pos="9360"/>
      </w:tabs>
      <w:spacing w:after="0" w:line="240" w:lineRule="auto"/>
    </w:pPr>
  </w:p>
  <w:p w:rsidR="000B40E1" w14:paraId="000000A2" w14:textId="70D84417">
    <w:pPr>
      <w:pBdr>
        <w:top w:val="nil"/>
        <w:left w:val="nil"/>
        <w:bottom w:val="nil"/>
        <w:right w:val="nil"/>
        <w:between w:val="nil"/>
      </w:pBdr>
      <w:tabs>
        <w:tab w:val="center" w:pos="4680"/>
        <w:tab w:val="right" w:pos="9360"/>
      </w:tabs>
      <w:spacing w:after="0" w:line="240" w:lineRule="auto"/>
      <w:jc w:val="right"/>
      <w:rPr>
        <w:sz w:val="22"/>
        <w:szCs w:val="22"/>
      </w:rPr>
    </w:pPr>
    <w:r>
      <w:rPr>
        <w:color w:val="2B579A"/>
        <w:sz w:val="22"/>
        <w:szCs w:val="22"/>
        <w:shd w:val="clear" w:color="auto" w:fill="E6E6E6"/>
      </w:rPr>
      <w:fldChar w:fldCharType="begin"/>
    </w:r>
    <w:r>
      <w:rPr>
        <w:color w:val="2B579A"/>
        <w:sz w:val="22"/>
        <w:szCs w:val="22"/>
        <w:shd w:val="clear" w:color="auto" w:fill="E6E6E6"/>
      </w:rPr>
      <w:instrText>PAGE</w:instrText>
    </w:r>
    <w:r>
      <w:rPr>
        <w:color w:val="2B579A"/>
        <w:sz w:val="22"/>
        <w:szCs w:val="22"/>
        <w:shd w:val="clear" w:color="auto" w:fill="E6E6E6"/>
      </w:rPr>
      <w:fldChar w:fldCharType="separate"/>
    </w:r>
    <w:r w:rsidR="003C48BB">
      <w:rPr>
        <w:noProof/>
        <w:color w:val="2B579A"/>
        <w:sz w:val="22"/>
        <w:szCs w:val="22"/>
        <w:shd w:val="clear" w:color="auto" w:fill="E6E6E6"/>
      </w:rPr>
      <w:t>2</w:t>
    </w:r>
    <w:r>
      <w:rPr>
        <w:color w:val="2B579A"/>
        <w:sz w:val="22"/>
        <w:szCs w:val="22"/>
        <w:shd w:val="clear" w:color="auto" w:fill="E6E6E6"/>
      </w:rPr>
      <w:fldChar w:fldCharType="end"/>
    </w:r>
  </w:p>
  <w:p w:rsidR="000B40E1" w14:paraId="000000A3" w14:textId="77777777">
    <w:pPr>
      <w:widowControl w:val="0"/>
      <w:pBdr>
        <w:top w:val="nil"/>
        <w:left w:val="nil"/>
        <w:bottom w:val="nil"/>
        <w:right w:val="nil"/>
        <w:between w:val="nil"/>
      </w:pBdr>
      <w:spacing w:after="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0E1" w14:paraId="0000009F" w14:textId="77777777">
    <w:pPr>
      <w:pBdr>
        <w:top w:val="nil"/>
        <w:left w:val="nil"/>
        <w:bottom w:val="nil"/>
        <w:right w:val="nil"/>
        <w:between w:val="nil"/>
      </w:pBdr>
      <w:tabs>
        <w:tab w:val="center" w:pos="4680"/>
        <w:tab w:val="right" w:pos="9360"/>
      </w:tabs>
      <w:spacing w:after="0" w:line="240" w:lineRule="auto"/>
      <w:jc w:val="right"/>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0E1" w14:paraId="0000009C"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0E1" w14:paraId="0000009B"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40E1" w14:paraId="0000009D" w14:textId="77777777">
    <w:pPr>
      <w:pBdr>
        <w:top w:val="nil"/>
        <w:left w:val="nil"/>
        <w:bottom w:val="nil"/>
        <w:right w:val="nil"/>
        <w:between w:val="nil"/>
      </w:pBdr>
      <w:tabs>
        <w:tab w:val="center" w:pos="4680"/>
        <w:tab w:val="right" w:pos="9360"/>
      </w:tabs>
      <w:spacing w:after="0" w:line="240" w:lineRule="auto"/>
      <w:rPr>
        <w:color w:val="000000"/>
      </w:rPr>
    </w:pPr>
    <w:r>
      <w:t>December 22</w:t>
    </w:r>
    <w:r>
      <w:rPr>
        <w:color w:val="00000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933F85"/>
    <w:multiLevelType w:val="multilevel"/>
    <w:tmpl w:val="00003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C3E6F2D"/>
    <w:multiLevelType w:val="multilevel"/>
    <w:tmpl w:val="DAE2C07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nsid w:val="617C2235"/>
    <w:multiLevelType w:val="multilevel"/>
    <w:tmpl w:val="134458A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
    <w:nsid w:val="66E239ED"/>
    <w:multiLevelType w:val="multilevel"/>
    <w:tmpl w:val="0854C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28510D"/>
    <w:multiLevelType w:val="multilevel"/>
    <w:tmpl w:val="671C0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2522113">
    <w:abstractNumId w:val="0"/>
  </w:num>
  <w:num w:numId="2" w16cid:durableId="1501701790">
    <w:abstractNumId w:val="2"/>
  </w:num>
  <w:num w:numId="3" w16cid:durableId="1633124196">
    <w:abstractNumId w:val="4"/>
  </w:num>
  <w:num w:numId="4" w16cid:durableId="1702196686">
    <w:abstractNumId w:val="3"/>
  </w:num>
  <w:num w:numId="5" w16cid:durableId="149206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0E1"/>
    <w:rsid w:val="000B40E1"/>
    <w:rsid w:val="000E3800"/>
    <w:rsid w:val="00160AF4"/>
    <w:rsid w:val="001E3A87"/>
    <w:rsid w:val="00242193"/>
    <w:rsid w:val="002A1429"/>
    <w:rsid w:val="00313D47"/>
    <w:rsid w:val="00357611"/>
    <w:rsid w:val="00364F23"/>
    <w:rsid w:val="003C48BB"/>
    <w:rsid w:val="003E447A"/>
    <w:rsid w:val="005D4F7D"/>
    <w:rsid w:val="00720C95"/>
    <w:rsid w:val="007C7779"/>
    <w:rsid w:val="00891A88"/>
    <w:rsid w:val="009F3A1F"/>
    <w:rsid w:val="00B15A24"/>
    <w:rsid w:val="00BC0C40"/>
    <w:rsid w:val="00CE1C10"/>
    <w:rsid w:val="00D12C1B"/>
    <w:rsid w:val="00E23C5B"/>
    <w:rsid w:val="00E833AA"/>
    <w:rsid w:val="00F6713D"/>
    <w:rsid w:val="00F71047"/>
    <w:rsid w:val="00F969BC"/>
    <w:rsid w:val="00FA0F6D"/>
    <w:rsid w:val="26278A2F"/>
    <w:rsid w:val="729419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8173E"/>
  <w15:docId w15:val="{434E5AA9-E1FF-4405-8EAA-BD9E992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line="240" w:lineRule="auto"/>
      <w:ind w:left="360" w:hanging="360"/>
      <w:outlineLvl w:val="0"/>
    </w:pPr>
    <w:rPr>
      <w:b/>
      <w:color w:val="00000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spacing w:after="0" w:line="240" w:lineRule="auto"/>
      <w:jc w:val="center"/>
      <w:outlineLvl w:val="2"/>
    </w:pPr>
    <w:rPr>
      <w:sz w:val="32"/>
      <w:szCs w:val="32"/>
    </w:rPr>
  </w:style>
  <w:style w:type="paragraph" w:styleId="Heading4">
    <w:name w:val="heading 4"/>
    <w:basedOn w:val="Normal"/>
    <w:next w:val="Normal"/>
    <w:uiPriority w:val="9"/>
    <w:unhideWhenUsed/>
    <w:qFormat/>
    <w:pPr>
      <w:spacing w:after="0" w:line="240" w:lineRule="auto"/>
      <w:jc w:val="center"/>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pPr>
    <w:rPr>
      <w:rFonts w:ascii="Calibri" w:eastAsia="Calibri" w:hAnsi="Calibri" w:cs="Calibri"/>
      <w:color w:val="5A5A5A"/>
      <w:sz w:val="22"/>
      <w:szCs w:val="22"/>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top w:w="100" w:type="dxa"/>
        <w:left w:w="115" w:type="dxa"/>
        <w:bottom w:w="100" w:type="dxa"/>
        <w:right w:w="115" w:type="dxa"/>
      </w:tblCellMar>
    </w:tblPr>
  </w:style>
  <w:style w:type="table" w:customStyle="1" w:styleId="a1">
    <w:name w:val="a1"/>
    <w:basedOn w:val="TableNormal"/>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A0F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quickfacts/fact/table/US/PST045219" TargetMode="External" /><Relationship Id="rId9" Type="http://schemas.openxmlformats.org/officeDocument/2006/relationships/hyperlink" Target="https://www.bls.gov/eag/eag.u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ARJ50bHx5olEF2Y1mMpYyoFYHA==">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</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61F493-D7A0-4A71-A031-2BAF8FA83446}">
  <ds:schemaRefs>
    <ds:schemaRef ds:uri="http://schemas.microsoft.com/sharepoint/v3/contenttype/forms"/>
  </ds:schemaRefs>
</ds:datastoreItem>
</file>

<file path=customXml/itemProps3.xml><?xml version="1.0" encoding="utf-8"?>
<ds:datastoreItem xmlns:ds="http://schemas.openxmlformats.org/officeDocument/2006/customXml" ds:itemID="{AC56F3BC-431C-49CC-9B22-794C2D68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59E0B-DF7F-4897-96A6-CE2D4501426F}">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1930</Words>
  <Characters>11005</Characters>
  <Application>Microsoft Office Word</Application>
  <DocSecurity>0</DocSecurity>
  <Lines>91</Lines>
  <Paragraphs>25</Paragraphs>
  <ScaleCrop>false</ScaleCrop>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21</cp:revision>
  <dcterms:created xsi:type="dcterms:W3CDTF">2023-12-21T20:38:00Z</dcterms:created>
  <dcterms:modified xsi:type="dcterms:W3CDTF">2024-02-05T15:26:00Z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8af03ff0-41c5-4c41-b55e-fabb8fae94be_ActionId">
    <vt:lpwstr>b77b0558-c787-41c7-9a92-fa7a0f9b7da3</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2021-11-24T03:01:33Z</vt:lpwstr>
  </property>
  <property fmtid="{D5CDD505-2E9C-101B-9397-08002B2CF9AE}" pid="10" name="MSIP_Label_8af03ff0-41c5-4c41-b55e-fabb8fae94be_SiteId">
    <vt:lpwstr>9ce70869-60db-44fd-abe8-d2767077fc8f</vt:lpwstr>
  </property>
</Properties>
</file>