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2D0D" w:rsidRDefault="00762D0D" w14:paraId="18DEB1ED" w14:textId="2CBC2F85">
      <w:pPr>
        <w:spacing w:after="0" w:line="240" w:lineRule="auto"/>
        <w:jc w:val="center"/>
        <w:rPr>
          <w:b/>
          <w:sz w:val="24"/>
          <w:szCs w:val="24"/>
        </w:rPr>
      </w:pPr>
      <w:r>
        <w:rPr>
          <w:b/>
          <w:sz w:val="24"/>
          <w:szCs w:val="24"/>
        </w:rPr>
        <w:t xml:space="preserve">Supporting </w:t>
      </w:r>
      <w:proofErr w:type="gramStart"/>
      <w:r>
        <w:rPr>
          <w:b/>
          <w:sz w:val="24"/>
          <w:szCs w:val="24"/>
        </w:rPr>
        <w:t>Statement</w:t>
      </w:r>
      <w:proofErr w:type="gramEnd"/>
      <w:r>
        <w:rPr>
          <w:b/>
          <w:sz w:val="24"/>
          <w:szCs w:val="24"/>
        </w:rPr>
        <w:t xml:space="preserve"> </w:t>
      </w:r>
      <w:r w:rsidR="00AE1AE1">
        <w:rPr>
          <w:b/>
          <w:sz w:val="24"/>
          <w:szCs w:val="24"/>
        </w:rPr>
        <w:t xml:space="preserve">A </w:t>
      </w:r>
      <w:r>
        <w:rPr>
          <w:b/>
          <w:sz w:val="24"/>
          <w:szCs w:val="24"/>
        </w:rPr>
        <w:t xml:space="preserve">for Paperwork Reduction Act Generic Information Collection Submissions for </w:t>
      </w:r>
    </w:p>
    <w:p w:rsidR="007B683D" w:rsidRDefault="007B683D" w14:paraId="325C8C4B" w14:textId="77777777">
      <w:pPr>
        <w:spacing w:after="0" w:line="240" w:lineRule="auto"/>
        <w:jc w:val="center"/>
        <w:rPr>
          <w:b/>
          <w:sz w:val="24"/>
          <w:szCs w:val="24"/>
        </w:rPr>
      </w:pPr>
    </w:p>
    <w:p w:rsidR="00762D0D" w:rsidRDefault="00762D0D" w14:paraId="237EDFC1" w14:textId="77777777">
      <w:pPr>
        <w:spacing w:after="0" w:line="240" w:lineRule="auto"/>
        <w:jc w:val="center"/>
        <w:outlineLvl w:val="0"/>
        <w:rPr>
          <w:b/>
          <w:sz w:val="24"/>
          <w:szCs w:val="24"/>
        </w:rPr>
      </w:pPr>
      <w:r>
        <w:rPr>
          <w:b/>
          <w:sz w:val="24"/>
          <w:szCs w:val="24"/>
        </w:rPr>
        <w:t>“Generic Clearance for the Collection of Qualitative Feedback on Agency Service Delivery”</w:t>
      </w:r>
    </w:p>
    <w:p w:rsidR="007B683D" w:rsidRDefault="007B683D" w14:paraId="555AC607" w14:textId="77777777">
      <w:pPr>
        <w:spacing w:after="0" w:line="240" w:lineRule="auto"/>
        <w:jc w:val="center"/>
        <w:outlineLvl w:val="0"/>
        <w:rPr>
          <w:b/>
          <w:sz w:val="24"/>
          <w:szCs w:val="24"/>
        </w:rPr>
      </w:pPr>
    </w:p>
    <w:p w:rsidR="007B683D" w:rsidRDefault="007B683D" w14:paraId="166BEF5C" w14:textId="77777777">
      <w:pPr>
        <w:spacing w:after="0" w:line="240" w:lineRule="auto"/>
        <w:jc w:val="center"/>
        <w:outlineLvl w:val="0"/>
        <w:rPr>
          <w:b/>
          <w:sz w:val="24"/>
          <w:szCs w:val="24"/>
        </w:rPr>
      </w:pPr>
      <w:r>
        <w:rPr>
          <w:b/>
          <w:sz w:val="24"/>
          <w:szCs w:val="24"/>
        </w:rPr>
        <w:t>OMB Control No. 0920-1071</w:t>
      </w:r>
    </w:p>
    <w:p w:rsidR="007B683D" w:rsidRDefault="007B683D" w14:paraId="45CA56B7" w14:textId="7A399716">
      <w:pPr>
        <w:spacing w:after="0" w:line="240" w:lineRule="auto"/>
        <w:jc w:val="center"/>
        <w:outlineLvl w:val="0"/>
        <w:rPr>
          <w:b/>
          <w:sz w:val="24"/>
          <w:szCs w:val="24"/>
        </w:rPr>
      </w:pPr>
      <w:r>
        <w:rPr>
          <w:b/>
          <w:sz w:val="24"/>
          <w:szCs w:val="24"/>
        </w:rPr>
        <w:t xml:space="preserve">Expiration Date: </w:t>
      </w:r>
      <w:r w:rsidR="00F64FF2">
        <w:rPr>
          <w:b/>
          <w:sz w:val="24"/>
          <w:szCs w:val="24"/>
        </w:rPr>
        <w:t>02</w:t>
      </w:r>
      <w:r w:rsidR="00811E7B">
        <w:rPr>
          <w:b/>
          <w:sz w:val="24"/>
          <w:szCs w:val="24"/>
        </w:rPr>
        <w:t>/</w:t>
      </w:r>
      <w:r w:rsidR="00F64FF2">
        <w:rPr>
          <w:b/>
          <w:sz w:val="24"/>
          <w:szCs w:val="24"/>
        </w:rPr>
        <w:t>28</w:t>
      </w:r>
      <w:r w:rsidR="00811E7B">
        <w:rPr>
          <w:b/>
          <w:sz w:val="24"/>
          <w:szCs w:val="24"/>
        </w:rPr>
        <w:t>/20</w:t>
      </w:r>
      <w:r w:rsidR="00F64FF2">
        <w:rPr>
          <w:b/>
          <w:sz w:val="24"/>
          <w:szCs w:val="24"/>
        </w:rPr>
        <w:t>21</w:t>
      </w:r>
    </w:p>
    <w:p w:rsidR="00762D0D" w:rsidRDefault="00762D0D" w14:paraId="7E6D9074" w14:textId="77777777">
      <w:pPr>
        <w:spacing w:after="0" w:line="240" w:lineRule="auto"/>
        <w:rPr>
          <w:b/>
        </w:rPr>
      </w:pPr>
    </w:p>
    <w:p w:rsidR="007B683D" w:rsidRDefault="007B683D" w14:paraId="4C4BBA82" w14:textId="77777777">
      <w:pPr>
        <w:spacing w:after="0" w:line="240" w:lineRule="auto"/>
        <w:rPr>
          <w:b/>
        </w:rPr>
      </w:pPr>
    </w:p>
    <w:p w:rsidRPr="007B683D" w:rsidR="007B683D" w:rsidRDefault="007B683D" w14:paraId="103EFD8C" w14:textId="77777777">
      <w:pPr>
        <w:spacing w:after="0" w:line="240" w:lineRule="auto"/>
        <w:rPr>
          <w:b/>
        </w:rPr>
      </w:pPr>
    </w:p>
    <w:p w:rsidRPr="007B683D" w:rsidR="00307D7A" w:rsidP="007B683D" w:rsidRDefault="007B683D" w14:paraId="5B91A20C" w14:textId="7295E07D">
      <w:pPr>
        <w:spacing w:after="0" w:line="240" w:lineRule="auto"/>
        <w:jc w:val="center"/>
        <w:rPr>
          <w:b/>
        </w:rPr>
      </w:pPr>
      <w:r w:rsidRPr="007B683D">
        <w:rPr>
          <w:b/>
        </w:rPr>
        <w:t>Extension</w:t>
      </w:r>
      <w:r w:rsidR="00CB0BB8">
        <w:rPr>
          <w:b/>
        </w:rPr>
        <w:t xml:space="preserve"> ICR</w:t>
      </w:r>
    </w:p>
    <w:p w:rsidR="00307D7A" w:rsidRDefault="00307D7A" w14:paraId="7D029D6B" w14:textId="77777777">
      <w:pPr>
        <w:spacing w:after="0" w:line="240" w:lineRule="auto"/>
      </w:pPr>
    </w:p>
    <w:p w:rsidR="007B683D" w:rsidRDefault="007B683D" w14:paraId="685E03C3" w14:textId="77777777">
      <w:pPr>
        <w:spacing w:after="0" w:line="240" w:lineRule="auto"/>
      </w:pPr>
    </w:p>
    <w:p w:rsidR="007B683D" w:rsidRDefault="007B683D" w14:paraId="79C32D46" w14:textId="77777777">
      <w:pPr>
        <w:spacing w:after="0" w:line="240" w:lineRule="auto"/>
      </w:pPr>
    </w:p>
    <w:p w:rsidR="00E51B8B" w:rsidRDefault="00E51B8B" w14:paraId="19B05C8E" w14:textId="77777777">
      <w:pPr>
        <w:spacing w:after="0" w:line="240" w:lineRule="auto"/>
      </w:pPr>
    </w:p>
    <w:p w:rsidR="00E51B8B" w:rsidRDefault="00E51B8B" w14:paraId="07B6E3D6" w14:textId="77777777">
      <w:pPr>
        <w:spacing w:after="0" w:line="240" w:lineRule="auto"/>
      </w:pPr>
    </w:p>
    <w:p w:rsidR="00E51B8B" w:rsidRDefault="00E51B8B" w14:paraId="13D0FEF9" w14:textId="77777777">
      <w:pPr>
        <w:spacing w:after="0" w:line="240" w:lineRule="auto"/>
      </w:pPr>
    </w:p>
    <w:p w:rsidR="00E51B8B" w:rsidRDefault="00E51B8B" w14:paraId="44B60FA5" w14:textId="77777777">
      <w:pPr>
        <w:spacing w:after="0" w:line="240" w:lineRule="auto"/>
      </w:pPr>
    </w:p>
    <w:p w:rsidR="00E51B8B" w:rsidRDefault="00E51B8B" w14:paraId="1740A87F" w14:textId="77777777">
      <w:pPr>
        <w:spacing w:after="0" w:line="240" w:lineRule="auto"/>
      </w:pPr>
    </w:p>
    <w:p w:rsidR="00E51B8B" w:rsidRDefault="00E51B8B" w14:paraId="039D742A" w14:textId="77777777">
      <w:pPr>
        <w:spacing w:after="0" w:line="240" w:lineRule="auto"/>
      </w:pPr>
    </w:p>
    <w:p w:rsidR="00E51B8B" w:rsidRDefault="00E51B8B" w14:paraId="64A570DB" w14:textId="77777777">
      <w:pPr>
        <w:spacing w:after="0" w:line="240" w:lineRule="auto"/>
      </w:pPr>
    </w:p>
    <w:p w:rsidR="00E51B8B" w:rsidRDefault="00E51B8B" w14:paraId="7C20046C" w14:textId="77777777">
      <w:pPr>
        <w:spacing w:after="0" w:line="240" w:lineRule="auto"/>
      </w:pPr>
    </w:p>
    <w:p w:rsidR="00E51B8B" w:rsidRDefault="00E51B8B" w14:paraId="5B648D0E" w14:textId="77777777">
      <w:pPr>
        <w:spacing w:after="0" w:line="240" w:lineRule="auto"/>
      </w:pPr>
    </w:p>
    <w:p w:rsidR="00E51B8B" w:rsidRDefault="00E51B8B" w14:paraId="59EEE540" w14:textId="77777777">
      <w:pPr>
        <w:spacing w:after="0" w:line="240" w:lineRule="auto"/>
      </w:pPr>
    </w:p>
    <w:p w:rsidR="00E51B8B" w:rsidRDefault="00E51B8B" w14:paraId="1E2FD790" w14:textId="77777777">
      <w:pPr>
        <w:spacing w:after="0" w:line="240" w:lineRule="auto"/>
      </w:pPr>
    </w:p>
    <w:p w:rsidR="00E51B8B" w:rsidRDefault="00E51B8B" w14:paraId="7F00082F" w14:textId="77777777">
      <w:pPr>
        <w:spacing w:after="0" w:line="240" w:lineRule="auto"/>
      </w:pPr>
    </w:p>
    <w:p w:rsidR="00E51B8B" w:rsidRDefault="00E51B8B" w14:paraId="202EF9B2" w14:textId="77777777">
      <w:pPr>
        <w:spacing w:after="0" w:line="240" w:lineRule="auto"/>
      </w:pPr>
    </w:p>
    <w:p w:rsidR="00E51B8B" w:rsidRDefault="00E51B8B" w14:paraId="0EF9C257" w14:textId="77777777">
      <w:pPr>
        <w:spacing w:after="0" w:line="240" w:lineRule="auto"/>
      </w:pPr>
    </w:p>
    <w:p w:rsidR="00E51B8B" w:rsidRDefault="00E51B8B" w14:paraId="2D5FE90C" w14:textId="77777777">
      <w:pPr>
        <w:spacing w:after="0" w:line="240" w:lineRule="auto"/>
      </w:pPr>
    </w:p>
    <w:p w:rsidR="00E51B8B" w:rsidRDefault="00E51B8B" w14:paraId="60C2A7B1" w14:textId="77777777">
      <w:pPr>
        <w:spacing w:after="0" w:line="240" w:lineRule="auto"/>
      </w:pPr>
    </w:p>
    <w:p w:rsidR="00E51B8B" w:rsidRDefault="00E51B8B" w14:paraId="19C2BE9A" w14:textId="77777777">
      <w:pPr>
        <w:spacing w:after="0" w:line="240" w:lineRule="auto"/>
      </w:pPr>
    </w:p>
    <w:p w:rsidR="00E51B8B" w:rsidRDefault="00E51B8B" w14:paraId="0D31A79A" w14:textId="77777777">
      <w:pPr>
        <w:spacing w:after="0" w:line="240" w:lineRule="auto"/>
      </w:pPr>
    </w:p>
    <w:p w:rsidR="00E51B8B" w:rsidRDefault="00E51B8B" w14:paraId="65157D95" w14:textId="77777777">
      <w:pPr>
        <w:spacing w:after="0" w:line="240" w:lineRule="auto"/>
      </w:pPr>
    </w:p>
    <w:p w:rsidR="00E51B8B" w:rsidRDefault="00E51B8B" w14:paraId="331F1C98" w14:textId="77777777">
      <w:pPr>
        <w:spacing w:after="0" w:line="240" w:lineRule="auto"/>
      </w:pPr>
    </w:p>
    <w:p w:rsidR="00E51B8B" w:rsidRDefault="00E51B8B" w14:paraId="41051E5A" w14:textId="77777777">
      <w:pPr>
        <w:spacing w:after="0" w:line="240" w:lineRule="auto"/>
      </w:pPr>
    </w:p>
    <w:p w:rsidR="00E51B8B" w:rsidRDefault="00E51B8B" w14:paraId="13DA7759" w14:textId="77777777">
      <w:pPr>
        <w:spacing w:after="0" w:line="240" w:lineRule="auto"/>
      </w:pPr>
    </w:p>
    <w:p w:rsidR="00E51B8B" w:rsidRDefault="00E51B8B" w14:paraId="7BF7783F" w14:textId="77777777">
      <w:pPr>
        <w:spacing w:after="0" w:line="240" w:lineRule="auto"/>
      </w:pPr>
    </w:p>
    <w:p w:rsidR="00307D7A" w:rsidRDefault="00307D7A" w14:paraId="4FACC3AD" w14:textId="3F214F99">
      <w:pPr>
        <w:spacing w:after="0" w:line="240" w:lineRule="auto"/>
      </w:pPr>
      <w:r>
        <w:t>National Center for Emerging and Zoonotic Infectious Diseases</w:t>
      </w:r>
    </w:p>
    <w:p w:rsidR="00797E9A" w:rsidRDefault="00797E9A" w14:paraId="3BCDD8EA" w14:textId="77777777">
      <w:pPr>
        <w:spacing w:after="0" w:line="240" w:lineRule="auto"/>
      </w:pPr>
    </w:p>
    <w:p w:rsidR="00307D7A" w:rsidRDefault="00310AC3" w14:paraId="31DB9765" w14:textId="29211D46">
      <w:pPr>
        <w:spacing w:after="0" w:line="240" w:lineRule="auto"/>
      </w:pPr>
      <w:r>
        <w:t>January 13, 2021</w:t>
      </w:r>
    </w:p>
    <w:p w:rsidR="00307D7A" w:rsidRDefault="00307D7A" w14:paraId="504BC579" w14:textId="77777777">
      <w:pPr>
        <w:spacing w:after="0" w:line="240" w:lineRule="auto"/>
      </w:pPr>
    </w:p>
    <w:p w:rsidR="00F64FF2" w:rsidP="00F64FF2" w:rsidRDefault="00F64FF2" w14:paraId="49CA0AE4" w14:textId="77777777">
      <w:pPr>
        <w:spacing w:after="0" w:line="240" w:lineRule="auto"/>
      </w:pPr>
      <w:r>
        <w:t>Thomas J. “Chip” Daymude</w:t>
      </w:r>
    </w:p>
    <w:p w:rsidR="00F64FF2" w:rsidP="00F64FF2" w:rsidRDefault="00F64FF2" w14:paraId="67109E33" w14:textId="77777777">
      <w:pPr>
        <w:spacing w:after="0" w:line="240" w:lineRule="auto"/>
      </w:pPr>
      <w:r>
        <w:t>CDC/NCEZID</w:t>
      </w:r>
    </w:p>
    <w:p w:rsidR="00F64FF2" w:rsidP="00F64FF2" w:rsidRDefault="00F64FF2" w14:paraId="0391EE69" w14:textId="1C82FB63">
      <w:pPr>
        <w:spacing w:after="0" w:line="240" w:lineRule="auto"/>
      </w:pPr>
      <w:r>
        <w:t>1600 Clifton Rd</w:t>
      </w:r>
    </w:p>
    <w:p w:rsidR="00F64FF2" w:rsidP="00F64FF2" w:rsidRDefault="00F64FF2" w14:paraId="1073EA7E" w14:textId="77777777">
      <w:pPr>
        <w:spacing w:after="0" w:line="240" w:lineRule="auto"/>
      </w:pPr>
      <w:r>
        <w:t>Atlanta GA 30333</w:t>
      </w:r>
    </w:p>
    <w:p w:rsidR="00F64FF2" w:rsidP="00F64FF2" w:rsidRDefault="00315390" w14:paraId="49F7AE07" w14:textId="77777777">
      <w:pPr>
        <w:spacing w:after="0" w:line="240" w:lineRule="auto"/>
      </w:pPr>
      <w:hyperlink w:history="1" r:id="rId12">
        <w:r w:rsidRPr="00FE7CA3" w:rsidR="00F64FF2">
          <w:rPr>
            <w:rStyle w:val="Hyperlink"/>
          </w:rPr>
          <w:t>qkh7@cdc.gov</w:t>
        </w:r>
      </w:hyperlink>
    </w:p>
    <w:p w:rsidR="00307D7A" w:rsidRDefault="00F64FF2" w14:paraId="14563C3E" w14:textId="16891F3D">
      <w:pPr>
        <w:spacing w:after="0" w:line="240" w:lineRule="auto"/>
      </w:pPr>
      <w:r>
        <w:t>470-553-3567</w:t>
      </w:r>
    </w:p>
    <w:p w:rsidR="00762D0D" w:rsidRDefault="00B54830" w14:paraId="4B51CBCC" w14:textId="78F8806D">
      <w:pPr>
        <w:pStyle w:val="ListParagraph"/>
        <w:numPr>
          <w:ilvl w:val="0"/>
          <w:numId w:val="1"/>
        </w:numPr>
        <w:spacing w:after="0" w:line="240" w:lineRule="auto"/>
        <w:ind w:left="0"/>
        <w:rPr>
          <w:b/>
        </w:rPr>
      </w:pPr>
      <w:r w:rsidRPr="00B54830">
        <w:rPr>
          <w:b/>
          <w:noProof/>
        </w:rPr>
        <w:lastRenderedPageBreak/>
        <mc:AlternateContent>
          <mc:Choice Requires="wps">
            <w:drawing>
              <wp:anchor distT="45720" distB="45720" distL="114300" distR="114300" simplePos="0" relativeHeight="251657728" behindDoc="0" locked="0" layoutInCell="1" allowOverlap="1" wp14:editId="6D829FBA" wp14:anchorId="2CEA28CE">
                <wp:simplePos x="0" y="0"/>
                <wp:positionH relativeFrom="column">
                  <wp:posOffset>0</wp:posOffset>
                </wp:positionH>
                <wp:positionV relativeFrom="paragraph">
                  <wp:posOffset>352425</wp:posOffset>
                </wp:positionV>
                <wp:extent cx="5924550" cy="1276350"/>
                <wp:effectExtent l="0" t="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76350"/>
                        </a:xfrm>
                        <a:prstGeom prst="rect">
                          <a:avLst/>
                        </a:prstGeom>
                        <a:solidFill>
                          <a:srgbClr val="FFFFFF"/>
                        </a:solidFill>
                        <a:ln w="9525">
                          <a:solidFill>
                            <a:srgbClr val="000000"/>
                          </a:solidFill>
                          <a:miter lim="800000"/>
                          <a:headEnd/>
                          <a:tailEnd/>
                        </a:ln>
                      </wps:spPr>
                      <wps:txbx>
                        <w:txbxContent>
                          <w:p w:rsidRPr="00B54830" w:rsidR="00B54830" w:rsidP="00B54830" w:rsidRDefault="00B54830" w14:paraId="2586BE57" w14:textId="31060992">
                            <w:pPr>
                              <w:pStyle w:val="Bullets"/>
                              <w:rPr>
                                <w:rFonts w:asciiTheme="minorHAnsi" w:hAnsiTheme="minorHAnsi"/>
                                <w:b/>
                                <w:sz w:val="22"/>
                              </w:rPr>
                            </w:pPr>
                            <w:r w:rsidRPr="00B54830">
                              <w:rPr>
                                <w:rFonts w:asciiTheme="minorHAnsi" w:hAnsiTheme="minorHAnsi"/>
                                <w:b/>
                                <w:sz w:val="22"/>
                              </w:rPr>
                              <w:t xml:space="preserve">Goal of the study: </w:t>
                            </w:r>
                            <w:r w:rsidRPr="00B54830">
                              <w:rPr>
                                <w:rFonts w:asciiTheme="minorHAnsi" w:hAnsiTheme="minorHAnsi"/>
                                <w:sz w:val="22"/>
                              </w:rPr>
                              <w:t>To enable the CDC to garner customer and stakeholder feedback in an efficient, timely manner, in accordance with our commitment to improving service delivery.</w:t>
                            </w:r>
                          </w:p>
                          <w:p w:rsidRPr="00B54830" w:rsidR="00B54830" w:rsidP="00B54830" w:rsidRDefault="00B54830" w14:paraId="3D40DCB5" w14:textId="5391B70A">
                            <w:pPr>
                              <w:pStyle w:val="Bullets"/>
                              <w:rPr>
                                <w:rFonts w:asciiTheme="minorHAnsi" w:hAnsiTheme="minorHAnsi"/>
                                <w:b/>
                                <w:sz w:val="22"/>
                              </w:rPr>
                            </w:pPr>
                            <w:r w:rsidRPr="00B54830">
                              <w:rPr>
                                <w:rFonts w:asciiTheme="minorHAnsi" w:hAnsiTheme="minorHAnsi"/>
                                <w:b/>
                                <w:sz w:val="22"/>
                              </w:rPr>
                              <w:t xml:space="preserve">Intended use of the resulting data: </w:t>
                            </w:r>
                            <w:r w:rsidRPr="00B54830">
                              <w:rPr>
                                <w:rFonts w:asciiTheme="minorHAnsi" w:hAnsiTheme="minorHAnsi"/>
                                <w:sz w:val="22"/>
                              </w:rPr>
                              <w:t>To improve agency programs.</w:t>
                            </w:r>
                            <w:r>
                              <w:rPr>
                                <w:rFonts w:asciiTheme="minorHAnsi" w:hAnsiTheme="minorHAnsi"/>
                                <w:b/>
                                <w:sz w:val="22"/>
                              </w:rPr>
                              <w:t xml:space="preserve"> </w:t>
                            </w:r>
                          </w:p>
                          <w:p w:rsidRPr="00B54830" w:rsidR="00B54830" w:rsidP="00B54830" w:rsidRDefault="00B54830" w14:paraId="7C5FE211" w14:textId="02FF1246">
                            <w:pPr>
                              <w:pStyle w:val="Bullets"/>
                              <w:rPr>
                                <w:rFonts w:asciiTheme="minorHAnsi" w:hAnsiTheme="minorHAnsi"/>
                                <w:b/>
                                <w:sz w:val="22"/>
                              </w:rPr>
                            </w:pPr>
                            <w:r w:rsidRPr="00B54830">
                              <w:rPr>
                                <w:rFonts w:asciiTheme="minorHAnsi" w:hAnsiTheme="minorHAnsi"/>
                                <w:b/>
                                <w:sz w:val="22"/>
                              </w:rPr>
                              <w:t xml:space="preserve">Methods to be used to collect: </w:t>
                            </w:r>
                            <w:r w:rsidRPr="00B54830">
                              <w:rPr>
                                <w:rFonts w:asciiTheme="minorHAnsi" w:hAnsiTheme="minorHAnsi"/>
                                <w:sz w:val="22"/>
                              </w:rPr>
                              <w:t>Routine customer feedback via online surveys, in-person surveys, focus groups, usability testing, and customer comment cards.</w:t>
                            </w:r>
                          </w:p>
                          <w:p w:rsidRPr="00B54830" w:rsidR="00B54830" w:rsidP="00B54830" w:rsidRDefault="00B54830" w14:paraId="0570AFF9" w14:textId="309FE86D">
                            <w:pPr>
                              <w:pStyle w:val="Bullets"/>
                              <w:rPr>
                                <w:rFonts w:asciiTheme="minorHAnsi" w:hAnsiTheme="minorHAnsi"/>
                                <w:b/>
                                <w:sz w:val="22"/>
                              </w:rPr>
                            </w:pPr>
                            <w:r w:rsidRPr="00B54830">
                              <w:rPr>
                                <w:rFonts w:asciiTheme="minorHAnsi" w:hAnsiTheme="minorHAnsi"/>
                                <w:b/>
                                <w:sz w:val="22"/>
                              </w:rPr>
                              <w:t xml:space="preserve">The subpopulation to be studied: </w:t>
                            </w:r>
                            <w:r w:rsidRPr="00B54830">
                              <w:rPr>
                                <w:rFonts w:asciiTheme="minorHAnsi" w:hAnsiTheme="minorHAnsi"/>
                                <w:sz w:val="22"/>
                              </w:rPr>
                              <w:t>Will vary for each gen-IC</w:t>
                            </w:r>
                          </w:p>
                          <w:p w:rsidR="00B54830" w:rsidRDefault="00B54830" w14:paraId="6B8772D7" w14:textId="3873D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CEA28CE">
                <v:stroke joinstyle="miter"/>
                <v:path gradientshapeok="t" o:connecttype="rect"/>
              </v:shapetype>
              <v:shape id="Text Box 2" style="position:absolute;left:0;text-align:left;margin-left:0;margin-top:27.75pt;width:466.5pt;height:10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">
                <v:textbox>
                  <w:txbxContent>
                    <w:p w:rsidRPr="00B54830" w:rsidR="00B54830" w:rsidP="00B54830" w:rsidRDefault="00B54830" w14:paraId="2586BE57" w14:textId="31060992">
                      <w:pPr>
                        <w:pStyle w:val="Bullets"/>
                        <w:rPr>
                          <w:rFonts w:asciiTheme="minorHAnsi" w:hAnsiTheme="minorHAnsi"/>
                          <w:b/>
                          <w:sz w:val="22"/>
                        </w:rPr>
                      </w:pPr>
                      <w:r w:rsidRPr="00B54830">
                        <w:rPr>
                          <w:rFonts w:asciiTheme="minorHAnsi" w:hAnsiTheme="minorHAnsi"/>
                          <w:b/>
                          <w:sz w:val="22"/>
                        </w:rPr>
                        <w:t xml:space="preserve">Goal of the study: </w:t>
                      </w:r>
                      <w:r w:rsidRPr="00B54830">
                        <w:rPr>
                          <w:rFonts w:asciiTheme="minorHAnsi" w:hAnsiTheme="minorHAnsi"/>
                          <w:sz w:val="22"/>
                        </w:rPr>
                        <w:t>To enable the CDC to garner customer and stakeholder feedback in an efficient, timely manner, in accordance with our commitment to improving service delivery.</w:t>
                      </w:r>
                    </w:p>
                    <w:p w:rsidRPr="00B54830" w:rsidR="00B54830" w:rsidP="00B54830" w:rsidRDefault="00B54830" w14:paraId="3D40DCB5" w14:textId="5391B70A">
                      <w:pPr>
                        <w:pStyle w:val="Bullets"/>
                        <w:rPr>
                          <w:rFonts w:asciiTheme="minorHAnsi" w:hAnsiTheme="minorHAnsi"/>
                          <w:b/>
                          <w:sz w:val="22"/>
                        </w:rPr>
                      </w:pPr>
                      <w:r w:rsidRPr="00B54830">
                        <w:rPr>
                          <w:rFonts w:asciiTheme="minorHAnsi" w:hAnsiTheme="minorHAnsi"/>
                          <w:b/>
                          <w:sz w:val="22"/>
                        </w:rPr>
                        <w:t xml:space="preserve">Intended use of the resulting data: </w:t>
                      </w:r>
                      <w:r w:rsidRPr="00B54830">
                        <w:rPr>
                          <w:rFonts w:asciiTheme="minorHAnsi" w:hAnsiTheme="minorHAnsi"/>
                          <w:sz w:val="22"/>
                        </w:rPr>
                        <w:t>To improve agency programs.</w:t>
                      </w:r>
                      <w:r>
                        <w:rPr>
                          <w:rFonts w:asciiTheme="minorHAnsi" w:hAnsiTheme="minorHAnsi"/>
                          <w:b/>
                          <w:sz w:val="22"/>
                        </w:rPr>
                        <w:t xml:space="preserve"> </w:t>
                      </w:r>
                    </w:p>
                    <w:p w:rsidRPr="00B54830" w:rsidR="00B54830" w:rsidP="00B54830" w:rsidRDefault="00B54830" w14:paraId="7C5FE211" w14:textId="02FF1246">
                      <w:pPr>
                        <w:pStyle w:val="Bullets"/>
                        <w:rPr>
                          <w:rFonts w:asciiTheme="minorHAnsi" w:hAnsiTheme="minorHAnsi"/>
                          <w:b/>
                          <w:sz w:val="22"/>
                        </w:rPr>
                      </w:pPr>
                      <w:r w:rsidRPr="00B54830">
                        <w:rPr>
                          <w:rFonts w:asciiTheme="minorHAnsi" w:hAnsiTheme="minorHAnsi"/>
                          <w:b/>
                          <w:sz w:val="22"/>
                        </w:rPr>
                        <w:t xml:space="preserve">Methods to be used to collect: </w:t>
                      </w:r>
                      <w:r w:rsidRPr="00B54830">
                        <w:rPr>
                          <w:rFonts w:asciiTheme="minorHAnsi" w:hAnsiTheme="minorHAnsi"/>
                          <w:sz w:val="22"/>
                        </w:rPr>
                        <w:t>Routine customer feedback via online surveys, in-person surveys, focus groups, usability testing, and customer comment cards.</w:t>
                      </w:r>
                    </w:p>
                    <w:p w:rsidRPr="00B54830" w:rsidR="00B54830" w:rsidP="00B54830" w:rsidRDefault="00B54830" w14:paraId="0570AFF9" w14:textId="309FE86D">
                      <w:pPr>
                        <w:pStyle w:val="Bullets"/>
                        <w:rPr>
                          <w:rFonts w:asciiTheme="minorHAnsi" w:hAnsiTheme="minorHAnsi"/>
                          <w:b/>
                          <w:sz w:val="22"/>
                        </w:rPr>
                      </w:pPr>
                      <w:r w:rsidRPr="00B54830">
                        <w:rPr>
                          <w:rFonts w:asciiTheme="minorHAnsi" w:hAnsiTheme="minorHAnsi"/>
                          <w:b/>
                          <w:sz w:val="22"/>
                        </w:rPr>
                        <w:t xml:space="preserve">The subpopulation to be studied: </w:t>
                      </w:r>
                      <w:r w:rsidRPr="00B54830">
                        <w:rPr>
                          <w:rFonts w:asciiTheme="minorHAnsi" w:hAnsiTheme="minorHAnsi"/>
                          <w:sz w:val="22"/>
                        </w:rPr>
                        <w:t>Will vary for each gen-IC</w:t>
                      </w:r>
                    </w:p>
                    <w:p w:rsidR="00B54830" w:rsidRDefault="00B54830" w14:paraId="6B8772D7" w14:textId="3873D849"/>
                  </w:txbxContent>
                </v:textbox>
                <w10:wrap type="topAndBottom"/>
              </v:shape>
            </w:pict>
          </mc:Fallback>
        </mc:AlternateContent>
      </w:r>
      <w:r w:rsidR="00762D0D">
        <w:rPr>
          <w:b/>
        </w:rPr>
        <w:t>JUSTIFICATION</w:t>
      </w:r>
    </w:p>
    <w:p w:rsidRPr="00B54830" w:rsidR="00B54830" w:rsidP="00B54830" w:rsidRDefault="00B54830" w14:paraId="120A036D" w14:textId="5CCE7F5A">
      <w:pPr>
        <w:pStyle w:val="ListParagraph"/>
        <w:spacing w:after="0" w:line="240" w:lineRule="auto"/>
        <w:ind w:left="0"/>
        <w:rPr>
          <w:b/>
        </w:rPr>
      </w:pPr>
    </w:p>
    <w:p w:rsidR="00762D0D" w:rsidRDefault="00762D0D" w14:paraId="67C8143F" w14:textId="17041466">
      <w:pPr>
        <w:pStyle w:val="ListParagraph"/>
        <w:numPr>
          <w:ilvl w:val="0"/>
          <w:numId w:val="2"/>
        </w:numPr>
        <w:spacing w:after="0" w:line="240" w:lineRule="auto"/>
        <w:ind w:left="0"/>
        <w:rPr>
          <w:b/>
        </w:rPr>
      </w:pPr>
      <w:r>
        <w:rPr>
          <w:b/>
        </w:rPr>
        <w:t>Circumstances Making the Collection of Information Necessary</w:t>
      </w:r>
    </w:p>
    <w:p w:rsidR="00762D0D" w:rsidRDefault="00762D0D" w14:paraId="01BDB278" w14:textId="77777777">
      <w:pPr>
        <w:pStyle w:val="ListParagraph"/>
        <w:spacing w:after="0" w:line="240" w:lineRule="auto"/>
        <w:ind w:left="0"/>
        <w:rPr>
          <w:b/>
        </w:rPr>
      </w:pPr>
    </w:p>
    <w:p w:rsidR="00774F9F" w:rsidRDefault="00774F9F" w14:paraId="6C6283AD" w14:textId="4F7A6770">
      <w:pPr>
        <w:spacing w:after="0" w:line="240" w:lineRule="auto"/>
      </w:pPr>
      <w:r w:rsidRPr="00774F9F">
        <w:t xml:space="preserve">CDC/NCEZID is seeking a </w:t>
      </w:r>
      <w:r w:rsidRPr="00774F9F" w:rsidR="00532FA5">
        <w:t>three-year</w:t>
      </w:r>
      <w:r w:rsidRPr="00774F9F">
        <w:t xml:space="preserve"> extension of </w:t>
      </w:r>
      <w:r w:rsidR="00340D99">
        <w:t xml:space="preserve">GENERIC </w:t>
      </w:r>
      <w:r w:rsidRPr="00774F9F">
        <w:t>OMB control No. 0920-1071 to continue collecting routine customer feedback on agency service delivery.</w:t>
      </w:r>
    </w:p>
    <w:p w:rsidR="00774F9F" w:rsidRDefault="00774F9F" w14:paraId="7BB35F1B" w14:textId="77777777">
      <w:pPr>
        <w:spacing w:after="0" w:line="240" w:lineRule="auto"/>
      </w:pPr>
    </w:p>
    <w:p w:rsidR="00762D0D" w:rsidRDefault="00762D0D" w14:paraId="6574698D" w14:textId="05D9F3CC">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w:t>
      </w:r>
      <w:r w:rsidR="00A0608D">
        <w:t>, the</w:t>
      </w:r>
      <w:r w:rsidR="002D48E3">
        <w:t xml:space="preserve"> </w:t>
      </w:r>
      <w:r w:rsidR="003C2C0B">
        <w:t xml:space="preserve">National Center for </w:t>
      </w:r>
      <w:r w:rsidR="002D48E3">
        <w:t>Emerging and Zoonotic Infectious</w:t>
      </w:r>
      <w:r w:rsidR="003C2C0B">
        <w:t xml:space="preserve"> Diseases</w:t>
      </w:r>
      <w:r w:rsidR="0026487B">
        <w:t xml:space="preserve">, </w:t>
      </w:r>
      <w:r w:rsidR="0026487B">
        <w:rPr>
          <w:rFonts w:cs="Courier New" w:asciiTheme="minorHAnsi" w:hAnsiTheme="minorHAnsi"/>
          <w:bCs/>
        </w:rPr>
        <w:t>Centers for Disease Control and Prevention (CDC)</w:t>
      </w:r>
      <w:r w:rsidR="0026487B">
        <w:t xml:space="preserve"> </w:t>
      </w:r>
      <w:r>
        <w:t xml:space="preserve">(hereafter </w:t>
      </w:r>
      <w:r w:rsidR="009A201A">
        <w:t xml:space="preserve">the </w:t>
      </w:r>
      <w:r>
        <w:t>“</w:t>
      </w:r>
      <w:r w:rsidR="003C2C0B">
        <w:t>Agency</w:t>
      </w:r>
      <w:r>
        <w:t xml:space="preserve">”) seeks to obtain OMB approval of a generic clearance to collect qualitative feedback on our service delivery.  By qualitative feedback we mean information that provides useful insights on perceptions and </w:t>
      </w:r>
      <w:proofErr w:type="gramStart"/>
      <w:r>
        <w:t>opinions, but</w:t>
      </w:r>
      <w:proofErr w:type="gramEnd"/>
      <w:r>
        <w:t xml:space="preserve"> are not statistical surveys that yield quantitative results that can be generalized to the population of study.</w:t>
      </w:r>
    </w:p>
    <w:p w:rsidR="00762D0D" w:rsidRDefault="00762D0D" w14:paraId="3E023CC3" w14:textId="77777777">
      <w:pPr>
        <w:spacing w:after="0" w:line="240" w:lineRule="auto"/>
        <w:rPr>
          <w:b/>
        </w:rPr>
      </w:pPr>
    </w:p>
    <w:p w:rsidR="00762D0D" w:rsidRDefault="00762D0D" w14:paraId="76E1DCF4" w14:textId="77777777">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w:t>
      </w:r>
      <w:proofErr w:type="gramStart"/>
      <w:r>
        <w:t>experiences</w:t>
      </w:r>
      <w:proofErr w:type="gramEnd"/>
      <w:r>
        <w:t xml:space="preserve"> and expectations, provide an early warning of issues with service, or focus attention on areas where communication, training or changes in operations might improve delivery of products or services.  These collections will allow for ongoing, </w:t>
      </w:r>
      <w:proofErr w:type="gramStart"/>
      <w:r>
        <w:t>collaborative</w:t>
      </w:r>
      <w:proofErr w:type="gramEnd"/>
      <w:r>
        <w:t xml:space="preserve"> and actionable communications between the Agency and its customers and stakeholders.  It will also allow feedback to contribute directly to the improvement of program management. </w:t>
      </w:r>
    </w:p>
    <w:p w:rsidR="007B683D" w:rsidRDefault="007B683D" w14:paraId="51E66DDB" w14:textId="77777777">
      <w:pPr>
        <w:spacing w:after="0" w:line="240" w:lineRule="auto"/>
      </w:pPr>
    </w:p>
    <w:p w:rsidR="00811E7B" w:rsidRDefault="00811E7B" w14:paraId="10115615" w14:textId="05555C1F">
      <w:pPr>
        <w:spacing w:after="0" w:line="240" w:lineRule="auto"/>
      </w:pPr>
      <w:r>
        <w:t xml:space="preserve">Since </w:t>
      </w:r>
      <w:r w:rsidR="006E653C">
        <w:t>the previous renewal in 2018</w:t>
      </w:r>
      <w:r w:rsidR="007B683D">
        <w:t xml:space="preserve">, </w:t>
      </w:r>
      <w:r>
        <w:t xml:space="preserve">NCEZID has utilized </w:t>
      </w:r>
      <w:r w:rsidR="007B683D">
        <w:t>0920-1071</w:t>
      </w:r>
      <w:r>
        <w:t xml:space="preserve"> </w:t>
      </w:r>
      <w:r w:rsidR="006E653C">
        <w:t xml:space="preserve">ten </w:t>
      </w:r>
      <w:r>
        <w:t>times.</w:t>
      </w:r>
      <w:r w:rsidR="00933F37">
        <w:t xml:space="preserve">  The total number of responses was </w:t>
      </w:r>
      <w:r w:rsidR="006E653C">
        <w:t>15,585</w:t>
      </w:r>
      <w:r w:rsidR="00933F37">
        <w:t>.  The total number of burden hours was 2,</w:t>
      </w:r>
      <w:r w:rsidR="006E653C">
        <w:t>525</w:t>
      </w:r>
      <w:r w:rsidR="00933F37">
        <w:t xml:space="preserve">.  </w:t>
      </w:r>
    </w:p>
    <w:p w:rsidR="00A42F20" w:rsidRDefault="00A42F20" w14:paraId="2B616080" w14:textId="51BFD0A9">
      <w:pPr>
        <w:spacing w:after="0" w:line="240" w:lineRule="auto"/>
      </w:pPr>
    </w:p>
    <w:tbl>
      <w:tblPr>
        <w:tblStyle w:val="TableGrid"/>
        <w:tblW w:w="0" w:type="auto"/>
        <w:tblLook w:val="04A0" w:firstRow="1" w:lastRow="0" w:firstColumn="1" w:lastColumn="0" w:noHBand="0" w:noVBand="1"/>
      </w:tblPr>
      <w:tblGrid>
        <w:gridCol w:w="6569"/>
        <w:gridCol w:w="1257"/>
        <w:gridCol w:w="1524"/>
      </w:tblGrid>
      <w:tr w:rsidR="00A42F20" w:rsidTr="003E2D8A" w14:paraId="1E8D5B1D" w14:textId="77777777">
        <w:tc>
          <w:tcPr>
            <w:tcW w:w="6569" w:type="dxa"/>
          </w:tcPr>
          <w:p w:rsidRPr="00655D36" w:rsidR="00A42F20" w:rsidP="003E2D8A" w:rsidRDefault="00A42F20" w14:paraId="21087EBC" w14:textId="77777777">
            <w:pPr>
              <w:spacing w:after="0" w:line="240" w:lineRule="auto"/>
              <w:rPr>
                <w:b/>
              </w:rPr>
            </w:pPr>
            <w:r w:rsidRPr="00655D36">
              <w:rPr>
                <w:b/>
              </w:rPr>
              <w:t>Project</w:t>
            </w:r>
          </w:p>
        </w:tc>
        <w:tc>
          <w:tcPr>
            <w:tcW w:w="1257" w:type="dxa"/>
          </w:tcPr>
          <w:p w:rsidRPr="00655D36" w:rsidR="00A42F20" w:rsidP="003E2D8A" w:rsidRDefault="00A42F20" w14:paraId="5DF2BD39" w14:textId="77777777">
            <w:pPr>
              <w:spacing w:after="0" w:line="240" w:lineRule="auto"/>
              <w:rPr>
                <w:b/>
              </w:rPr>
            </w:pPr>
            <w:r w:rsidRPr="00655D36">
              <w:rPr>
                <w:b/>
              </w:rPr>
              <w:t>Responses</w:t>
            </w:r>
          </w:p>
        </w:tc>
        <w:tc>
          <w:tcPr>
            <w:tcW w:w="1524" w:type="dxa"/>
          </w:tcPr>
          <w:p w:rsidRPr="00655D36" w:rsidR="00A42F20" w:rsidP="003E2D8A" w:rsidRDefault="00A42F20" w14:paraId="4452261F" w14:textId="77777777">
            <w:pPr>
              <w:spacing w:after="0" w:line="240" w:lineRule="auto"/>
              <w:rPr>
                <w:b/>
              </w:rPr>
            </w:pPr>
            <w:r w:rsidRPr="00655D36">
              <w:rPr>
                <w:b/>
              </w:rPr>
              <w:t>Burden Hours</w:t>
            </w:r>
          </w:p>
        </w:tc>
      </w:tr>
      <w:tr w:rsidR="00A42F20" w:rsidTr="003E2D8A" w14:paraId="637308ED" w14:textId="77777777">
        <w:tc>
          <w:tcPr>
            <w:tcW w:w="6569" w:type="dxa"/>
          </w:tcPr>
          <w:p w:rsidRPr="0039391C" w:rsidR="00A42F20" w:rsidP="003E2D8A" w:rsidRDefault="00A42F20" w14:paraId="2FED37EF" w14:textId="77777777">
            <w:r w:rsidRPr="0039391C">
              <w:t>Customer Satisfaction Survey for 2018 UNGA AMR Side Event</w:t>
            </w:r>
          </w:p>
        </w:tc>
        <w:tc>
          <w:tcPr>
            <w:tcW w:w="1257" w:type="dxa"/>
          </w:tcPr>
          <w:p w:rsidR="00A42F20" w:rsidP="003E2D8A" w:rsidRDefault="00A42F20" w14:paraId="3A87A1D8" w14:textId="77777777">
            <w:pPr>
              <w:spacing w:after="0" w:line="240" w:lineRule="auto"/>
            </w:pPr>
            <w:r>
              <w:t>300</w:t>
            </w:r>
          </w:p>
        </w:tc>
        <w:tc>
          <w:tcPr>
            <w:tcW w:w="1524" w:type="dxa"/>
          </w:tcPr>
          <w:p w:rsidR="00A42F20" w:rsidP="003E2D8A" w:rsidRDefault="00A42F20" w14:paraId="0058A308" w14:textId="77777777">
            <w:pPr>
              <w:spacing w:after="0" w:line="240" w:lineRule="auto"/>
            </w:pPr>
            <w:r>
              <w:t>25</w:t>
            </w:r>
          </w:p>
        </w:tc>
      </w:tr>
      <w:tr w:rsidR="00A42F20" w:rsidTr="003E2D8A" w14:paraId="52AB78FA" w14:textId="77777777">
        <w:tc>
          <w:tcPr>
            <w:tcW w:w="6569" w:type="dxa"/>
          </w:tcPr>
          <w:p w:rsidRPr="0039391C" w:rsidR="00A42F20" w:rsidP="003E2D8A" w:rsidRDefault="00A42F20" w14:paraId="4F2A4D95" w14:textId="77777777">
            <w:r w:rsidRPr="0039391C">
              <w:t>Survey to evaluate the Nursing Home Infection Preventionist Training Course</w:t>
            </w:r>
          </w:p>
        </w:tc>
        <w:tc>
          <w:tcPr>
            <w:tcW w:w="1257" w:type="dxa"/>
          </w:tcPr>
          <w:p w:rsidR="00A42F20" w:rsidP="003E2D8A" w:rsidRDefault="00A42F20" w14:paraId="24EF1B0E" w14:textId="77777777">
            <w:pPr>
              <w:spacing w:after="0" w:line="240" w:lineRule="auto"/>
            </w:pPr>
            <w:r>
              <w:t>5000</w:t>
            </w:r>
          </w:p>
        </w:tc>
        <w:tc>
          <w:tcPr>
            <w:tcW w:w="1524" w:type="dxa"/>
          </w:tcPr>
          <w:p w:rsidR="00A42F20" w:rsidP="003E2D8A" w:rsidRDefault="00A42F20" w14:paraId="03EDBE55" w14:textId="77777777">
            <w:pPr>
              <w:spacing w:after="0" w:line="240" w:lineRule="auto"/>
            </w:pPr>
            <w:r>
              <w:t>583</w:t>
            </w:r>
          </w:p>
        </w:tc>
      </w:tr>
      <w:tr w:rsidR="00A42F20" w:rsidTr="003E2D8A" w14:paraId="03CBFDFC" w14:textId="77777777">
        <w:tc>
          <w:tcPr>
            <w:tcW w:w="6569" w:type="dxa"/>
          </w:tcPr>
          <w:p w:rsidRPr="0039391C" w:rsidR="00A42F20" w:rsidP="003E2D8A" w:rsidRDefault="00A42F20" w14:paraId="174CEE35" w14:textId="77777777">
            <w:r w:rsidRPr="0039391C">
              <w:t>SEDRIC User Acceptance and Satisfaction</w:t>
            </w:r>
          </w:p>
        </w:tc>
        <w:tc>
          <w:tcPr>
            <w:tcW w:w="1257" w:type="dxa"/>
          </w:tcPr>
          <w:p w:rsidR="00A42F20" w:rsidP="003E2D8A" w:rsidRDefault="00A42F20" w14:paraId="7D5B237E" w14:textId="77777777">
            <w:pPr>
              <w:spacing w:after="0" w:line="240" w:lineRule="auto"/>
            </w:pPr>
            <w:r>
              <w:t>400</w:t>
            </w:r>
          </w:p>
        </w:tc>
        <w:tc>
          <w:tcPr>
            <w:tcW w:w="1524" w:type="dxa"/>
          </w:tcPr>
          <w:p w:rsidR="00A42F20" w:rsidP="003E2D8A" w:rsidRDefault="00A42F20" w14:paraId="2C6D9A7A" w14:textId="77777777">
            <w:pPr>
              <w:spacing w:after="0" w:line="240" w:lineRule="auto"/>
            </w:pPr>
            <w:r>
              <w:t>67</w:t>
            </w:r>
          </w:p>
        </w:tc>
      </w:tr>
      <w:tr w:rsidR="00A42F20" w:rsidTr="003E2D8A" w14:paraId="1DB43DF3" w14:textId="77777777">
        <w:tc>
          <w:tcPr>
            <w:tcW w:w="6569" w:type="dxa"/>
          </w:tcPr>
          <w:p w:rsidRPr="0039391C" w:rsidR="00A42F20" w:rsidP="003E2D8A" w:rsidRDefault="00A42F20" w14:paraId="43DB60D9" w14:textId="77777777">
            <w:r w:rsidRPr="0039391C">
              <w:lastRenderedPageBreak/>
              <w:t>Tuberculosis Education Materials for Classified Immigrants</w:t>
            </w:r>
          </w:p>
        </w:tc>
        <w:tc>
          <w:tcPr>
            <w:tcW w:w="1257" w:type="dxa"/>
          </w:tcPr>
          <w:p w:rsidR="00A42F20" w:rsidP="003E2D8A" w:rsidRDefault="00A42F20" w14:paraId="521F366E" w14:textId="77777777">
            <w:pPr>
              <w:spacing w:after="0" w:line="240" w:lineRule="auto"/>
            </w:pPr>
            <w:r>
              <w:t>70</w:t>
            </w:r>
          </w:p>
        </w:tc>
        <w:tc>
          <w:tcPr>
            <w:tcW w:w="1524" w:type="dxa"/>
          </w:tcPr>
          <w:p w:rsidR="00A42F20" w:rsidP="003E2D8A" w:rsidRDefault="00A42F20" w14:paraId="1277EC63" w14:textId="77777777">
            <w:pPr>
              <w:spacing w:after="0" w:line="240" w:lineRule="auto"/>
            </w:pPr>
            <w:r>
              <w:t>129</w:t>
            </w:r>
          </w:p>
        </w:tc>
      </w:tr>
      <w:tr w:rsidR="00A42F20" w:rsidTr="003E2D8A" w14:paraId="503D560D" w14:textId="77777777">
        <w:tc>
          <w:tcPr>
            <w:tcW w:w="6569" w:type="dxa"/>
          </w:tcPr>
          <w:p w:rsidRPr="0039391C" w:rsidR="00A42F20" w:rsidP="003E2D8A" w:rsidRDefault="00A42F20" w14:paraId="26B95EA8" w14:textId="77777777">
            <w:r w:rsidRPr="0039391C">
              <w:t>Acceptability Survey of ARI Campaign for University of Utah Pediatric Clinic Champions</w:t>
            </w:r>
          </w:p>
        </w:tc>
        <w:tc>
          <w:tcPr>
            <w:tcW w:w="1257" w:type="dxa"/>
          </w:tcPr>
          <w:p w:rsidR="00A42F20" w:rsidP="003E2D8A" w:rsidRDefault="00A42F20" w14:paraId="30712288" w14:textId="77777777">
            <w:pPr>
              <w:spacing w:after="0" w:line="240" w:lineRule="auto"/>
            </w:pPr>
            <w:r>
              <w:t>206</w:t>
            </w:r>
          </w:p>
        </w:tc>
        <w:tc>
          <w:tcPr>
            <w:tcW w:w="1524" w:type="dxa"/>
          </w:tcPr>
          <w:p w:rsidR="00A42F20" w:rsidP="003E2D8A" w:rsidRDefault="00A42F20" w14:paraId="7F468A87" w14:textId="77777777">
            <w:pPr>
              <w:spacing w:after="0" w:line="240" w:lineRule="auto"/>
            </w:pPr>
            <w:r>
              <w:t>103</w:t>
            </w:r>
          </w:p>
        </w:tc>
      </w:tr>
      <w:tr w:rsidR="00A42F20" w:rsidTr="003E2D8A" w14:paraId="094D54EA" w14:textId="77777777">
        <w:tc>
          <w:tcPr>
            <w:tcW w:w="6569" w:type="dxa"/>
          </w:tcPr>
          <w:p w:rsidRPr="0039391C" w:rsidR="00A42F20" w:rsidP="003E2D8A" w:rsidRDefault="00A42F20" w14:paraId="5C1B180C" w14:textId="77777777">
            <w:r w:rsidRPr="0039391C">
              <w:t>Year 4 (2019) Customer Satisfaction Survey for the CDC Antibiotic Resistance (AR) Isolate Bank</w:t>
            </w:r>
          </w:p>
        </w:tc>
        <w:tc>
          <w:tcPr>
            <w:tcW w:w="1257" w:type="dxa"/>
          </w:tcPr>
          <w:p w:rsidR="00A42F20" w:rsidP="003E2D8A" w:rsidRDefault="00A42F20" w14:paraId="167670B5" w14:textId="77777777">
            <w:pPr>
              <w:spacing w:after="0" w:line="240" w:lineRule="auto"/>
            </w:pPr>
            <w:r>
              <w:t>1437</w:t>
            </w:r>
          </w:p>
        </w:tc>
        <w:tc>
          <w:tcPr>
            <w:tcW w:w="1524" w:type="dxa"/>
          </w:tcPr>
          <w:p w:rsidR="00A42F20" w:rsidP="003E2D8A" w:rsidRDefault="00A42F20" w14:paraId="58CE9C41" w14:textId="77777777">
            <w:pPr>
              <w:spacing w:after="0" w:line="240" w:lineRule="auto"/>
            </w:pPr>
            <w:r>
              <w:t>240</w:t>
            </w:r>
          </w:p>
        </w:tc>
      </w:tr>
      <w:tr w:rsidR="00A42F20" w:rsidTr="003E2D8A" w14:paraId="5F75D11E" w14:textId="77777777">
        <w:tc>
          <w:tcPr>
            <w:tcW w:w="6569" w:type="dxa"/>
          </w:tcPr>
          <w:p w:rsidRPr="0039391C" w:rsidR="00A42F20" w:rsidP="003E2D8A" w:rsidRDefault="00A42F20" w14:paraId="76BF4CAD" w14:textId="77777777">
            <w:r w:rsidRPr="0039391C">
              <w:t>Immigrant, Refugee, and Migrant Health (IRMH) Website Redesign</w:t>
            </w:r>
          </w:p>
        </w:tc>
        <w:tc>
          <w:tcPr>
            <w:tcW w:w="1257" w:type="dxa"/>
          </w:tcPr>
          <w:p w:rsidR="00A42F20" w:rsidP="003E2D8A" w:rsidRDefault="00A42F20" w14:paraId="23ED877B" w14:textId="77777777">
            <w:pPr>
              <w:spacing w:after="0" w:line="240" w:lineRule="auto"/>
            </w:pPr>
            <w:r>
              <w:t>20</w:t>
            </w:r>
          </w:p>
        </w:tc>
        <w:tc>
          <w:tcPr>
            <w:tcW w:w="1524" w:type="dxa"/>
          </w:tcPr>
          <w:p w:rsidR="00A42F20" w:rsidP="003E2D8A" w:rsidRDefault="00A42F20" w14:paraId="6A732C42" w14:textId="77777777">
            <w:pPr>
              <w:spacing w:after="0" w:line="240" w:lineRule="auto"/>
            </w:pPr>
            <w:r>
              <w:t>20</w:t>
            </w:r>
          </w:p>
        </w:tc>
      </w:tr>
      <w:tr w:rsidR="00A42F20" w:rsidTr="003E2D8A" w14:paraId="3539BD16" w14:textId="77777777">
        <w:tc>
          <w:tcPr>
            <w:tcW w:w="6569" w:type="dxa"/>
          </w:tcPr>
          <w:p w:rsidRPr="0039391C" w:rsidR="00A42F20" w:rsidP="003E2D8A" w:rsidRDefault="00A42F20" w14:paraId="45E45061" w14:textId="77777777">
            <w:r w:rsidRPr="0039391C">
              <w:t>Customer Satisfaction Survey for CDC AR Isolate Bank</w:t>
            </w:r>
          </w:p>
        </w:tc>
        <w:tc>
          <w:tcPr>
            <w:tcW w:w="1257" w:type="dxa"/>
          </w:tcPr>
          <w:p w:rsidR="00A42F20" w:rsidP="003E2D8A" w:rsidRDefault="00A42F20" w14:paraId="62EC62F7" w14:textId="77777777">
            <w:pPr>
              <w:spacing w:after="0" w:line="240" w:lineRule="auto"/>
            </w:pPr>
            <w:r>
              <w:t>980</w:t>
            </w:r>
          </w:p>
        </w:tc>
        <w:tc>
          <w:tcPr>
            <w:tcW w:w="1524" w:type="dxa"/>
          </w:tcPr>
          <w:p w:rsidR="00A42F20" w:rsidP="003E2D8A" w:rsidRDefault="00A42F20" w14:paraId="219D93BF" w14:textId="77777777">
            <w:pPr>
              <w:spacing w:after="0" w:line="240" w:lineRule="auto"/>
            </w:pPr>
            <w:r>
              <w:t>163</w:t>
            </w:r>
          </w:p>
        </w:tc>
      </w:tr>
      <w:tr w:rsidR="00A42F20" w:rsidTr="003E2D8A" w14:paraId="4D613AFE" w14:textId="77777777">
        <w:tc>
          <w:tcPr>
            <w:tcW w:w="6569" w:type="dxa"/>
          </w:tcPr>
          <w:p w:rsidRPr="0039391C" w:rsidR="00A42F20" w:rsidP="003E2D8A" w:rsidRDefault="00A42F20" w14:paraId="0317BF66" w14:textId="77777777">
            <w:r w:rsidRPr="0039391C">
              <w:t>Year 5 (2020) Customer Satisfaction Survey for the CDC Antibiotic Resistance (AR) Isolate Bank</w:t>
            </w:r>
          </w:p>
        </w:tc>
        <w:tc>
          <w:tcPr>
            <w:tcW w:w="1257" w:type="dxa"/>
          </w:tcPr>
          <w:p w:rsidR="00A42F20" w:rsidP="003E2D8A" w:rsidRDefault="00A42F20" w14:paraId="41166DB1" w14:textId="77777777">
            <w:pPr>
              <w:spacing w:after="0" w:line="240" w:lineRule="auto"/>
            </w:pPr>
            <w:r>
              <w:t>672</w:t>
            </w:r>
          </w:p>
        </w:tc>
        <w:tc>
          <w:tcPr>
            <w:tcW w:w="1524" w:type="dxa"/>
          </w:tcPr>
          <w:p w:rsidR="00A42F20" w:rsidP="003E2D8A" w:rsidRDefault="00A42F20" w14:paraId="147AFDA4" w14:textId="77777777">
            <w:pPr>
              <w:spacing w:after="0" w:line="240" w:lineRule="auto"/>
            </w:pPr>
            <w:r>
              <w:t>112</w:t>
            </w:r>
          </w:p>
        </w:tc>
      </w:tr>
      <w:tr w:rsidR="00A42F20" w:rsidTr="003E2D8A" w14:paraId="077D0001" w14:textId="77777777">
        <w:tc>
          <w:tcPr>
            <w:tcW w:w="6569" w:type="dxa"/>
          </w:tcPr>
          <w:p w:rsidRPr="0039391C" w:rsidR="00A42F20" w:rsidP="003E2D8A" w:rsidRDefault="00A42F20" w14:paraId="262107E1" w14:textId="77777777">
            <w:r w:rsidRPr="0039391C">
              <w:t>Dialysis Event Module Training Needs Assessment</w:t>
            </w:r>
          </w:p>
        </w:tc>
        <w:tc>
          <w:tcPr>
            <w:tcW w:w="1257" w:type="dxa"/>
          </w:tcPr>
          <w:p w:rsidR="00A42F20" w:rsidP="003E2D8A" w:rsidRDefault="00A42F20" w14:paraId="5C3801E7" w14:textId="77777777">
            <w:pPr>
              <w:spacing w:after="0" w:line="240" w:lineRule="auto"/>
            </w:pPr>
            <w:r>
              <w:t>6500</w:t>
            </w:r>
          </w:p>
        </w:tc>
        <w:tc>
          <w:tcPr>
            <w:tcW w:w="1524" w:type="dxa"/>
          </w:tcPr>
          <w:p w:rsidR="00A42F20" w:rsidP="003E2D8A" w:rsidRDefault="00A42F20" w14:paraId="6BADD97A" w14:textId="77777777">
            <w:pPr>
              <w:spacing w:after="0" w:line="240" w:lineRule="auto"/>
            </w:pPr>
            <w:r>
              <w:t>1083</w:t>
            </w:r>
          </w:p>
        </w:tc>
      </w:tr>
      <w:tr w:rsidR="00A42F20" w:rsidTr="003E2D8A" w14:paraId="67DB2BEA" w14:textId="77777777">
        <w:tc>
          <w:tcPr>
            <w:tcW w:w="6569" w:type="dxa"/>
          </w:tcPr>
          <w:p w:rsidRPr="00655D36" w:rsidR="00A42F20" w:rsidP="003E2D8A" w:rsidRDefault="00A42F20" w14:paraId="6175E261" w14:textId="77777777">
            <w:pPr>
              <w:spacing w:after="0" w:line="240" w:lineRule="auto"/>
              <w:rPr>
                <w:b/>
              </w:rPr>
            </w:pPr>
            <w:r w:rsidRPr="00655D36">
              <w:rPr>
                <w:b/>
              </w:rPr>
              <w:t>TOTAL</w:t>
            </w:r>
          </w:p>
        </w:tc>
        <w:tc>
          <w:tcPr>
            <w:tcW w:w="1257" w:type="dxa"/>
          </w:tcPr>
          <w:p w:rsidRPr="00655D36" w:rsidR="00A42F20" w:rsidP="003E2D8A" w:rsidRDefault="00A42F20" w14:paraId="027A900A" w14:textId="77777777">
            <w:pPr>
              <w:spacing w:after="0" w:line="240" w:lineRule="auto"/>
              <w:rPr>
                <w:b/>
              </w:rPr>
            </w:pPr>
            <w:r>
              <w:rPr>
                <w:b/>
              </w:rPr>
              <w:t>15,585</w:t>
            </w:r>
          </w:p>
        </w:tc>
        <w:tc>
          <w:tcPr>
            <w:tcW w:w="1524" w:type="dxa"/>
          </w:tcPr>
          <w:p w:rsidRPr="00655D36" w:rsidR="00A42F20" w:rsidP="003E2D8A" w:rsidRDefault="00A42F20" w14:paraId="32F47938" w14:textId="77777777">
            <w:pPr>
              <w:spacing w:after="0" w:line="240" w:lineRule="auto"/>
              <w:rPr>
                <w:b/>
              </w:rPr>
            </w:pPr>
            <w:r>
              <w:rPr>
                <w:b/>
              </w:rPr>
              <w:t>2,525</w:t>
            </w:r>
          </w:p>
        </w:tc>
      </w:tr>
    </w:tbl>
    <w:p w:rsidR="00762D0D" w:rsidRDefault="00811E7B" w14:paraId="324799C5" w14:textId="17B0CB40">
      <w:pPr>
        <w:spacing w:after="0" w:line="240" w:lineRule="auto"/>
      </w:pPr>
      <w:r>
        <w:t xml:space="preserve"> </w:t>
      </w:r>
    </w:p>
    <w:p w:rsidR="00774F9F" w:rsidRDefault="00774F9F" w14:paraId="7472211A" w14:textId="5FFC2EFA">
      <w:pPr>
        <w:spacing w:after="0" w:line="240" w:lineRule="auto"/>
      </w:pPr>
      <w:r>
        <w:t>Authorizing legislation comes from Section 301 of the PHSA (42 USC 241)</w:t>
      </w:r>
      <w:r w:rsidR="00640E01">
        <w:t xml:space="preserve"> (Attachment A)</w:t>
      </w:r>
      <w:r>
        <w:t xml:space="preserve">. </w:t>
      </w:r>
    </w:p>
    <w:p w:rsidR="00774F9F" w:rsidRDefault="00774F9F" w14:paraId="0A2C4D9A" w14:textId="77777777">
      <w:pPr>
        <w:spacing w:after="0" w:line="240" w:lineRule="auto"/>
      </w:pPr>
    </w:p>
    <w:p w:rsidR="00762D0D" w:rsidRDefault="00762D0D" w14:paraId="7FE2FAD8" w14:textId="77777777">
      <w:pPr>
        <w:pStyle w:val="ListParagraph"/>
        <w:numPr>
          <w:ilvl w:val="0"/>
          <w:numId w:val="2"/>
        </w:numPr>
        <w:spacing w:after="0" w:line="240" w:lineRule="auto"/>
        <w:ind w:left="0"/>
        <w:rPr>
          <w:b/>
        </w:rPr>
      </w:pPr>
      <w:r>
        <w:rPr>
          <w:b/>
        </w:rPr>
        <w:t>Purpose and Use of the Information Collection</w:t>
      </w:r>
    </w:p>
    <w:p w:rsidR="00762D0D" w:rsidRDefault="00762D0D" w14:paraId="41BE4055" w14:textId="77777777">
      <w:pPr>
        <w:spacing w:after="0" w:line="240" w:lineRule="auto"/>
        <w:rPr>
          <w:highlight w:val="yellow"/>
        </w:rPr>
      </w:pPr>
    </w:p>
    <w:p w:rsidR="00762D0D" w:rsidRDefault="00762D0D" w14:paraId="3AB6CD21" w14:textId="7DC34AA3">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w:t>
      </w:r>
      <w:r w:rsidR="004B026F">
        <w:t>as</w:t>
      </w:r>
      <w:r>
        <w:t xml:space="preserve">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14:paraId="11E83313" w14:textId="77777777">
      <w:pPr>
        <w:spacing w:after="0" w:line="240" w:lineRule="auto"/>
      </w:pPr>
    </w:p>
    <w:p w:rsidR="00762D0D" w:rsidRDefault="00762D0D" w14:paraId="13FC0957" w14:textId="77777777">
      <w:pPr>
        <w:spacing w:after="0" w:line="240" w:lineRule="auto"/>
      </w:pPr>
      <w:r>
        <w:t xml:space="preserve">The Agency will only submit a collection for approval under this generic clearance if it meets the following conditions: </w:t>
      </w:r>
    </w:p>
    <w:p w:rsidR="00762D0D" w:rsidRDefault="00762D0D" w14:paraId="46FF133D" w14:textId="77777777">
      <w:pPr>
        <w:spacing w:after="0" w:line="240" w:lineRule="auto"/>
      </w:pPr>
    </w:p>
    <w:p w:rsidR="00762D0D" w:rsidP="00377B51" w:rsidRDefault="00762D0D" w14:paraId="4291F3AF" w14:textId="2A445184">
      <w:pPr>
        <w:pStyle w:val="ListParagraph"/>
        <w:numPr>
          <w:ilvl w:val="0"/>
          <w:numId w:val="13"/>
        </w:numPr>
        <w:spacing w:after="0" w:line="240" w:lineRule="auto"/>
      </w:pPr>
      <w:r>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r w:rsidR="00F242F7">
        <w:t>will</w:t>
      </w:r>
      <w:r>
        <w:t xml:space="preserve"> be followed</w:t>
      </w:r>
      <w:proofErr w:type="gramStart"/>
      <w:r>
        <w:t>);</w:t>
      </w:r>
      <w:proofErr w:type="gramEnd"/>
    </w:p>
    <w:p w:rsidR="00762D0D" w:rsidP="00377B51" w:rsidRDefault="00762D0D" w14:paraId="743E6952" w14:textId="0FB38660">
      <w:pPr>
        <w:pStyle w:val="ListParagraph"/>
        <w:numPr>
          <w:ilvl w:val="0"/>
          <w:numId w:val="16"/>
        </w:numPr>
        <w:spacing w:after="0" w:line="240" w:lineRule="auto"/>
      </w:pPr>
      <w:r>
        <w:t>Information gathered will not be used for the purpose of substantially informing influential policy decisions</w:t>
      </w:r>
      <w:r>
        <w:rPr>
          <w:rStyle w:val="FootnoteReference"/>
        </w:rPr>
        <w:footnoteReference w:id="1"/>
      </w:r>
      <w:r>
        <w:t>;</w:t>
      </w:r>
    </w:p>
    <w:p w:rsidR="00762D0D" w:rsidP="00D30F06" w:rsidRDefault="00762D0D" w14:paraId="5FBB07E4" w14:textId="47C7C792">
      <w:pPr>
        <w:pStyle w:val="ListParagraph"/>
        <w:numPr>
          <w:ilvl w:val="0"/>
          <w:numId w:val="9"/>
        </w:numPr>
        <w:spacing w:after="0" w:line="240" w:lineRule="auto"/>
      </w:pPr>
      <w:r>
        <w:lastRenderedPageBreak/>
        <w:t xml:space="preserve">Information gathered will yield qualitative information; the collections will not be designed or expected to yield statistically reliable results or used as though the results are generalizable to the population of </w:t>
      </w:r>
      <w:proofErr w:type="gramStart"/>
      <w:r>
        <w:t>study;</w:t>
      </w:r>
      <w:proofErr w:type="gramEnd"/>
      <w:r>
        <w:t xml:space="preserve">  </w:t>
      </w:r>
    </w:p>
    <w:p w:rsidR="00762D0D" w:rsidRDefault="00762D0D" w14:paraId="252A998F" w14:textId="77777777">
      <w:pPr>
        <w:pStyle w:val="ListParagraph"/>
        <w:numPr>
          <w:ilvl w:val="0"/>
          <w:numId w:val="9"/>
        </w:numPr>
        <w:spacing w:after="0" w:line="240" w:lineRule="auto"/>
      </w:pPr>
      <w:r>
        <w:t xml:space="preserve">The collections are </w:t>
      </w:r>
      <w:proofErr w:type="gramStart"/>
      <w:r>
        <w:t>voluntary;</w:t>
      </w:r>
      <w:proofErr w:type="gramEnd"/>
    </w:p>
    <w:p w:rsidR="00762D0D" w:rsidRDefault="00762D0D" w14:paraId="6E51D3B8" w14:textId="77777777">
      <w:pPr>
        <w:pStyle w:val="ListParagraph"/>
        <w:numPr>
          <w:ilvl w:val="0"/>
          <w:numId w:val="9"/>
        </w:numPr>
        <w:spacing w:after="0" w:line="240" w:lineRule="auto"/>
      </w:pPr>
      <w:r>
        <w:t xml:space="preserve">The collections are low-burden for respondents (based on considerations of total burden hours, total number of respondents, or burden-hours per respondent) and are low-cost for both the respondents and the Federal </w:t>
      </w:r>
      <w:proofErr w:type="gramStart"/>
      <w:r>
        <w:t>Government;</w:t>
      </w:r>
      <w:proofErr w:type="gramEnd"/>
    </w:p>
    <w:p w:rsidR="00762D0D" w:rsidRDefault="00762D0D" w14:paraId="543432B4" w14:textId="5640031B">
      <w:pPr>
        <w:pStyle w:val="ListParagraph"/>
        <w:numPr>
          <w:ilvl w:val="0"/>
          <w:numId w:val="9"/>
        </w:numPr>
        <w:spacing w:after="0" w:line="240" w:lineRule="auto"/>
      </w:pPr>
      <w:r>
        <w:t xml:space="preserve">The collections are non-controversial and do not raise issues of concern to other Federal </w:t>
      </w:r>
      <w:proofErr w:type="gramStart"/>
      <w:r>
        <w:t>agencies;</w:t>
      </w:r>
      <w:proofErr w:type="gramEnd"/>
      <w:r>
        <w:t xml:space="preserve"> </w:t>
      </w:r>
    </w:p>
    <w:p w:rsidR="00762D0D" w:rsidRDefault="00762D0D" w14:paraId="7189FCC7" w14:textId="77777777">
      <w:pPr>
        <w:pStyle w:val="ListParagraph"/>
        <w:numPr>
          <w:ilvl w:val="0"/>
          <w:numId w:val="9"/>
        </w:numPr>
        <w:spacing w:after="0" w:line="240" w:lineRule="auto"/>
      </w:pPr>
      <w:r>
        <w:t xml:space="preserve">Any collection is targeted to the solicitation of opinions from respondents who have experience with the program or may have experience with the program </w:t>
      </w:r>
      <w:proofErr w:type="gramStart"/>
      <w:r>
        <w:t>in the near future</w:t>
      </w:r>
      <w:proofErr w:type="gramEnd"/>
      <w:r>
        <w:t>; and</w:t>
      </w:r>
    </w:p>
    <w:p w:rsidR="00762D0D" w:rsidRDefault="00762D0D" w14:paraId="55B352E1" w14:textId="77777777">
      <w:pPr>
        <w:pStyle w:val="ListParagraph"/>
        <w:numPr>
          <w:ilvl w:val="0"/>
          <w:numId w:val="9"/>
        </w:numPr>
        <w:spacing w:after="0" w:line="240" w:lineRule="auto"/>
      </w:pPr>
      <w:proofErr w:type="gramStart"/>
      <w:r>
        <w:t>With the exception of</w:t>
      </w:r>
      <w:proofErr w:type="gramEnd"/>
      <w:r>
        <w:t xml:space="preserve"> information needed to provide renumeration for participants of focus groups and cognitive laboratory studies, personally identifiable information (PII) is collected only to the extent necessary and is not retained. </w:t>
      </w:r>
    </w:p>
    <w:p w:rsidR="00762D0D" w:rsidRDefault="00762D0D" w14:paraId="5B7F73DA" w14:textId="77777777">
      <w:pPr>
        <w:pStyle w:val="ListParagraph"/>
        <w:spacing w:after="0" w:line="240" w:lineRule="auto"/>
        <w:ind w:left="360"/>
      </w:pPr>
    </w:p>
    <w:p w:rsidR="00762D0D" w:rsidRDefault="00762D0D" w14:paraId="438C6489" w14:textId="77777777">
      <w:pPr>
        <w:spacing w:after="0" w:line="240" w:lineRule="auto"/>
      </w:pPr>
      <w:r>
        <w:t xml:space="preserve">If these conditions are not met, the Agency will submit an information collection request to OMB for approval through the normal PRA process. </w:t>
      </w:r>
    </w:p>
    <w:p w:rsidR="00762D0D" w:rsidRDefault="00762D0D" w14:paraId="7BF9BCA6" w14:textId="77777777">
      <w:pPr>
        <w:spacing w:after="0" w:line="240" w:lineRule="auto"/>
      </w:pPr>
    </w:p>
    <w:p w:rsidR="00762D0D" w:rsidRDefault="00762D0D" w14:paraId="36C72730" w14:textId="0E6406AF">
      <w:pPr>
        <w:spacing w:after="0" w:line="240" w:lineRule="auto"/>
      </w:pPr>
      <w:r>
        <w:t xml:space="preserve">To obtain approval for a collection that meets the conditions of this generic clearance, a standardized form </w:t>
      </w:r>
      <w:r w:rsidR="002C625E">
        <w:t xml:space="preserve">(Attachment </w:t>
      </w:r>
      <w:r w:rsidR="00CE0C88">
        <w:t>C</w:t>
      </w:r>
      <w:r w:rsidR="002C625E">
        <w:t xml:space="preserve">) </w:t>
      </w:r>
      <w:r>
        <w:t xml:space="preserve">will be submitted to OMB along with supporting documentation (e.g., a copy of the comment card).  The submission will have automatic </w:t>
      </w:r>
      <w:proofErr w:type="gramStart"/>
      <w:r>
        <w:t>approval, unless</w:t>
      </w:r>
      <w:proofErr w:type="gramEnd"/>
      <w:r>
        <w:t xml:space="preserve"> OMB identifies issues within </w:t>
      </w:r>
      <w:r w:rsidRPr="003A7A16">
        <w:t>5 business days</w:t>
      </w:r>
      <w:r>
        <w:t>.</w:t>
      </w:r>
    </w:p>
    <w:p w:rsidR="00762D0D" w:rsidRDefault="00762D0D" w14:paraId="11373215" w14:textId="77777777">
      <w:pPr>
        <w:spacing w:after="0" w:line="240" w:lineRule="auto"/>
      </w:pPr>
    </w:p>
    <w:p w:rsidR="00762D0D" w:rsidRDefault="00762D0D" w14:paraId="0D891AB6" w14:textId="77777777">
      <w:r>
        <w:t>The types of collections that this generic clearance covers include, but are not limited to:</w:t>
      </w:r>
    </w:p>
    <w:p w:rsidR="00762D0D" w:rsidRDefault="00762D0D" w14:paraId="5FD26BBE" w14:textId="77777777">
      <w:pPr>
        <w:pStyle w:val="ListParagraph"/>
        <w:numPr>
          <w:ilvl w:val="0"/>
          <w:numId w:val="15"/>
        </w:numPr>
      </w:pPr>
      <w:r>
        <w:t>Customer comment cards/complaint forms</w:t>
      </w:r>
    </w:p>
    <w:p w:rsidR="00762D0D" w:rsidRDefault="00762D0D" w14:paraId="267C37A2" w14:textId="77777777">
      <w:pPr>
        <w:pStyle w:val="ListParagraph"/>
        <w:numPr>
          <w:ilvl w:val="0"/>
          <w:numId w:val="15"/>
        </w:numPr>
      </w:pPr>
      <w:r>
        <w:t>Small discussion groups</w:t>
      </w:r>
    </w:p>
    <w:p w:rsidR="00762D0D" w:rsidP="00256D0E" w:rsidRDefault="00762D0D" w14:paraId="066F1301" w14:textId="037C8F4E">
      <w:pPr>
        <w:pStyle w:val="ListParagraph"/>
        <w:numPr>
          <w:ilvl w:val="0"/>
          <w:numId w:val="15"/>
        </w:numPr>
        <w:spacing w:after="0" w:line="240" w:lineRule="auto"/>
      </w:pPr>
      <w:r>
        <w:t>Focus Groups of customers, potential customers, delivery partners, or other stakeholders</w:t>
      </w:r>
    </w:p>
    <w:p w:rsidR="00762D0D" w:rsidP="00256D0E" w:rsidRDefault="00762D0D" w14:paraId="6E38B5F9" w14:textId="77777777">
      <w:pPr>
        <w:pStyle w:val="ListParagraph"/>
        <w:numPr>
          <w:ilvl w:val="0"/>
          <w:numId w:val="15"/>
        </w:numPr>
        <w:spacing w:after="0" w:line="240" w:lineRule="auto"/>
      </w:pPr>
      <w:r>
        <w:t xml:space="preserve">Cognitive laboratory studies, such as those used to refine questions or assess usability of a </w:t>
      </w:r>
      <w:proofErr w:type="gramStart"/>
      <w:r>
        <w:t>website;</w:t>
      </w:r>
      <w:proofErr w:type="gramEnd"/>
    </w:p>
    <w:p w:rsidR="00762D0D" w:rsidRDefault="00762D0D" w14:paraId="10A9FC88" w14:textId="77777777">
      <w:pPr>
        <w:pStyle w:val="ListParagraph"/>
        <w:numPr>
          <w:ilvl w:val="0"/>
          <w:numId w:val="15"/>
        </w:numPr>
      </w:pPr>
      <w:r>
        <w:t>Qualitative customer satisfaction surveys (e.g., post-transaction surveys; opt-out web surveys)</w:t>
      </w:r>
    </w:p>
    <w:p w:rsidR="00762D0D" w:rsidP="00BF2E89" w:rsidRDefault="00762D0D" w14:paraId="6449B69C" w14:textId="77777777">
      <w:pPr>
        <w:pStyle w:val="ListParagraph"/>
        <w:numPr>
          <w:ilvl w:val="0"/>
          <w:numId w:val="15"/>
        </w:numPr>
      </w:pPr>
      <w:r>
        <w:t>In-person observation testing (e.g., website or software usability tests)</w:t>
      </w:r>
    </w:p>
    <w:p w:rsidR="00762D0D" w:rsidRDefault="00762D0D" w14:paraId="4DCCAC9C" w14:textId="77777777">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762D0D" w:rsidRDefault="00762D0D" w14:paraId="5FA26E15" w14:textId="77777777">
      <w:pPr>
        <w:spacing w:after="0" w:line="240" w:lineRule="auto"/>
      </w:pPr>
    </w:p>
    <w:p w:rsidR="00762D0D" w:rsidRDefault="00BA3A31" w14:paraId="756612FD" w14:textId="23536222">
      <w:pPr>
        <w:pStyle w:val="ListParagraph"/>
        <w:numPr>
          <w:ilvl w:val="0"/>
          <w:numId w:val="2"/>
        </w:numPr>
        <w:spacing w:after="0" w:line="240" w:lineRule="auto"/>
        <w:ind w:left="0"/>
        <w:rPr>
          <w:b/>
        </w:rPr>
      </w:pPr>
      <w:r>
        <w:rPr>
          <w:b/>
        </w:rPr>
        <w:t>Use of Improved Information Technology and Burden Reduction</w:t>
      </w:r>
    </w:p>
    <w:p w:rsidR="00762D0D" w:rsidRDefault="00762D0D" w14:paraId="67F35B4F" w14:textId="77777777">
      <w:pPr>
        <w:spacing w:after="0" w:line="240" w:lineRule="auto"/>
        <w:rPr>
          <w:highlight w:val="yellow"/>
        </w:rPr>
      </w:pPr>
    </w:p>
    <w:p w:rsidR="00762D0D" w:rsidRDefault="00762D0D" w14:paraId="7E02D903" w14:textId="77777777">
      <w:pPr>
        <w:spacing w:after="0" w:line="240" w:lineRule="auto"/>
      </w:pPr>
      <w:r>
        <w:t>If appropriate, agencies will collect information electronically and/or use online collaboration tools to reduce burden.</w:t>
      </w:r>
    </w:p>
    <w:p w:rsidR="00762D0D" w:rsidRDefault="00762D0D" w14:paraId="4E4C36D5" w14:textId="77777777">
      <w:pPr>
        <w:spacing w:after="0" w:line="240" w:lineRule="auto"/>
      </w:pPr>
    </w:p>
    <w:p w:rsidR="00762D0D" w:rsidRDefault="00762D0D" w14:paraId="5CE07533" w14:textId="27623D17">
      <w:pPr>
        <w:pStyle w:val="ListParagraph"/>
        <w:numPr>
          <w:ilvl w:val="0"/>
          <w:numId w:val="2"/>
        </w:numPr>
        <w:spacing w:after="0" w:line="240" w:lineRule="auto"/>
        <w:ind w:left="0"/>
        <w:rPr>
          <w:b/>
        </w:rPr>
      </w:pPr>
      <w:r>
        <w:rPr>
          <w:b/>
        </w:rPr>
        <w:t xml:space="preserve"> </w:t>
      </w:r>
      <w:r w:rsidR="00BA3A31">
        <w:rPr>
          <w:b/>
        </w:rPr>
        <w:t xml:space="preserve">Efforts to Identify Duplication and Use of Similar </w:t>
      </w:r>
      <w:r>
        <w:rPr>
          <w:b/>
        </w:rPr>
        <w:t>Information</w:t>
      </w:r>
    </w:p>
    <w:p w:rsidR="00762D0D" w:rsidRDefault="00762D0D" w14:paraId="29FD0DFB" w14:textId="77777777">
      <w:pPr>
        <w:spacing w:after="0" w:line="240" w:lineRule="auto"/>
      </w:pPr>
    </w:p>
    <w:p w:rsidR="00762D0D" w:rsidRDefault="00762D0D" w14:paraId="6C0E1199" w14:textId="77777777">
      <w:pPr>
        <w:spacing w:after="0" w:line="240" w:lineRule="auto"/>
      </w:pPr>
      <w:r>
        <w:t xml:space="preserve">No similar data are gathered or maintained by the Agency or are available from other sources known to </w:t>
      </w:r>
      <w:r w:rsidRPr="002A35E6">
        <w:t>the Agency.</w:t>
      </w:r>
    </w:p>
    <w:p w:rsidR="00762D0D" w:rsidRDefault="00762D0D" w14:paraId="72C61C5B" w14:textId="77777777">
      <w:pPr>
        <w:spacing w:after="0" w:line="240" w:lineRule="auto"/>
      </w:pPr>
    </w:p>
    <w:p w:rsidR="00762D0D" w:rsidRDefault="00762D0D" w14:paraId="353ABFFA" w14:textId="72C6E22C">
      <w:pPr>
        <w:pStyle w:val="ListParagraph"/>
        <w:numPr>
          <w:ilvl w:val="0"/>
          <w:numId w:val="2"/>
        </w:numPr>
        <w:spacing w:after="0" w:line="240" w:lineRule="auto"/>
        <w:ind w:left="0"/>
        <w:rPr>
          <w:b/>
        </w:rPr>
      </w:pPr>
      <w:r>
        <w:rPr>
          <w:b/>
        </w:rPr>
        <w:lastRenderedPageBreak/>
        <w:t xml:space="preserve"> </w:t>
      </w:r>
      <w:r w:rsidR="00BA3A31">
        <w:rPr>
          <w:b/>
        </w:rPr>
        <w:t>Impact on Small Businesses or Other Small Entities</w:t>
      </w:r>
    </w:p>
    <w:p w:rsidR="00762D0D" w:rsidRDefault="00762D0D" w14:paraId="29E3A979" w14:textId="77777777">
      <w:pPr>
        <w:pStyle w:val="ListParagraph"/>
        <w:spacing w:after="0" w:line="240" w:lineRule="auto"/>
        <w:ind w:left="0"/>
        <w:rPr>
          <w:b/>
        </w:rPr>
      </w:pPr>
    </w:p>
    <w:p w:rsidR="00762D0D" w:rsidRDefault="00762D0D" w14:paraId="1DE93DA8" w14:textId="065BC4D2">
      <w:pPr>
        <w:spacing w:after="0" w:line="240" w:lineRule="auto"/>
      </w:pPr>
      <w:r>
        <w:t xml:space="preserve">Small business or other small entities may be involved in these </w:t>
      </w:r>
      <w:r w:rsidR="005F6340">
        <w:t>efforts,</w:t>
      </w:r>
      <w:r>
        <w:t xml:space="preserve"> but the Agency will minimize the burden on them of information collections approved under this clearance by sampling, asking for readily available information, and using short, easy-to-complete information collection instruments.</w:t>
      </w:r>
    </w:p>
    <w:p w:rsidR="00762D0D" w:rsidRDefault="00762D0D" w14:paraId="17EF2070" w14:textId="77777777">
      <w:pPr>
        <w:spacing w:after="0" w:line="240" w:lineRule="auto"/>
      </w:pPr>
    </w:p>
    <w:p w:rsidR="00762D0D" w:rsidRDefault="00762D0D" w14:paraId="4BBC2A53" w14:textId="0C7E40E9">
      <w:pPr>
        <w:pStyle w:val="ListParagraph"/>
        <w:numPr>
          <w:ilvl w:val="0"/>
          <w:numId w:val="2"/>
        </w:numPr>
        <w:spacing w:after="0" w:line="240" w:lineRule="auto"/>
        <w:ind w:left="0"/>
        <w:rPr>
          <w:b/>
        </w:rPr>
      </w:pPr>
      <w:r>
        <w:rPr>
          <w:b/>
        </w:rPr>
        <w:t xml:space="preserve">Consequences of </w:t>
      </w:r>
      <w:r w:rsidR="00BA3A31">
        <w:rPr>
          <w:b/>
        </w:rPr>
        <w:t>Collecting the Information Less Frequently</w:t>
      </w:r>
      <w:r>
        <w:rPr>
          <w:b/>
        </w:rPr>
        <w:t xml:space="preserve"> </w:t>
      </w:r>
    </w:p>
    <w:p w:rsidR="00762D0D" w:rsidRDefault="00762D0D" w14:paraId="0CB0907E" w14:textId="77777777">
      <w:pPr>
        <w:pStyle w:val="ListParagraph"/>
        <w:spacing w:after="0" w:line="240" w:lineRule="auto"/>
        <w:ind w:left="0"/>
        <w:rPr>
          <w:b/>
        </w:rPr>
      </w:pPr>
    </w:p>
    <w:p w:rsidR="00762D0D" w:rsidRDefault="00762D0D" w14:paraId="6CA3D92F" w14:textId="77777777">
      <w:pPr>
        <w:spacing w:after="0" w:line="240" w:lineRule="auto"/>
      </w:pPr>
      <w:r>
        <w:t>Without these types of feedback, the Agency will not have timely information to adjust its services to meet customer needs.</w:t>
      </w:r>
    </w:p>
    <w:p w:rsidR="00762D0D" w:rsidRDefault="00762D0D" w14:paraId="133B33CE" w14:textId="77777777">
      <w:pPr>
        <w:spacing w:after="0" w:line="240" w:lineRule="auto"/>
      </w:pPr>
    </w:p>
    <w:p w:rsidR="00762D0D" w:rsidRDefault="00762D0D" w14:paraId="613F2513" w14:textId="25D62723">
      <w:pPr>
        <w:pStyle w:val="ListParagraph"/>
        <w:numPr>
          <w:ilvl w:val="0"/>
          <w:numId w:val="2"/>
        </w:numPr>
        <w:spacing w:after="0" w:line="240" w:lineRule="auto"/>
        <w:ind w:left="0"/>
        <w:rPr>
          <w:b/>
        </w:rPr>
      </w:pPr>
      <w:r>
        <w:rPr>
          <w:b/>
        </w:rPr>
        <w:t>Special Circumstances</w:t>
      </w:r>
      <w:r w:rsidR="00BA3A31">
        <w:rPr>
          <w:b/>
        </w:rPr>
        <w:t xml:space="preserve"> Relating to the Guidelines of 5 CFR 1320.5</w:t>
      </w:r>
    </w:p>
    <w:p w:rsidR="00762D0D" w:rsidRDefault="00762D0D" w14:paraId="4E7E2F6E" w14:textId="77777777">
      <w:pPr>
        <w:pStyle w:val="ListParagraph"/>
        <w:spacing w:after="0" w:line="240" w:lineRule="auto"/>
        <w:ind w:left="0"/>
        <w:rPr>
          <w:b/>
        </w:rPr>
      </w:pPr>
    </w:p>
    <w:p w:rsidR="00762D0D" w:rsidRDefault="00762D0D" w14:paraId="59EE6D85" w14:textId="77777777">
      <w:pPr>
        <w:spacing w:after="0" w:line="240" w:lineRule="auto"/>
      </w:pPr>
      <w:r>
        <w:t>There are no special circumstances. The information collected will be voluntary and will not be used for statistical purposes.</w:t>
      </w:r>
    </w:p>
    <w:p w:rsidR="00762D0D" w:rsidRDefault="00762D0D" w14:paraId="2AEC6A00" w14:textId="77777777">
      <w:pPr>
        <w:spacing w:after="0" w:line="240" w:lineRule="auto"/>
      </w:pPr>
    </w:p>
    <w:p w:rsidR="00762D0D" w:rsidRDefault="00BA3A31" w14:paraId="26742C61" w14:textId="24D184FA">
      <w:pPr>
        <w:pStyle w:val="ListParagraph"/>
        <w:numPr>
          <w:ilvl w:val="0"/>
          <w:numId w:val="2"/>
        </w:numPr>
        <w:spacing w:after="0" w:line="240" w:lineRule="auto"/>
        <w:ind w:left="0"/>
        <w:rPr>
          <w:b/>
        </w:rPr>
      </w:pPr>
      <w:r>
        <w:rPr>
          <w:b/>
        </w:rPr>
        <w:t>Comments in Response to the Federal Register Notice and Efforts to Consult Outside the Agency</w:t>
      </w:r>
    </w:p>
    <w:p w:rsidRPr="00873289" w:rsidR="00762D0D" w:rsidRDefault="00762D0D" w14:paraId="51D7594F" w14:textId="77777777">
      <w:pPr>
        <w:pStyle w:val="ListParagraph"/>
        <w:spacing w:after="0" w:line="240" w:lineRule="auto"/>
        <w:ind w:left="0"/>
        <w:rPr>
          <w:rFonts w:asciiTheme="minorHAnsi" w:hAnsiTheme="minorHAnsi"/>
          <w:b/>
        </w:rPr>
      </w:pPr>
    </w:p>
    <w:p w:rsidRPr="00873289" w:rsidR="00762D0D" w:rsidRDefault="00312608" w14:paraId="4D89FDE5" w14:textId="2FA15CD8">
      <w:pPr>
        <w:spacing w:after="0" w:line="240" w:lineRule="auto"/>
        <w:rPr>
          <w:rFonts w:asciiTheme="minorHAnsi" w:hAnsiTheme="minorHAnsi"/>
        </w:rPr>
      </w:pPr>
      <w:r w:rsidRPr="00873289">
        <w:rPr>
          <w:rFonts w:asciiTheme="minorHAnsi" w:hAnsiTheme="minorHAnsi"/>
        </w:rPr>
        <w:t xml:space="preserve">In accordance with 5 CFR 1320.8(d), a 60-day notice for public comment was published in the </w:t>
      </w:r>
      <w:r w:rsidRPr="00873289">
        <w:rPr>
          <w:rFonts w:asciiTheme="minorHAnsi" w:hAnsiTheme="minorHAnsi"/>
          <w:i/>
        </w:rPr>
        <w:t>Federal Register</w:t>
      </w:r>
      <w:r w:rsidR="00F129AD">
        <w:rPr>
          <w:rFonts w:asciiTheme="minorHAnsi" w:hAnsiTheme="minorHAnsi"/>
          <w:i/>
        </w:rPr>
        <w:t xml:space="preserve"> </w:t>
      </w:r>
      <w:r w:rsidR="00F129AD">
        <w:rPr>
          <w:rFonts w:asciiTheme="minorHAnsi" w:hAnsiTheme="minorHAnsi"/>
        </w:rPr>
        <w:t xml:space="preserve">on </w:t>
      </w:r>
      <w:r w:rsidR="00E51B8B">
        <w:rPr>
          <w:rFonts w:asciiTheme="minorHAnsi" w:hAnsiTheme="minorHAnsi"/>
        </w:rPr>
        <w:t>10/21/</w:t>
      </w:r>
      <w:r w:rsidRPr="00E51B8B" w:rsidR="00E51B8B">
        <w:rPr>
          <w:rFonts w:asciiTheme="minorHAnsi" w:hAnsiTheme="minorHAnsi"/>
        </w:rPr>
        <w:t>2020</w:t>
      </w:r>
      <w:r w:rsidRPr="00E51B8B" w:rsidR="00D617AC">
        <w:rPr>
          <w:rFonts w:asciiTheme="minorHAnsi" w:hAnsiTheme="minorHAnsi"/>
        </w:rPr>
        <w:t xml:space="preserve"> </w:t>
      </w:r>
      <w:r w:rsidRPr="00E51B8B" w:rsidR="00F129AD">
        <w:rPr>
          <w:rFonts w:asciiTheme="minorHAnsi" w:hAnsiTheme="minorHAnsi"/>
        </w:rPr>
        <w:t>(</w:t>
      </w:r>
      <w:r w:rsidR="00E51B8B">
        <w:rPr>
          <w:rFonts w:asciiTheme="minorHAnsi" w:hAnsiTheme="minorHAnsi"/>
        </w:rPr>
        <w:t>V</w:t>
      </w:r>
      <w:r w:rsidRPr="00E51B8B" w:rsidR="00F129AD">
        <w:rPr>
          <w:rFonts w:asciiTheme="minorHAnsi" w:hAnsiTheme="minorHAnsi"/>
        </w:rPr>
        <w:t>olu</w:t>
      </w:r>
      <w:r w:rsidRPr="00E51B8B" w:rsidR="0070472A">
        <w:rPr>
          <w:rFonts w:asciiTheme="minorHAnsi" w:hAnsiTheme="minorHAnsi"/>
        </w:rPr>
        <w:t>m</w:t>
      </w:r>
      <w:r w:rsidRPr="00E51B8B" w:rsidR="00F129AD">
        <w:rPr>
          <w:rFonts w:asciiTheme="minorHAnsi" w:hAnsiTheme="minorHAnsi"/>
        </w:rPr>
        <w:t xml:space="preserve">e </w:t>
      </w:r>
      <w:r w:rsidRPr="00E51B8B" w:rsidR="00E51B8B">
        <w:rPr>
          <w:rFonts w:asciiTheme="minorHAnsi" w:hAnsiTheme="minorHAnsi"/>
        </w:rPr>
        <w:t>85</w:t>
      </w:r>
      <w:r w:rsidRPr="00E51B8B" w:rsidR="00F129AD">
        <w:rPr>
          <w:rFonts w:asciiTheme="minorHAnsi" w:hAnsiTheme="minorHAnsi"/>
        </w:rPr>
        <w:t xml:space="preserve">, </w:t>
      </w:r>
      <w:r w:rsidR="00E51B8B">
        <w:rPr>
          <w:rFonts w:asciiTheme="minorHAnsi" w:hAnsiTheme="minorHAnsi"/>
        </w:rPr>
        <w:t>N</w:t>
      </w:r>
      <w:r w:rsidRPr="00E51B8B" w:rsidR="00F129AD">
        <w:rPr>
          <w:rFonts w:asciiTheme="minorHAnsi" w:hAnsiTheme="minorHAnsi"/>
        </w:rPr>
        <w:t xml:space="preserve">umber </w:t>
      </w:r>
      <w:r w:rsidRPr="00E51B8B" w:rsidR="00E51B8B">
        <w:rPr>
          <w:rFonts w:asciiTheme="minorHAnsi" w:hAnsiTheme="minorHAnsi"/>
        </w:rPr>
        <w:t>204</w:t>
      </w:r>
      <w:r w:rsidRPr="00E51B8B" w:rsidR="00F129AD">
        <w:rPr>
          <w:rFonts w:asciiTheme="minorHAnsi" w:hAnsiTheme="minorHAnsi"/>
        </w:rPr>
        <w:t xml:space="preserve">, </w:t>
      </w:r>
      <w:r w:rsidR="00E51B8B">
        <w:rPr>
          <w:rFonts w:asciiTheme="minorHAnsi" w:hAnsiTheme="minorHAnsi"/>
        </w:rPr>
        <w:t>P</w:t>
      </w:r>
      <w:r w:rsidRPr="00E51B8B" w:rsidR="00F129AD">
        <w:rPr>
          <w:rFonts w:asciiTheme="minorHAnsi" w:hAnsiTheme="minorHAnsi"/>
        </w:rPr>
        <w:t xml:space="preserve">ages </w:t>
      </w:r>
      <w:r w:rsidRPr="00E51B8B" w:rsidR="00E51B8B">
        <w:rPr>
          <w:rFonts w:asciiTheme="minorHAnsi" w:hAnsiTheme="minorHAnsi"/>
        </w:rPr>
        <w:t>66985</w:t>
      </w:r>
      <w:r w:rsidRPr="00E51B8B" w:rsidR="00D617AC">
        <w:rPr>
          <w:rFonts w:asciiTheme="minorHAnsi" w:hAnsiTheme="minorHAnsi"/>
        </w:rPr>
        <w:t>-</w:t>
      </w:r>
      <w:r w:rsidRPr="00E51B8B" w:rsidR="00E51B8B">
        <w:rPr>
          <w:rFonts w:asciiTheme="minorHAnsi" w:hAnsiTheme="minorHAnsi"/>
        </w:rPr>
        <w:t>66987</w:t>
      </w:r>
      <w:r w:rsidRPr="00E51B8B" w:rsidR="00F129AD">
        <w:rPr>
          <w:rFonts w:asciiTheme="minorHAnsi" w:hAnsiTheme="minorHAnsi"/>
        </w:rPr>
        <w:t>)</w:t>
      </w:r>
      <w:r w:rsidRPr="00E51B8B">
        <w:rPr>
          <w:rFonts w:asciiTheme="minorHAnsi" w:hAnsiTheme="minorHAnsi"/>
        </w:rPr>
        <w:t xml:space="preserve">.  </w:t>
      </w:r>
      <w:r w:rsidRPr="00E51B8B" w:rsidR="00E51B8B">
        <w:rPr>
          <w:rFonts w:asciiTheme="minorHAnsi" w:hAnsiTheme="minorHAnsi"/>
        </w:rPr>
        <w:t>No</w:t>
      </w:r>
      <w:r w:rsidRPr="00E51B8B" w:rsidR="0020311F">
        <w:rPr>
          <w:rFonts w:asciiTheme="minorHAnsi" w:hAnsiTheme="minorHAnsi"/>
        </w:rPr>
        <w:t xml:space="preserve"> non-substantive public comment</w:t>
      </w:r>
      <w:r w:rsidRPr="00E51B8B">
        <w:rPr>
          <w:rFonts w:asciiTheme="minorHAnsi" w:hAnsiTheme="minorHAnsi"/>
        </w:rPr>
        <w:t xml:space="preserve"> w</w:t>
      </w:r>
      <w:r w:rsidRPr="00E51B8B" w:rsidR="0020311F">
        <w:rPr>
          <w:rFonts w:asciiTheme="minorHAnsi" w:hAnsiTheme="minorHAnsi"/>
        </w:rPr>
        <w:t>as</w:t>
      </w:r>
      <w:r w:rsidRPr="00E51B8B">
        <w:rPr>
          <w:rFonts w:asciiTheme="minorHAnsi" w:hAnsiTheme="minorHAnsi"/>
        </w:rPr>
        <w:t xml:space="preserve"> received in response to this notice.</w:t>
      </w:r>
    </w:p>
    <w:p w:rsidR="00762D0D" w:rsidRDefault="00762D0D" w14:paraId="41DE1DFF" w14:textId="77777777">
      <w:pPr>
        <w:spacing w:after="0" w:line="240" w:lineRule="auto"/>
      </w:pPr>
    </w:p>
    <w:p w:rsidR="00762D0D" w:rsidRDefault="00BA3A31" w14:paraId="01319762" w14:textId="62FE0295">
      <w:pPr>
        <w:pStyle w:val="ListParagraph"/>
        <w:numPr>
          <w:ilvl w:val="0"/>
          <w:numId w:val="2"/>
        </w:numPr>
        <w:spacing w:after="0" w:line="240" w:lineRule="auto"/>
        <w:ind w:left="0"/>
        <w:rPr>
          <w:b/>
        </w:rPr>
      </w:pPr>
      <w:r>
        <w:rPr>
          <w:b/>
        </w:rPr>
        <w:t xml:space="preserve">Explanation of any </w:t>
      </w:r>
      <w:r w:rsidR="00762D0D">
        <w:rPr>
          <w:b/>
        </w:rPr>
        <w:t>Payment or Gift</w:t>
      </w:r>
      <w:r>
        <w:rPr>
          <w:b/>
        </w:rPr>
        <w:t xml:space="preserve"> to Respondents</w:t>
      </w:r>
    </w:p>
    <w:p w:rsidR="00762D0D" w:rsidRDefault="00762D0D" w14:paraId="6689329C" w14:textId="77777777">
      <w:pPr>
        <w:spacing w:after="0" w:line="240" w:lineRule="auto"/>
      </w:pPr>
    </w:p>
    <w:p w:rsidR="00762D0D" w:rsidRDefault="00762D0D" w14:paraId="38678ABA" w14:textId="77777777">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14:paraId="7741D0C4" w14:textId="77777777">
      <w:pPr>
        <w:spacing w:after="0" w:line="240" w:lineRule="auto"/>
      </w:pPr>
      <w:r>
        <w:t xml:space="preserve"> </w:t>
      </w:r>
    </w:p>
    <w:p w:rsidR="00762D0D" w:rsidRDefault="00762D0D" w14:paraId="32F2EF2F" w14:textId="77777777">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14:paraId="2CCE9AD8" w14:textId="77777777">
      <w:pPr>
        <w:spacing w:after="0" w:line="240" w:lineRule="auto"/>
      </w:pPr>
    </w:p>
    <w:p w:rsidRPr="00D56A4C" w:rsidR="00762D0D" w:rsidP="0041084D" w:rsidRDefault="00762D0D" w14:paraId="0D170FDD" w14:textId="774B9BD1">
      <w:pPr>
        <w:pStyle w:val="ListParagraph"/>
        <w:numPr>
          <w:ilvl w:val="0"/>
          <w:numId w:val="2"/>
        </w:numPr>
        <w:spacing w:after="0" w:line="240" w:lineRule="auto"/>
        <w:ind w:left="0"/>
      </w:pPr>
      <w:r w:rsidRPr="0041084D">
        <w:rPr>
          <w:b/>
        </w:rPr>
        <w:t xml:space="preserve"> </w:t>
      </w:r>
      <w:r w:rsidR="00C42638">
        <w:rPr>
          <w:b/>
        </w:rPr>
        <w:t>Protection of the Privacy and Confidentiality of Information Provided by Respondents</w:t>
      </w:r>
      <w:r w:rsidRPr="0041084D">
        <w:rPr>
          <w:b/>
        </w:rPr>
        <w:t xml:space="preserve"> </w:t>
      </w:r>
    </w:p>
    <w:p w:rsidR="00D56A4C" w:rsidP="00D56A4C" w:rsidRDefault="00D56A4C" w14:paraId="6D2CF7BA" w14:textId="77777777">
      <w:pPr>
        <w:pStyle w:val="ListParagraph"/>
        <w:spacing w:after="0" w:line="240" w:lineRule="auto"/>
        <w:ind w:left="0"/>
      </w:pPr>
    </w:p>
    <w:p w:rsidR="00762D0D" w:rsidRDefault="00762D0D" w14:paraId="48C83806" w14:textId="2C12841E">
      <w:pPr>
        <w:spacing w:after="0" w:line="240" w:lineRule="auto"/>
      </w:pP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14:paraId="441A147F" w14:textId="77777777">
      <w:pPr>
        <w:spacing w:after="0" w:line="240" w:lineRule="auto"/>
      </w:pPr>
    </w:p>
    <w:p w:rsidR="00762D0D" w:rsidRDefault="00BE5768" w14:paraId="57DAA8F0" w14:textId="4A3E1182">
      <w:pPr>
        <w:pStyle w:val="ListParagraph"/>
        <w:numPr>
          <w:ilvl w:val="0"/>
          <w:numId w:val="2"/>
        </w:numPr>
        <w:spacing w:after="0" w:line="240" w:lineRule="auto"/>
        <w:ind w:left="0"/>
        <w:rPr>
          <w:b/>
        </w:rPr>
      </w:pPr>
      <w:r>
        <w:rPr>
          <w:b/>
        </w:rPr>
        <w:t>Institutional Review Board (IRB) and Justification for Sensitive Questions</w:t>
      </w:r>
    </w:p>
    <w:p w:rsidR="00762D0D" w:rsidRDefault="00762D0D" w14:paraId="7A8FE22A" w14:textId="77777777">
      <w:pPr>
        <w:pStyle w:val="ListParagraph"/>
        <w:spacing w:after="0" w:line="240" w:lineRule="auto"/>
        <w:ind w:left="0"/>
        <w:rPr>
          <w:b/>
        </w:rPr>
      </w:pPr>
    </w:p>
    <w:p w:rsidR="00762D0D" w:rsidRDefault="00762D0D" w14:paraId="7CE4636F" w14:textId="77777777">
      <w:pPr>
        <w:spacing w:after="0" w:line="240" w:lineRule="auto"/>
      </w:pPr>
      <w:r>
        <w:t>No questions will be asked that are of a personal or sensitive nature.</w:t>
      </w:r>
    </w:p>
    <w:p w:rsidR="00762D0D" w:rsidRDefault="00762D0D" w14:paraId="60C79507" w14:textId="77777777">
      <w:pPr>
        <w:spacing w:after="0" w:line="240" w:lineRule="auto"/>
      </w:pPr>
    </w:p>
    <w:p w:rsidR="00762D0D" w:rsidRDefault="00BE5768" w14:paraId="051FD14E" w14:textId="1C86B668">
      <w:pPr>
        <w:pStyle w:val="ListParagraph"/>
        <w:numPr>
          <w:ilvl w:val="0"/>
          <w:numId w:val="2"/>
        </w:numPr>
        <w:spacing w:after="0" w:line="240" w:lineRule="auto"/>
        <w:ind w:left="0"/>
        <w:rPr>
          <w:b/>
        </w:rPr>
      </w:pPr>
      <w:r>
        <w:rPr>
          <w:b/>
        </w:rPr>
        <w:lastRenderedPageBreak/>
        <w:t xml:space="preserve">Estimates of Annualized </w:t>
      </w:r>
      <w:r w:rsidR="00762D0D">
        <w:rPr>
          <w:b/>
        </w:rPr>
        <w:t xml:space="preserve">Burden </w:t>
      </w:r>
      <w:r>
        <w:rPr>
          <w:b/>
        </w:rPr>
        <w:t>Hours and Costs</w:t>
      </w:r>
    </w:p>
    <w:p w:rsidR="00762D0D" w:rsidRDefault="00762D0D" w14:paraId="30AD50F6" w14:textId="77777777">
      <w:pPr>
        <w:spacing w:after="0" w:line="240" w:lineRule="auto"/>
      </w:pPr>
    </w:p>
    <w:p w:rsidR="00762D0D" w:rsidRDefault="00762D0D" w14:paraId="0407CCFB" w14:textId="77777777">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CC31D6">
        <w:t>3</w:t>
      </w:r>
      <w:r w:rsidR="00F129AD">
        <w:t>,</w:t>
      </w:r>
      <w:r w:rsidR="00CC31D6">
        <w:t>8</w:t>
      </w:r>
      <w:r w:rsidR="00F129AD">
        <w:t>50</w:t>
      </w:r>
      <w:r>
        <w:t>) are based on the number of collections we expect to conduct over the requ</w:t>
      </w:r>
      <w:r w:rsidR="003C2C0B">
        <w:t>ested period for this clearance</w:t>
      </w:r>
      <w:r>
        <w:t>.</w:t>
      </w:r>
    </w:p>
    <w:p w:rsidR="00F129AD" w:rsidP="00F129AD" w:rsidRDefault="00F129AD" w14:paraId="12BAF012" w14:textId="77777777">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Pr="004F6929" w:rsidR="00F129AD" w:rsidTr="00E840DF" w14:paraId="49E1822B" w14:textId="77777777">
        <w:trPr>
          <w:trHeight w:val="570"/>
        </w:trPr>
        <w:tc>
          <w:tcPr>
            <w:tcW w:w="2880" w:type="dxa"/>
            <w:tcBorders>
              <w:top w:val="single" w:color="000000" w:sz="6" w:space="0"/>
              <w:left w:val="single" w:color="000000" w:sz="6" w:space="0"/>
              <w:bottom w:val="single" w:color="FFFFFF" w:sz="6" w:space="0"/>
              <w:right w:val="single" w:color="FFFFFF" w:sz="6" w:space="0"/>
            </w:tcBorders>
          </w:tcPr>
          <w:p w:rsidRPr="004F6929" w:rsidR="00F129AD" w:rsidP="00897714" w:rsidRDefault="00F129AD" w14:paraId="22375852" w14:textId="77777777">
            <w:pPr>
              <w:spacing w:after="0" w:line="240" w:lineRule="auto"/>
              <w:rPr>
                <w:rFonts w:asciiTheme="minorHAnsi" w:hAnsiTheme="minorHAnsi"/>
              </w:rPr>
            </w:pPr>
          </w:p>
          <w:p w:rsidRPr="004F6929" w:rsidR="00F129AD" w:rsidP="00897714" w:rsidRDefault="00F129AD" w14:paraId="4043F9E9"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Type of Collection</w:t>
            </w:r>
          </w:p>
        </w:tc>
        <w:tc>
          <w:tcPr>
            <w:tcW w:w="1710" w:type="dxa"/>
            <w:tcBorders>
              <w:top w:val="single" w:color="000000" w:sz="6" w:space="0"/>
              <w:left w:val="single" w:color="000000" w:sz="6" w:space="0"/>
              <w:bottom w:val="single" w:color="FFFFFF" w:sz="6" w:space="0"/>
              <w:right w:val="single" w:color="FFFFFF" w:sz="6" w:space="0"/>
            </w:tcBorders>
          </w:tcPr>
          <w:p w:rsidRPr="004F6929" w:rsidR="00F129AD" w:rsidP="00897714" w:rsidRDefault="00F129AD" w14:paraId="0AD73B5C" w14:textId="77777777">
            <w:pPr>
              <w:spacing w:after="0" w:line="240" w:lineRule="auto"/>
              <w:rPr>
                <w:rFonts w:asciiTheme="minorHAnsi" w:hAnsiTheme="minorHAnsi"/>
              </w:rPr>
            </w:pPr>
          </w:p>
          <w:p w:rsidRPr="004F6929" w:rsidR="00F129AD" w:rsidP="00897714" w:rsidRDefault="00F129AD" w14:paraId="7E0CF87B"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No. of Respondents</w:t>
            </w:r>
          </w:p>
        </w:tc>
        <w:tc>
          <w:tcPr>
            <w:tcW w:w="1710" w:type="dxa"/>
            <w:tcBorders>
              <w:top w:val="single" w:color="000000" w:sz="6" w:space="0"/>
              <w:left w:val="single" w:color="000000" w:sz="6" w:space="0"/>
              <w:bottom w:val="single" w:color="FFFFFF" w:sz="6" w:space="0"/>
              <w:right w:val="single" w:color="FFFFFF" w:sz="6" w:space="0"/>
            </w:tcBorders>
          </w:tcPr>
          <w:p w:rsidRPr="004F6929" w:rsidR="00F129AD" w:rsidP="00897714" w:rsidRDefault="00F129AD" w14:paraId="52A59280" w14:textId="77777777">
            <w:pPr>
              <w:spacing w:after="0" w:line="240" w:lineRule="auto"/>
              <w:rPr>
                <w:rFonts w:asciiTheme="minorHAnsi" w:hAnsiTheme="minorHAnsi"/>
              </w:rPr>
            </w:pPr>
          </w:p>
          <w:p w:rsidRPr="004F6929" w:rsidR="00F129AD" w:rsidP="00897714" w:rsidRDefault="00F129AD" w14:paraId="34F2103E"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Annual Frequency per Response</w:t>
            </w:r>
          </w:p>
        </w:tc>
        <w:tc>
          <w:tcPr>
            <w:tcW w:w="1800" w:type="dxa"/>
            <w:tcBorders>
              <w:top w:val="single" w:color="000000" w:sz="6" w:space="0"/>
              <w:left w:val="single" w:color="000000" w:sz="6" w:space="0"/>
              <w:bottom w:val="single" w:color="FFFFFF" w:sz="6" w:space="0"/>
              <w:right w:val="single" w:color="FFFFFF" w:sz="6" w:space="0"/>
            </w:tcBorders>
          </w:tcPr>
          <w:p w:rsidRPr="004F6929" w:rsidR="00F129AD" w:rsidP="00897714" w:rsidRDefault="00F129AD" w14:paraId="4565E8E6" w14:textId="77777777">
            <w:pPr>
              <w:spacing w:after="0" w:line="240" w:lineRule="auto"/>
              <w:rPr>
                <w:rFonts w:asciiTheme="minorHAnsi" w:hAnsiTheme="minorHAnsi"/>
              </w:rPr>
            </w:pPr>
          </w:p>
          <w:p w:rsidRPr="004F6929" w:rsidR="00F129AD" w:rsidP="00897714" w:rsidRDefault="00F129AD" w14:paraId="71A4993E"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Hours per Response</w:t>
            </w:r>
          </w:p>
        </w:tc>
        <w:tc>
          <w:tcPr>
            <w:tcW w:w="1260" w:type="dxa"/>
            <w:tcBorders>
              <w:top w:val="single" w:color="000000" w:sz="6" w:space="0"/>
              <w:left w:val="single" w:color="000000" w:sz="6" w:space="0"/>
              <w:bottom w:val="single" w:color="FFFFFF" w:sz="6" w:space="0"/>
              <w:right w:val="single" w:color="000000" w:sz="6" w:space="0"/>
            </w:tcBorders>
          </w:tcPr>
          <w:p w:rsidRPr="004F6929" w:rsidR="00F129AD" w:rsidP="00897714" w:rsidRDefault="00F129AD" w14:paraId="5297C99F" w14:textId="77777777">
            <w:pPr>
              <w:spacing w:after="0" w:line="240" w:lineRule="auto"/>
              <w:rPr>
                <w:rFonts w:asciiTheme="minorHAnsi" w:hAnsiTheme="minorHAnsi"/>
              </w:rPr>
            </w:pPr>
          </w:p>
          <w:p w:rsidRPr="004F6929" w:rsidR="00F129AD" w:rsidP="00897714" w:rsidRDefault="00F129AD" w14:paraId="241EBA65"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Total Hours</w:t>
            </w:r>
          </w:p>
        </w:tc>
      </w:tr>
      <w:tr w:rsidRPr="004F6929" w:rsidR="00F129AD" w:rsidTr="00897714" w14:paraId="59197A9A" w14:textId="77777777">
        <w:tc>
          <w:tcPr>
            <w:tcW w:w="288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6B4B7E6A" w14:textId="77777777">
            <w:pPr>
              <w:spacing w:after="0" w:line="240" w:lineRule="auto"/>
              <w:rPr>
                <w:rFonts w:asciiTheme="minorHAnsi" w:hAnsiTheme="minorHAnsi"/>
              </w:rPr>
            </w:pPr>
          </w:p>
          <w:p w:rsidRPr="004F6929" w:rsidR="00F129AD" w:rsidP="00897714" w:rsidRDefault="00F129AD" w14:paraId="4A3D9DB2" w14:textId="77777777">
            <w:pPr>
              <w:tabs>
                <w:tab w:val="left" w:pos="-1080"/>
                <w:tab w:val="left" w:pos="-720"/>
                <w:tab w:val="left" w:pos="0"/>
                <w:tab w:val="left" w:pos="450"/>
                <w:tab w:val="left" w:pos="720"/>
                <w:tab w:val="left" w:pos="2160"/>
              </w:tabs>
              <w:spacing w:after="0" w:line="240" w:lineRule="auto"/>
              <w:rPr>
                <w:rFonts w:asciiTheme="minorHAnsi" w:hAnsiTheme="minorHAnsi"/>
              </w:rPr>
            </w:pPr>
            <w:r w:rsidRPr="004F6929">
              <w:rPr>
                <w:rFonts w:asciiTheme="minorHAnsi" w:hAnsiTheme="minorHAnsi"/>
              </w:rPr>
              <w:t>Online Surveys</w:t>
            </w:r>
          </w:p>
        </w:tc>
        <w:tc>
          <w:tcPr>
            <w:tcW w:w="171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38D792CD" w14:textId="77777777">
            <w:pPr>
              <w:tabs>
                <w:tab w:val="left" w:pos="-1080"/>
                <w:tab w:val="left" w:pos="-720"/>
                <w:tab w:val="left" w:pos="0"/>
                <w:tab w:val="left" w:pos="450"/>
                <w:tab w:val="left" w:pos="720"/>
                <w:tab w:val="left" w:pos="2160"/>
              </w:tabs>
              <w:spacing w:after="0" w:line="240" w:lineRule="auto"/>
              <w:rPr>
                <w:rFonts w:asciiTheme="minorHAnsi" w:hAnsiTheme="minorHAnsi"/>
              </w:rPr>
            </w:pPr>
          </w:p>
          <w:p w:rsidRPr="004F6929" w:rsidR="00F129AD" w:rsidP="00897714" w:rsidRDefault="00F129AD" w14:paraId="412793D8" w14:textId="77777777">
            <w:pPr>
              <w:tabs>
                <w:tab w:val="left" w:pos="-1080"/>
                <w:tab w:val="left" w:pos="-720"/>
                <w:tab w:val="left" w:pos="0"/>
                <w:tab w:val="left" w:pos="450"/>
                <w:tab w:val="left" w:pos="720"/>
                <w:tab w:val="left" w:pos="2160"/>
              </w:tabs>
              <w:spacing w:after="0" w:line="240" w:lineRule="auto"/>
              <w:rPr>
                <w:rFonts w:asciiTheme="minorHAnsi" w:hAnsiTheme="minorHAnsi"/>
              </w:rPr>
            </w:pPr>
            <w:r w:rsidRPr="004F6929">
              <w:rPr>
                <w:rFonts w:asciiTheme="minorHAnsi" w:hAnsiTheme="minorHAnsi"/>
              </w:rPr>
              <w:t>1500</w:t>
            </w:r>
          </w:p>
        </w:tc>
        <w:tc>
          <w:tcPr>
            <w:tcW w:w="171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265FA95A" w14:textId="77777777">
            <w:pPr>
              <w:spacing w:after="0" w:line="240" w:lineRule="auto"/>
              <w:rPr>
                <w:rFonts w:asciiTheme="minorHAnsi" w:hAnsiTheme="minorHAnsi"/>
              </w:rPr>
            </w:pPr>
          </w:p>
          <w:p w:rsidRPr="004F6929" w:rsidR="00F129AD" w:rsidP="00897714" w:rsidRDefault="00F129AD" w14:paraId="3EF09A0B" w14:textId="77777777">
            <w:pPr>
              <w:tabs>
                <w:tab w:val="left" w:pos="-1080"/>
                <w:tab w:val="left" w:pos="-720"/>
                <w:tab w:val="left" w:pos="0"/>
                <w:tab w:val="left" w:pos="450"/>
                <w:tab w:val="left" w:pos="720"/>
                <w:tab w:val="left" w:pos="2160"/>
              </w:tabs>
              <w:spacing w:after="0" w:line="240" w:lineRule="auto"/>
              <w:rPr>
                <w:rFonts w:asciiTheme="minorHAnsi" w:hAnsiTheme="minorHAnsi"/>
              </w:rPr>
            </w:pPr>
            <w:r w:rsidRPr="004F6929">
              <w:rPr>
                <w:rFonts w:asciiTheme="minorHAnsi" w:hAnsiTheme="minorHAnsi"/>
              </w:rPr>
              <w:t>1</w:t>
            </w:r>
          </w:p>
        </w:tc>
        <w:tc>
          <w:tcPr>
            <w:tcW w:w="180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2F526240" w14:textId="77777777">
            <w:pPr>
              <w:spacing w:after="0" w:line="240" w:lineRule="auto"/>
              <w:rPr>
                <w:rFonts w:asciiTheme="minorHAnsi" w:hAnsiTheme="minorHAnsi"/>
              </w:rPr>
            </w:pPr>
          </w:p>
          <w:p w:rsidRPr="004F6929" w:rsidR="00F129AD" w:rsidP="00897714" w:rsidRDefault="00F129AD" w14:paraId="06900B51" w14:textId="77777777">
            <w:pPr>
              <w:tabs>
                <w:tab w:val="left" w:pos="-1080"/>
                <w:tab w:val="left" w:pos="-720"/>
                <w:tab w:val="left" w:pos="0"/>
                <w:tab w:val="left" w:pos="450"/>
                <w:tab w:val="left" w:pos="720"/>
                <w:tab w:val="left" w:pos="2160"/>
              </w:tabs>
              <w:spacing w:after="0" w:line="240" w:lineRule="auto"/>
              <w:rPr>
                <w:rFonts w:asciiTheme="minorHAnsi" w:hAnsiTheme="minorHAnsi"/>
              </w:rPr>
            </w:pPr>
            <w:r w:rsidRPr="004F6929">
              <w:rPr>
                <w:rFonts w:asciiTheme="minorHAnsi" w:hAnsiTheme="minorHAnsi"/>
              </w:rPr>
              <w:t>30/60</w:t>
            </w:r>
          </w:p>
        </w:tc>
        <w:tc>
          <w:tcPr>
            <w:tcW w:w="1260" w:type="dxa"/>
            <w:tcBorders>
              <w:top w:val="single" w:color="000000" w:sz="6" w:space="0"/>
              <w:left w:val="single" w:color="000000" w:sz="6" w:space="0"/>
              <w:bottom w:val="single" w:color="000000" w:sz="6" w:space="0"/>
              <w:right w:val="single" w:color="000000" w:sz="6" w:space="0"/>
            </w:tcBorders>
            <w:vAlign w:val="bottom"/>
          </w:tcPr>
          <w:p w:rsidR="004B026F" w:rsidP="004B026F" w:rsidRDefault="004B026F" w14:paraId="382ECB12" w14:textId="77777777">
            <w:pPr>
              <w:tabs>
                <w:tab w:val="left" w:pos="-1080"/>
                <w:tab w:val="left" w:pos="-720"/>
                <w:tab w:val="left" w:pos="0"/>
                <w:tab w:val="left" w:pos="450"/>
                <w:tab w:val="left" w:pos="720"/>
                <w:tab w:val="left" w:pos="2160"/>
              </w:tabs>
              <w:spacing w:after="0" w:line="240" w:lineRule="auto"/>
              <w:rPr>
                <w:rFonts w:asciiTheme="minorHAnsi" w:hAnsiTheme="minorHAnsi"/>
              </w:rPr>
            </w:pPr>
          </w:p>
          <w:p w:rsidRPr="004F6929" w:rsidR="00F129AD" w:rsidP="004B026F" w:rsidRDefault="00F129AD" w14:paraId="5F0EE2A3" w14:textId="6C73F945">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750</w:t>
            </w:r>
          </w:p>
        </w:tc>
      </w:tr>
      <w:tr w:rsidRPr="004F6929" w:rsidR="00F129AD" w:rsidTr="00897714" w14:paraId="5F7A9314" w14:textId="77777777">
        <w:tc>
          <w:tcPr>
            <w:tcW w:w="288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41815BA8" w14:textId="77777777">
            <w:pPr>
              <w:spacing w:after="0" w:line="240" w:lineRule="auto"/>
              <w:rPr>
                <w:rFonts w:asciiTheme="minorHAnsi" w:hAnsiTheme="minorHAnsi"/>
                <w:highlight w:val="yellow"/>
              </w:rPr>
            </w:pPr>
          </w:p>
          <w:p w:rsidRPr="004F6929" w:rsidR="00F129AD" w:rsidP="00897714" w:rsidRDefault="00F129AD" w14:paraId="1AA62396" w14:textId="77777777">
            <w:pPr>
              <w:spacing w:after="0" w:line="240" w:lineRule="auto"/>
              <w:rPr>
                <w:rFonts w:asciiTheme="minorHAnsi" w:hAnsiTheme="minorHAnsi"/>
                <w:highlight w:val="yellow"/>
              </w:rPr>
            </w:pPr>
            <w:r w:rsidRPr="004F6929">
              <w:rPr>
                <w:rFonts w:asciiTheme="minorHAnsi" w:hAnsiTheme="minorHAnsi"/>
              </w:rPr>
              <w:t>Focus Groups</w:t>
            </w:r>
          </w:p>
        </w:tc>
        <w:tc>
          <w:tcPr>
            <w:tcW w:w="171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72AFE604" w14:textId="77777777">
            <w:pPr>
              <w:spacing w:after="0" w:line="240" w:lineRule="auto"/>
              <w:rPr>
                <w:rFonts w:asciiTheme="minorHAnsi" w:hAnsiTheme="minorHAnsi"/>
              </w:rPr>
            </w:pPr>
          </w:p>
          <w:p w:rsidRPr="004F6929" w:rsidR="00F129AD" w:rsidP="00897714" w:rsidRDefault="00F129AD" w14:paraId="61180DF4" w14:textId="77777777">
            <w:pPr>
              <w:spacing w:after="0" w:line="240" w:lineRule="auto"/>
              <w:rPr>
                <w:rFonts w:asciiTheme="minorHAnsi" w:hAnsiTheme="minorHAnsi"/>
              </w:rPr>
            </w:pPr>
            <w:r w:rsidRPr="004F6929">
              <w:rPr>
                <w:rFonts w:asciiTheme="minorHAnsi" w:hAnsiTheme="minorHAnsi"/>
              </w:rPr>
              <w:t>800</w:t>
            </w:r>
          </w:p>
        </w:tc>
        <w:tc>
          <w:tcPr>
            <w:tcW w:w="171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72DC360F" w14:textId="77777777">
            <w:pPr>
              <w:spacing w:after="0" w:line="240" w:lineRule="auto"/>
              <w:rPr>
                <w:rFonts w:asciiTheme="minorHAnsi" w:hAnsiTheme="minorHAnsi"/>
              </w:rPr>
            </w:pPr>
          </w:p>
          <w:p w:rsidRPr="004F6929" w:rsidR="00F129AD" w:rsidP="00897714" w:rsidRDefault="00F129AD" w14:paraId="0512D749" w14:textId="77777777">
            <w:pPr>
              <w:spacing w:after="0" w:line="240" w:lineRule="auto"/>
              <w:rPr>
                <w:rFonts w:asciiTheme="minorHAnsi" w:hAnsiTheme="minorHAnsi"/>
              </w:rPr>
            </w:pPr>
            <w:r w:rsidRPr="004F6929">
              <w:rPr>
                <w:rFonts w:asciiTheme="minorHAnsi" w:hAnsiTheme="minorHAnsi"/>
              </w:rPr>
              <w:t>1</w:t>
            </w:r>
          </w:p>
        </w:tc>
        <w:tc>
          <w:tcPr>
            <w:tcW w:w="180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3ED9CC7C" w14:textId="77777777">
            <w:pPr>
              <w:spacing w:after="0" w:line="240" w:lineRule="auto"/>
              <w:rPr>
                <w:rFonts w:asciiTheme="minorHAnsi" w:hAnsiTheme="minorHAnsi"/>
              </w:rPr>
            </w:pPr>
          </w:p>
          <w:p w:rsidRPr="004F6929" w:rsidR="00F129AD" w:rsidP="00897714" w:rsidRDefault="00F129AD" w14:paraId="44867708" w14:textId="77777777">
            <w:pPr>
              <w:spacing w:after="0" w:line="240" w:lineRule="auto"/>
              <w:rPr>
                <w:rFonts w:asciiTheme="minorHAnsi" w:hAnsiTheme="minorHAnsi"/>
              </w:rPr>
            </w:pPr>
            <w:r w:rsidRPr="004F6929">
              <w:rPr>
                <w:rFonts w:asciiTheme="minorHAnsi" w:hAnsiTheme="minorHAnsi"/>
              </w:rPr>
              <w:t>2</w:t>
            </w:r>
          </w:p>
        </w:tc>
        <w:tc>
          <w:tcPr>
            <w:tcW w:w="1260" w:type="dxa"/>
            <w:tcBorders>
              <w:top w:val="single" w:color="000000" w:sz="6" w:space="0"/>
              <w:left w:val="single" w:color="000000" w:sz="6" w:space="0"/>
              <w:bottom w:val="single" w:color="000000" w:sz="6" w:space="0"/>
              <w:right w:val="single" w:color="000000" w:sz="6" w:space="0"/>
            </w:tcBorders>
            <w:vAlign w:val="bottom"/>
          </w:tcPr>
          <w:p w:rsidRPr="004F6929" w:rsidR="00F129AD" w:rsidP="00897714" w:rsidRDefault="00F129AD" w14:paraId="75913A68"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1600</w:t>
            </w:r>
          </w:p>
        </w:tc>
      </w:tr>
      <w:tr w:rsidRPr="004F6929" w:rsidR="00F129AD" w:rsidTr="00897714" w14:paraId="3090CEC3" w14:textId="77777777">
        <w:tc>
          <w:tcPr>
            <w:tcW w:w="288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7C69444C" w14:textId="77777777">
            <w:pPr>
              <w:spacing w:after="0" w:line="240" w:lineRule="auto"/>
              <w:rPr>
                <w:rFonts w:asciiTheme="minorHAnsi" w:hAnsiTheme="minorHAnsi"/>
                <w:highlight w:val="yellow"/>
              </w:rPr>
            </w:pPr>
          </w:p>
          <w:p w:rsidRPr="004F6929" w:rsidR="00F129AD" w:rsidP="00897714" w:rsidRDefault="00F129AD" w14:paraId="6D6E163C" w14:textId="77777777">
            <w:pPr>
              <w:spacing w:after="0" w:line="240" w:lineRule="auto"/>
              <w:rPr>
                <w:rFonts w:asciiTheme="minorHAnsi" w:hAnsiTheme="minorHAnsi"/>
                <w:highlight w:val="yellow"/>
              </w:rPr>
            </w:pPr>
            <w:r w:rsidRPr="004F6929">
              <w:rPr>
                <w:rFonts w:asciiTheme="minorHAnsi" w:hAnsiTheme="minorHAnsi"/>
              </w:rPr>
              <w:t>In-person Surveys</w:t>
            </w:r>
          </w:p>
        </w:tc>
        <w:tc>
          <w:tcPr>
            <w:tcW w:w="171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3357FB1A" w14:textId="77777777">
            <w:pPr>
              <w:spacing w:after="0" w:line="240" w:lineRule="auto"/>
              <w:rPr>
                <w:rFonts w:asciiTheme="minorHAnsi" w:hAnsiTheme="minorHAnsi"/>
                <w:highlight w:val="yellow"/>
              </w:rPr>
            </w:pPr>
          </w:p>
          <w:p w:rsidRPr="004F6929" w:rsidR="00F129AD" w:rsidP="00897714" w:rsidRDefault="00F129AD" w14:paraId="5148DF4C" w14:textId="77777777">
            <w:pPr>
              <w:spacing w:after="0" w:line="240" w:lineRule="auto"/>
              <w:rPr>
                <w:rFonts w:asciiTheme="minorHAnsi" w:hAnsiTheme="minorHAnsi"/>
                <w:highlight w:val="yellow"/>
              </w:rPr>
            </w:pPr>
            <w:r w:rsidRPr="004F6929">
              <w:rPr>
                <w:rFonts w:asciiTheme="minorHAnsi" w:hAnsiTheme="minorHAnsi"/>
              </w:rPr>
              <w:t>1000</w:t>
            </w:r>
          </w:p>
        </w:tc>
        <w:tc>
          <w:tcPr>
            <w:tcW w:w="171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73AB520E" w14:textId="77777777">
            <w:pPr>
              <w:spacing w:after="0" w:line="240" w:lineRule="auto"/>
              <w:rPr>
                <w:rFonts w:asciiTheme="minorHAnsi" w:hAnsiTheme="minorHAnsi"/>
              </w:rPr>
            </w:pPr>
          </w:p>
          <w:p w:rsidRPr="004F6929" w:rsidR="00F129AD" w:rsidP="00897714" w:rsidRDefault="00F129AD" w14:paraId="0E77CF10" w14:textId="77777777">
            <w:pPr>
              <w:spacing w:after="0" w:line="240" w:lineRule="auto"/>
              <w:rPr>
                <w:rFonts w:asciiTheme="minorHAnsi" w:hAnsiTheme="minorHAnsi"/>
              </w:rPr>
            </w:pPr>
            <w:r w:rsidRPr="004F6929">
              <w:rPr>
                <w:rFonts w:asciiTheme="minorHAnsi" w:hAnsiTheme="minorHAnsi"/>
              </w:rPr>
              <w:t>1</w:t>
            </w:r>
          </w:p>
        </w:tc>
        <w:tc>
          <w:tcPr>
            <w:tcW w:w="180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254F428D" w14:textId="77777777">
            <w:pPr>
              <w:spacing w:after="0" w:line="240" w:lineRule="auto"/>
              <w:rPr>
                <w:rFonts w:asciiTheme="minorHAnsi" w:hAnsiTheme="minorHAnsi"/>
                <w:highlight w:val="yellow"/>
              </w:rPr>
            </w:pPr>
          </w:p>
          <w:p w:rsidRPr="004F6929" w:rsidR="00F129AD" w:rsidP="00897714" w:rsidRDefault="00F129AD" w14:paraId="6CB8D55D" w14:textId="77777777">
            <w:pPr>
              <w:spacing w:after="0" w:line="240" w:lineRule="auto"/>
              <w:rPr>
                <w:rFonts w:asciiTheme="minorHAnsi" w:hAnsiTheme="minorHAnsi"/>
                <w:highlight w:val="yellow"/>
              </w:rPr>
            </w:pPr>
            <w:r w:rsidRPr="004F6929">
              <w:rPr>
                <w:rFonts w:asciiTheme="minorHAnsi" w:hAnsiTheme="minorHAnsi"/>
              </w:rPr>
              <w:t>30/60</w:t>
            </w:r>
          </w:p>
        </w:tc>
        <w:tc>
          <w:tcPr>
            <w:tcW w:w="1260" w:type="dxa"/>
            <w:tcBorders>
              <w:top w:val="single" w:color="000000" w:sz="6" w:space="0"/>
              <w:left w:val="single" w:color="000000" w:sz="6" w:space="0"/>
              <w:bottom w:val="single" w:color="000000" w:sz="6" w:space="0"/>
              <w:right w:val="single" w:color="000000" w:sz="6" w:space="0"/>
            </w:tcBorders>
            <w:vAlign w:val="bottom"/>
          </w:tcPr>
          <w:p w:rsidRPr="004F6929" w:rsidR="00F129AD" w:rsidP="00897714" w:rsidRDefault="00F129AD" w14:paraId="09DE4F31"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500</w:t>
            </w:r>
          </w:p>
        </w:tc>
      </w:tr>
      <w:tr w:rsidRPr="004F6929" w:rsidR="00F129AD" w:rsidTr="00897714" w14:paraId="17E73850" w14:textId="77777777">
        <w:tc>
          <w:tcPr>
            <w:tcW w:w="288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3E58DF03" w14:textId="77777777">
            <w:pPr>
              <w:spacing w:after="0" w:line="240" w:lineRule="auto"/>
              <w:rPr>
                <w:rFonts w:asciiTheme="minorHAnsi" w:hAnsiTheme="minorHAnsi"/>
              </w:rPr>
            </w:pPr>
          </w:p>
          <w:p w:rsidRPr="004F6929" w:rsidR="00F129AD" w:rsidP="00897714" w:rsidRDefault="00F129AD" w14:paraId="72705D90" w14:textId="77777777">
            <w:pPr>
              <w:spacing w:after="0" w:line="240" w:lineRule="auto"/>
              <w:rPr>
                <w:rFonts w:asciiTheme="minorHAnsi" w:hAnsiTheme="minorHAnsi"/>
              </w:rPr>
            </w:pPr>
            <w:r w:rsidRPr="004F6929">
              <w:rPr>
                <w:rFonts w:asciiTheme="minorHAnsi" w:hAnsiTheme="minorHAnsi"/>
              </w:rPr>
              <w:t>Usability testing</w:t>
            </w:r>
          </w:p>
        </w:tc>
        <w:tc>
          <w:tcPr>
            <w:tcW w:w="171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5BC25798" w14:textId="77777777">
            <w:pPr>
              <w:spacing w:after="0" w:line="240" w:lineRule="auto"/>
              <w:rPr>
                <w:rFonts w:asciiTheme="minorHAnsi" w:hAnsiTheme="minorHAnsi"/>
              </w:rPr>
            </w:pPr>
          </w:p>
          <w:p w:rsidRPr="004F6929" w:rsidR="00F129AD" w:rsidP="00897714" w:rsidRDefault="00F129AD" w14:paraId="49A74CD7" w14:textId="77777777">
            <w:pPr>
              <w:spacing w:after="0" w:line="240" w:lineRule="auto"/>
              <w:rPr>
                <w:rFonts w:asciiTheme="minorHAnsi" w:hAnsiTheme="minorHAnsi"/>
              </w:rPr>
            </w:pPr>
            <w:r w:rsidRPr="004F6929">
              <w:rPr>
                <w:rFonts w:asciiTheme="minorHAnsi" w:hAnsiTheme="minorHAnsi"/>
              </w:rPr>
              <w:t>1500</w:t>
            </w:r>
          </w:p>
        </w:tc>
        <w:tc>
          <w:tcPr>
            <w:tcW w:w="171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323BC027" w14:textId="77777777">
            <w:pPr>
              <w:spacing w:after="0" w:line="240" w:lineRule="auto"/>
              <w:rPr>
                <w:rFonts w:asciiTheme="minorHAnsi" w:hAnsiTheme="minorHAnsi"/>
              </w:rPr>
            </w:pPr>
          </w:p>
          <w:p w:rsidRPr="004F6929" w:rsidR="00F129AD" w:rsidP="00897714" w:rsidRDefault="00F129AD" w14:paraId="39476F29" w14:textId="77777777">
            <w:pPr>
              <w:spacing w:after="0" w:line="240" w:lineRule="auto"/>
              <w:rPr>
                <w:rFonts w:asciiTheme="minorHAnsi" w:hAnsiTheme="minorHAnsi"/>
              </w:rPr>
            </w:pPr>
            <w:r w:rsidRPr="004F6929">
              <w:rPr>
                <w:rFonts w:asciiTheme="minorHAnsi" w:hAnsiTheme="minorHAnsi"/>
              </w:rPr>
              <w:t>1</w:t>
            </w:r>
          </w:p>
        </w:tc>
        <w:tc>
          <w:tcPr>
            <w:tcW w:w="180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04804D51" w14:textId="77777777">
            <w:pPr>
              <w:spacing w:after="0" w:line="240" w:lineRule="auto"/>
              <w:rPr>
                <w:rFonts w:asciiTheme="minorHAnsi" w:hAnsiTheme="minorHAnsi"/>
              </w:rPr>
            </w:pPr>
          </w:p>
          <w:p w:rsidRPr="004F6929" w:rsidR="00F129AD" w:rsidP="00897714" w:rsidRDefault="00F129AD" w14:paraId="4922D299" w14:textId="77777777">
            <w:pPr>
              <w:spacing w:after="0" w:line="240" w:lineRule="auto"/>
              <w:rPr>
                <w:rFonts w:asciiTheme="minorHAnsi" w:hAnsiTheme="minorHAnsi"/>
              </w:rPr>
            </w:pPr>
            <w:r w:rsidRPr="004F6929">
              <w:rPr>
                <w:rFonts w:asciiTheme="minorHAnsi" w:hAnsiTheme="minorHAnsi"/>
              </w:rPr>
              <w:t>30/60</w:t>
            </w:r>
          </w:p>
        </w:tc>
        <w:tc>
          <w:tcPr>
            <w:tcW w:w="1260" w:type="dxa"/>
            <w:tcBorders>
              <w:top w:val="single" w:color="000000" w:sz="6" w:space="0"/>
              <w:left w:val="single" w:color="000000" w:sz="6" w:space="0"/>
              <w:bottom w:val="single" w:color="000000" w:sz="6" w:space="0"/>
              <w:right w:val="single" w:color="000000" w:sz="6" w:space="0"/>
            </w:tcBorders>
            <w:vAlign w:val="bottom"/>
          </w:tcPr>
          <w:p w:rsidRPr="004F6929" w:rsidR="00F129AD" w:rsidP="00897714" w:rsidRDefault="00F129AD" w14:paraId="57F61DEF"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750</w:t>
            </w:r>
          </w:p>
        </w:tc>
      </w:tr>
      <w:tr w:rsidRPr="004F6929" w:rsidR="00F129AD" w:rsidTr="00897714" w14:paraId="2E6E3BE0" w14:textId="77777777">
        <w:tc>
          <w:tcPr>
            <w:tcW w:w="288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1C680A6A" w14:textId="77777777">
            <w:pPr>
              <w:spacing w:after="0" w:line="240" w:lineRule="auto"/>
              <w:rPr>
                <w:rFonts w:asciiTheme="minorHAnsi" w:hAnsiTheme="minorHAnsi"/>
              </w:rPr>
            </w:pPr>
          </w:p>
          <w:p w:rsidRPr="004F6929" w:rsidR="00F129AD" w:rsidP="00897714" w:rsidRDefault="00F129AD" w14:paraId="5E644492" w14:textId="77777777">
            <w:pPr>
              <w:spacing w:after="0" w:line="240" w:lineRule="auto"/>
              <w:rPr>
                <w:rFonts w:asciiTheme="minorHAnsi" w:hAnsiTheme="minorHAnsi"/>
              </w:rPr>
            </w:pPr>
            <w:r w:rsidRPr="004F6929">
              <w:rPr>
                <w:rFonts w:asciiTheme="minorHAnsi" w:hAnsiTheme="minorHAnsi"/>
              </w:rPr>
              <w:t>Customer comment cards</w:t>
            </w:r>
          </w:p>
        </w:tc>
        <w:tc>
          <w:tcPr>
            <w:tcW w:w="171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47A77A7E" w14:textId="77777777">
            <w:pPr>
              <w:spacing w:after="0" w:line="240" w:lineRule="auto"/>
              <w:rPr>
                <w:rFonts w:asciiTheme="minorHAnsi" w:hAnsiTheme="minorHAnsi"/>
              </w:rPr>
            </w:pPr>
          </w:p>
          <w:p w:rsidRPr="004F6929" w:rsidR="00F129AD" w:rsidP="00897714" w:rsidRDefault="00F129AD" w14:paraId="7F130B5C" w14:textId="77777777">
            <w:pPr>
              <w:spacing w:after="0" w:line="240" w:lineRule="auto"/>
              <w:rPr>
                <w:rFonts w:asciiTheme="minorHAnsi" w:hAnsiTheme="minorHAnsi"/>
              </w:rPr>
            </w:pPr>
            <w:r w:rsidRPr="004F6929">
              <w:rPr>
                <w:rFonts w:asciiTheme="minorHAnsi" w:hAnsiTheme="minorHAnsi"/>
              </w:rPr>
              <w:t>1000</w:t>
            </w:r>
          </w:p>
        </w:tc>
        <w:tc>
          <w:tcPr>
            <w:tcW w:w="171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18A7D597" w14:textId="77777777">
            <w:pPr>
              <w:spacing w:after="0" w:line="240" w:lineRule="auto"/>
              <w:rPr>
                <w:rFonts w:asciiTheme="minorHAnsi" w:hAnsiTheme="minorHAnsi"/>
              </w:rPr>
            </w:pPr>
          </w:p>
          <w:p w:rsidRPr="004F6929" w:rsidR="00F129AD" w:rsidP="00897714" w:rsidRDefault="00F129AD" w14:paraId="79B9BD6C" w14:textId="77777777">
            <w:pPr>
              <w:spacing w:after="0" w:line="240" w:lineRule="auto"/>
              <w:rPr>
                <w:rFonts w:asciiTheme="minorHAnsi" w:hAnsiTheme="minorHAnsi"/>
              </w:rPr>
            </w:pPr>
            <w:r w:rsidRPr="004F6929">
              <w:rPr>
                <w:rFonts w:asciiTheme="minorHAnsi" w:hAnsiTheme="minorHAnsi"/>
              </w:rPr>
              <w:t>1</w:t>
            </w:r>
          </w:p>
        </w:tc>
        <w:tc>
          <w:tcPr>
            <w:tcW w:w="1800" w:type="dxa"/>
            <w:tcBorders>
              <w:top w:val="single" w:color="000000" w:sz="6" w:space="0"/>
              <w:left w:val="single" w:color="000000" w:sz="6" w:space="0"/>
              <w:bottom w:val="single" w:color="000000" w:sz="6" w:space="0"/>
              <w:right w:val="single" w:color="FFFFFF" w:sz="6" w:space="0"/>
            </w:tcBorders>
          </w:tcPr>
          <w:p w:rsidRPr="004F6929" w:rsidR="00F129AD" w:rsidP="00897714" w:rsidRDefault="00F129AD" w14:paraId="65A4C195" w14:textId="77777777">
            <w:pPr>
              <w:spacing w:after="0" w:line="240" w:lineRule="auto"/>
              <w:rPr>
                <w:rFonts w:asciiTheme="minorHAnsi" w:hAnsiTheme="minorHAnsi"/>
              </w:rPr>
            </w:pPr>
          </w:p>
          <w:p w:rsidRPr="004F6929" w:rsidR="00F129AD" w:rsidP="00897714" w:rsidRDefault="00F129AD" w14:paraId="7CA359F3" w14:textId="77777777">
            <w:pPr>
              <w:spacing w:after="0" w:line="240" w:lineRule="auto"/>
              <w:rPr>
                <w:rFonts w:asciiTheme="minorHAnsi" w:hAnsiTheme="minorHAnsi"/>
              </w:rPr>
            </w:pPr>
            <w:r w:rsidRPr="004F6929">
              <w:rPr>
                <w:rFonts w:asciiTheme="minorHAnsi" w:hAnsiTheme="minorHAnsi"/>
              </w:rPr>
              <w:t>15/60</w:t>
            </w:r>
          </w:p>
        </w:tc>
        <w:tc>
          <w:tcPr>
            <w:tcW w:w="1260" w:type="dxa"/>
            <w:tcBorders>
              <w:top w:val="single" w:color="000000" w:sz="6" w:space="0"/>
              <w:left w:val="single" w:color="000000" w:sz="6" w:space="0"/>
              <w:bottom w:val="single" w:color="000000" w:sz="6" w:space="0"/>
              <w:right w:val="single" w:color="000000" w:sz="6" w:space="0"/>
            </w:tcBorders>
            <w:vAlign w:val="bottom"/>
          </w:tcPr>
          <w:p w:rsidRPr="004F6929" w:rsidR="00F129AD" w:rsidP="00897714" w:rsidRDefault="00F129AD" w14:paraId="21BEC3E7"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250</w:t>
            </w:r>
          </w:p>
        </w:tc>
      </w:tr>
    </w:tbl>
    <w:p w:rsidRPr="004F6929" w:rsidR="00F129AD" w:rsidP="00F129AD" w:rsidRDefault="00F129AD" w14:paraId="55FBDABD" w14:textId="77777777">
      <w:pPr>
        <w:tabs>
          <w:tab w:val="left" w:pos="-1080"/>
          <w:tab w:val="left" w:pos="-720"/>
          <w:tab w:val="left" w:pos="0"/>
          <w:tab w:val="left" w:pos="450"/>
          <w:tab w:val="left" w:pos="720"/>
          <w:tab w:val="left" w:pos="2160"/>
        </w:tabs>
        <w:spacing w:after="0" w:line="240" w:lineRule="auto"/>
        <w:rPr>
          <w:rFonts w:asciiTheme="minorHAnsi" w:hAnsiTheme="minorHAnsi"/>
        </w:rPr>
      </w:pPr>
    </w:p>
    <w:p w:rsidR="00F129AD" w:rsidP="00F129AD" w:rsidRDefault="00FB70D3" w14:paraId="3A0360BF" w14:textId="0869B52B">
      <w:pPr>
        <w:tabs>
          <w:tab w:val="left" w:pos="-1080"/>
          <w:tab w:val="left" w:pos="-720"/>
          <w:tab w:val="left" w:pos="0"/>
          <w:tab w:val="left" w:pos="450"/>
          <w:tab w:val="left" w:pos="720"/>
          <w:tab w:val="left" w:pos="2160"/>
        </w:tabs>
        <w:spacing w:after="0" w:line="240" w:lineRule="auto"/>
        <w:rPr>
          <w:rFonts w:asciiTheme="minorHAnsi" w:hAnsiTheme="minorHAnsi"/>
        </w:rPr>
      </w:pPr>
      <w:r>
        <w:rPr>
          <w:rFonts w:asciiTheme="minorHAnsi" w:hAnsiTheme="minorHAnsi"/>
        </w:rPr>
        <w:t>Estimated annualized burden costs are described in the following table:</w:t>
      </w:r>
    </w:p>
    <w:p w:rsidR="00FB70D3" w:rsidP="00F129AD" w:rsidRDefault="00FB70D3" w14:paraId="5A57D5D6" w14:textId="4A5BC47D">
      <w:pPr>
        <w:tabs>
          <w:tab w:val="left" w:pos="-1080"/>
          <w:tab w:val="left" w:pos="-720"/>
          <w:tab w:val="left" w:pos="0"/>
          <w:tab w:val="left" w:pos="450"/>
          <w:tab w:val="left" w:pos="720"/>
          <w:tab w:val="left" w:pos="2160"/>
        </w:tabs>
        <w:spacing w:after="0" w:line="240" w:lineRule="auto"/>
        <w:rPr>
          <w:rFonts w:asciiTheme="minorHAnsi" w:hAnsiTheme="minorHAnsi"/>
        </w:rPr>
      </w:pPr>
    </w:p>
    <w:tbl>
      <w:tblPr>
        <w:tblW w:w="0" w:type="auto"/>
        <w:tblLayout w:type="fixed"/>
        <w:tblCellMar>
          <w:left w:w="102" w:type="dxa"/>
          <w:right w:w="102" w:type="dxa"/>
        </w:tblCellMar>
        <w:tblLook w:val="0000" w:firstRow="0" w:lastRow="0" w:firstColumn="0" w:lastColumn="0" w:noHBand="0" w:noVBand="0"/>
      </w:tblPr>
      <w:tblGrid>
        <w:gridCol w:w="2880"/>
        <w:gridCol w:w="2164"/>
        <w:gridCol w:w="2164"/>
        <w:gridCol w:w="2164"/>
      </w:tblGrid>
      <w:tr w:rsidRPr="004F6929" w:rsidR="00FB70D3" w:rsidTr="00FB70D3" w14:paraId="29AB780B" w14:textId="77777777">
        <w:trPr>
          <w:trHeight w:val="570"/>
        </w:trPr>
        <w:tc>
          <w:tcPr>
            <w:tcW w:w="2880" w:type="dxa"/>
            <w:tcBorders>
              <w:top w:val="single" w:color="000000" w:sz="6" w:space="0"/>
              <w:left w:val="single" w:color="000000" w:sz="6" w:space="0"/>
              <w:bottom w:val="single" w:color="FFFFFF" w:sz="6" w:space="0"/>
              <w:right w:val="single" w:color="FFFFFF" w:sz="6" w:space="0"/>
            </w:tcBorders>
          </w:tcPr>
          <w:p w:rsidRPr="004F6929" w:rsidR="00FB70D3" w:rsidP="00D90309" w:rsidRDefault="00FB70D3" w14:paraId="6BC4EBFB" w14:textId="77777777">
            <w:pPr>
              <w:spacing w:after="0" w:line="240" w:lineRule="auto"/>
              <w:rPr>
                <w:rFonts w:asciiTheme="minorHAnsi" w:hAnsiTheme="minorHAnsi"/>
              </w:rPr>
            </w:pPr>
          </w:p>
          <w:p w:rsidRPr="004F6929" w:rsidR="00FB70D3" w:rsidP="00D90309" w:rsidRDefault="00FB70D3" w14:paraId="7C9DFAE2" w14:textId="77777777">
            <w:pPr>
              <w:tabs>
                <w:tab w:val="left" w:pos="-1080"/>
                <w:tab w:val="left" w:pos="-720"/>
                <w:tab w:val="left" w:pos="0"/>
                <w:tab w:val="left" w:pos="450"/>
                <w:tab w:val="left" w:pos="720"/>
                <w:tab w:val="left" w:pos="2160"/>
              </w:tabs>
              <w:spacing w:after="0" w:line="240" w:lineRule="auto"/>
              <w:jc w:val="center"/>
              <w:rPr>
                <w:rFonts w:asciiTheme="minorHAnsi" w:hAnsiTheme="minorHAnsi"/>
              </w:rPr>
            </w:pPr>
            <w:r w:rsidRPr="004F6929">
              <w:rPr>
                <w:rFonts w:asciiTheme="minorHAnsi" w:hAnsiTheme="minorHAnsi"/>
              </w:rPr>
              <w:t>Type of Collection</w:t>
            </w:r>
          </w:p>
        </w:tc>
        <w:tc>
          <w:tcPr>
            <w:tcW w:w="2164" w:type="dxa"/>
            <w:tcBorders>
              <w:top w:val="single" w:color="000000" w:sz="6" w:space="0"/>
              <w:left w:val="single" w:color="000000" w:sz="6" w:space="0"/>
              <w:bottom w:val="single" w:color="FFFFFF" w:sz="6" w:space="0"/>
              <w:right w:val="single" w:color="FFFFFF" w:sz="6" w:space="0"/>
            </w:tcBorders>
            <w:vAlign w:val="center"/>
          </w:tcPr>
          <w:p w:rsidRPr="004F6929" w:rsidR="00FB70D3" w:rsidP="00FB70D3" w:rsidRDefault="00FB70D3" w14:paraId="709467BC" w14:textId="2219AA6E">
            <w:pPr>
              <w:tabs>
                <w:tab w:val="left" w:pos="-1080"/>
                <w:tab w:val="left" w:pos="-720"/>
                <w:tab w:val="left" w:pos="0"/>
                <w:tab w:val="left" w:pos="450"/>
                <w:tab w:val="left" w:pos="720"/>
                <w:tab w:val="left" w:pos="2160"/>
              </w:tabs>
              <w:spacing w:after="0" w:line="240" w:lineRule="auto"/>
              <w:jc w:val="center"/>
              <w:rPr>
                <w:rFonts w:asciiTheme="minorHAnsi" w:hAnsiTheme="minorHAnsi"/>
              </w:rPr>
            </w:pPr>
            <w:r>
              <w:rPr>
                <w:rFonts w:asciiTheme="minorHAnsi" w:hAnsiTheme="minorHAnsi"/>
              </w:rPr>
              <w:t>Total Burden Hours</w:t>
            </w:r>
          </w:p>
        </w:tc>
        <w:tc>
          <w:tcPr>
            <w:tcW w:w="2164" w:type="dxa"/>
            <w:tcBorders>
              <w:top w:val="single" w:color="000000" w:sz="6" w:space="0"/>
              <w:left w:val="single" w:color="000000" w:sz="6" w:space="0"/>
              <w:bottom w:val="single" w:color="FFFFFF" w:sz="6" w:space="0"/>
              <w:right w:val="single" w:color="auto" w:sz="4" w:space="0"/>
            </w:tcBorders>
            <w:vAlign w:val="center"/>
          </w:tcPr>
          <w:p w:rsidRPr="004F6929" w:rsidR="00FB70D3" w:rsidP="00FB70D3" w:rsidRDefault="00FB70D3" w14:paraId="60BD1762" w14:textId="717E5D1A">
            <w:pPr>
              <w:tabs>
                <w:tab w:val="left" w:pos="-1080"/>
                <w:tab w:val="left" w:pos="-720"/>
                <w:tab w:val="left" w:pos="0"/>
                <w:tab w:val="left" w:pos="450"/>
                <w:tab w:val="left" w:pos="720"/>
                <w:tab w:val="left" w:pos="2160"/>
              </w:tabs>
              <w:spacing w:after="0" w:line="240" w:lineRule="auto"/>
              <w:jc w:val="center"/>
              <w:rPr>
                <w:rFonts w:asciiTheme="minorHAnsi" w:hAnsiTheme="minorHAnsi"/>
              </w:rPr>
            </w:pPr>
            <w:r>
              <w:rPr>
                <w:rFonts w:asciiTheme="minorHAnsi" w:hAnsiTheme="minorHAnsi"/>
              </w:rPr>
              <w:t>Hourly Wage Rate</w:t>
            </w:r>
            <w:r w:rsidR="00F35F74">
              <w:rPr>
                <w:rStyle w:val="FootnoteReference"/>
                <w:rFonts w:asciiTheme="minorHAnsi" w:hAnsiTheme="minorHAnsi"/>
              </w:rPr>
              <w:footnoteReference w:id="2"/>
            </w:r>
          </w:p>
        </w:tc>
        <w:tc>
          <w:tcPr>
            <w:tcW w:w="2164" w:type="dxa"/>
            <w:tcBorders>
              <w:top w:val="single" w:color="auto" w:sz="4" w:space="0"/>
              <w:left w:val="single" w:color="auto" w:sz="4" w:space="0"/>
              <w:bottom w:val="single" w:color="auto" w:sz="4" w:space="0"/>
              <w:right w:val="single" w:color="auto" w:sz="4" w:space="0"/>
            </w:tcBorders>
          </w:tcPr>
          <w:p w:rsidRPr="004F6929" w:rsidR="00FB70D3" w:rsidP="00D90309" w:rsidRDefault="00FB70D3" w14:paraId="45B508E2" w14:textId="5AAE5B1E">
            <w:pPr>
              <w:tabs>
                <w:tab w:val="left" w:pos="-1080"/>
                <w:tab w:val="left" w:pos="-720"/>
                <w:tab w:val="left" w:pos="0"/>
                <w:tab w:val="left" w:pos="450"/>
                <w:tab w:val="left" w:pos="720"/>
                <w:tab w:val="left" w:pos="2160"/>
              </w:tabs>
              <w:spacing w:after="0" w:line="240" w:lineRule="auto"/>
              <w:jc w:val="center"/>
              <w:rPr>
                <w:rFonts w:asciiTheme="minorHAnsi" w:hAnsiTheme="minorHAnsi"/>
              </w:rPr>
            </w:pPr>
            <w:r>
              <w:rPr>
                <w:rFonts w:asciiTheme="minorHAnsi" w:hAnsiTheme="minorHAnsi"/>
              </w:rPr>
              <w:t>Total Respondent Costs</w:t>
            </w:r>
          </w:p>
        </w:tc>
      </w:tr>
      <w:tr w:rsidRPr="004F6929" w:rsidR="00FB70D3" w:rsidTr="00FB70D3" w14:paraId="721244E1" w14:textId="77777777">
        <w:tc>
          <w:tcPr>
            <w:tcW w:w="2880" w:type="dxa"/>
            <w:tcBorders>
              <w:top w:val="single" w:color="000000" w:sz="6" w:space="0"/>
              <w:left w:val="single" w:color="000000" w:sz="6" w:space="0"/>
              <w:bottom w:val="single" w:color="000000" w:sz="6" w:space="0"/>
              <w:right w:val="single" w:color="FFFFFF" w:sz="6" w:space="0"/>
            </w:tcBorders>
          </w:tcPr>
          <w:p w:rsidRPr="004F6929" w:rsidR="00FB70D3" w:rsidP="00FB70D3" w:rsidRDefault="00FB70D3" w14:paraId="322906E7" w14:textId="77777777">
            <w:pPr>
              <w:spacing w:after="0" w:line="240" w:lineRule="auto"/>
              <w:rPr>
                <w:rFonts w:asciiTheme="minorHAnsi" w:hAnsiTheme="minorHAnsi"/>
              </w:rPr>
            </w:pPr>
          </w:p>
          <w:p w:rsidRPr="004F6929" w:rsidR="00FB70D3" w:rsidP="00FB70D3" w:rsidRDefault="00FB70D3" w14:paraId="6AFA9BA4" w14:textId="77777777">
            <w:pPr>
              <w:tabs>
                <w:tab w:val="left" w:pos="-1080"/>
                <w:tab w:val="left" w:pos="-720"/>
                <w:tab w:val="left" w:pos="0"/>
                <w:tab w:val="left" w:pos="450"/>
                <w:tab w:val="left" w:pos="720"/>
                <w:tab w:val="left" w:pos="2160"/>
              </w:tabs>
              <w:spacing w:after="0" w:line="240" w:lineRule="auto"/>
              <w:rPr>
                <w:rFonts w:asciiTheme="minorHAnsi" w:hAnsiTheme="minorHAnsi"/>
              </w:rPr>
            </w:pPr>
            <w:r w:rsidRPr="004F6929">
              <w:rPr>
                <w:rFonts w:asciiTheme="minorHAnsi" w:hAnsiTheme="minorHAnsi"/>
              </w:rPr>
              <w:t>Online Surveys</w:t>
            </w:r>
          </w:p>
        </w:tc>
        <w:tc>
          <w:tcPr>
            <w:tcW w:w="2164" w:type="dxa"/>
            <w:tcBorders>
              <w:top w:val="single" w:color="000000" w:sz="6" w:space="0"/>
              <w:left w:val="single" w:color="000000" w:sz="6" w:space="0"/>
              <w:bottom w:val="single" w:color="000000" w:sz="6" w:space="0"/>
              <w:right w:val="single" w:color="FFFFFF" w:sz="6" w:space="0"/>
            </w:tcBorders>
            <w:vAlign w:val="bottom"/>
          </w:tcPr>
          <w:p w:rsidRPr="004F6929" w:rsidR="00FB70D3" w:rsidP="00FB70D3" w:rsidRDefault="00FB70D3" w14:paraId="2F9D1508" w14:textId="4AB7EA98">
            <w:pPr>
              <w:tabs>
                <w:tab w:val="left" w:pos="-1080"/>
                <w:tab w:val="left" w:pos="-720"/>
                <w:tab w:val="left" w:pos="0"/>
                <w:tab w:val="left" w:pos="450"/>
                <w:tab w:val="left" w:pos="720"/>
                <w:tab w:val="left" w:pos="2160"/>
              </w:tabs>
              <w:spacing w:after="0" w:line="240" w:lineRule="auto"/>
              <w:rPr>
                <w:rFonts w:asciiTheme="minorHAnsi" w:hAnsiTheme="minorHAnsi"/>
              </w:rPr>
            </w:pPr>
            <w:r w:rsidRPr="004F6929">
              <w:rPr>
                <w:rFonts w:asciiTheme="minorHAnsi" w:hAnsiTheme="minorHAnsi"/>
              </w:rPr>
              <w:t>750</w:t>
            </w:r>
          </w:p>
        </w:tc>
        <w:tc>
          <w:tcPr>
            <w:tcW w:w="2164" w:type="dxa"/>
            <w:tcBorders>
              <w:top w:val="single" w:color="000000" w:sz="6" w:space="0"/>
              <w:left w:val="single" w:color="000000" w:sz="6" w:space="0"/>
              <w:bottom w:val="single" w:color="000000" w:sz="6" w:space="0"/>
              <w:right w:val="single" w:color="auto" w:sz="4" w:space="0"/>
            </w:tcBorders>
            <w:vAlign w:val="bottom"/>
          </w:tcPr>
          <w:p w:rsidRPr="00FB70D3" w:rsidR="00FB70D3" w:rsidP="00FB70D3" w:rsidRDefault="00FB70D3" w14:paraId="383C9CE3" w14:textId="77777777">
            <w:pPr>
              <w:spacing w:after="0" w:line="240" w:lineRule="auto"/>
              <w:rPr>
                <w:rFonts w:asciiTheme="minorHAnsi" w:hAnsiTheme="minorHAnsi"/>
              </w:rPr>
            </w:pPr>
          </w:p>
          <w:p w:rsidRPr="00FB70D3" w:rsidR="00FB70D3" w:rsidP="00FB70D3" w:rsidRDefault="00FB70D3" w14:paraId="085B8729" w14:textId="65DDC302">
            <w:pPr>
              <w:tabs>
                <w:tab w:val="left" w:pos="-1080"/>
                <w:tab w:val="left" w:pos="-720"/>
                <w:tab w:val="left" w:pos="0"/>
                <w:tab w:val="left" w:pos="450"/>
                <w:tab w:val="left" w:pos="720"/>
                <w:tab w:val="left" w:pos="2160"/>
              </w:tabs>
              <w:spacing w:after="0" w:line="240" w:lineRule="auto"/>
              <w:rPr>
                <w:rFonts w:asciiTheme="minorHAnsi" w:hAnsiTheme="minorHAnsi"/>
              </w:rPr>
            </w:pPr>
            <w:r w:rsidRPr="00FB70D3">
              <w:rPr>
                <w:rFonts w:asciiTheme="minorHAnsi" w:hAnsiTheme="minorHAnsi"/>
              </w:rPr>
              <w:t>$23.86</w:t>
            </w:r>
          </w:p>
        </w:tc>
        <w:tc>
          <w:tcPr>
            <w:tcW w:w="2164" w:type="dxa"/>
            <w:tcBorders>
              <w:top w:val="single" w:color="auto" w:sz="4" w:space="0"/>
              <w:left w:val="single" w:color="auto" w:sz="4" w:space="0"/>
              <w:bottom w:val="single" w:color="auto" w:sz="4" w:space="0"/>
              <w:right w:val="single" w:color="auto" w:sz="4" w:space="0"/>
            </w:tcBorders>
            <w:vAlign w:val="bottom"/>
          </w:tcPr>
          <w:p w:rsidRPr="00FB70D3" w:rsidR="00FB70D3" w:rsidP="00FB70D3" w:rsidRDefault="00FB70D3" w14:paraId="19745AB6" w14:textId="79F69EDA">
            <w:pPr>
              <w:tabs>
                <w:tab w:val="left" w:pos="-1080"/>
                <w:tab w:val="left" w:pos="-720"/>
                <w:tab w:val="left" w:pos="0"/>
                <w:tab w:val="left" w:pos="450"/>
                <w:tab w:val="left" w:pos="720"/>
                <w:tab w:val="left" w:pos="2160"/>
              </w:tabs>
              <w:spacing w:after="0" w:line="240" w:lineRule="auto"/>
              <w:rPr>
                <w:rFonts w:asciiTheme="minorHAnsi" w:hAnsiTheme="minorHAnsi"/>
              </w:rPr>
            </w:pPr>
            <w:r w:rsidRPr="00FB70D3">
              <w:rPr>
                <w:rFonts w:asciiTheme="minorHAnsi" w:hAnsiTheme="minorHAnsi"/>
              </w:rPr>
              <w:t>$17,895</w:t>
            </w:r>
          </w:p>
        </w:tc>
      </w:tr>
      <w:tr w:rsidRPr="004F6929" w:rsidR="00FB70D3" w:rsidTr="00FB70D3" w14:paraId="2468D9F6" w14:textId="77777777">
        <w:tc>
          <w:tcPr>
            <w:tcW w:w="2880" w:type="dxa"/>
            <w:tcBorders>
              <w:top w:val="single" w:color="000000" w:sz="6" w:space="0"/>
              <w:left w:val="single" w:color="000000" w:sz="6" w:space="0"/>
              <w:bottom w:val="single" w:color="000000" w:sz="6" w:space="0"/>
              <w:right w:val="single" w:color="FFFFFF" w:sz="6" w:space="0"/>
            </w:tcBorders>
          </w:tcPr>
          <w:p w:rsidRPr="004F6929" w:rsidR="00FB70D3" w:rsidP="00FB70D3" w:rsidRDefault="00FB70D3" w14:paraId="41E94D25" w14:textId="77777777">
            <w:pPr>
              <w:spacing w:after="0" w:line="240" w:lineRule="auto"/>
              <w:rPr>
                <w:rFonts w:asciiTheme="minorHAnsi" w:hAnsiTheme="minorHAnsi"/>
                <w:highlight w:val="yellow"/>
              </w:rPr>
            </w:pPr>
          </w:p>
          <w:p w:rsidRPr="004F6929" w:rsidR="00FB70D3" w:rsidP="00FB70D3" w:rsidRDefault="00FB70D3" w14:paraId="2E416361" w14:textId="77777777">
            <w:pPr>
              <w:spacing w:after="0" w:line="240" w:lineRule="auto"/>
              <w:rPr>
                <w:rFonts w:asciiTheme="minorHAnsi" w:hAnsiTheme="minorHAnsi"/>
                <w:highlight w:val="yellow"/>
              </w:rPr>
            </w:pPr>
            <w:r w:rsidRPr="004F6929">
              <w:rPr>
                <w:rFonts w:asciiTheme="minorHAnsi" w:hAnsiTheme="minorHAnsi"/>
              </w:rPr>
              <w:t>Focus Groups</w:t>
            </w:r>
          </w:p>
        </w:tc>
        <w:tc>
          <w:tcPr>
            <w:tcW w:w="2164" w:type="dxa"/>
            <w:tcBorders>
              <w:top w:val="single" w:color="000000" w:sz="6" w:space="0"/>
              <w:left w:val="single" w:color="000000" w:sz="6" w:space="0"/>
              <w:bottom w:val="single" w:color="000000" w:sz="6" w:space="0"/>
              <w:right w:val="single" w:color="FFFFFF" w:sz="6" w:space="0"/>
            </w:tcBorders>
            <w:vAlign w:val="bottom"/>
          </w:tcPr>
          <w:p w:rsidRPr="004F6929" w:rsidR="00FB70D3" w:rsidP="00FB70D3" w:rsidRDefault="00FB70D3" w14:paraId="742EDBF8" w14:textId="46C7C260">
            <w:pPr>
              <w:spacing w:after="0" w:line="240" w:lineRule="auto"/>
              <w:rPr>
                <w:rFonts w:asciiTheme="minorHAnsi" w:hAnsiTheme="minorHAnsi"/>
              </w:rPr>
            </w:pPr>
            <w:r w:rsidRPr="004F6929">
              <w:rPr>
                <w:rFonts w:asciiTheme="minorHAnsi" w:hAnsiTheme="minorHAnsi"/>
              </w:rPr>
              <w:t>1600</w:t>
            </w:r>
          </w:p>
        </w:tc>
        <w:tc>
          <w:tcPr>
            <w:tcW w:w="2164" w:type="dxa"/>
            <w:tcBorders>
              <w:top w:val="single" w:color="000000" w:sz="6" w:space="0"/>
              <w:left w:val="single" w:color="000000" w:sz="6" w:space="0"/>
              <w:bottom w:val="single" w:color="000000" w:sz="6" w:space="0"/>
              <w:right w:val="single" w:color="auto" w:sz="4" w:space="0"/>
            </w:tcBorders>
            <w:vAlign w:val="bottom"/>
          </w:tcPr>
          <w:p w:rsidRPr="00FB70D3" w:rsidR="00FB70D3" w:rsidP="00FB70D3" w:rsidRDefault="00FB70D3" w14:paraId="2BBC7787" w14:textId="77777777">
            <w:pPr>
              <w:spacing w:after="0" w:line="240" w:lineRule="auto"/>
              <w:rPr>
                <w:rFonts w:asciiTheme="minorHAnsi" w:hAnsiTheme="minorHAnsi"/>
              </w:rPr>
            </w:pPr>
          </w:p>
          <w:p w:rsidRPr="00FB70D3" w:rsidR="00FB70D3" w:rsidP="00FB70D3" w:rsidRDefault="00FB70D3" w14:paraId="205A7493" w14:textId="7842405E">
            <w:pPr>
              <w:spacing w:after="0" w:line="240" w:lineRule="auto"/>
              <w:rPr>
                <w:rFonts w:asciiTheme="minorHAnsi" w:hAnsiTheme="minorHAnsi"/>
              </w:rPr>
            </w:pPr>
            <w:r w:rsidRPr="00FB70D3">
              <w:rPr>
                <w:rFonts w:asciiTheme="minorHAnsi" w:hAnsiTheme="minorHAnsi"/>
              </w:rPr>
              <w:t>$23.86</w:t>
            </w:r>
          </w:p>
        </w:tc>
        <w:tc>
          <w:tcPr>
            <w:tcW w:w="2164" w:type="dxa"/>
            <w:tcBorders>
              <w:top w:val="single" w:color="auto" w:sz="4" w:space="0"/>
              <w:left w:val="single" w:color="auto" w:sz="4" w:space="0"/>
              <w:bottom w:val="single" w:color="auto" w:sz="4" w:space="0"/>
              <w:right w:val="single" w:color="auto" w:sz="4" w:space="0"/>
            </w:tcBorders>
            <w:vAlign w:val="bottom"/>
          </w:tcPr>
          <w:p w:rsidRPr="00FB70D3" w:rsidR="00FB70D3" w:rsidP="00FB70D3" w:rsidRDefault="00FB70D3" w14:paraId="59BAC7C7" w14:textId="74337B5D">
            <w:pPr>
              <w:spacing w:after="0" w:line="240" w:lineRule="auto"/>
              <w:rPr>
                <w:rFonts w:asciiTheme="minorHAnsi" w:hAnsiTheme="minorHAnsi"/>
              </w:rPr>
            </w:pPr>
            <w:r w:rsidRPr="00FB70D3">
              <w:rPr>
                <w:rFonts w:asciiTheme="minorHAnsi" w:hAnsiTheme="minorHAnsi"/>
              </w:rPr>
              <w:t>$38,176</w:t>
            </w:r>
          </w:p>
        </w:tc>
      </w:tr>
      <w:tr w:rsidRPr="004F6929" w:rsidR="00FB70D3" w:rsidTr="00FB70D3" w14:paraId="53BFC464" w14:textId="77777777">
        <w:tc>
          <w:tcPr>
            <w:tcW w:w="2880" w:type="dxa"/>
            <w:tcBorders>
              <w:top w:val="single" w:color="000000" w:sz="6" w:space="0"/>
              <w:left w:val="single" w:color="000000" w:sz="6" w:space="0"/>
              <w:bottom w:val="single" w:color="000000" w:sz="6" w:space="0"/>
              <w:right w:val="single" w:color="FFFFFF" w:sz="6" w:space="0"/>
            </w:tcBorders>
          </w:tcPr>
          <w:p w:rsidRPr="004F6929" w:rsidR="00FB70D3" w:rsidP="00FB70D3" w:rsidRDefault="00FB70D3" w14:paraId="657E6E3C" w14:textId="77777777">
            <w:pPr>
              <w:spacing w:after="0" w:line="240" w:lineRule="auto"/>
              <w:rPr>
                <w:rFonts w:asciiTheme="minorHAnsi" w:hAnsiTheme="minorHAnsi"/>
                <w:highlight w:val="yellow"/>
              </w:rPr>
            </w:pPr>
          </w:p>
          <w:p w:rsidRPr="004F6929" w:rsidR="00FB70D3" w:rsidP="00FB70D3" w:rsidRDefault="00FB70D3" w14:paraId="3E57D2A8" w14:textId="77777777">
            <w:pPr>
              <w:spacing w:after="0" w:line="240" w:lineRule="auto"/>
              <w:rPr>
                <w:rFonts w:asciiTheme="minorHAnsi" w:hAnsiTheme="minorHAnsi"/>
                <w:highlight w:val="yellow"/>
              </w:rPr>
            </w:pPr>
            <w:r w:rsidRPr="004F6929">
              <w:rPr>
                <w:rFonts w:asciiTheme="minorHAnsi" w:hAnsiTheme="minorHAnsi"/>
              </w:rPr>
              <w:t>In-person Surveys</w:t>
            </w:r>
          </w:p>
        </w:tc>
        <w:tc>
          <w:tcPr>
            <w:tcW w:w="2164" w:type="dxa"/>
            <w:tcBorders>
              <w:top w:val="single" w:color="000000" w:sz="6" w:space="0"/>
              <w:left w:val="single" w:color="000000" w:sz="6" w:space="0"/>
              <w:bottom w:val="single" w:color="000000" w:sz="6" w:space="0"/>
              <w:right w:val="single" w:color="FFFFFF" w:sz="6" w:space="0"/>
            </w:tcBorders>
            <w:vAlign w:val="bottom"/>
          </w:tcPr>
          <w:p w:rsidRPr="004F6929" w:rsidR="00FB70D3" w:rsidP="00FB70D3" w:rsidRDefault="00FB70D3" w14:paraId="13A10F88" w14:textId="48D889BB">
            <w:pPr>
              <w:spacing w:after="0" w:line="240" w:lineRule="auto"/>
              <w:rPr>
                <w:rFonts w:asciiTheme="minorHAnsi" w:hAnsiTheme="minorHAnsi"/>
                <w:highlight w:val="yellow"/>
              </w:rPr>
            </w:pPr>
            <w:r w:rsidRPr="004F6929">
              <w:rPr>
                <w:rFonts w:asciiTheme="minorHAnsi" w:hAnsiTheme="minorHAnsi"/>
              </w:rPr>
              <w:t>500</w:t>
            </w:r>
          </w:p>
        </w:tc>
        <w:tc>
          <w:tcPr>
            <w:tcW w:w="2164" w:type="dxa"/>
            <w:tcBorders>
              <w:top w:val="single" w:color="000000" w:sz="6" w:space="0"/>
              <w:left w:val="single" w:color="000000" w:sz="6" w:space="0"/>
              <w:bottom w:val="single" w:color="000000" w:sz="6" w:space="0"/>
              <w:right w:val="single" w:color="auto" w:sz="4" w:space="0"/>
            </w:tcBorders>
            <w:vAlign w:val="bottom"/>
          </w:tcPr>
          <w:p w:rsidRPr="00FB70D3" w:rsidR="00FB70D3" w:rsidP="00FB70D3" w:rsidRDefault="00FB70D3" w14:paraId="5ED33247" w14:textId="77777777">
            <w:pPr>
              <w:spacing w:after="0" w:line="240" w:lineRule="auto"/>
              <w:rPr>
                <w:rFonts w:asciiTheme="minorHAnsi" w:hAnsiTheme="minorHAnsi"/>
              </w:rPr>
            </w:pPr>
          </w:p>
          <w:p w:rsidRPr="00FB70D3" w:rsidR="00FB70D3" w:rsidP="00FB70D3" w:rsidRDefault="00FB70D3" w14:paraId="63B8237E" w14:textId="673CA6CE">
            <w:pPr>
              <w:spacing w:after="0" w:line="240" w:lineRule="auto"/>
              <w:rPr>
                <w:rFonts w:asciiTheme="minorHAnsi" w:hAnsiTheme="minorHAnsi"/>
              </w:rPr>
            </w:pPr>
            <w:r w:rsidRPr="00FB70D3">
              <w:rPr>
                <w:rFonts w:asciiTheme="minorHAnsi" w:hAnsiTheme="minorHAnsi"/>
              </w:rPr>
              <w:t>$23.86</w:t>
            </w:r>
          </w:p>
        </w:tc>
        <w:tc>
          <w:tcPr>
            <w:tcW w:w="2164" w:type="dxa"/>
            <w:tcBorders>
              <w:top w:val="single" w:color="auto" w:sz="4" w:space="0"/>
              <w:left w:val="single" w:color="auto" w:sz="4" w:space="0"/>
              <w:bottom w:val="single" w:color="auto" w:sz="4" w:space="0"/>
              <w:right w:val="single" w:color="auto" w:sz="4" w:space="0"/>
            </w:tcBorders>
            <w:vAlign w:val="bottom"/>
          </w:tcPr>
          <w:p w:rsidRPr="00FB70D3" w:rsidR="00FB70D3" w:rsidP="00FB70D3" w:rsidRDefault="00FB70D3" w14:paraId="0997D784" w14:textId="1E1285A2">
            <w:pPr>
              <w:spacing w:after="0" w:line="240" w:lineRule="auto"/>
              <w:rPr>
                <w:rFonts w:asciiTheme="minorHAnsi" w:hAnsiTheme="minorHAnsi"/>
              </w:rPr>
            </w:pPr>
            <w:r w:rsidRPr="00FB70D3">
              <w:rPr>
                <w:rFonts w:asciiTheme="minorHAnsi" w:hAnsiTheme="minorHAnsi"/>
              </w:rPr>
              <w:t>$11,930</w:t>
            </w:r>
          </w:p>
        </w:tc>
      </w:tr>
      <w:tr w:rsidRPr="004F6929" w:rsidR="00FB70D3" w:rsidTr="00FB70D3" w14:paraId="2A477C63" w14:textId="77777777">
        <w:tc>
          <w:tcPr>
            <w:tcW w:w="2880" w:type="dxa"/>
            <w:tcBorders>
              <w:top w:val="single" w:color="000000" w:sz="6" w:space="0"/>
              <w:left w:val="single" w:color="000000" w:sz="6" w:space="0"/>
              <w:bottom w:val="single" w:color="000000" w:sz="6" w:space="0"/>
              <w:right w:val="single" w:color="FFFFFF" w:sz="6" w:space="0"/>
            </w:tcBorders>
          </w:tcPr>
          <w:p w:rsidRPr="004F6929" w:rsidR="00FB70D3" w:rsidP="00FB70D3" w:rsidRDefault="00FB70D3" w14:paraId="7EDE091D" w14:textId="77777777">
            <w:pPr>
              <w:spacing w:after="0" w:line="240" w:lineRule="auto"/>
              <w:rPr>
                <w:rFonts w:asciiTheme="minorHAnsi" w:hAnsiTheme="minorHAnsi"/>
              </w:rPr>
            </w:pPr>
          </w:p>
          <w:p w:rsidRPr="004F6929" w:rsidR="00FB70D3" w:rsidP="00FB70D3" w:rsidRDefault="00FB70D3" w14:paraId="2710A71B" w14:textId="77777777">
            <w:pPr>
              <w:spacing w:after="0" w:line="240" w:lineRule="auto"/>
              <w:rPr>
                <w:rFonts w:asciiTheme="minorHAnsi" w:hAnsiTheme="minorHAnsi"/>
              </w:rPr>
            </w:pPr>
            <w:r w:rsidRPr="004F6929">
              <w:rPr>
                <w:rFonts w:asciiTheme="minorHAnsi" w:hAnsiTheme="minorHAnsi"/>
              </w:rPr>
              <w:t>Usability testing</w:t>
            </w:r>
          </w:p>
        </w:tc>
        <w:tc>
          <w:tcPr>
            <w:tcW w:w="2164" w:type="dxa"/>
            <w:tcBorders>
              <w:top w:val="single" w:color="000000" w:sz="6" w:space="0"/>
              <w:left w:val="single" w:color="000000" w:sz="6" w:space="0"/>
              <w:bottom w:val="single" w:color="000000" w:sz="6" w:space="0"/>
              <w:right w:val="single" w:color="FFFFFF" w:sz="6" w:space="0"/>
            </w:tcBorders>
            <w:vAlign w:val="bottom"/>
          </w:tcPr>
          <w:p w:rsidRPr="004F6929" w:rsidR="00FB70D3" w:rsidP="00FB70D3" w:rsidRDefault="00FB70D3" w14:paraId="7FB9A399" w14:textId="51D2BFC1">
            <w:pPr>
              <w:spacing w:after="0" w:line="240" w:lineRule="auto"/>
              <w:rPr>
                <w:rFonts w:asciiTheme="minorHAnsi" w:hAnsiTheme="minorHAnsi"/>
              </w:rPr>
            </w:pPr>
            <w:r w:rsidRPr="004F6929">
              <w:rPr>
                <w:rFonts w:asciiTheme="minorHAnsi" w:hAnsiTheme="minorHAnsi"/>
              </w:rPr>
              <w:t>750</w:t>
            </w:r>
          </w:p>
        </w:tc>
        <w:tc>
          <w:tcPr>
            <w:tcW w:w="2164" w:type="dxa"/>
            <w:tcBorders>
              <w:top w:val="single" w:color="000000" w:sz="6" w:space="0"/>
              <w:left w:val="single" w:color="000000" w:sz="6" w:space="0"/>
              <w:bottom w:val="single" w:color="000000" w:sz="6" w:space="0"/>
              <w:right w:val="single" w:color="auto" w:sz="4" w:space="0"/>
            </w:tcBorders>
            <w:vAlign w:val="bottom"/>
          </w:tcPr>
          <w:p w:rsidRPr="004F6929" w:rsidR="00FB70D3" w:rsidP="00FB70D3" w:rsidRDefault="00FB70D3" w14:paraId="1CD70B6D" w14:textId="77777777">
            <w:pPr>
              <w:spacing w:after="0" w:line="240" w:lineRule="auto"/>
              <w:rPr>
                <w:rFonts w:asciiTheme="minorHAnsi" w:hAnsiTheme="minorHAnsi"/>
              </w:rPr>
            </w:pPr>
          </w:p>
          <w:p w:rsidRPr="004F6929" w:rsidR="00FB70D3" w:rsidP="00FB70D3" w:rsidRDefault="00FB70D3" w14:paraId="3F054A33" w14:textId="00DE260D">
            <w:pPr>
              <w:spacing w:after="0" w:line="240" w:lineRule="auto"/>
              <w:rPr>
                <w:rFonts w:asciiTheme="minorHAnsi" w:hAnsiTheme="minorHAnsi"/>
              </w:rPr>
            </w:pPr>
            <w:r>
              <w:rPr>
                <w:rFonts w:asciiTheme="minorHAnsi" w:hAnsiTheme="minorHAnsi"/>
              </w:rPr>
              <w:t>$23.86</w:t>
            </w:r>
          </w:p>
        </w:tc>
        <w:tc>
          <w:tcPr>
            <w:tcW w:w="2164" w:type="dxa"/>
            <w:tcBorders>
              <w:top w:val="single" w:color="auto" w:sz="4" w:space="0"/>
              <w:left w:val="single" w:color="auto" w:sz="4" w:space="0"/>
              <w:bottom w:val="single" w:color="auto" w:sz="4" w:space="0"/>
              <w:right w:val="single" w:color="auto" w:sz="4" w:space="0"/>
            </w:tcBorders>
            <w:vAlign w:val="bottom"/>
          </w:tcPr>
          <w:p w:rsidRPr="004F6929" w:rsidR="00FB70D3" w:rsidP="00FB70D3" w:rsidRDefault="00FB70D3" w14:paraId="13353CE7" w14:textId="3A2A5C8E">
            <w:pPr>
              <w:spacing w:after="0" w:line="240" w:lineRule="auto"/>
              <w:rPr>
                <w:rFonts w:asciiTheme="minorHAnsi" w:hAnsiTheme="minorHAnsi"/>
              </w:rPr>
            </w:pPr>
            <w:r>
              <w:rPr>
                <w:rFonts w:asciiTheme="minorHAnsi" w:hAnsiTheme="minorHAnsi"/>
              </w:rPr>
              <w:t>$17,895</w:t>
            </w:r>
          </w:p>
        </w:tc>
      </w:tr>
      <w:tr w:rsidRPr="004F6929" w:rsidR="00FB70D3" w:rsidTr="00FB70D3" w14:paraId="06CD3839" w14:textId="77777777">
        <w:tc>
          <w:tcPr>
            <w:tcW w:w="2880" w:type="dxa"/>
            <w:tcBorders>
              <w:top w:val="single" w:color="000000" w:sz="6" w:space="0"/>
              <w:left w:val="single" w:color="000000" w:sz="6" w:space="0"/>
              <w:bottom w:val="single" w:color="000000" w:sz="6" w:space="0"/>
              <w:right w:val="single" w:color="FFFFFF" w:sz="6" w:space="0"/>
            </w:tcBorders>
          </w:tcPr>
          <w:p w:rsidRPr="004F6929" w:rsidR="00FB70D3" w:rsidP="00FB70D3" w:rsidRDefault="00FB70D3" w14:paraId="137BAC5F" w14:textId="77777777">
            <w:pPr>
              <w:spacing w:after="0" w:line="240" w:lineRule="auto"/>
              <w:rPr>
                <w:rFonts w:asciiTheme="minorHAnsi" w:hAnsiTheme="minorHAnsi"/>
              </w:rPr>
            </w:pPr>
          </w:p>
          <w:p w:rsidRPr="004F6929" w:rsidR="00FB70D3" w:rsidP="00FB70D3" w:rsidRDefault="00FB70D3" w14:paraId="0A907A27" w14:textId="77777777">
            <w:pPr>
              <w:spacing w:after="0" w:line="240" w:lineRule="auto"/>
              <w:rPr>
                <w:rFonts w:asciiTheme="minorHAnsi" w:hAnsiTheme="minorHAnsi"/>
              </w:rPr>
            </w:pPr>
            <w:r w:rsidRPr="004F6929">
              <w:rPr>
                <w:rFonts w:asciiTheme="minorHAnsi" w:hAnsiTheme="minorHAnsi"/>
              </w:rPr>
              <w:t>Customer comment cards</w:t>
            </w:r>
          </w:p>
        </w:tc>
        <w:tc>
          <w:tcPr>
            <w:tcW w:w="2164" w:type="dxa"/>
            <w:tcBorders>
              <w:top w:val="single" w:color="000000" w:sz="6" w:space="0"/>
              <w:left w:val="single" w:color="000000" w:sz="6" w:space="0"/>
              <w:bottom w:val="single" w:color="000000" w:sz="6" w:space="0"/>
              <w:right w:val="single" w:color="FFFFFF" w:sz="6" w:space="0"/>
            </w:tcBorders>
            <w:vAlign w:val="bottom"/>
          </w:tcPr>
          <w:p w:rsidRPr="004F6929" w:rsidR="00FB70D3" w:rsidP="00FB70D3" w:rsidRDefault="00FB70D3" w14:paraId="2DB24CDB" w14:textId="04085F74">
            <w:pPr>
              <w:spacing w:after="0" w:line="240" w:lineRule="auto"/>
              <w:rPr>
                <w:rFonts w:asciiTheme="minorHAnsi" w:hAnsiTheme="minorHAnsi"/>
              </w:rPr>
            </w:pPr>
            <w:r w:rsidRPr="004F6929">
              <w:rPr>
                <w:rFonts w:asciiTheme="minorHAnsi" w:hAnsiTheme="minorHAnsi"/>
              </w:rPr>
              <w:t>250</w:t>
            </w:r>
          </w:p>
        </w:tc>
        <w:tc>
          <w:tcPr>
            <w:tcW w:w="2164" w:type="dxa"/>
            <w:tcBorders>
              <w:top w:val="single" w:color="000000" w:sz="6" w:space="0"/>
              <w:left w:val="single" w:color="000000" w:sz="6" w:space="0"/>
              <w:bottom w:val="single" w:color="000000" w:sz="6" w:space="0"/>
              <w:right w:val="single" w:color="auto" w:sz="4" w:space="0"/>
            </w:tcBorders>
            <w:vAlign w:val="bottom"/>
          </w:tcPr>
          <w:p w:rsidRPr="004F6929" w:rsidR="00FB70D3" w:rsidP="00FB70D3" w:rsidRDefault="00FB70D3" w14:paraId="03CEA51E" w14:textId="77777777">
            <w:pPr>
              <w:spacing w:after="0" w:line="240" w:lineRule="auto"/>
              <w:rPr>
                <w:rFonts w:asciiTheme="minorHAnsi" w:hAnsiTheme="minorHAnsi"/>
              </w:rPr>
            </w:pPr>
          </w:p>
          <w:p w:rsidRPr="004F6929" w:rsidR="00FB70D3" w:rsidP="00FB70D3" w:rsidRDefault="00FB70D3" w14:paraId="768E43FC" w14:textId="29A120C1">
            <w:pPr>
              <w:spacing w:after="0" w:line="240" w:lineRule="auto"/>
              <w:rPr>
                <w:rFonts w:asciiTheme="minorHAnsi" w:hAnsiTheme="minorHAnsi"/>
              </w:rPr>
            </w:pPr>
            <w:r>
              <w:rPr>
                <w:rFonts w:asciiTheme="minorHAnsi" w:hAnsiTheme="minorHAnsi"/>
              </w:rPr>
              <w:t>$23.86</w:t>
            </w:r>
          </w:p>
        </w:tc>
        <w:tc>
          <w:tcPr>
            <w:tcW w:w="2164" w:type="dxa"/>
            <w:tcBorders>
              <w:top w:val="single" w:color="auto" w:sz="4" w:space="0"/>
              <w:left w:val="single" w:color="auto" w:sz="4" w:space="0"/>
              <w:bottom w:val="single" w:color="auto" w:sz="4" w:space="0"/>
              <w:right w:val="single" w:color="auto" w:sz="4" w:space="0"/>
            </w:tcBorders>
            <w:vAlign w:val="bottom"/>
          </w:tcPr>
          <w:p w:rsidRPr="004F6929" w:rsidR="00FB70D3" w:rsidP="00FB70D3" w:rsidRDefault="00FB70D3" w14:paraId="206E0139" w14:textId="0641CB93">
            <w:pPr>
              <w:spacing w:after="0" w:line="240" w:lineRule="auto"/>
              <w:rPr>
                <w:rFonts w:asciiTheme="minorHAnsi" w:hAnsiTheme="minorHAnsi"/>
              </w:rPr>
            </w:pPr>
            <w:r>
              <w:rPr>
                <w:rFonts w:asciiTheme="minorHAnsi" w:hAnsiTheme="minorHAnsi"/>
              </w:rPr>
              <w:t>$5,965</w:t>
            </w:r>
          </w:p>
        </w:tc>
      </w:tr>
    </w:tbl>
    <w:p w:rsidR="00762D0D" w:rsidRDefault="00762D0D" w14:paraId="2EA3624B" w14:textId="77777777">
      <w:pPr>
        <w:tabs>
          <w:tab w:val="left" w:pos="-1080"/>
          <w:tab w:val="left" w:pos="-720"/>
          <w:tab w:val="left" w:pos="0"/>
          <w:tab w:val="left" w:pos="450"/>
          <w:tab w:val="left" w:pos="720"/>
          <w:tab w:val="left" w:pos="2160"/>
        </w:tabs>
        <w:spacing w:after="0" w:line="240" w:lineRule="auto"/>
      </w:pPr>
    </w:p>
    <w:p w:rsidR="00762D0D" w:rsidRDefault="00BE5768" w14:paraId="4CFEA818" w14:textId="1B5512CC">
      <w:pPr>
        <w:pStyle w:val="ListParagraph"/>
        <w:numPr>
          <w:ilvl w:val="0"/>
          <w:numId w:val="2"/>
        </w:numPr>
        <w:spacing w:after="0" w:line="240" w:lineRule="auto"/>
        <w:ind w:left="0"/>
        <w:rPr>
          <w:b/>
        </w:rPr>
      </w:pPr>
      <w:r>
        <w:rPr>
          <w:b/>
        </w:rPr>
        <w:t>Estimates of Other Total Annual Cost Burden to Respondents or Record Keepers</w:t>
      </w:r>
    </w:p>
    <w:p w:rsidR="00762D0D" w:rsidRDefault="00762D0D" w14:paraId="60837A2E" w14:textId="77777777">
      <w:pPr>
        <w:pStyle w:val="ListParagraph"/>
        <w:spacing w:after="0" w:line="240" w:lineRule="auto"/>
        <w:ind w:left="0"/>
        <w:rPr>
          <w:b/>
        </w:rPr>
      </w:pPr>
    </w:p>
    <w:p w:rsidR="00762D0D" w:rsidRDefault="00762D0D" w14:paraId="2EF33245" w14:textId="5B11D0A4">
      <w:pPr>
        <w:spacing w:after="0" w:line="240" w:lineRule="auto"/>
      </w:pPr>
      <w:r>
        <w:t xml:space="preserve">No </w:t>
      </w:r>
      <w:r w:rsidR="000B5293">
        <w:t xml:space="preserve">other </w:t>
      </w:r>
      <w:r>
        <w:t>costs are anticipated.</w:t>
      </w:r>
    </w:p>
    <w:p w:rsidR="00762D0D" w:rsidRDefault="00762D0D" w14:paraId="17DDC762" w14:textId="77777777">
      <w:pPr>
        <w:spacing w:after="0" w:line="240" w:lineRule="auto"/>
      </w:pPr>
    </w:p>
    <w:p w:rsidR="00762D0D" w:rsidRDefault="00BE5768" w14:paraId="3236B19A" w14:textId="07E6F6C4">
      <w:pPr>
        <w:pStyle w:val="ListParagraph"/>
        <w:numPr>
          <w:ilvl w:val="0"/>
          <w:numId w:val="2"/>
        </w:numPr>
        <w:spacing w:after="0" w:line="240" w:lineRule="auto"/>
        <w:ind w:left="0"/>
        <w:rPr>
          <w:b/>
        </w:rPr>
      </w:pPr>
      <w:r>
        <w:rPr>
          <w:b/>
        </w:rPr>
        <w:t>Annualized Cost to the Government</w:t>
      </w:r>
    </w:p>
    <w:p w:rsidR="00762D0D" w:rsidRDefault="00762D0D" w14:paraId="774820DB" w14:textId="77777777">
      <w:pPr>
        <w:pStyle w:val="ListParagraph"/>
        <w:spacing w:after="0" w:line="240" w:lineRule="auto"/>
        <w:ind w:left="0"/>
        <w:rPr>
          <w:b/>
        </w:rPr>
      </w:pPr>
    </w:p>
    <w:p w:rsidR="00F129AD" w:rsidP="00F129AD" w:rsidRDefault="00762D0D" w14:paraId="25216F71" w14:textId="77777777">
      <w:pPr>
        <w:pStyle w:val="ListParagraph"/>
        <w:spacing w:after="0" w:line="240" w:lineRule="auto"/>
        <w:ind w:left="0"/>
      </w:pPr>
      <w:r>
        <w:t>The anticipated cost to the Federal Government is approximately $</w:t>
      </w:r>
      <w:r w:rsidR="00F129AD">
        <w:t>5</w:t>
      </w:r>
      <w:r w:rsidR="00B66F6A">
        <w:t xml:space="preserve">0,000.00 </w:t>
      </w:r>
      <w:r>
        <w:t xml:space="preserve">annually.  These costs are </w:t>
      </w:r>
      <w:r w:rsidR="00B66F6A">
        <w:t>comprised of</w:t>
      </w:r>
      <w:r w:rsidRPr="00F129AD" w:rsidR="00F129AD">
        <w:t xml:space="preserve"> </w:t>
      </w:r>
      <w:r w:rsidRPr="00F377D2" w:rsidR="00F129AD">
        <w:t xml:space="preserve">an estimate of applicable costs, such as operational expenses (e.g., equipment, overhead, </w:t>
      </w:r>
      <w:r w:rsidRPr="00F377D2" w:rsidR="00F129AD">
        <w:lastRenderedPageBreak/>
        <w:t>printing, postage</w:t>
      </w:r>
      <w:r w:rsidR="002E39D9">
        <w:t>,</w:t>
      </w:r>
      <w:r w:rsidRPr="00F377D2" w:rsidR="00F129AD">
        <w:t xml:space="preserve"> and support staff), contractor payments and any other expense that is necessary to collect the information approved under this generic clearance.</w:t>
      </w:r>
    </w:p>
    <w:p w:rsidR="00762D0D" w:rsidRDefault="00B66F6A" w14:paraId="0EBCFB86" w14:textId="77777777">
      <w:pPr>
        <w:pStyle w:val="ListParagraph"/>
        <w:spacing w:after="0" w:line="240" w:lineRule="auto"/>
        <w:ind w:left="0"/>
      </w:pPr>
      <w:r>
        <w:t xml:space="preserve">   </w:t>
      </w:r>
    </w:p>
    <w:p w:rsidR="00762D0D" w:rsidRDefault="00DF2719" w14:paraId="32301620" w14:textId="5E22A99F">
      <w:pPr>
        <w:pStyle w:val="ListParagraph"/>
        <w:numPr>
          <w:ilvl w:val="0"/>
          <w:numId w:val="2"/>
        </w:numPr>
        <w:spacing w:after="0" w:line="240" w:lineRule="auto"/>
        <w:ind w:left="0"/>
        <w:rPr>
          <w:b/>
        </w:rPr>
      </w:pPr>
      <w:r>
        <w:rPr>
          <w:b/>
        </w:rPr>
        <w:t>Explanation for Program Changes or Adjustments</w:t>
      </w:r>
    </w:p>
    <w:p w:rsidR="00762D0D" w:rsidRDefault="00762D0D" w14:paraId="79CD8F75" w14:textId="77777777">
      <w:pPr>
        <w:pStyle w:val="ListParagraph"/>
        <w:spacing w:after="0" w:line="240" w:lineRule="auto"/>
        <w:ind w:left="0"/>
        <w:rPr>
          <w:b/>
        </w:rPr>
      </w:pPr>
    </w:p>
    <w:p w:rsidR="00762D0D" w:rsidRDefault="00762D0D" w14:paraId="5E05776F" w14:textId="4DA96D74">
      <w:pPr>
        <w:spacing w:after="0" w:line="240" w:lineRule="auto"/>
      </w:pPr>
      <w:r>
        <w:t>This is a request for a</w:t>
      </w:r>
      <w:r w:rsidR="00D56A4C">
        <w:t xml:space="preserve">n </w:t>
      </w:r>
      <w:r w:rsidR="00901840">
        <w:t xml:space="preserve">EXTENSION, the burden has not changed from the burden shown in the current inventory.  </w:t>
      </w:r>
      <w:r w:rsidR="00D56A4C">
        <w:t xml:space="preserve">  </w:t>
      </w:r>
    </w:p>
    <w:p w:rsidR="00762D0D" w:rsidRDefault="00762D0D" w14:paraId="12C3C7F3" w14:textId="77777777">
      <w:pPr>
        <w:spacing w:after="0" w:line="240" w:lineRule="auto"/>
        <w:rPr>
          <w:b/>
        </w:rPr>
      </w:pPr>
    </w:p>
    <w:p w:rsidR="00762D0D" w:rsidRDefault="00DF2719" w14:paraId="07AC065D" w14:textId="1DF9B376">
      <w:pPr>
        <w:pStyle w:val="ListParagraph"/>
        <w:numPr>
          <w:ilvl w:val="0"/>
          <w:numId w:val="2"/>
        </w:numPr>
        <w:spacing w:after="0" w:line="240" w:lineRule="auto"/>
        <w:ind w:left="0"/>
        <w:rPr>
          <w:b/>
        </w:rPr>
      </w:pPr>
      <w:r>
        <w:rPr>
          <w:b/>
        </w:rPr>
        <w:t xml:space="preserve">Plans for </w:t>
      </w:r>
      <w:r w:rsidR="00762D0D">
        <w:rPr>
          <w:b/>
        </w:rPr>
        <w:t xml:space="preserve">Tabulation </w:t>
      </w:r>
      <w:r>
        <w:rPr>
          <w:b/>
        </w:rPr>
        <w:t>and Publication and Project Time Schedule</w:t>
      </w:r>
    </w:p>
    <w:p w:rsidR="00762D0D" w:rsidRDefault="00762D0D" w14:paraId="6D7CCCEA" w14:textId="77777777">
      <w:pPr>
        <w:spacing w:after="0" w:line="240" w:lineRule="auto"/>
      </w:pPr>
    </w:p>
    <w:p w:rsidR="00762D0D" w:rsidP="003E339C" w:rsidRDefault="00762D0D" w14:paraId="67CE1083" w14:textId="77777777">
      <w:pPr>
        <w:spacing w:after="0" w:line="240" w:lineRule="auto"/>
      </w:pPr>
      <w:r>
        <w:t xml:space="preserve">Feedback collected under this generic clearance provides useful information, but it does not yield data that can be generalized to the overall population. Findings will be used for general service </w:t>
      </w:r>
      <w:proofErr w:type="gramStart"/>
      <w:r>
        <w:t>improvement, but</w:t>
      </w:r>
      <w:proofErr w:type="gramEnd"/>
      <w:r>
        <w:t xml:space="preserve"> are not for publication or other public release. </w:t>
      </w:r>
    </w:p>
    <w:p w:rsidR="00762D0D" w:rsidP="003E339C" w:rsidRDefault="00762D0D" w14:paraId="675C53D2" w14:textId="77777777">
      <w:pPr>
        <w:spacing w:after="0" w:line="240" w:lineRule="auto"/>
      </w:pPr>
    </w:p>
    <w:p w:rsidR="00762D0D" w:rsidP="003E339C" w:rsidRDefault="00762D0D" w14:paraId="5C087E26" w14:textId="77777777">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rsidR="00CC31D6">
        <w:t>,</w:t>
      </w:r>
      <w:r w:rsidRPr="00BA1806">
        <w:t xml:space="preserve">" and will include specific discussion of the limitation of the </w:t>
      </w:r>
      <w:r>
        <w:t>qualitative</w:t>
      </w:r>
      <w:r w:rsidRPr="00BA1806">
        <w:t xml:space="preserve"> results discussed above.</w:t>
      </w:r>
    </w:p>
    <w:p w:rsidR="00762D0D" w:rsidRDefault="00762D0D" w14:paraId="3AF5BB76" w14:textId="77777777">
      <w:pPr>
        <w:spacing w:after="0" w:line="240" w:lineRule="auto"/>
      </w:pPr>
    </w:p>
    <w:p w:rsidR="00762D0D" w:rsidRDefault="00DF2719" w14:paraId="00255ED6" w14:textId="4BCFD35C">
      <w:pPr>
        <w:pStyle w:val="ListParagraph"/>
        <w:numPr>
          <w:ilvl w:val="0"/>
          <w:numId w:val="2"/>
        </w:numPr>
        <w:spacing w:after="0" w:line="240" w:lineRule="auto"/>
        <w:ind w:left="0"/>
        <w:rPr>
          <w:b/>
        </w:rPr>
      </w:pPr>
      <w:r>
        <w:rPr>
          <w:b/>
        </w:rPr>
        <w:t>Reason(s) Display of OMB Expiration Date is Inappropriate</w:t>
      </w:r>
    </w:p>
    <w:p w:rsidR="00762D0D" w:rsidRDefault="00762D0D" w14:paraId="34B3D75D" w14:textId="77777777">
      <w:pPr>
        <w:pStyle w:val="ListParagraph"/>
        <w:spacing w:after="0" w:line="240" w:lineRule="auto"/>
        <w:ind w:left="0"/>
        <w:rPr>
          <w:b/>
        </w:rPr>
      </w:pPr>
    </w:p>
    <w:p w:rsidR="00762D0D" w:rsidRDefault="00DF2719" w14:paraId="7259D749" w14:textId="7CC06059">
      <w:pPr>
        <w:spacing w:after="0" w:line="240" w:lineRule="auto"/>
      </w:pPr>
      <w:r>
        <w:t xml:space="preserve">The display of the OMB </w:t>
      </w:r>
      <w:r w:rsidR="00901840">
        <w:t>expiration date is not in</w:t>
      </w:r>
      <w:r>
        <w:t>appropriate.</w:t>
      </w:r>
    </w:p>
    <w:p w:rsidR="00762D0D" w:rsidRDefault="00762D0D" w14:paraId="04C57522" w14:textId="77777777">
      <w:pPr>
        <w:spacing w:after="0" w:line="240" w:lineRule="auto"/>
      </w:pPr>
    </w:p>
    <w:p w:rsidR="00762D0D" w:rsidRDefault="00762D0D" w14:paraId="262B59B8" w14:textId="77777777">
      <w:pPr>
        <w:pStyle w:val="ListParagraph"/>
        <w:numPr>
          <w:ilvl w:val="0"/>
          <w:numId w:val="2"/>
        </w:numPr>
        <w:spacing w:after="0" w:line="240" w:lineRule="auto"/>
        <w:ind w:left="0"/>
        <w:rPr>
          <w:b/>
        </w:rPr>
      </w:pPr>
      <w:r>
        <w:rPr>
          <w:b/>
        </w:rPr>
        <w:t>Exceptions to Certification for Paperwork Reduction Act Submissions</w:t>
      </w:r>
    </w:p>
    <w:p w:rsidR="00762D0D" w:rsidRDefault="00762D0D" w14:paraId="681D9C71" w14:textId="77777777">
      <w:pPr>
        <w:pStyle w:val="ListParagraph"/>
        <w:spacing w:after="0" w:line="240" w:lineRule="auto"/>
        <w:ind w:left="0"/>
        <w:rPr>
          <w:b/>
        </w:rPr>
      </w:pPr>
    </w:p>
    <w:p w:rsidR="004B026F" w:rsidP="0041084D" w:rsidRDefault="00DF2719" w14:paraId="37E4B013" w14:textId="449D8E99">
      <w:pPr>
        <w:spacing w:after="0" w:line="240" w:lineRule="auto"/>
      </w:pPr>
      <w:r>
        <w:t>There are no exceptions to the certification.</w:t>
      </w:r>
    </w:p>
    <w:p w:rsidR="004B026F" w:rsidP="004B026F" w:rsidRDefault="004B026F" w14:paraId="44684D7C" w14:textId="77777777">
      <w:pPr>
        <w:pStyle w:val="ListParagraph"/>
        <w:spacing w:after="0" w:line="240" w:lineRule="auto"/>
        <w:ind w:left="0"/>
        <w:rPr>
          <w:b/>
        </w:rPr>
      </w:pPr>
    </w:p>
    <w:p w:rsidR="004B026F" w:rsidP="004B026F" w:rsidRDefault="004B026F" w14:paraId="4E6D8E00" w14:textId="2DE463E1">
      <w:pPr>
        <w:pStyle w:val="ListParagraph"/>
        <w:spacing w:after="0" w:line="240" w:lineRule="auto"/>
        <w:ind w:left="0"/>
        <w:rPr>
          <w:b/>
        </w:rPr>
      </w:pPr>
      <w:r>
        <w:rPr>
          <w:b/>
        </w:rPr>
        <w:t>Attachments</w:t>
      </w:r>
    </w:p>
    <w:p w:rsidRPr="00CE0C88" w:rsidR="004B026F" w:rsidP="004B026F" w:rsidRDefault="004B026F" w14:paraId="2DD88BE0" w14:textId="45D61210">
      <w:pPr>
        <w:pStyle w:val="ListParagraph"/>
        <w:numPr>
          <w:ilvl w:val="0"/>
          <w:numId w:val="18"/>
        </w:numPr>
        <w:spacing w:after="0" w:line="240" w:lineRule="auto"/>
      </w:pPr>
      <w:r w:rsidRPr="00CE0C88">
        <w:t>Authorizing legislation</w:t>
      </w:r>
    </w:p>
    <w:p w:rsidR="0020311F" w:rsidP="005F6340" w:rsidRDefault="004B026F" w14:paraId="08BECDAC" w14:textId="4B0E8F2F">
      <w:pPr>
        <w:pStyle w:val="ListParagraph"/>
        <w:numPr>
          <w:ilvl w:val="0"/>
          <w:numId w:val="18"/>
        </w:numPr>
        <w:spacing w:after="0" w:line="240" w:lineRule="auto"/>
      </w:pPr>
      <w:r w:rsidRPr="00CE0C88">
        <w:t>60-day notice</w:t>
      </w:r>
    </w:p>
    <w:p w:rsidRPr="00CE0C88" w:rsidR="00CE0C88" w:rsidP="00CE0C88" w:rsidRDefault="00CE0C88" w14:paraId="24C605F7" w14:textId="0E6B117B">
      <w:pPr>
        <w:pStyle w:val="ListParagraph"/>
        <w:numPr>
          <w:ilvl w:val="0"/>
          <w:numId w:val="18"/>
        </w:numPr>
        <w:spacing w:after="0" w:line="240" w:lineRule="auto"/>
      </w:pPr>
      <w:r>
        <w:t>Gen-IC request form</w:t>
      </w:r>
    </w:p>
    <w:p w:rsidR="004B026F" w:rsidP="0041084D" w:rsidRDefault="004B026F" w14:paraId="6B7468A8" w14:textId="77777777">
      <w:pPr>
        <w:spacing w:after="0" w:line="240" w:lineRule="auto"/>
      </w:pPr>
    </w:p>
    <w:p w:rsidRPr="004B026F" w:rsidR="004B026F" w:rsidP="0041084D" w:rsidRDefault="004B026F" w14:paraId="06BDEB97" w14:textId="77777777">
      <w:pPr>
        <w:spacing w:after="0" w:line="240" w:lineRule="auto"/>
      </w:pPr>
    </w:p>
    <w:p w:rsidR="00762D0D" w:rsidRDefault="00762D0D" w14:paraId="630D3E9D" w14:textId="77777777">
      <w:pPr>
        <w:pStyle w:val="BodyTextIndent3"/>
        <w:tabs>
          <w:tab w:val="clear" w:pos="360"/>
        </w:tabs>
        <w:ind w:left="0"/>
        <w:rPr>
          <w:b/>
        </w:rPr>
      </w:pPr>
    </w:p>
    <w:p w:rsidR="00762D0D" w:rsidRDefault="00762D0D" w14:paraId="0E28073F" w14:textId="77777777">
      <w:pPr>
        <w:pStyle w:val="BodyTextIndent3"/>
        <w:tabs>
          <w:tab w:val="clear" w:pos="360"/>
        </w:tabs>
        <w:ind w:left="0"/>
        <w:rPr>
          <w:b/>
        </w:rPr>
      </w:pPr>
    </w:p>
    <w:p w:rsidR="00762D0D" w:rsidRDefault="00762D0D" w14:paraId="30AAB92E" w14:textId="77777777">
      <w:pPr>
        <w:rPr>
          <w:rFonts w:ascii="Tahoma" w:hAnsi="Tahoma"/>
          <w:b/>
          <w:sz w:val="20"/>
          <w:szCs w:val="20"/>
        </w:rPr>
      </w:pPr>
    </w:p>
    <w:p w:rsidR="00762D0D" w:rsidRDefault="00762D0D" w14:paraId="208EE384" w14:textId="77777777">
      <w:pPr>
        <w:spacing w:after="0" w:line="240" w:lineRule="auto"/>
        <w:ind w:left="360"/>
      </w:pPr>
    </w:p>
    <w:sectPr w:rsidR="00762D0D" w:rsidSect="0098209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C80B9" w14:textId="77777777" w:rsidR="00DB0611" w:rsidRDefault="00DB0611">
      <w:pPr>
        <w:spacing w:after="0" w:line="240" w:lineRule="auto"/>
      </w:pPr>
      <w:r>
        <w:separator/>
      </w:r>
    </w:p>
  </w:endnote>
  <w:endnote w:type="continuationSeparator" w:id="0">
    <w:p w14:paraId="47384F10" w14:textId="77777777" w:rsidR="00DB0611" w:rsidRDefault="00DB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90E36" w14:textId="77777777" w:rsidR="00E51B8B" w:rsidRDefault="00E51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804981"/>
      <w:docPartObj>
        <w:docPartGallery w:val="Page Numbers (Bottom of Page)"/>
        <w:docPartUnique/>
      </w:docPartObj>
    </w:sdtPr>
    <w:sdtEndPr>
      <w:rPr>
        <w:noProof/>
      </w:rPr>
    </w:sdtEndPr>
    <w:sdtContent>
      <w:p w14:paraId="3E5AF6EE" w14:textId="035E64DC" w:rsidR="00EF39C7" w:rsidRDefault="00EF39C7">
        <w:pPr>
          <w:pStyle w:val="Footer"/>
          <w:jc w:val="center"/>
        </w:pPr>
        <w:r>
          <w:fldChar w:fldCharType="begin"/>
        </w:r>
        <w:r>
          <w:instrText xml:space="preserve"> PAGE   \* MERGEFORMAT </w:instrText>
        </w:r>
        <w:r>
          <w:fldChar w:fldCharType="separate"/>
        </w:r>
        <w:r w:rsidR="00CC3044">
          <w:rPr>
            <w:noProof/>
          </w:rPr>
          <w:t>1</w:t>
        </w:r>
        <w:r>
          <w:rPr>
            <w:noProof/>
          </w:rPr>
          <w:fldChar w:fldCharType="end"/>
        </w:r>
      </w:p>
    </w:sdtContent>
  </w:sdt>
  <w:p w14:paraId="612EB313" w14:textId="77777777" w:rsidR="00EF39C7" w:rsidRDefault="00EF3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07584" w14:textId="77777777" w:rsidR="00E51B8B" w:rsidRDefault="00E51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090F2" w14:textId="77777777" w:rsidR="00DB0611" w:rsidRDefault="00DB0611">
      <w:pPr>
        <w:spacing w:after="0" w:line="240" w:lineRule="auto"/>
      </w:pPr>
      <w:r>
        <w:separator/>
      </w:r>
    </w:p>
  </w:footnote>
  <w:footnote w:type="continuationSeparator" w:id="0">
    <w:p w14:paraId="3F1C5D0D" w14:textId="77777777" w:rsidR="00DB0611" w:rsidRDefault="00DB0611">
      <w:pPr>
        <w:spacing w:after="0" w:line="240" w:lineRule="auto"/>
      </w:pPr>
      <w:r>
        <w:continuationSeparator/>
      </w:r>
    </w:p>
  </w:footnote>
  <w:footnote w:id="1">
    <w:p w14:paraId="3EAA19F6" w14:textId="77777777" w:rsidR="003C2C0B" w:rsidRDefault="003C2C0B"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2">
    <w:p w14:paraId="17C69B8B" w14:textId="6FC6ECAF" w:rsidR="00F35F74" w:rsidRDefault="00F35F74">
      <w:pPr>
        <w:pStyle w:val="FootnoteText"/>
      </w:pPr>
      <w:r>
        <w:rPr>
          <w:rStyle w:val="FootnoteReference"/>
        </w:rPr>
        <w:footnoteRef/>
      </w:r>
      <w:r>
        <w:t xml:space="preserve"> Hourly wage rates </w:t>
      </w:r>
      <w:r w:rsidR="00A42F20">
        <w:t>we</w:t>
      </w:r>
      <w:r>
        <w:t xml:space="preserve">re based on the BLS May, 2016 wage estimates available here: </w:t>
      </w:r>
      <w:hyperlink r:id="rId1" w:history="1">
        <w:r w:rsidRPr="00D7593C">
          <w:rPr>
            <w:rStyle w:val="Hyperlink"/>
          </w:rPr>
          <w:t>https://www.bls.gov/oes/current/oes_nat.htm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2FC0E" w14:textId="77777777" w:rsidR="00E51B8B" w:rsidRDefault="00E51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16776" w14:textId="77777777" w:rsidR="00E51B8B" w:rsidRDefault="00E51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D5E81" w14:textId="77777777" w:rsidR="00E51B8B" w:rsidRDefault="00E51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75F20CC"/>
    <w:multiLevelType w:val="hybridMultilevel"/>
    <w:tmpl w:val="50986C8C"/>
    <w:lvl w:ilvl="0" w:tplc="04090015">
      <w:start w:val="1"/>
      <w:numFmt w:val="upperLetter"/>
      <w:lvlText w:val="%1."/>
      <w:lvlJc w:val="left"/>
      <w:pPr>
        <w:ind w:left="720" w:hanging="360"/>
      </w:pPr>
    </w:lvl>
    <w:lvl w:ilvl="1" w:tplc="9102A5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0B4A9818"/>
    <w:lvl w:ilvl="0" w:tplc="64DEFCD6">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7"/>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6059B"/>
    <w:rsid w:val="00066515"/>
    <w:rsid w:val="000A1E22"/>
    <w:rsid w:val="000A410F"/>
    <w:rsid w:val="000B4026"/>
    <w:rsid w:val="000B5293"/>
    <w:rsid w:val="000C0A7E"/>
    <w:rsid w:val="000F4DB3"/>
    <w:rsid w:val="0010356D"/>
    <w:rsid w:val="00120A60"/>
    <w:rsid w:val="0013425B"/>
    <w:rsid w:val="00153E20"/>
    <w:rsid w:val="001628A1"/>
    <w:rsid w:val="00167FB6"/>
    <w:rsid w:val="00172EEC"/>
    <w:rsid w:val="00192882"/>
    <w:rsid w:val="001A1E1C"/>
    <w:rsid w:val="001B43EE"/>
    <w:rsid w:val="001B5644"/>
    <w:rsid w:val="001E44AB"/>
    <w:rsid w:val="001E7A97"/>
    <w:rsid w:val="001F1DA1"/>
    <w:rsid w:val="001F7BC9"/>
    <w:rsid w:val="0020311F"/>
    <w:rsid w:val="00221FA7"/>
    <w:rsid w:val="00256D0E"/>
    <w:rsid w:val="0026487B"/>
    <w:rsid w:val="0029408A"/>
    <w:rsid w:val="002A35E6"/>
    <w:rsid w:val="002B0B32"/>
    <w:rsid w:val="002C625E"/>
    <w:rsid w:val="002D48E3"/>
    <w:rsid w:val="002E39D9"/>
    <w:rsid w:val="002F249E"/>
    <w:rsid w:val="00307D7A"/>
    <w:rsid w:val="00310AC3"/>
    <w:rsid w:val="00312608"/>
    <w:rsid w:val="00315390"/>
    <w:rsid w:val="00317CFF"/>
    <w:rsid w:val="00324AF8"/>
    <w:rsid w:val="00336169"/>
    <w:rsid w:val="00340D99"/>
    <w:rsid w:val="003726B8"/>
    <w:rsid w:val="00377B51"/>
    <w:rsid w:val="003A2F20"/>
    <w:rsid w:val="003A7A16"/>
    <w:rsid w:val="003C2C0B"/>
    <w:rsid w:val="003C73E4"/>
    <w:rsid w:val="003E339C"/>
    <w:rsid w:val="003F5F2D"/>
    <w:rsid w:val="00404071"/>
    <w:rsid w:val="0041084D"/>
    <w:rsid w:val="0044553C"/>
    <w:rsid w:val="00460EB1"/>
    <w:rsid w:val="00474C83"/>
    <w:rsid w:val="004970C8"/>
    <w:rsid w:val="004A1CF9"/>
    <w:rsid w:val="004B026F"/>
    <w:rsid w:val="004C392D"/>
    <w:rsid w:val="004F6929"/>
    <w:rsid w:val="00513A34"/>
    <w:rsid w:val="00532FA5"/>
    <w:rsid w:val="005362FC"/>
    <w:rsid w:val="00562B18"/>
    <w:rsid w:val="00571BDB"/>
    <w:rsid w:val="00572831"/>
    <w:rsid w:val="005751D7"/>
    <w:rsid w:val="005A10E3"/>
    <w:rsid w:val="005E5A3B"/>
    <w:rsid w:val="005F6340"/>
    <w:rsid w:val="00607287"/>
    <w:rsid w:val="00612D1F"/>
    <w:rsid w:val="00616652"/>
    <w:rsid w:val="00640E01"/>
    <w:rsid w:val="00655D36"/>
    <w:rsid w:val="006656C5"/>
    <w:rsid w:val="0067270D"/>
    <w:rsid w:val="006A2008"/>
    <w:rsid w:val="006B2FF7"/>
    <w:rsid w:val="006C068A"/>
    <w:rsid w:val="006E653C"/>
    <w:rsid w:val="00701CF7"/>
    <w:rsid w:val="0070472A"/>
    <w:rsid w:val="0071748D"/>
    <w:rsid w:val="00731D48"/>
    <w:rsid w:val="0074733F"/>
    <w:rsid w:val="00762D0D"/>
    <w:rsid w:val="00774F9F"/>
    <w:rsid w:val="00783842"/>
    <w:rsid w:val="007903D0"/>
    <w:rsid w:val="00797E9A"/>
    <w:rsid w:val="007A268D"/>
    <w:rsid w:val="007B683D"/>
    <w:rsid w:val="007B75EE"/>
    <w:rsid w:val="007C0EE9"/>
    <w:rsid w:val="007E102D"/>
    <w:rsid w:val="00805CCC"/>
    <w:rsid w:val="00811E7B"/>
    <w:rsid w:val="00873289"/>
    <w:rsid w:val="00894356"/>
    <w:rsid w:val="008A6FC5"/>
    <w:rsid w:val="008D173C"/>
    <w:rsid w:val="008E42F3"/>
    <w:rsid w:val="008F21DF"/>
    <w:rsid w:val="00901840"/>
    <w:rsid w:val="00914716"/>
    <w:rsid w:val="00915BDA"/>
    <w:rsid w:val="00933F37"/>
    <w:rsid w:val="00936908"/>
    <w:rsid w:val="00982095"/>
    <w:rsid w:val="009A201A"/>
    <w:rsid w:val="009C6FD5"/>
    <w:rsid w:val="009D4CE5"/>
    <w:rsid w:val="009E720B"/>
    <w:rsid w:val="009E75C8"/>
    <w:rsid w:val="00A0608D"/>
    <w:rsid w:val="00A12AC9"/>
    <w:rsid w:val="00A42F20"/>
    <w:rsid w:val="00A52F7E"/>
    <w:rsid w:val="00A666FD"/>
    <w:rsid w:val="00A7129D"/>
    <w:rsid w:val="00A816AB"/>
    <w:rsid w:val="00A96367"/>
    <w:rsid w:val="00AA3F96"/>
    <w:rsid w:val="00AB76AD"/>
    <w:rsid w:val="00AC207F"/>
    <w:rsid w:val="00AC2497"/>
    <w:rsid w:val="00AC71A4"/>
    <w:rsid w:val="00AE1AE1"/>
    <w:rsid w:val="00AF55E9"/>
    <w:rsid w:val="00B54830"/>
    <w:rsid w:val="00B66F6A"/>
    <w:rsid w:val="00B82AC5"/>
    <w:rsid w:val="00B9541C"/>
    <w:rsid w:val="00BA1806"/>
    <w:rsid w:val="00BA3A31"/>
    <w:rsid w:val="00BC63CD"/>
    <w:rsid w:val="00BD13BB"/>
    <w:rsid w:val="00BE0599"/>
    <w:rsid w:val="00BE5768"/>
    <w:rsid w:val="00BF2E89"/>
    <w:rsid w:val="00BF7558"/>
    <w:rsid w:val="00C200D1"/>
    <w:rsid w:val="00C42638"/>
    <w:rsid w:val="00C61970"/>
    <w:rsid w:val="00C62FA2"/>
    <w:rsid w:val="00CB0BB8"/>
    <w:rsid w:val="00CC2FDD"/>
    <w:rsid w:val="00CC3044"/>
    <w:rsid w:val="00CC31D6"/>
    <w:rsid w:val="00CE0C88"/>
    <w:rsid w:val="00D30F06"/>
    <w:rsid w:val="00D40CDD"/>
    <w:rsid w:val="00D56A4C"/>
    <w:rsid w:val="00D617AC"/>
    <w:rsid w:val="00D64405"/>
    <w:rsid w:val="00D64AAF"/>
    <w:rsid w:val="00D93FE0"/>
    <w:rsid w:val="00DA13C8"/>
    <w:rsid w:val="00DA3AFF"/>
    <w:rsid w:val="00DB0611"/>
    <w:rsid w:val="00DD64F5"/>
    <w:rsid w:val="00DE07E7"/>
    <w:rsid w:val="00DF2719"/>
    <w:rsid w:val="00E51B8B"/>
    <w:rsid w:val="00E5649A"/>
    <w:rsid w:val="00E840DF"/>
    <w:rsid w:val="00EB2D61"/>
    <w:rsid w:val="00ED51EE"/>
    <w:rsid w:val="00ED6445"/>
    <w:rsid w:val="00EE4AE0"/>
    <w:rsid w:val="00EF39C7"/>
    <w:rsid w:val="00F129AD"/>
    <w:rsid w:val="00F15BAA"/>
    <w:rsid w:val="00F21A09"/>
    <w:rsid w:val="00F242F7"/>
    <w:rsid w:val="00F27033"/>
    <w:rsid w:val="00F31E34"/>
    <w:rsid w:val="00F35F74"/>
    <w:rsid w:val="00F64FF2"/>
    <w:rsid w:val="00FA1D10"/>
    <w:rsid w:val="00FB1178"/>
    <w:rsid w:val="00FB70D3"/>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DFD629D"/>
  <w15:docId w15:val="{AAC845D1-8C52-4BA3-9A1E-DBF6EA4D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qFormat/>
    <w:locked/>
    <w:rsid w:val="001035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rsid w:val="00404071"/>
    <w:rPr>
      <w:rFonts w:cs="Times New Roman"/>
      <w:color w:val="0000FF"/>
      <w:u w:val="single"/>
    </w:rPr>
  </w:style>
  <w:style w:type="table" w:styleId="TableGrid">
    <w:name w:val="Table Grid"/>
    <w:basedOn w:val="TableNormal"/>
    <w:locked/>
    <w:rsid w:val="00AC7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Char">
    <w:name w:val="Bullets Char"/>
    <w:basedOn w:val="DefaultParagraphFont"/>
    <w:link w:val="Bullets"/>
    <w:locked/>
    <w:rsid w:val="00B54830"/>
    <w:rPr>
      <w:rFonts w:ascii="Times New Roman" w:hAnsi="Times New Roman"/>
      <w:sz w:val="24"/>
    </w:rPr>
  </w:style>
  <w:style w:type="paragraph" w:customStyle="1" w:styleId="Bullets">
    <w:name w:val="Bullets"/>
    <w:basedOn w:val="ListParagraph"/>
    <w:link w:val="BulletsChar"/>
    <w:qFormat/>
    <w:rsid w:val="00B54830"/>
    <w:pPr>
      <w:numPr>
        <w:numId w:val="17"/>
      </w:numPr>
      <w:ind w:left="360"/>
    </w:pPr>
    <w:rPr>
      <w:rFonts w:ascii="Times New Roman" w:hAnsi="Times New Roman"/>
      <w:sz w:val="24"/>
    </w:rPr>
  </w:style>
  <w:style w:type="character" w:customStyle="1" w:styleId="Heading1Char">
    <w:name w:val="Heading 1 Char"/>
    <w:basedOn w:val="DefaultParagraphFont"/>
    <w:link w:val="Heading1"/>
    <w:rsid w:val="0010356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0356D"/>
    <w:pPr>
      <w:spacing w:line="259" w:lineRule="auto"/>
      <w:outlineLvl w:val="9"/>
    </w:pPr>
  </w:style>
  <w:style w:type="paragraph" w:styleId="TOC1">
    <w:name w:val="toc 1"/>
    <w:basedOn w:val="Normal"/>
    <w:next w:val="Normal"/>
    <w:autoRedefine/>
    <w:uiPriority w:val="39"/>
    <w:locked/>
    <w:rsid w:val="0010356D"/>
    <w:pPr>
      <w:spacing w:after="100"/>
    </w:pPr>
  </w:style>
  <w:style w:type="character" w:styleId="FollowedHyperlink">
    <w:name w:val="FollowedHyperlink"/>
    <w:basedOn w:val="DefaultParagraphFont"/>
    <w:uiPriority w:val="99"/>
    <w:semiHidden/>
    <w:unhideWhenUsed/>
    <w:rsid w:val="000F4DB3"/>
    <w:rPr>
      <w:color w:val="800080" w:themeColor="followedHyperlink"/>
      <w:u w:val="single"/>
    </w:rPr>
  </w:style>
  <w:style w:type="paragraph" w:customStyle="1" w:styleId="Pa5">
    <w:name w:val="Pa5"/>
    <w:basedOn w:val="Default"/>
    <w:next w:val="Default"/>
    <w:uiPriority w:val="99"/>
    <w:rsid w:val="002F249E"/>
    <w:pPr>
      <w:spacing w:line="321" w:lineRule="atLeast"/>
    </w:pPr>
    <w:rPr>
      <w:rFonts w:ascii="ITC Franklin Gothic Std Bk Cd" w:hAnsi="ITC Franklin Gothic Std Bk Cd" w:cs="Times New Roman"/>
      <w:color w:val="auto"/>
    </w:rPr>
  </w:style>
  <w:style w:type="character" w:customStyle="1" w:styleId="A10">
    <w:name w:val="A10"/>
    <w:uiPriority w:val="99"/>
    <w:rsid w:val="002F249E"/>
    <w:rPr>
      <w:rFonts w:cs="ITC Franklin Gothic Std Bk Cd"/>
      <w:b/>
      <w:bCs/>
      <w:color w:val="7888C3"/>
      <w:sz w:val="28"/>
      <w:szCs w:val="28"/>
    </w:rPr>
  </w:style>
  <w:style w:type="paragraph" w:customStyle="1" w:styleId="Pa15">
    <w:name w:val="Pa15"/>
    <w:basedOn w:val="Default"/>
    <w:next w:val="Default"/>
    <w:uiPriority w:val="99"/>
    <w:rsid w:val="002F249E"/>
    <w:pPr>
      <w:spacing w:line="221" w:lineRule="atLeast"/>
    </w:pPr>
    <w:rPr>
      <w:rFonts w:ascii="ITC Franklin Gothic Std Bk Cd" w:hAnsi="ITC Franklin Gothic Std Bk Cd" w:cs="Times New Roman"/>
      <w:color w:val="auto"/>
    </w:rPr>
  </w:style>
  <w:style w:type="paragraph" w:customStyle="1" w:styleId="Pa6">
    <w:name w:val="Pa6"/>
    <w:basedOn w:val="Default"/>
    <w:next w:val="Default"/>
    <w:uiPriority w:val="99"/>
    <w:rsid w:val="002F249E"/>
    <w:pPr>
      <w:spacing w:line="281" w:lineRule="atLeast"/>
    </w:pPr>
    <w:rPr>
      <w:rFonts w:ascii="ITC Franklin Gothic Std Bk Cd" w:hAnsi="ITC Franklin Gothic Std Bk Cd"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 w:id="846021404">
      <w:bodyDiv w:val="1"/>
      <w:marLeft w:val="0"/>
      <w:marRight w:val="0"/>
      <w:marTop w:val="0"/>
      <w:marBottom w:val="0"/>
      <w:divBdr>
        <w:top w:val="none" w:sz="0" w:space="0" w:color="auto"/>
        <w:left w:val="none" w:sz="0" w:space="0" w:color="auto"/>
        <w:bottom w:val="none" w:sz="0" w:space="0" w:color="auto"/>
        <w:right w:val="none" w:sz="0" w:space="0" w:color="auto"/>
      </w:divBdr>
    </w:div>
    <w:div w:id="186956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qkh7@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PFY6PPX2AYTS-2589-2310</_dlc_DocId>
    <_dlc_DocIdUrl xmlns="81daf041-c113-401c-bf82-107f5d396711">
      <Url>https://esp.cdc.gov/sites/ncezid/OD/policy/PRA/_layouts/15/DocIdRedir.aspx?ID=PFY6PPX2AYTS-2589-2310</Url>
      <Description>PFY6PPX2AYTS-2589-2310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350C38-222C-40E3-A8F1-5CBF9D4B9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16531-8966-430A-9467-F273D478BC9B}">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E6A6968D-D441-4779-B8C7-0D410A5C1977}">
  <ds:schemaRefs>
    <ds:schemaRef ds:uri="http://schemas.microsoft.com/sharepoint/v3/contenttype/forms"/>
  </ds:schemaRefs>
</ds:datastoreItem>
</file>

<file path=customXml/itemProps4.xml><?xml version="1.0" encoding="utf-8"?>
<ds:datastoreItem xmlns:ds="http://schemas.openxmlformats.org/officeDocument/2006/customXml" ds:itemID="{39C58720-65EF-48E3-BA8E-788B4D4B077F}">
  <ds:schemaRefs>
    <ds:schemaRef ds:uri="http://schemas.openxmlformats.org/officeDocument/2006/bibliography"/>
  </ds:schemaRefs>
</ds:datastoreItem>
</file>

<file path=customXml/itemProps5.xml><?xml version="1.0" encoding="utf-8"?>
<ds:datastoreItem xmlns:ds="http://schemas.openxmlformats.org/officeDocument/2006/customXml" ds:itemID="{9E967F5C-9F55-47B3-80AE-98E9EAEA75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1909</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Daymude, Thomas (CDC/DDID/NCEZID/OD)</cp:lastModifiedBy>
  <cp:revision>2</cp:revision>
  <cp:lastPrinted>2012-08-06T16:24:00Z</cp:lastPrinted>
  <dcterms:created xsi:type="dcterms:W3CDTF">2021-02-01T22:52:00Z</dcterms:created>
  <dcterms:modified xsi:type="dcterms:W3CDTF">2021-02-01T22:52:00Z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05151af1-dcf7-4ddd-a726-fac384aecbff</vt:lpwstr>
  </property>
  <property fmtid="{D5CDD505-2E9C-101B-9397-08002B2CF9AE}" pid="4" name="ContentTypeId">
    <vt:lpwstr>0x01010008E1675BCD6DD14785997454A76BE123</vt:lpwstr>
  </property>
  <property fmtid="{D5CDD505-2E9C-101B-9397-08002B2CF9AE}" pid="5" name="MSIP_Label_7b94a7b8-f06c-4dfe-bdcc-9b548fd58c31_Enabled">
    <vt:lpwstr>true</vt:lpwstr>
  </property>
  <property fmtid="{D5CDD505-2E9C-101B-9397-08002B2CF9AE}" pid="6" name="MSIP_Label_7b94a7b8-f06c-4dfe-bdcc-9b548fd58c31_SetDate">
    <vt:lpwstr>2021-01-13T16:08:16Z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ce03b561-c1b0-4932-ab8a-1ddd7f67243a</vt:lpwstr>
  </property>
  <property fmtid="{D5CDD505-2E9C-101B-9397-08002B2CF9AE}" pid="11" name="MSIP_Label_7b94a7b8-f06c-4dfe-bdcc-9b548fd58c31_ContentBits">
    <vt:lpwstr>0</vt:lpwstr>
  </property>
</Properties>
</file>