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BE7" w:rsidP="007B3987" w14:paraId="7A87E8E5" w14:textId="77777777">
      <w:pPr>
        <w:jc w:val="center"/>
        <w:rPr>
          <w:b/>
        </w:rPr>
      </w:pPr>
      <w:r>
        <w:rPr>
          <w:b/>
        </w:rPr>
        <w:t>Change Memo for</w:t>
      </w:r>
    </w:p>
    <w:p w:rsidR="00531E9F" w:rsidP="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00531E9F" w:rsidRPr="00C61FA5" w:rsidP="00531E9F" w14:paraId="2D87CEE2" w14:textId="77777777">
      <w:pPr>
        <w:jc w:val="center"/>
        <w:rPr>
          <w:b/>
        </w:rPr>
      </w:pPr>
      <w:r w:rsidRPr="00F82185">
        <w:rPr>
          <w:rFonts w:eastAsiaTheme="minorHAnsi"/>
          <w:bCs/>
        </w:rPr>
        <w:t>Surveillance in Healthcare Facilities</w:t>
      </w:r>
    </w:p>
    <w:p w:rsidR="00531E9F" w:rsidRPr="00F9208D" w:rsidP="00531E9F" w14:paraId="4E188433" w14:textId="6E1C84B3">
      <w:pPr>
        <w:jc w:val="center"/>
        <w:rPr>
          <w:bCs/>
        </w:rPr>
      </w:pPr>
      <w:r w:rsidRPr="00F9208D">
        <w:rPr>
          <w:bCs/>
        </w:rPr>
        <w:t>(OMB Control No</w:t>
      </w:r>
      <w:r w:rsidR="00392A6E">
        <w:rPr>
          <w:bCs/>
        </w:rPr>
        <w:t>s</w:t>
      </w:r>
      <w:r w:rsidRPr="00F9208D">
        <w:rPr>
          <w:bCs/>
        </w:rPr>
        <w:t>. 0920-</w:t>
      </w:r>
      <w:r w:rsidR="00F71BA9">
        <w:rPr>
          <w:bCs/>
        </w:rPr>
        <w:t>0666</w:t>
      </w:r>
      <w:r w:rsidR="00392A6E">
        <w:rPr>
          <w:bCs/>
        </w:rPr>
        <w:t>)</w:t>
      </w:r>
    </w:p>
    <w:p w:rsidR="00531E9F" w:rsidRPr="00F9208D" w:rsidP="00531E9F" w14:paraId="6D2960CB" w14:textId="78ABB539">
      <w:pPr>
        <w:jc w:val="center"/>
        <w:rPr>
          <w:bCs/>
        </w:rPr>
      </w:pPr>
      <w:r w:rsidRPr="00F9208D">
        <w:rPr>
          <w:bCs/>
        </w:rPr>
        <w:t xml:space="preserve">Expiration Date: </w:t>
      </w:r>
      <w:r w:rsidR="00F71BA9">
        <w:rPr>
          <w:bCs/>
        </w:rPr>
        <w:t>12</w:t>
      </w:r>
      <w:r w:rsidRPr="00F9208D">
        <w:rPr>
          <w:bCs/>
        </w:rPr>
        <w:t>/31/202</w:t>
      </w:r>
      <w:r w:rsidR="00244F60">
        <w:rPr>
          <w:bCs/>
        </w:rPr>
        <w:t>6</w:t>
      </w:r>
    </w:p>
    <w:p w:rsidR="00531E9F" w:rsidRPr="00C61FA5" w:rsidP="002B2BE7" w14:paraId="10548B5F" w14:textId="77777777">
      <w:pPr>
        <w:jc w:val="center"/>
        <w:rPr>
          <w:b/>
        </w:rPr>
      </w:pPr>
    </w:p>
    <w:p w:rsidR="002B2BE7" w:rsidP="002B2BE7" w14:paraId="573C554B" w14:textId="77777777">
      <w:pPr>
        <w:jc w:val="center"/>
        <w:rPr>
          <w:b/>
        </w:rPr>
      </w:pPr>
    </w:p>
    <w:p w:rsidR="002B2BE7" w:rsidP="002B2BE7" w14:paraId="40A0F264" w14:textId="77777777">
      <w:pPr>
        <w:jc w:val="center"/>
        <w:rPr>
          <w:b/>
        </w:rPr>
      </w:pPr>
    </w:p>
    <w:p w:rsidR="002B2BE7" w:rsidP="002B2BE7" w14:paraId="797FBF7D" w14:textId="77777777">
      <w:pPr>
        <w:jc w:val="center"/>
        <w:rPr>
          <w:b/>
        </w:rPr>
      </w:pPr>
    </w:p>
    <w:p w:rsidR="002B2BE7" w:rsidP="002B2BE7" w14:paraId="34E22475" w14:textId="77777777">
      <w:pPr>
        <w:jc w:val="center"/>
        <w:rPr>
          <w:b/>
        </w:rPr>
      </w:pPr>
    </w:p>
    <w:p w:rsidR="002B2BE7" w:rsidP="002B2BE7" w14:paraId="629D74B1" w14:textId="77777777">
      <w:pPr>
        <w:jc w:val="center"/>
        <w:rPr>
          <w:b/>
        </w:rPr>
      </w:pPr>
    </w:p>
    <w:p w:rsidR="002B2BE7" w:rsidP="002B2BE7" w14:paraId="4D92A27C" w14:textId="77777777">
      <w:pPr>
        <w:jc w:val="center"/>
        <w:rPr>
          <w:b/>
        </w:rPr>
      </w:pPr>
    </w:p>
    <w:p w:rsidR="002B2BE7" w:rsidP="002B2BE7" w14:paraId="0D705660" w14:textId="77777777">
      <w:pPr>
        <w:jc w:val="center"/>
        <w:rPr>
          <w:b/>
        </w:rPr>
      </w:pPr>
    </w:p>
    <w:p w:rsidR="002B2BE7" w:rsidP="002B2BE7" w14:paraId="29AE66DC" w14:textId="77777777">
      <w:pPr>
        <w:jc w:val="center"/>
        <w:rPr>
          <w:b/>
        </w:rPr>
      </w:pPr>
    </w:p>
    <w:p w:rsidR="002B2BE7" w:rsidP="002B2BE7" w14:paraId="22ACD26D" w14:textId="77777777">
      <w:pPr>
        <w:jc w:val="center"/>
        <w:rPr>
          <w:b/>
        </w:rPr>
      </w:pPr>
    </w:p>
    <w:p w:rsidR="002B2BE7" w:rsidP="005F1C76" w14:paraId="0388B238" w14:textId="77777777">
      <w:pPr>
        <w:rPr>
          <w:b/>
        </w:rPr>
      </w:pPr>
    </w:p>
    <w:p w:rsidR="002B2BE7" w:rsidP="002B2BE7" w14:paraId="2E29CB30" w14:textId="77777777">
      <w:pPr>
        <w:jc w:val="center"/>
        <w:rPr>
          <w:b/>
        </w:rPr>
      </w:pPr>
    </w:p>
    <w:p w:rsidR="002B2BE7" w:rsidP="002B2BE7" w14:paraId="76C57916" w14:textId="77777777">
      <w:pPr>
        <w:jc w:val="center"/>
        <w:rPr>
          <w:b/>
        </w:rPr>
      </w:pPr>
    </w:p>
    <w:p w:rsidR="002B2BE7" w:rsidP="002B2BE7" w14:paraId="10C33E0D" w14:textId="40653629">
      <w:pPr>
        <w:jc w:val="center"/>
        <w:rPr>
          <w:b/>
        </w:rPr>
      </w:pPr>
    </w:p>
    <w:p w:rsidR="00941346" w:rsidP="002B2BE7" w14:paraId="05DBAC2C" w14:textId="5768CF54">
      <w:pPr>
        <w:jc w:val="center"/>
        <w:rPr>
          <w:b/>
        </w:rPr>
      </w:pPr>
    </w:p>
    <w:p w:rsidR="00941346" w:rsidP="002B2BE7" w14:paraId="6AE69DF5" w14:textId="1C845F4A">
      <w:pPr>
        <w:jc w:val="center"/>
        <w:rPr>
          <w:b/>
        </w:rPr>
      </w:pPr>
    </w:p>
    <w:p w:rsidR="003A0DC7" w:rsidP="002B2BE7" w14:paraId="1D485AC6" w14:textId="7BCF1CF1">
      <w:pPr>
        <w:jc w:val="center"/>
        <w:rPr>
          <w:b/>
        </w:rPr>
      </w:pPr>
    </w:p>
    <w:p w:rsidR="003A0DC7" w:rsidP="002B2BE7" w14:paraId="53964089" w14:textId="4636B2B1">
      <w:pPr>
        <w:jc w:val="center"/>
        <w:rPr>
          <w:b/>
        </w:rPr>
      </w:pPr>
    </w:p>
    <w:p w:rsidR="003A0DC7" w:rsidP="002B2BE7" w14:paraId="3B7211DC" w14:textId="2223EB6E">
      <w:pPr>
        <w:jc w:val="center"/>
        <w:rPr>
          <w:b/>
        </w:rPr>
      </w:pPr>
    </w:p>
    <w:p w:rsidR="003A0DC7" w:rsidP="002B2BE7" w14:paraId="570BB1E0" w14:textId="76B3D32F">
      <w:pPr>
        <w:jc w:val="center"/>
        <w:rPr>
          <w:b/>
        </w:rPr>
      </w:pPr>
    </w:p>
    <w:p w:rsidR="003A0DC7" w:rsidP="002B2BE7" w14:paraId="6BB9B918" w14:textId="4EFEB3D8">
      <w:pPr>
        <w:jc w:val="center"/>
        <w:rPr>
          <w:b/>
        </w:rPr>
      </w:pPr>
    </w:p>
    <w:p w:rsidR="003A0DC7" w:rsidP="002B2BE7" w14:paraId="1C46557D" w14:textId="514A6517">
      <w:pPr>
        <w:jc w:val="center"/>
        <w:rPr>
          <w:b/>
        </w:rPr>
      </w:pPr>
    </w:p>
    <w:p w:rsidR="003A0DC7" w:rsidP="002B2BE7" w14:paraId="2E15048A" w14:textId="775BEC29">
      <w:pPr>
        <w:jc w:val="center"/>
        <w:rPr>
          <w:b/>
        </w:rPr>
      </w:pPr>
    </w:p>
    <w:p w:rsidR="003A0DC7" w:rsidP="002B2BE7" w14:paraId="1C7FCC6B" w14:textId="6DD1F185">
      <w:pPr>
        <w:jc w:val="center"/>
        <w:rPr>
          <w:b/>
        </w:rPr>
      </w:pPr>
    </w:p>
    <w:p w:rsidR="003A0DC7" w:rsidP="002B2BE7" w14:paraId="2A2B748D" w14:textId="60231B2A">
      <w:pPr>
        <w:jc w:val="center"/>
        <w:rPr>
          <w:b/>
        </w:rPr>
      </w:pPr>
    </w:p>
    <w:p w:rsidR="003A0DC7" w:rsidP="002B2BE7" w14:paraId="3DD60136" w14:textId="55F93E1F">
      <w:pPr>
        <w:jc w:val="center"/>
        <w:rPr>
          <w:b/>
        </w:rPr>
      </w:pPr>
    </w:p>
    <w:p w:rsidR="003A0DC7" w:rsidP="002B2BE7" w14:paraId="55D10C5E" w14:textId="4FD45B92">
      <w:pPr>
        <w:jc w:val="center"/>
        <w:rPr>
          <w:b/>
        </w:rPr>
      </w:pPr>
    </w:p>
    <w:p w:rsidR="003A0DC7" w:rsidP="002B2BE7" w14:paraId="20C9DFAF" w14:textId="7B9708C6">
      <w:pPr>
        <w:jc w:val="center"/>
        <w:rPr>
          <w:b/>
        </w:rPr>
      </w:pPr>
    </w:p>
    <w:p w:rsidR="003A0DC7" w:rsidP="002B2BE7" w14:paraId="6C3889B7" w14:textId="77777777">
      <w:pPr>
        <w:jc w:val="center"/>
        <w:rPr>
          <w:b/>
        </w:rPr>
      </w:pPr>
    </w:p>
    <w:p w:rsidR="00941346" w:rsidP="002B2BE7" w14:paraId="46E64F6B" w14:textId="2D7AF0EF">
      <w:pPr>
        <w:rPr>
          <w:b/>
          <w:u w:val="single"/>
        </w:rPr>
      </w:pPr>
      <w:r w:rsidRPr="000C5EF1">
        <w:rPr>
          <w:b/>
          <w:u w:val="single"/>
        </w:rPr>
        <w:t>Program Contact</w:t>
      </w:r>
    </w:p>
    <w:p w:rsidR="004055E1" w:rsidP="002B2BE7" w14:paraId="6079C4EF" w14:textId="77777777">
      <w:pPr>
        <w:rPr>
          <w:b/>
          <w:u w:val="single"/>
        </w:rPr>
      </w:pPr>
    </w:p>
    <w:p w:rsidR="002B2BE7" w:rsidRPr="00014F12" w:rsidP="002B2BE7" w14:paraId="131DB7B8" w14:textId="3B618AF5">
      <w:pPr>
        <w:rPr>
          <w:bCs/>
        </w:rPr>
      </w:pPr>
      <w:r>
        <w:rPr>
          <w:bCs/>
        </w:rPr>
        <w:t xml:space="preserve">Paula Farrell </w:t>
      </w:r>
    </w:p>
    <w:p w:rsidR="002B2BE7" w:rsidP="002B2BE7" w14:paraId="761DDBD7" w14:textId="77777777">
      <w:pPr>
        <w:rPr>
          <w:bCs/>
        </w:rPr>
      </w:pPr>
      <w:r>
        <w:rPr>
          <w:bCs/>
        </w:rPr>
        <w:t>Surveillance Branch</w:t>
      </w:r>
    </w:p>
    <w:p w:rsidR="002B2BE7" w:rsidRPr="00014F12" w:rsidP="002B2BE7" w14:paraId="7287CAAD" w14:textId="77777777">
      <w:pPr>
        <w:rPr>
          <w:bCs/>
        </w:rPr>
      </w:pPr>
      <w:r>
        <w:rPr>
          <w:bCs/>
        </w:rPr>
        <w:t>Division of Healthcare Quality Promotion</w:t>
      </w:r>
    </w:p>
    <w:p w:rsidR="002B2BE7" w:rsidRPr="00014F12" w:rsidP="002B2BE7" w14:paraId="5E774D8D" w14:textId="77777777">
      <w:pPr>
        <w:rPr>
          <w:bCs/>
        </w:rPr>
      </w:pPr>
      <w:r w:rsidRPr="00014F12">
        <w:rPr>
          <w:bCs/>
        </w:rPr>
        <w:t>National Center for Emerging and Zoonotic Infectious Diseases</w:t>
      </w:r>
    </w:p>
    <w:p w:rsidR="002B2BE7" w:rsidRPr="003D16D1" w:rsidP="002B2BE7" w14:paraId="21E6FA0F" w14:textId="77777777">
      <w:pPr>
        <w:rPr>
          <w:bCs/>
        </w:rPr>
      </w:pPr>
      <w:r w:rsidRPr="003D16D1">
        <w:rPr>
          <w:bCs/>
        </w:rPr>
        <w:t>Centers for Disease Control and Prevention</w:t>
      </w:r>
    </w:p>
    <w:p w:rsidR="002B2BE7" w:rsidRPr="003D16D1" w:rsidP="002B2BE7" w14:paraId="3513D124" w14:textId="77777777">
      <w:pPr>
        <w:rPr>
          <w:bCs/>
        </w:rPr>
      </w:pPr>
      <w:r w:rsidRPr="003D16D1">
        <w:rPr>
          <w:bCs/>
        </w:rPr>
        <w:t>Atlanta, Georgia 30333</w:t>
      </w:r>
    </w:p>
    <w:p w:rsidR="002B2BE7" w:rsidRPr="003D16D1" w:rsidP="002B2BE7" w14:paraId="544B14B0" w14:textId="13B54B3E">
      <w:pPr>
        <w:rPr>
          <w:bCs/>
        </w:rPr>
      </w:pPr>
      <w:r w:rsidRPr="003D16D1">
        <w:rPr>
          <w:bCs/>
        </w:rPr>
        <w:t xml:space="preserve">Phone: </w:t>
      </w:r>
      <w:r w:rsidRPr="003D16D1" w:rsidR="003D16D1">
        <w:rPr>
          <w:color w:val="242424"/>
          <w:shd w:val="clear" w:color="auto" w:fill="FAFAFA"/>
        </w:rPr>
        <w:t>404-498-4019 </w:t>
      </w:r>
    </w:p>
    <w:p w:rsidR="00877AAA" w:rsidP="002B2BE7" w14:paraId="7A3DA024" w14:textId="09578221">
      <w:pPr>
        <w:rPr>
          <w:bCs/>
        </w:rPr>
      </w:pPr>
      <w:r w:rsidRPr="003D16D1">
        <w:rPr>
          <w:bCs/>
        </w:rPr>
        <w:t xml:space="preserve">Email: </w:t>
      </w:r>
      <w:hyperlink r:id="rId8" w:history="1">
        <w:r w:rsidRPr="003D16D1" w:rsidR="003D16D1">
          <w:rPr>
            <w:rStyle w:val="Hyperlink"/>
            <w:bCs/>
          </w:rPr>
          <w:t>ujb1@cdc.gov</w:t>
        </w:r>
      </w:hyperlink>
    </w:p>
    <w:p w:rsidR="004055E1" w:rsidP="00877AAA" w14:paraId="15D65AC2" w14:textId="77777777">
      <w:pPr>
        <w:rPr>
          <w:b/>
        </w:rPr>
      </w:pPr>
    </w:p>
    <w:p w:rsidR="002B2BE7" w:rsidP="004055E1" w14:paraId="74192CA4" w14:textId="52DE5D8E">
      <w:r w:rsidRPr="000C5EF1">
        <w:rPr>
          <w:b/>
        </w:rPr>
        <w:t>Submission Date:</w:t>
      </w:r>
      <w:r w:rsidRPr="000C5EF1">
        <w:t xml:space="preserve"> </w:t>
      </w:r>
      <w:r w:rsidR="00876DF8">
        <w:t xml:space="preserve">February 9, </w:t>
      </w:r>
      <w:r w:rsidR="00686CE4">
        <w:t>202</w:t>
      </w:r>
      <w:r w:rsidR="00876DF8">
        <w:t>4</w:t>
      </w:r>
    </w:p>
    <w:p w:rsidR="00E81A8F" w:rsidP="00E81A8F" w14:paraId="1762CEEA" w14:textId="1199A633">
      <w:pPr>
        <w:rPr>
          <w:rFonts w:eastAsiaTheme="minorHAnsi"/>
        </w:rPr>
      </w:pPr>
      <w:r w:rsidRPr="00E81A8F">
        <w:rPr>
          <w:rFonts w:eastAsiaTheme="minorHAnsi" w:cstheme="minorBidi"/>
        </w:rPr>
        <w:t xml:space="preserve">The Centers for Disease Control and Prevention (CDC), Division of Healthcare Quality Promotion (DHQP) requests </w:t>
      </w:r>
      <w:r w:rsidRPr="00E81A8F" w:rsidR="000C2DFB">
        <w:rPr>
          <w:rFonts w:eastAsiaTheme="minorHAnsi" w:cstheme="minorBidi"/>
        </w:rPr>
        <w:t xml:space="preserve">approval of a </w:t>
      </w:r>
      <w:r w:rsidRPr="00E81A8F" w:rsidR="00CE74C9">
        <w:rPr>
          <w:rFonts w:eastAsiaTheme="minorHAnsi" w:cstheme="minorBidi"/>
        </w:rPr>
        <w:t xml:space="preserve">non-substantive change </w:t>
      </w:r>
      <w:r w:rsidR="000A61E1">
        <w:rPr>
          <w:rFonts w:eastAsiaTheme="minorHAnsi" w:cstheme="minorBidi"/>
        </w:rPr>
        <w:t>to</w:t>
      </w:r>
      <w:r w:rsidRPr="00E81A8F" w:rsidR="00CE74C9">
        <w:rPr>
          <w:rFonts w:eastAsiaTheme="minorHAnsi" w:cstheme="minorBidi"/>
        </w:rPr>
        <w:t xml:space="preserve"> </w:t>
      </w:r>
      <w:r w:rsidR="00876DF8">
        <w:rPr>
          <w:rFonts w:eastAsiaTheme="minorHAnsi" w:cstheme="minorBidi"/>
        </w:rPr>
        <w:t>five</w:t>
      </w:r>
      <w:r w:rsidRPr="00E81A8F" w:rsidR="00CE74C9">
        <w:rPr>
          <w:rFonts w:eastAsiaTheme="minorHAnsi" w:cstheme="minorBidi"/>
        </w:rPr>
        <w:t xml:space="preserve"> </w:t>
      </w:r>
      <w:r w:rsidR="004A6846">
        <w:rPr>
          <w:rFonts w:eastAsiaTheme="minorHAnsi" w:cstheme="minorBidi"/>
        </w:rPr>
        <w:t xml:space="preserve">data collection instruments in </w:t>
      </w:r>
      <w:r w:rsidR="00645394">
        <w:rPr>
          <w:rFonts w:eastAsiaTheme="minorHAnsi" w:cstheme="minorBidi"/>
        </w:rPr>
        <w:t xml:space="preserve">the </w:t>
      </w:r>
      <w:r w:rsidRPr="00E81A8F" w:rsidR="000C2DFB">
        <w:rPr>
          <w:rFonts w:eastAsiaTheme="minorHAnsi"/>
        </w:rPr>
        <w:t xml:space="preserve">National Healthcare Safety Network (NHSN) </w:t>
      </w:r>
      <w:r w:rsidR="000846D0">
        <w:rPr>
          <w:rFonts w:eastAsiaTheme="minorHAnsi"/>
        </w:rPr>
        <w:t>OMB</w:t>
      </w:r>
      <w:r w:rsidR="00C37725">
        <w:rPr>
          <w:rFonts w:eastAsiaTheme="minorHAnsi"/>
        </w:rPr>
        <w:t xml:space="preserve"> </w:t>
      </w:r>
      <w:r w:rsidR="00F71BA9">
        <w:rPr>
          <w:rFonts w:eastAsiaTheme="minorHAnsi"/>
        </w:rPr>
        <w:t>Package (O</w:t>
      </w:r>
      <w:r w:rsidRPr="00E81A8F" w:rsidR="000C2DFB">
        <w:rPr>
          <w:rFonts w:eastAsiaTheme="minorHAnsi"/>
        </w:rPr>
        <w:t>MB Control No. 0920-</w:t>
      </w:r>
      <w:r w:rsidR="00F71BA9">
        <w:rPr>
          <w:rFonts w:eastAsiaTheme="minorHAnsi"/>
        </w:rPr>
        <w:t>0666</w:t>
      </w:r>
      <w:r w:rsidRPr="00E81A8F" w:rsidR="000C2DFB">
        <w:rPr>
          <w:rFonts w:eastAsiaTheme="minorHAnsi"/>
        </w:rPr>
        <w:t>)</w:t>
      </w:r>
      <w:r w:rsidR="000A61E1">
        <w:rPr>
          <w:rFonts w:eastAsiaTheme="minorHAnsi"/>
        </w:rPr>
        <w:t xml:space="preserve">. </w:t>
      </w:r>
      <w:r w:rsidRPr="00E81A8F">
        <w:rPr>
          <w:rFonts w:eastAsiaTheme="minorHAnsi"/>
        </w:rPr>
        <w:t xml:space="preserve"> </w:t>
      </w:r>
    </w:p>
    <w:p w:rsidR="003D16D1" w:rsidP="003E0A51" w14:paraId="000B45A6" w14:textId="77777777">
      <w:pPr>
        <w:rPr>
          <w:rFonts w:eastAsiaTheme="minorHAnsi" w:cstheme="minorBidi"/>
          <w:szCs w:val="22"/>
        </w:rPr>
      </w:pPr>
      <w:bookmarkStart w:id="0" w:name="_Hlk142999472"/>
    </w:p>
    <w:bookmarkEnd w:id="0"/>
    <w:p w:rsidR="00FF5169" w:rsidRPr="002E081C" w14:paraId="143ED446" w14:textId="20D793B2">
      <w:pPr>
        <w:pStyle w:val="ListParagraph"/>
        <w:numPr>
          <w:ilvl w:val="0"/>
          <w:numId w:val="12"/>
        </w:numPr>
      </w:pPr>
      <w:r w:rsidRPr="002E081C">
        <w:t>Hemovigilance Module Monthly Incident Summary (57.302)</w:t>
      </w:r>
    </w:p>
    <w:p w:rsidR="002E081C" w:rsidRPr="002E081C" w:rsidP="002E081C" w14:paraId="249B9A92" w14:textId="77777777">
      <w:pPr>
        <w:pStyle w:val="ListParagraph"/>
        <w:numPr>
          <w:ilvl w:val="0"/>
          <w:numId w:val="12"/>
        </w:numPr>
        <w:tabs>
          <w:tab w:val="left" w:pos="5220"/>
        </w:tabs>
      </w:pPr>
      <w:r w:rsidRPr="002E081C">
        <w:t>Hemovigilance Module Adverse Reaction Transfusion Associated Circulatory Overload (57.318)</w:t>
      </w:r>
    </w:p>
    <w:p w:rsidR="002E081C" w14:paraId="57FD1F03" w14:textId="3AE9EB0D">
      <w:pPr>
        <w:pStyle w:val="ListParagraph"/>
        <w:numPr>
          <w:ilvl w:val="0"/>
          <w:numId w:val="12"/>
        </w:numPr>
      </w:pPr>
      <w:r>
        <w:t xml:space="preserve">Long Term Care (LTC) Module </w:t>
      </w:r>
      <w:r w:rsidRPr="00876DF8">
        <w:t>Monthly</w:t>
      </w:r>
      <w:r>
        <w:t xml:space="preserve"> </w:t>
      </w:r>
      <w:r w:rsidRPr="00876DF8">
        <w:t>Report</w:t>
      </w:r>
      <w:r>
        <w:t xml:space="preserve">ing </w:t>
      </w:r>
      <w:r w:rsidRPr="00876DF8">
        <w:t>Pla</w:t>
      </w:r>
      <w:r>
        <w:t>n</w:t>
      </w:r>
      <w:r w:rsidR="00DA52A4">
        <w:t xml:space="preserve"> for LTCF</w:t>
      </w:r>
      <w:r>
        <w:t xml:space="preserve"> (57.141)</w:t>
      </w:r>
    </w:p>
    <w:p w:rsidR="00876DF8" w14:paraId="7F3F30DA" w14:textId="0AD661D5">
      <w:pPr>
        <w:pStyle w:val="ListParagraph"/>
        <w:numPr>
          <w:ilvl w:val="0"/>
          <w:numId w:val="12"/>
        </w:numPr>
      </w:pPr>
      <w:r>
        <w:t xml:space="preserve">Long Term Care (LTC) Respiratory Pathogens Event Module </w:t>
      </w:r>
      <w:r w:rsidRPr="00876DF8">
        <w:t>Denominator</w:t>
      </w:r>
      <w:r>
        <w:t xml:space="preserve"> Form (57.142)</w:t>
      </w:r>
    </w:p>
    <w:p w:rsidR="00876DF8" w:rsidRPr="002E081C" w14:paraId="3632EB5E" w14:textId="30483647">
      <w:pPr>
        <w:pStyle w:val="ListParagraph"/>
        <w:numPr>
          <w:ilvl w:val="0"/>
          <w:numId w:val="12"/>
        </w:numPr>
      </w:pPr>
      <w:r>
        <w:t>Long Term Care (LTC) Respiratory Pathogens Event Module  Resident Respiratory Pathogens Event Form (57.144)</w:t>
      </w:r>
    </w:p>
    <w:p w:rsidR="00F714F8" w:rsidP="002425EB" w14:paraId="474B594B" w14:textId="01FC1369">
      <w:pPr>
        <w:rPr>
          <w:rFonts w:eastAsiaTheme="minorHAnsi" w:cstheme="minorBidi"/>
          <w:szCs w:val="22"/>
        </w:rPr>
      </w:pPr>
    </w:p>
    <w:p w:rsidR="00CE0BF2" w:rsidP="002425EB" w14:paraId="0CDB0737" w14:textId="70DBA3F4">
      <w:pPr>
        <w:rPr>
          <w:rFonts w:eastAsiaTheme="minorHAnsi" w:cstheme="minorBidi"/>
          <w:szCs w:val="22"/>
        </w:rPr>
      </w:pPr>
      <w:r>
        <w:rPr>
          <w:rFonts w:eastAsiaTheme="minorHAnsi" w:cstheme="minorBidi"/>
          <w:szCs w:val="22"/>
        </w:rPr>
        <w:t>CDC NHSN is requesting an expedited review of this Change Memo</w:t>
      </w:r>
      <w:r w:rsidR="00616BF1">
        <w:rPr>
          <w:rFonts w:eastAsiaTheme="minorHAnsi" w:cstheme="minorBidi"/>
          <w:szCs w:val="22"/>
        </w:rPr>
        <w:t xml:space="preserve"> by </w:t>
      </w:r>
      <w:r w:rsidR="007413B7">
        <w:rPr>
          <w:rFonts w:eastAsiaTheme="minorHAnsi" w:cstheme="minorBidi"/>
          <w:szCs w:val="22"/>
        </w:rPr>
        <w:t>March 1</w:t>
      </w:r>
      <w:r w:rsidR="00616BF1">
        <w:rPr>
          <w:rFonts w:eastAsiaTheme="minorHAnsi" w:cstheme="minorBidi"/>
          <w:szCs w:val="22"/>
        </w:rPr>
        <w:t>, 2024</w:t>
      </w:r>
      <w:r>
        <w:rPr>
          <w:rFonts w:eastAsiaTheme="minorHAnsi" w:cstheme="minorBidi"/>
          <w:szCs w:val="22"/>
        </w:rPr>
        <w:t xml:space="preserve">, as the Hemovigilance Module Team is looking to publish data collected under the </w:t>
      </w:r>
      <w:r w:rsidRPr="002E081C">
        <w:t xml:space="preserve">Hemovigilance Module Monthly Incident Summary </w:t>
      </w:r>
      <w:r>
        <w:rPr>
          <w:rFonts w:eastAsiaTheme="minorHAnsi" w:cstheme="minorBidi"/>
          <w:szCs w:val="22"/>
        </w:rPr>
        <w:t xml:space="preserve">form (57.302).  </w:t>
      </w:r>
    </w:p>
    <w:p w:rsidR="001D18B4" w:rsidP="002425EB" w14:paraId="544D7853" w14:textId="77777777">
      <w:pPr>
        <w:rPr>
          <w:rFonts w:eastAsiaTheme="minorHAnsi" w:cstheme="minorBidi"/>
          <w:szCs w:val="22"/>
        </w:rPr>
      </w:pPr>
    </w:p>
    <w:p w:rsidR="00992A93" w:rsidRPr="002B16D1" w:rsidP="00992A93" w14:paraId="5384D173" w14:textId="77777777">
      <w:pPr>
        <w:pStyle w:val="NoSpacing"/>
        <w:spacing w:after="200" w:line="276" w:lineRule="auto"/>
      </w:pPr>
      <w:r>
        <w:rPr>
          <w:rFonts w:eastAsiaTheme="minorHAnsi" w:cstheme="minorBidi"/>
          <w:szCs w:val="22"/>
        </w:rPr>
        <w:t xml:space="preserve">The </w:t>
      </w:r>
      <w:r w:rsidR="00AA46C0">
        <w:rPr>
          <w:rFonts w:eastAsiaTheme="minorHAnsi" w:cstheme="minorBidi"/>
          <w:szCs w:val="22"/>
        </w:rPr>
        <w:t xml:space="preserve">changes to the </w:t>
      </w:r>
      <w:r>
        <w:rPr>
          <w:rFonts w:eastAsiaTheme="minorHAnsi" w:cstheme="minorBidi"/>
          <w:szCs w:val="22"/>
        </w:rPr>
        <w:t>form</w:t>
      </w:r>
      <w:r w:rsidR="00AA46C0">
        <w:rPr>
          <w:rFonts w:eastAsiaTheme="minorHAnsi" w:cstheme="minorBidi"/>
          <w:szCs w:val="22"/>
        </w:rPr>
        <w:t>s</w:t>
      </w:r>
      <w:r w:rsidR="003E0A51">
        <w:rPr>
          <w:rFonts w:eastAsiaTheme="minorHAnsi" w:cstheme="minorBidi"/>
          <w:szCs w:val="22"/>
        </w:rPr>
        <w:t xml:space="preserve"> and associated burden are described below.</w:t>
      </w:r>
      <w:r>
        <w:rPr>
          <w:rFonts w:eastAsiaTheme="minorHAnsi" w:cstheme="minorBidi"/>
          <w:szCs w:val="22"/>
        </w:rPr>
        <w:t xml:space="preserve">  The changes are minor and do not constitute more than a 10% change to the original OMB package.  </w:t>
      </w: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allows healthcare facilities to track blood safety errors and various HAI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992A93" w:rsidP="00992A93" w14:paraId="143004E5" w14:textId="77777777">
      <w:r w:rsidRPr="00DE0BA1">
        <w:t xml:space="preserve">Under the Biovigilance Component, data on adverse reactions and incidents associated with blood transfusions are </w:t>
      </w:r>
      <w:r>
        <w:t>reported and analyzed</w:t>
      </w:r>
      <w:r w:rsidRPr="00DE0BA1">
        <w:t xml:space="preserve"> to provide national estimates of ad</w:t>
      </w:r>
      <w:r>
        <w:t xml:space="preserve">verse reactions and incidents. </w:t>
      </w:r>
    </w:p>
    <w:p w:rsidR="00992A93" w:rsidP="00992A93" w14:paraId="790F736D" w14:textId="77777777"/>
    <w:p w:rsidR="00992A93" w:rsidP="00992A93" w14:paraId="1138717A" w14:textId="6459CC5A">
      <w:pPr>
        <w:rPr>
          <w:rFonts w:cs="Courier New"/>
        </w:rPr>
      </w:pPr>
      <w:r>
        <w:t>Under t</w:t>
      </w:r>
      <w:r w:rsidRPr="00DE0BA1">
        <w:t xml:space="preserve">he Long-Term Care </w:t>
      </w:r>
      <w:r w:rsidRPr="00075486">
        <w:rPr>
          <w:noProof/>
        </w:rPr>
        <w:t>Facility</w:t>
      </w:r>
      <w:r w:rsidRPr="00DE0BA1">
        <w:t xml:space="preserve"> Component</w:t>
      </w:r>
      <w:r>
        <w:t xml:space="preserve"> (LTCF),</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have been created by using forms from the</w:t>
      </w:r>
      <w:r>
        <w:t xml:space="preserve"> Patient Safety </w:t>
      </w:r>
      <w:r w:rsidRPr="00DE0BA1">
        <w:t xml:space="preserve">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3E0A51" w:rsidP="002425EB" w14:paraId="0CEEBD85" w14:textId="3D661635">
      <w:pPr>
        <w:rPr>
          <w:rFonts w:eastAsiaTheme="minorHAnsi" w:cstheme="minorBidi"/>
          <w:szCs w:val="22"/>
        </w:rPr>
      </w:pPr>
    </w:p>
    <w:p w:rsidR="00992A93" w:rsidRPr="00713649" w:rsidP="002425EB" w14:paraId="1FAF1125" w14:textId="77777777">
      <w:pPr>
        <w:rPr>
          <w:rFonts w:eastAsiaTheme="minorHAnsi" w:cstheme="minorBidi"/>
          <w:szCs w:val="22"/>
        </w:rPr>
      </w:pPr>
    </w:p>
    <w:p w:rsidR="002540C4" w:rsidP="002540C4" w14:paraId="4963B0F1" w14:textId="31F33CF7">
      <w:pPr>
        <w:rPr>
          <w:rFonts w:eastAsiaTheme="minorHAnsi" w:cstheme="minorBidi"/>
          <w:szCs w:val="22"/>
        </w:rPr>
      </w:pPr>
    </w:p>
    <w:p w:rsidR="005F52BE" w:rsidP="005F52BE" w14:paraId="5E0877F8" w14:textId="06634AB7">
      <w:pPr>
        <w:rPr>
          <w:b/>
          <w:bCs/>
          <w:u w:val="single"/>
        </w:rPr>
      </w:pPr>
      <w:r w:rsidRPr="00644B00">
        <w:rPr>
          <w:b/>
          <w:bCs/>
          <w:u w:val="single"/>
        </w:rPr>
        <w:t>Hemovigilance Module Monthly Incident Summary (57.302)</w:t>
      </w:r>
    </w:p>
    <w:p w:rsidR="002E081C" w:rsidP="002E081C" w14:paraId="02638DDB" w14:textId="77777777">
      <w:pPr>
        <w:tabs>
          <w:tab w:val="left" w:pos="5220"/>
        </w:tabs>
      </w:pPr>
    </w:p>
    <w:p w:rsidR="002E081C" w:rsidRPr="00C13D07" w:rsidP="00522802" w14:paraId="723119BB" w14:textId="6B3801E1">
      <w:pPr>
        <w:pStyle w:val="ListParagraph"/>
        <w:numPr>
          <w:ilvl w:val="0"/>
          <w:numId w:val="40"/>
        </w:numPr>
        <w:tabs>
          <w:tab w:val="left" w:pos="5220"/>
        </w:tabs>
      </w:pPr>
      <w:r>
        <w:t>The Hemovigilance Module Monthly Incident Summary form 57.302 was in</w:t>
      </w:r>
      <w:r w:rsidR="00273CFE">
        <w:t>ad</w:t>
      </w:r>
      <w:r>
        <w:t>verte</w:t>
      </w:r>
      <w:r w:rsidR="00BA219E">
        <w:t>nt</w:t>
      </w:r>
      <w:r>
        <w:t xml:space="preserve">ly overlooked and was not included in the 2023 NHSN </w:t>
      </w:r>
      <w:r w:rsidR="009C0B63">
        <w:t xml:space="preserve">Revision </w:t>
      </w:r>
      <w:r>
        <w:t xml:space="preserve">Package </w:t>
      </w:r>
      <w:r w:rsidR="008510D4">
        <w:t xml:space="preserve">for </w:t>
      </w:r>
      <w:r>
        <w:t>0920-0666.</w:t>
      </w:r>
      <w:r w:rsidR="00622FCA">
        <w:t xml:space="preserve">  The data collection form is being submitted for approval.  This form provides national surveillance for the tracking of transfusion-related incidents/errors.  </w:t>
      </w:r>
    </w:p>
    <w:p w:rsidR="00596B54" w:rsidRPr="00C13D07" w:rsidP="002E081C" w14:paraId="1F21E89B" w14:textId="77777777">
      <w:pPr>
        <w:tabs>
          <w:tab w:val="left" w:pos="5220"/>
        </w:tabs>
      </w:pPr>
    </w:p>
    <w:p w:rsidR="00C13D07" w:rsidP="002E081C" w14:paraId="285F122D" w14:textId="77777777">
      <w:pPr>
        <w:tabs>
          <w:tab w:val="left" w:pos="5220"/>
        </w:tabs>
      </w:pPr>
    </w:p>
    <w:p w:rsidR="00C13D07" w:rsidP="001B17B6" w14:paraId="7CEBB1D5" w14:textId="22FD223A">
      <w:r w:rsidRPr="007C148A">
        <w:rPr>
          <w:b/>
          <w:bCs/>
        </w:rPr>
        <w:t>Justification</w:t>
      </w:r>
      <w:r w:rsidRPr="007C148A">
        <w:t xml:space="preserve">: </w:t>
      </w:r>
    </w:p>
    <w:p w:rsidR="00C13D07" w:rsidRPr="00C13D07" w:rsidP="00522802" w14:paraId="1C4BCCD1" w14:textId="3EE69428">
      <w:pPr>
        <w:pStyle w:val="ListParagraph"/>
        <w:numPr>
          <w:ilvl w:val="0"/>
          <w:numId w:val="41"/>
        </w:numPr>
        <w:tabs>
          <w:tab w:val="left" w:pos="5220"/>
        </w:tabs>
      </w:pPr>
      <w:r>
        <w:t xml:space="preserve">The form is being submitted in this change </w:t>
      </w:r>
      <w:r w:rsidRPr="00C13D07">
        <w:t>memo for approval, so that the important data collection on transfusion</w:t>
      </w:r>
      <w:r w:rsidR="00622FCA">
        <w:t>-related errors</w:t>
      </w:r>
      <w:r w:rsidRPr="00C13D07">
        <w:t xml:space="preserve"> that occur in hospitalized patients will be tracked at a national level.  </w:t>
      </w:r>
    </w:p>
    <w:p w:rsidR="00522802" w:rsidP="00522802" w14:paraId="0DDBB1BA" w14:textId="77777777"/>
    <w:p w:rsidR="001B17B6" w:rsidP="00522802" w14:paraId="28DD990D" w14:textId="613C5C75">
      <w:r w:rsidRPr="00E844DE">
        <w:rPr>
          <w:b/>
          <w:bCs/>
        </w:rPr>
        <w:t>Time Burden</w:t>
      </w:r>
      <w:r w:rsidRPr="00F1358C">
        <w:rPr>
          <w:b/>
          <w:bCs/>
        </w:rPr>
        <w:t xml:space="preserve">: </w:t>
      </w:r>
      <w:r w:rsidRPr="00295BE2">
        <w:t>estimate</w:t>
      </w:r>
      <w:r>
        <w:t xml:space="preserve"> 30</w:t>
      </w:r>
      <w:r w:rsidRPr="00295BE2">
        <w:t xml:space="preserve"> minutes to complete the </w:t>
      </w:r>
      <w:r w:rsidRPr="00295BE2" w:rsidR="008F4EC2">
        <w:t>form.</w:t>
      </w:r>
    </w:p>
    <w:p w:rsidR="002E081C" w:rsidP="002E081C" w14:paraId="4CE064BB" w14:textId="77777777">
      <w:pPr>
        <w:tabs>
          <w:tab w:val="left" w:pos="5220"/>
        </w:tabs>
        <w:rPr>
          <w:b/>
          <w:bCs/>
          <w:u w:val="single"/>
        </w:rPr>
      </w:pPr>
    </w:p>
    <w:p w:rsidR="002E081C" w:rsidP="002E081C" w14:paraId="2C42830D" w14:textId="77777777">
      <w:pPr>
        <w:tabs>
          <w:tab w:val="left" w:pos="5220"/>
        </w:tabs>
        <w:rPr>
          <w:b/>
          <w:bCs/>
          <w:u w:val="single"/>
        </w:rPr>
      </w:pPr>
    </w:p>
    <w:p w:rsidR="002E081C" w:rsidRPr="00EF7DDF" w:rsidP="002E081C" w14:paraId="1B795041" w14:textId="5062A545">
      <w:pPr>
        <w:tabs>
          <w:tab w:val="left" w:pos="5220"/>
        </w:tabs>
        <w:rPr>
          <w:b/>
          <w:bCs/>
          <w:u w:val="single"/>
        </w:rPr>
      </w:pPr>
      <w:r w:rsidRPr="00EF7DDF">
        <w:rPr>
          <w:b/>
          <w:bCs/>
          <w:u w:val="single"/>
        </w:rPr>
        <w:t>Hemovigilance Module Adverse Reaction Transfusion Associated Circulatory Overload (57.318)</w:t>
      </w:r>
    </w:p>
    <w:p w:rsidR="002E081C" w:rsidRPr="00EF7DDF" w:rsidP="005F52BE" w14:paraId="36ABBFCA" w14:textId="77777777">
      <w:pPr>
        <w:rPr>
          <w:b/>
          <w:bCs/>
          <w:u w:val="single"/>
        </w:rPr>
      </w:pPr>
    </w:p>
    <w:p w:rsidR="00EF7DDF" w:rsidP="00522802" w14:paraId="0A9C6E29" w14:textId="5831CBB7">
      <w:pPr>
        <w:pStyle w:val="ListParagraph"/>
        <w:numPr>
          <w:ilvl w:val="0"/>
          <w:numId w:val="38"/>
        </w:numPr>
      </w:pPr>
      <w:r w:rsidRPr="00EF7DDF">
        <w:t>The Hemovigilance Module Adverse Reaction Transfusion Associated Circulatory Overload</w:t>
      </w:r>
      <w:r w:rsidRPr="00522802">
        <w:rPr>
          <w:b/>
          <w:bCs/>
          <w:u w:val="single"/>
        </w:rPr>
        <w:t xml:space="preserve"> </w:t>
      </w:r>
      <w:r w:rsidRPr="00EF7DDF">
        <w:t>Data collection form</w:t>
      </w:r>
      <w:r w:rsidR="0093499F">
        <w:t xml:space="preserve"> did not include the </w:t>
      </w:r>
      <w:r w:rsidRPr="00EF7DDF">
        <w:t xml:space="preserve"> </w:t>
      </w:r>
      <w:r w:rsidRPr="00EF7DDF" w:rsidR="0093499F">
        <w:t xml:space="preserve">approved update from the </w:t>
      </w:r>
      <w:r w:rsidR="0093499F">
        <w:t xml:space="preserve">2023 NHSN Revision Package </w:t>
      </w:r>
      <w:r w:rsidRPr="00EF7DDF" w:rsidR="0093499F">
        <w:t>for the addition of Sex at Birth and Gender Identity</w:t>
      </w:r>
      <w:r w:rsidR="006E1629">
        <w:t xml:space="preserve"> questions</w:t>
      </w:r>
      <w:r w:rsidR="00277547">
        <w:t xml:space="preserve">. This </w:t>
      </w:r>
      <w:r w:rsidRPr="00EF7DDF">
        <w:t>was in</w:t>
      </w:r>
      <w:r w:rsidR="00277547">
        <w:t>ad</w:t>
      </w:r>
      <w:r w:rsidRPr="00EF7DDF">
        <w:t>verte</w:t>
      </w:r>
      <w:r w:rsidR="00277547">
        <w:t>nt</w:t>
      </w:r>
      <w:r w:rsidRPr="00EF7DDF">
        <w:t xml:space="preserve">ly overlooked and </w:t>
      </w:r>
      <w:r w:rsidRPr="00EF7DDF">
        <w:t xml:space="preserve">was not included on this form.  </w:t>
      </w:r>
    </w:p>
    <w:p w:rsidR="003F34CE" w:rsidP="003F34CE" w14:paraId="7893B305" w14:textId="77777777">
      <w:pPr>
        <w:pStyle w:val="ListParagraph"/>
        <w:ind w:left="360"/>
      </w:pPr>
    </w:p>
    <w:p w:rsidR="00EF7DDF" w:rsidP="00522802" w14:paraId="09FCBA90" w14:textId="4440DD67">
      <w:pPr>
        <w:pStyle w:val="ListParagraph"/>
        <w:numPr>
          <w:ilvl w:val="0"/>
          <w:numId w:val="38"/>
        </w:numPr>
      </w:pPr>
      <w:r>
        <w:t xml:space="preserve">The time to report new onset or exacerbation of transfusion associated circulatory overload symptoms after cessation of the transfusion increased from 6 hours to 12 hours.  </w:t>
      </w:r>
    </w:p>
    <w:p w:rsidR="00622FCA" w:rsidP="00D33EE8" w14:paraId="477CFC63" w14:textId="77777777">
      <w:pPr>
        <w:rPr>
          <w:b/>
          <w:bCs/>
        </w:rPr>
      </w:pPr>
    </w:p>
    <w:p w:rsidR="00EF7DDF" w:rsidP="00D33EE8" w14:paraId="21EC1A19" w14:textId="2C9ABE22">
      <w:r w:rsidRPr="007C148A">
        <w:rPr>
          <w:b/>
          <w:bCs/>
        </w:rPr>
        <w:t>Justification</w:t>
      </w:r>
      <w:r w:rsidRPr="007C148A">
        <w:t xml:space="preserve">: </w:t>
      </w:r>
    </w:p>
    <w:p w:rsidR="00522802" w:rsidRPr="00522802" w:rsidP="00522802" w14:paraId="7621A887" w14:textId="77777777">
      <w:pPr>
        <w:pStyle w:val="ListParagraph"/>
        <w:numPr>
          <w:ilvl w:val="0"/>
          <w:numId w:val="39"/>
        </w:numPr>
        <w:rPr>
          <w:b/>
          <w:bCs/>
        </w:rPr>
      </w:pPr>
      <w:r w:rsidRPr="00EF7DDF">
        <w:t>D</w:t>
      </w:r>
      <w:r w:rsidRPr="00EF7DDF" w:rsidR="00D33EE8">
        <w:t>emographic characteristics such as gender identity is a critical component for understanding and addressing disparities and improving the health and well-being for gender diverse populations. Collecting these data will afford facilities the opportunity to include information on gender identity into their internal quality improvement and HAI prevention efforts.</w:t>
      </w:r>
    </w:p>
    <w:p w:rsidR="00522802" w:rsidP="00522802" w14:paraId="53D0371E" w14:textId="77777777">
      <w:pPr>
        <w:pStyle w:val="ListParagraph"/>
        <w:ind w:left="450"/>
      </w:pPr>
    </w:p>
    <w:p w:rsidR="00D33EE8" w:rsidRPr="00522802" w:rsidP="00522802" w14:paraId="4C5004B2" w14:textId="044B322A">
      <w:pPr>
        <w:pStyle w:val="ListParagraph"/>
        <w:ind w:left="450"/>
        <w:rPr>
          <w:b/>
          <w:bCs/>
        </w:rPr>
      </w:pPr>
      <w:r w:rsidRPr="00EF7DDF">
        <w:t>The current NHSN ‘Gender’ data field is intended to collect sex assigned at birth. However, the instructions do not specify the information being collected - sex assigned at birth vs. gender identity - and as such the data collected in the ‘Gender’ field may represent either of these concepts based on the respondent’s interpretation. This varied interpretation may lead to mismeasurement in the data among individuals for whom sex assigned at birth and gender identity differs. To improve accuracy in measurement of these data, NHSN is transitioning to a two-</w:t>
      </w:r>
      <w:r w:rsidRPr="00E42BAF">
        <w:t>step approach to measuring gender by adding two new data collection fields – ‘Sex at Birth’ and ‘Gender Identity’ – that will replace the current ‘Gender’ field. The addition of these fields is intended to provide an opportunity to more clearly identify and better understand reported data that may be related to these concepts as well as more accurately address the unique needs in the LGBTQI+ population.</w:t>
      </w:r>
      <w:r w:rsidRPr="00522802">
        <w:rPr>
          <w:b/>
          <w:bCs/>
        </w:rPr>
        <w:t xml:space="preserve"> </w:t>
      </w:r>
      <w:r w:rsidRPr="00E42BAF">
        <w:t xml:space="preserve">In response to the increased and appropriate shift to focus on health equity and informed decisions for all populations, it is a Division of Healthcare Quality Promotion (DHQP) priority to improve collection of data that will move this priority forward. </w:t>
      </w:r>
    </w:p>
    <w:p w:rsidR="00622FCA" w:rsidRPr="00E42BAF" w:rsidP="00D33EE8" w14:paraId="6979D2FD" w14:textId="77777777"/>
    <w:p w:rsidR="00522802" w:rsidRPr="00522802" w:rsidP="005F52BE" w14:paraId="41C75E7D" w14:textId="6E90D8DB">
      <w:pPr>
        <w:pStyle w:val="ListParagraph"/>
        <w:numPr>
          <w:ilvl w:val="0"/>
          <w:numId w:val="39"/>
        </w:numPr>
        <w:rPr>
          <w:rStyle w:val="Hyperlink"/>
          <w:color w:val="000000"/>
          <w:u w:val="none"/>
        </w:rPr>
      </w:pPr>
      <w:r w:rsidRPr="00522802">
        <w:rPr>
          <w:color w:val="000000"/>
        </w:rPr>
        <w:t xml:space="preserve">The criteria to define a transfusion-associated circulatory overload was </w:t>
      </w:r>
      <w:r w:rsidRPr="00522802" w:rsidR="00E42BAF">
        <w:rPr>
          <w:color w:val="000000"/>
        </w:rPr>
        <w:t xml:space="preserve">increased from 6 hours to 12 hours </w:t>
      </w:r>
      <w:r w:rsidRPr="00522802">
        <w:rPr>
          <w:color w:val="000000"/>
        </w:rPr>
        <w:t xml:space="preserve">in 2018. </w:t>
      </w:r>
      <w:r w:rsidR="00992A93">
        <w:rPr>
          <w:color w:val="000000"/>
        </w:rPr>
        <w:t xml:space="preserve">The change does not affect data collection burden, the update is related to the clinical time in which the patient is being observed after transfusion to report </w:t>
      </w:r>
      <w:r w:rsidR="00992A93">
        <w:t>new onset or exacerbation of transfusion associated circulatory overload symptoms</w:t>
      </w:r>
      <w:r w:rsidR="003B2779">
        <w:t xml:space="preserve"> in the patient’s medical record.  The data collection form is being updated to match what is happening clinically and to </w:t>
      </w:r>
      <w:r w:rsidRPr="00522802" w:rsidR="00E42BAF">
        <w:rPr>
          <w:color w:val="000000"/>
        </w:rPr>
        <w:t xml:space="preserve"> </w:t>
      </w:r>
      <w:r w:rsidRPr="00522802">
        <w:rPr>
          <w:color w:val="000000"/>
        </w:rPr>
        <w:t>align the</w:t>
      </w:r>
      <w:r w:rsidRPr="00522802" w:rsidR="00E42BAF">
        <w:rPr>
          <w:color w:val="000000"/>
        </w:rPr>
        <w:t xml:space="preserve"> CDC</w:t>
      </w:r>
      <w:r w:rsidRPr="00522802">
        <w:rPr>
          <w:color w:val="000000"/>
        </w:rPr>
        <w:t xml:space="preserve"> NHSN criteria for </w:t>
      </w:r>
      <w:r w:rsidRPr="00E42BAF" w:rsidR="00E42BAF">
        <w:t>Transfusion Associated Circulatory Overload</w:t>
      </w:r>
      <w:r w:rsidRPr="00522802" w:rsidR="00E42BAF">
        <w:rPr>
          <w:color w:val="000000"/>
        </w:rPr>
        <w:t xml:space="preserve"> </w:t>
      </w:r>
      <w:r w:rsidRPr="00522802">
        <w:rPr>
          <w:color w:val="000000"/>
        </w:rPr>
        <w:t>with the</w:t>
      </w:r>
      <w:r w:rsidRPr="00522802" w:rsidR="00E42BAF">
        <w:rPr>
          <w:color w:val="2A2A2A"/>
          <w:shd w:val="clear" w:color="auto" w:fill="FFFFFF"/>
        </w:rPr>
        <w:t xml:space="preserve"> International Society of Blood Transfusion</w:t>
      </w:r>
      <w:r w:rsidRPr="00522802">
        <w:rPr>
          <w:color w:val="000000"/>
        </w:rPr>
        <w:t xml:space="preserve"> </w:t>
      </w:r>
      <w:r w:rsidRPr="00522802" w:rsidR="00E42BAF">
        <w:rPr>
          <w:color w:val="000000"/>
        </w:rPr>
        <w:t>(</w:t>
      </w:r>
      <w:r w:rsidRPr="00522802">
        <w:rPr>
          <w:color w:val="000000"/>
        </w:rPr>
        <w:t>ISBT</w:t>
      </w:r>
      <w:r w:rsidRPr="00522802" w:rsidR="00E42BAF">
        <w:rPr>
          <w:color w:val="000000"/>
        </w:rPr>
        <w:t>)</w:t>
      </w:r>
      <w:r w:rsidRPr="00522802">
        <w:rPr>
          <w:color w:val="000000"/>
        </w:rPr>
        <w:t xml:space="preserve">, </w:t>
      </w:r>
      <w:r w:rsidRPr="00522802" w:rsidR="00E42BAF">
        <w:rPr>
          <w:color w:val="2A2A2A"/>
          <w:shd w:val="clear" w:color="auto" w:fill="FFFFFF"/>
        </w:rPr>
        <w:t>International Haemovigilance Network (IHN)</w:t>
      </w:r>
      <w:r w:rsidRPr="00522802">
        <w:rPr>
          <w:color w:val="000000"/>
        </w:rPr>
        <w:t xml:space="preserve">, and </w:t>
      </w:r>
      <w:r w:rsidRPr="00522802" w:rsidR="00E42BAF">
        <w:rPr>
          <w:color w:val="2A2A2A"/>
          <w:shd w:val="clear" w:color="auto" w:fill="FFFFFF"/>
        </w:rPr>
        <w:t>American Association of Blood Banks</w:t>
      </w:r>
      <w:r w:rsidRPr="00522802" w:rsidR="00E42BAF">
        <w:rPr>
          <w:color w:val="000000"/>
        </w:rPr>
        <w:t xml:space="preserve"> (</w:t>
      </w:r>
      <w:r w:rsidRPr="00522802">
        <w:rPr>
          <w:color w:val="000000"/>
        </w:rPr>
        <w:t>AABB</w:t>
      </w:r>
      <w:r w:rsidRPr="00522802" w:rsidR="00E42BAF">
        <w:rPr>
          <w:color w:val="000000"/>
        </w:rPr>
        <w:t>)</w:t>
      </w:r>
      <w:r w:rsidRPr="00522802">
        <w:rPr>
          <w:color w:val="000000"/>
        </w:rPr>
        <w:t xml:space="preserve"> definition. </w:t>
      </w:r>
      <w:hyperlink r:id="rId9" w:history="1">
        <w:r w:rsidRPr="00E42BAF" w:rsidR="00E42BAF">
          <w:rPr>
            <w:rStyle w:val="Hyperlink"/>
          </w:rPr>
          <w:t>https://academic.oup.com/ajcp/article/156/4/529/6210494</w:t>
        </w:r>
      </w:hyperlink>
    </w:p>
    <w:p w:rsidR="00522802" w:rsidP="00522802" w14:paraId="1F798275" w14:textId="77777777">
      <w:pPr>
        <w:pStyle w:val="ListParagraph"/>
        <w:ind w:left="450"/>
        <w:rPr>
          <w:rStyle w:val="Hyperlink"/>
        </w:rPr>
      </w:pPr>
    </w:p>
    <w:p w:rsidR="002E081C" w:rsidRPr="00522802" w:rsidP="00522802" w14:paraId="18278E0C" w14:textId="1880C7B1">
      <w:pPr>
        <w:pStyle w:val="ListParagraph"/>
        <w:ind w:left="450"/>
        <w:rPr>
          <w:color w:val="000000"/>
        </w:rPr>
      </w:pPr>
      <w:r w:rsidRPr="00522802">
        <w:rPr>
          <w:color w:val="2A2A2A"/>
          <w:shd w:val="clear" w:color="auto" w:fill="FFFFFF"/>
        </w:rPr>
        <w:t>Reference:  Tayler A van den Akker, Zachary M Grimes, Mark T Friedman, Transfusion-Associated Circulatory Overload and Transfusion-Related Acute Lung Injury: A Review of Underreported Entities With Current Updates, </w:t>
      </w:r>
      <w:r w:rsidRPr="00522802">
        <w:rPr>
          <w:i/>
          <w:iCs/>
          <w:color w:val="2A2A2A"/>
          <w:bdr w:val="none" w:sz="0" w:space="0" w:color="auto" w:frame="1"/>
          <w:shd w:val="clear" w:color="auto" w:fill="FFFFFF"/>
        </w:rPr>
        <w:t>American Journal of Clinical Pathology</w:t>
      </w:r>
      <w:r w:rsidRPr="00522802">
        <w:rPr>
          <w:color w:val="2A2A2A"/>
          <w:shd w:val="clear" w:color="auto" w:fill="FFFFFF"/>
        </w:rPr>
        <w:t>, Volume 156, Issue 4, October 2021, Pages 529–539, </w:t>
      </w:r>
      <w:hyperlink r:id="rId10" w:history="1">
        <w:r w:rsidRPr="00522802">
          <w:rPr>
            <w:color w:val="006FB7"/>
            <w:u w:val="single"/>
            <w:bdr w:val="none" w:sz="0" w:space="0" w:color="auto" w:frame="1"/>
            <w:shd w:val="clear" w:color="auto" w:fill="FFFFFF"/>
          </w:rPr>
          <w:t>https://doi.org/10.1093/ajcp/aqaa279</w:t>
        </w:r>
      </w:hyperlink>
    </w:p>
    <w:p w:rsidR="00522802" w:rsidP="00522802" w14:paraId="5C36E582" w14:textId="77777777">
      <w:pPr>
        <w:rPr>
          <w:b/>
          <w:bCs/>
        </w:rPr>
      </w:pPr>
      <w:bookmarkStart w:id="1" w:name="_Hlk144456429"/>
    </w:p>
    <w:p w:rsidR="00474EC9" w:rsidRPr="00E42BAF" w:rsidP="00522802" w14:paraId="60033596" w14:textId="0BB54E03">
      <w:r w:rsidRPr="00E42BAF">
        <w:rPr>
          <w:b/>
          <w:bCs/>
        </w:rPr>
        <w:t xml:space="preserve">Time Burden: </w:t>
      </w:r>
      <w:r w:rsidR="00992A93">
        <w:rPr>
          <w:b/>
          <w:bCs/>
        </w:rPr>
        <w:t xml:space="preserve">The change does not impact burden </w:t>
      </w:r>
      <w:r w:rsidRPr="00E42BAF">
        <w:t xml:space="preserve">estimate </w:t>
      </w:r>
      <w:r w:rsidR="00840B2D">
        <w:t xml:space="preserve">of </w:t>
      </w:r>
      <w:r w:rsidRPr="00E42BAF">
        <w:t xml:space="preserve">21 minutes to complete the </w:t>
      </w:r>
      <w:r w:rsidRPr="00E42BAF" w:rsidR="008F4EC2">
        <w:t>form.</w:t>
      </w:r>
      <w:r w:rsidR="00840B2D">
        <w:t xml:space="preserve">  The total burden for this collection instrument has been modified to reflect accurate estimates and changed from 350 hours to 56.</w:t>
      </w:r>
    </w:p>
    <w:bookmarkEnd w:id="1"/>
    <w:p w:rsidR="00EF7DDF" w:rsidP="00950B40" w14:paraId="71F29F53" w14:textId="77777777"/>
    <w:p w:rsidR="009F709E" w:rsidP="00950B40" w14:paraId="404DFF2A" w14:textId="77777777"/>
    <w:p w:rsidR="007D30EE" w:rsidRPr="007D30EE" w:rsidP="007D30EE" w14:paraId="76AEB126" w14:textId="57F86F73">
      <w:pPr>
        <w:rPr>
          <w:b/>
          <w:bCs/>
          <w:u w:val="single"/>
        </w:rPr>
      </w:pPr>
      <w:r w:rsidRPr="007D30EE">
        <w:rPr>
          <w:b/>
          <w:bCs/>
          <w:u w:val="single"/>
        </w:rPr>
        <w:t xml:space="preserve"> Monthly Reporting Plan</w:t>
      </w:r>
      <w:r w:rsidR="00DA52A4">
        <w:rPr>
          <w:b/>
          <w:bCs/>
          <w:u w:val="single"/>
        </w:rPr>
        <w:t xml:space="preserve"> for LTCF</w:t>
      </w:r>
      <w:r w:rsidRPr="007D30EE">
        <w:rPr>
          <w:b/>
          <w:bCs/>
          <w:u w:val="single"/>
        </w:rPr>
        <w:t xml:space="preserve"> (57.141)</w:t>
      </w:r>
    </w:p>
    <w:p w:rsidR="003D4C51" w:rsidP="007D30EE" w14:paraId="38CD1BBF" w14:textId="77777777"/>
    <w:p w:rsidR="005B0316" w:rsidRPr="000F41D0" w:rsidP="005B0316" w14:paraId="06AFC3D9" w14:textId="77777777">
      <w:pPr>
        <w:pStyle w:val="ListParagraph"/>
        <w:numPr>
          <w:ilvl w:val="0"/>
          <w:numId w:val="33"/>
        </w:numPr>
        <w:rPr>
          <w:color w:val="000000"/>
        </w:rPr>
      </w:pPr>
      <w:r>
        <w:rPr>
          <w:color w:val="000000"/>
        </w:rPr>
        <w:t xml:space="preserve">An option was added to allow </w:t>
      </w:r>
      <w:r w:rsidRPr="000F41D0">
        <w:rPr>
          <w:color w:val="000000"/>
        </w:rPr>
        <w:t>facilities to select Respiratory Pathogens as part of their Monthly Reporting Plan</w:t>
      </w:r>
      <w:r>
        <w:rPr>
          <w:color w:val="000000"/>
        </w:rPr>
        <w:t xml:space="preserve"> (i.e., </w:t>
      </w:r>
      <w:r>
        <w:t>COVID-19, RSV, and Flu)</w:t>
      </w:r>
      <w:r>
        <w:rPr>
          <w:color w:val="000000"/>
        </w:rPr>
        <w:t xml:space="preserve">. </w:t>
      </w:r>
    </w:p>
    <w:p w:rsidR="005B0316" w:rsidRPr="000F41D0" w:rsidP="005B0316" w14:paraId="1FF9002D" w14:textId="77777777"/>
    <w:p w:rsidR="00FC41DF" w:rsidRPr="00FC41DF" w:rsidP="00FC41DF" w14:paraId="3C760125" w14:textId="749F6D3A">
      <w:pPr>
        <w:pStyle w:val="ListParagraph"/>
        <w:numPr>
          <w:ilvl w:val="0"/>
          <w:numId w:val="33"/>
        </w:numPr>
      </w:pPr>
      <w:r w:rsidRPr="000F41D0">
        <w:rPr>
          <w:color w:val="000000"/>
        </w:rPr>
        <w:t>Updated title of “Healthcare Associated Infection (HAI)” section to “Urinary Tract Infection Event (UTI)”</w:t>
      </w:r>
    </w:p>
    <w:p w:rsidR="00927F42" w:rsidRPr="00F91230" w:rsidP="00F91230" w14:paraId="662B5007" w14:textId="59221E10">
      <w:pPr>
        <w:rPr>
          <w:color w:val="000000"/>
        </w:rPr>
      </w:pPr>
    </w:p>
    <w:p w:rsidR="00913E79" w:rsidRPr="00F91230" w:rsidP="00913E79" w14:paraId="709EE94B" w14:textId="3DD5FAB3">
      <w:pPr>
        <w:pStyle w:val="ListParagraph"/>
        <w:numPr>
          <w:ilvl w:val="0"/>
          <w:numId w:val="33"/>
        </w:numPr>
        <w:rPr>
          <w:color w:val="000000"/>
        </w:rPr>
      </w:pPr>
      <w:r>
        <w:t>Decreasing burden from 3297 to 2499</w:t>
      </w:r>
      <w:r w:rsidR="003F34CE">
        <w:t>.</w:t>
      </w:r>
    </w:p>
    <w:p w:rsidR="005B0316" w:rsidRPr="000F41D0" w:rsidP="005B0316" w14:paraId="441056FD" w14:textId="77777777">
      <w:pPr>
        <w:ind w:left="720"/>
      </w:pPr>
    </w:p>
    <w:p w:rsidR="005B0316" w:rsidRPr="000F41D0" w:rsidP="005B0316" w14:paraId="41E5F72F" w14:textId="77777777">
      <w:pPr>
        <w:rPr>
          <w:b/>
          <w:bCs/>
        </w:rPr>
      </w:pPr>
      <w:r w:rsidRPr="000F41D0">
        <w:rPr>
          <w:b/>
          <w:bCs/>
        </w:rPr>
        <w:t>Justification:</w:t>
      </w:r>
    </w:p>
    <w:p w:rsidR="005B0316" w:rsidRPr="000F41D0" w:rsidP="005B0316" w14:paraId="2E48A6A8" w14:textId="77777777">
      <w:pPr>
        <w:pStyle w:val="ListParagraph"/>
        <w:numPr>
          <w:ilvl w:val="0"/>
          <w:numId w:val="34"/>
        </w:numPr>
        <w:rPr>
          <w:color w:val="000000"/>
        </w:rPr>
      </w:pPr>
      <w:r w:rsidRPr="000F41D0">
        <w:rPr>
          <w:color w:val="000000"/>
        </w:rPr>
        <w:t>This will allow NHSN to understand the reporting frequency/cadence for this module as well as understand if the facility plans to report these data</w:t>
      </w:r>
      <w:r>
        <w:rPr>
          <w:color w:val="000000"/>
        </w:rPr>
        <w:t xml:space="preserve"> (i.e., </w:t>
      </w:r>
      <w:r>
        <w:t>COVID-19, RSV, and Flu)</w:t>
      </w:r>
      <w:r w:rsidRPr="000F41D0">
        <w:rPr>
          <w:color w:val="000000"/>
        </w:rPr>
        <w:t>. This also helps to understand if this facility will also need to submit summary data</w:t>
      </w:r>
      <w:r>
        <w:rPr>
          <w:color w:val="000000"/>
        </w:rPr>
        <w:t xml:space="preserve">. </w:t>
      </w:r>
    </w:p>
    <w:p w:rsidR="005B0316" w:rsidRPr="000F41D0" w:rsidP="005B0316" w14:paraId="342E5A0B" w14:textId="77777777"/>
    <w:p w:rsidR="005B0316" w:rsidRPr="00820684" w:rsidP="005B0316" w14:paraId="714117C2" w14:textId="77777777">
      <w:pPr>
        <w:pStyle w:val="ListParagraph"/>
        <w:numPr>
          <w:ilvl w:val="0"/>
          <w:numId w:val="34"/>
        </w:numPr>
      </w:pPr>
      <w:r w:rsidRPr="000F41D0">
        <w:t>Verbiage updates are needed to m</w:t>
      </w:r>
      <w:r w:rsidRPr="000F41D0">
        <w:rPr>
          <w:color w:val="000000"/>
        </w:rPr>
        <w:t>aintain consistency with other NHSN modules/pathways that use this language and enhance clarity for the users.</w:t>
      </w:r>
    </w:p>
    <w:p w:rsidR="00820684" w:rsidP="00820684" w14:paraId="1D2A8833" w14:textId="77777777">
      <w:pPr>
        <w:pStyle w:val="ListParagraph"/>
      </w:pPr>
    </w:p>
    <w:p w:rsidR="00820684" w:rsidRPr="000F41D0" w:rsidP="005B0316" w14:paraId="5ADE4C86" w14:textId="506C55C9">
      <w:pPr>
        <w:pStyle w:val="ListParagraph"/>
        <w:numPr>
          <w:ilvl w:val="0"/>
          <w:numId w:val="34"/>
        </w:numPr>
      </w:pPr>
      <w:r>
        <w:t>The Number of Respondents decreased from 1099 to 833 and the total burden decreased from 3297 to 2499.</w:t>
      </w:r>
    </w:p>
    <w:p w:rsidR="009F709E" w:rsidRPr="00E36BCA" w:rsidP="009F709E" w14:paraId="33467897" w14:textId="7C1E17BB">
      <w:pPr>
        <w:rPr>
          <w:b/>
          <w:bCs/>
        </w:rPr>
      </w:pPr>
    </w:p>
    <w:p w:rsidR="009F709E" w:rsidRPr="0093437C" w:rsidP="003D4C51" w14:paraId="36AD09DD" w14:textId="7E5CE39C">
      <w:r w:rsidRPr="00E844DE">
        <w:rPr>
          <w:b/>
          <w:bCs/>
        </w:rPr>
        <w:t>Time Burden</w:t>
      </w:r>
      <w:r w:rsidRPr="00F1358C">
        <w:rPr>
          <w:b/>
          <w:bCs/>
        </w:rPr>
        <w:t xml:space="preserve">: </w:t>
      </w:r>
      <w:r w:rsidRPr="0093437C" w:rsidR="0093437C">
        <w:t xml:space="preserve">15 minutes, </w:t>
      </w:r>
      <w:r w:rsidR="00BE3920">
        <w:t>no change, the Number of Respondents decreased from 1099 to 833</w:t>
      </w:r>
      <w:r w:rsidR="003B2779">
        <w:t xml:space="preserve"> and the total burden decreased from 3297 to 2499.</w:t>
      </w:r>
    </w:p>
    <w:p w:rsidR="009F709E" w:rsidP="009F709E" w14:paraId="246FBFB7" w14:textId="77777777">
      <w:pPr>
        <w:ind w:left="720"/>
      </w:pPr>
    </w:p>
    <w:p w:rsidR="007D30EE" w:rsidRPr="00522802" w:rsidP="007D30EE" w14:paraId="1EC19C42" w14:textId="77777777">
      <w:pPr>
        <w:rPr>
          <w:b/>
          <w:bCs/>
          <w:u w:val="single"/>
        </w:rPr>
      </w:pPr>
      <w:r w:rsidRPr="00522802">
        <w:rPr>
          <w:b/>
          <w:bCs/>
          <w:u w:val="single"/>
        </w:rPr>
        <w:t>Long Term Care (LTC) Respiratory Pathogens Event Module Denominator Form (57.142)</w:t>
      </w:r>
    </w:p>
    <w:p w:rsidR="003D4C51" w:rsidP="003D4C51" w14:paraId="6AF9C0F5" w14:textId="77777777"/>
    <w:p w:rsidR="005B0316" w:rsidRPr="00522802" w:rsidP="005B0316" w14:paraId="1B0D1DF6" w14:textId="4FA26F3F">
      <w:pPr>
        <w:pStyle w:val="ListParagraph"/>
        <w:numPr>
          <w:ilvl w:val="0"/>
          <w:numId w:val="35"/>
        </w:numPr>
      </w:pPr>
      <w:r w:rsidRPr="00522802">
        <w:rPr>
          <w:color w:val="000000"/>
        </w:rPr>
        <w:t>Adding a non-editable section to the NHSN application to display denominator data that will be populated from an existing module.</w:t>
      </w:r>
    </w:p>
    <w:p w:rsidR="007D30EE" w:rsidRPr="00522802" w:rsidP="007D30EE" w14:paraId="04BA98E3" w14:textId="77777777"/>
    <w:p w:rsidR="007D30EE" w:rsidRPr="00522802" w:rsidP="007D30EE" w14:paraId="78810105" w14:textId="36FC3644">
      <w:pPr>
        <w:rPr>
          <w:b/>
          <w:bCs/>
        </w:rPr>
      </w:pPr>
      <w:r w:rsidRPr="00522802">
        <w:rPr>
          <w:b/>
          <w:bCs/>
        </w:rPr>
        <w:t>Justification:</w:t>
      </w:r>
    </w:p>
    <w:p w:rsidR="003D4C51" w:rsidRPr="00522802" w:rsidP="00522802" w14:paraId="48977040" w14:textId="106E59D9">
      <w:pPr>
        <w:pStyle w:val="ListParagraph"/>
        <w:numPr>
          <w:ilvl w:val="0"/>
          <w:numId w:val="42"/>
        </w:numPr>
      </w:pPr>
      <w:r w:rsidRPr="00522802">
        <w:t xml:space="preserve">A non-editable section will be added to the NHSN application as a visual feature for the user. This section will be populated with data from an existing/approved module within the NHSN application. </w:t>
      </w:r>
    </w:p>
    <w:p w:rsidR="00522802" w:rsidRPr="00522802" w:rsidP="007D30EE" w14:paraId="7C49058F" w14:textId="77777777"/>
    <w:p w:rsidR="00252C38" w:rsidRPr="0093437C" w:rsidP="00252C38" w14:paraId="623FCFEE" w14:textId="6AE21485">
      <w:r w:rsidRPr="00522802">
        <w:rPr>
          <w:b/>
          <w:bCs/>
        </w:rPr>
        <w:t xml:space="preserve">Time Burden: </w:t>
      </w:r>
      <w:r w:rsidRPr="0093437C" w:rsidR="0093437C">
        <w:t>35 minutes, no change</w:t>
      </w:r>
      <w:r w:rsidRPr="00252C38">
        <w:t xml:space="preserve">, </w:t>
      </w:r>
      <w:r>
        <w:t xml:space="preserve">total burden increased from 4998 to 5005 as the Number of Respondents </w:t>
      </w:r>
      <w:r w:rsidR="001E65C1">
        <w:t>in</w:t>
      </w:r>
      <w:r>
        <w:t xml:space="preserve">creased from 714 to 715. </w:t>
      </w:r>
    </w:p>
    <w:p w:rsidR="007D30EE" w:rsidP="003D4C51" w14:paraId="120F0BF3" w14:textId="4518BBF2">
      <w:pPr>
        <w:rPr>
          <w:b/>
          <w:bCs/>
        </w:rPr>
      </w:pPr>
    </w:p>
    <w:p w:rsidR="00522802" w:rsidRPr="00522802" w:rsidP="003D4C51" w14:paraId="17570178" w14:textId="77777777"/>
    <w:p w:rsidR="007D30EE" w:rsidRPr="00522802" w:rsidP="007D30EE" w14:paraId="221E96EF" w14:textId="77777777"/>
    <w:p w:rsidR="007D30EE" w:rsidRPr="00522802" w:rsidP="007D30EE" w14:paraId="1F8E3C8A" w14:textId="154282E8">
      <w:pPr>
        <w:rPr>
          <w:b/>
          <w:bCs/>
          <w:u w:val="single"/>
        </w:rPr>
      </w:pPr>
      <w:r w:rsidRPr="00522802">
        <w:rPr>
          <w:b/>
          <w:bCs/>
          <w:u w:val="single"/>
        </w:rPr>
        <w:t>Long Term Care (LTC) Respiratory Pathogens Event Module Resident Respiratory Pathogens Event Form (57.144)</w:t>
      </w:r>
    </w:p>
    <w:p w:rsidR="003D4C51" w:rsidRPr="00522802" w:rsidP="007D30EE" w14:paraId="239ED7BF" w14:textId="77777777"/>
    <w:p w:rsidR="00522802" w:rsidP="00522802" w14:paraId="6E9A33BA" w14:textId="330559DE">
      <w:pPr>
        <w:pStyle w:val="ListParagraph"/>
        <w:numPr>
          <w:ilvl w:val="0"/>
          <w:numId w:val="37"/>
        </w:numPr>
        <w:ind w:left="360"/>
        <w:rPr>
          <w:color w:val="000000"/>
        </w:rPr>
      </w:pPr>
      <w:r w:rsidRPr="00522802">
        <w:rPr>
          <w:color w:val="000000"/>
        </w:rPr>
        <w:t xml:space="preserve">Update title </w:t>
      </w:r>
      <w:r>
        <w:rPr>
          <w:color w:val="000000"/>
        </w:rPr>
        <w:t>from “</w:t>
      </w:r>
      <w:r w:rsidRPr="00522802">
        <w:rPr>
          <w:color w:val="000000"/>
        </w:rPr>
        <w:t>Resident Viral Respiratory Tract Infection (RTI) Event Form</w:t>
      </w:r>
      <w:r>
        <w:rPr>
          <w:color w:val="000000"/>
        </w:rPr>
        <w:t>”</w:t>
      </w:r>
      <w:r w:rsidRPr="00522802">
        <w:rPr>
          <w:color w:val="000000"/>
        </w:rPr>
        <w:t xml:space="preserve"> to “Resident Respiratory Pathogens Event Form”</w:t>
      </w:r>
    </w:p>
    <w:p w:rsidR="003F34CE" w:rsidRPr="00522802" w:rsidP="003F34CE" w14:paraId="67348D85" w14:textId="77777777">
      <w:pPr>
        <w:pStyle w:val="ListParagraph"/>
        <w:ind w:left="360"/>
        <w:rPr>
          <w:color w:val="000000"/>
        </w:rPr>
      </w:pPr>
    </w:p>
    <w:p w:rsidR="00522802" w:rsidRPr="00522802" w:rsidP="00522802" w14:paraId="2CBF67C0" w14:textId="77777777">
      <w:pPr>
        <w:pStyle w:val="ListParagraph"/>
        <w:numPr>
          <w:ilvl w:val="0"/>
          <w:numId w:val="37"/>
        </w:numPr>
        <w:ind w:left="360"/>
        <w:rPr>
          <w:color w:val="000000"/>
        </w:rPr>
      </w:pPr>
      <w:r w:rsidRPr="00522802">
        <w:rPr>
          <w:color w:val="000000"/>
        </w:rPr>
        <w:t xml:space="preserve">Update Vaccination Status questions: </w:t>
      </w:r>
    </w:p>
    <w:p w:rsidR="00522802" w:rsidRPr="00522802" w:rsidP="00522802" w14:paraId="45FBE9EC" w14:textId="77777777">
      <w:pPr>
        <w:pStyle w:val="ListParagraph"/>
        <w:rPr>
          <w:color w:val="000000"/>
        </w:rPr>
      </w:pPr>
      <w:r w:rsidRPr="00522802">
        <w:rPr>
          <w:color w:val="000000"/>
        </w:rPr>
        <w:t>Has the resident received any influenza (flu) vaccine during the current flu season? (Previous question: Has the resident received any influenza (flu) vaccine during the current flu season (2023 – 2024)?)</w:t>
      </w:r>
    </w:p>
    <w:p w:rsidR="00522802" w:rsidP="00522802" w14:paraId="3C089669" w14:textId="77777777">
      <w:pPr>
        <w:pStyle w:val="ListParagraph"/>
        <w:ind w:left="360"/>
        <w:rPr>
          <w:color w:val="000000"/>
        </w:rPr>
      </w:pPr>
    </w:p>
    <w:p w:rsidR="00522802" w:rsidRPr="00522802" w:rsidP="00522802" w14:paraId="6C49CCE9" w14:textId="6F557223">
      <w:pPr>
        <w:pStyle w:val="ListParagraph"/>
        <w:rPr>
          <w:color w:val="000000"/>
        </w:rPr>
      </w:pPr>
      <w:r w:rsidRPr="00522802">
        <w:rPr>
          <w:color w:val="000000"/>
        </w:rPr>
        <w:t>Has the resident received any COVID-19 vaccination? (Previous question: Is the resident up to date with COVID-19 vaccinations?)</w:t>
      </w:r>
    </w:p>
    <w:p w:rsidR="00522802" w:rsidP="00522802" w14:paraId="15BB8165" w14:textId="77777777">
      <w:pPr>
        <w:pStyle w:val="ListParagraph"/>
        <w:ind w:left="360"/>
        <w:rPr>
          <w:color w:val="000000"/>
        </w:rPr>
      </w:pPr>
    </w:p>
    <w:p w:rsidR="00522802" w:rsidRPr="00522802" w:rsidP="00522802" w14:paraId="6647001A" w14:textId="307F10FD">
      <w:pPr>
        <w:pStyle w:val="ListParagraph"/>
        <w:rPr>
          <w:color w:val="000000"/>
        </w:rPr>
      </w:pPr>
      <w:r w:rsidRPr="00522802">
        <w:rPr>
          <w:color w:val="000000"/>
        </w:rPr>
        <w:t>Has the resident received a RSV vaccine? (Previous question: □ Has the resident received any RSV vaccine during the 2023 – 2024 season (if available))</w:t>
      </w:r>
    </w:p>
    <w:p w:rsidR="00522802" w:rsidRPr="00522802" w:rsidP="00522802" w14:paraId="4CDBD038" w14:textId="77777777">
      <w:pPr>
        <w:rPr>
          <w:color w:val="000000"/>
        </w:rPr>
      </w:pPr>
    </w:p>
    <w:p w:rsidR="00522802" w:rsidRPr="00522802" w:rsidP="00522802" w14:paraId="27CFC7F7" w14:textId="452CDEF6">
      <w:pPr>
        <w:pStyle w:val="ListParagraph"/>
        <w:numPr>
          <w:ilvl w:val="0"/>
          <w:numId w:val="37"/>
        </w:numPr>
        <w:ind w:left="360"/>
        <w:rPr>
          <w:color w:val="000000"/>
        </w:rPr>
      </w:pPr>
      <w:r w:rsidRPr="00522802">
        <w:rPr>
          <w:color w:val="000000"/>
        </w:rPr>
        <w:t xml:space="preserve">Remove “Date Unknown” option from Vaccination Status </w:t>
      </w:r>
      <w:r w:rsidRPr="00522802" w:rsidR="008F4EC2">
        <w:rPr>
          <w:color w:val="000000"/>
        </w:rPr>
        <w:t>questions.</w:t>
      </w:r>
    </w:p>
    <w:p w:rsidR="00522802" w:rsidRPr="00522802" w:rsidP="00522802" w14:paraId="69371D7A" w14:textId="77777777">
      <w:pPr>
        <w:rPr>
          <w:color w:val="000000"/>
        </w:rPr>
      </w:pPr>
    </w:p>
    <w:p w:rsidR="00522802" w:rsidRPr="00522802" w:rsidP="00522802" w14:paraId="0272CDDB" w14:textId="28EF7E19">
      <w:pPr>
        <w:pStyle w:val="ListParagraph"/>
        <w:numPr>
          <w:ilvl w:val="0"/>
          <w:numId w:val="37"/>
        </w:numPr>
        <w:ind w:left="360"/>
        <w:rPr>
          <w:color w:val="000000"/>
        </w:rPr>
      </w:pPr>
      <w:r w:rsidRPr="00522802">
        <w:rPr>
          <w:color w:val="000000"/>
        </w:rPr>
        <w:t>Update Antiviral Treatment description to “Select on</w:t>
      </w:r>
      <w:r w:rsidR="00F83507">
        <w:rPr>
          <w:color w:val="000000"/>
        </w:rPr>
        <w:t>e</w:t>
      </w:r>
      <w:r w:rsidRPr="00522802">
        <w:rPr>
          <w:color w:val="000000"/>
        </w:rPr>
        <w:t>.” (Previous statement: Select all that apply.)</w:t>
      </w:r>
    </w:p>
    <w:p w:rsidR="00522802" w:rsidRPr="00522802" w:rsidP="00522802" w14:paraId="094FF9B1" w14:textId="77777777">
      <w:pPr>
        <w:rPr>
          <w:color w:val="000000"/>
        </w:rPr>
      </w:pPr>
    </w:p>
    <w:p w:rsidR="00522802" w:rsidRPr="00522802" w:rsidP="00522802" w14:paraId="5C2AB871" w14:textId="77777777">
      <w:pPr>
        <w:pStyle w:val="ListParagraph"/>
        <w:numPr>
          <w:ilvl w:val="0"/>
          <w:numId w:val="37"/>
        </w:numPr>
        <w:ind w:left="360"/>
        <w:rPr>
          <w:color w:val="000000"/>
        </w:rPr>
      </w:pPr>
      <w:r w:rsidRPr="00522802">
        <w:rPr>
          <w:color w:val="000000"/>
        </w:rPr>
        <w:t>Update Hospitalization question to “Was the resident hospitalized after this positive test result?” (Previous question: Has the resident been admitted to a hospital or transferred to an acute care facility within 10 days of this newly positive viral test result?)</w:t>
      </w:r>
    </w:p>
    <w:p w:rsidR="00522802" w:rsidRPr="00522802" w:rsidP="00522802" w14:paraId="6DF2C046" w14:textId="77777777">
      <w:pPr>
        <w:rPr>
          <w:color w:val="000000"/>
        </w:rPr>
      </w:pPr>
    </w:p>
    <w:p w:rsidR="00522802" w:rsidRPr="00522802" w:rsidP="00522802" w14:paraId="14C72A4E" w14:textId="77777777">
      <w:pPr>
        <w:pStyle w:val="ListParagraph"/>
        <w:numPr>
          <w:ilvl w:val="0"/>
          <w:numId w:val="37"/>
        </w:numPr>
        <w:ind w:left="360"/>
        <w:rPr>
          <w:color w:val="000000"/>
        </w:rPr>
      </w:pPr>
      <w:r w:rsidRPr="00522802">
        <w:rPr>
          <w:color w:val="000000"/>
        </w:rPr>
        <w:t>Update Death question to</w:t>
      </w:r>
      <w:r w:rsidRPr="00522802">
        <w:t xml:space="preserve"> “</w:t>
      </w:r>
      <w:r w:rsidRPr="00522802">
        <w:rPr>
          <w:color w:val="000000"/>
        </w:rPr>
        <w:t>Did the resident die in the 30 days after this positive test result?” (Previous question: Did the resident die within 30 days of this newly positive viral test result?)</w:t>
      </w:r>
    </w:p>
    <w:p w:rsidR="00522802" w:rsidRPr="00522802" w:rsidP="00522802" w14:paraId="565AB3CE" w14:textId="77777777">
      <w:pPr>
        <w:ind w:left="360"/>
        <w:rPr>
          <w:b/>
          <w:bCs/>
        </w:rPr>
      </w:pPr>
    </w:p>
    <w:p w:rsidR="007D30EE" w:rsidRPr="00522802" w:rsidP="00BF7D11" w14:paraId="664A2F8F" w14:textId="408F591E">
      <w:pPr>
        <w:rPr>
          <w:b/>
          <w:bCs/>
        </w:rPr>
      </w:pPr>
      <w:r w:rsidRPr="00522802">
        <w:rPr>
          <w:b/>
          <w:bCs/>
        </w:rPr>
        <w:t>Justification:</w:t>
      </w:r>
    </w:p>
    <w:p w:rsidR="00BF7D11" w:rsidP="007D30EE" w14:paraId="62CB6964" w14:textId="1DE9A68F">
      <w:pPr>
        <w:rPr>
          <w:color w:val="000000"/>
        </w:rPr>
      </w:pPr>
      <w:r w:rsidRPr="00BF7D11">
        <w:rPr>
          <w:color w:val="000000"/>
        </w:rPr>
        <w:t>These updates will allow for consistency with other NHSN modules/pathways that use this language and enhance clarity for the users</w:t>
      </w:r>
      <w:r w:rsidR="001B3997">
        <w:rPr>
          <w:color w:val="000000"/>
        </w:rPr>
        <w:t>.</w:t>
      </w:r>
    </w:p>
    <w:p w:rsidR="001B3997" w:rsidRPr="003C1757" w:rsidP="007D30EE" w14:paraId="5D02FEEC" w14:textId="77777777">
      <w:pPr>
        <w:rPr>
          <w:color w:val="000000"/>
        </w:rPr>
      </w:pPr>
    </w:p>
    <w:p w:rsidR="007D30EE" w:rsidP="003D4C51" w14:paraId="35486FF7" w14:textId="2FFE8C4C">
      <w:r w:rsidRPr="00E844DE">
        <w:rPr>
          <w:b/>
          <w:bCs/>
        </w:rPr>
        <w:t>Time Burden</w:t>
      </w:r>
      <w:r w:rsidRPr="00F1358C">
        <w:rPr>
          <w:b/>
          <w:bCs/>
        </w:rPr>
        <w:t xml:space="preserve">: </w:t>
      </w:r>
      <w:r w:rsidRPr="0093437C" w:rsidR="0093437C">
        <w:t>25 minutes, no change</w:t>
      </w:r>
      <w:r w:rsidR="0093437C">
        <w:rPr>
          <w:b/>
          <w:bCs/>
        </w:rPr>
        <w:t xml:space="preserve"> </w:t>
      </w:r>
    </w:p>
    <w:p w:rsidR="007D30EE" w:rsidRPr="009F709E" w:rsidP="007D30EE" w14:paraId="5483293D" w14:textId="77777777">
      <w:pPr>
        <w:tabs>
          <w:tab w:val="left" w:pos="1665"/>
        </w:tabs>
        <w:rPr>
          <w:b/>
          <w:bCs/>
          <w:u w:val="single"/>
        </w:rPr>
      </w:pPr>
    </w:p>
    <w:p w:rsidR="00E81A8F" w:rsidRPr="000C2DFB" w:rsidP="000C2DFB" w14:paraId="607AA70A" w14:textId="77777777">
      <w:pPr>
        <w:rPr>
          <w:rFonts w:eastAsiaTheme="minorHAnsi" w:cstheme="minorBidi"/>
          <w:szCs w:val="22"/>
        </w:rPr>
      </w:pPr>
    </w:p>
    <w:p w:rsidR="00913E79" w:rsidP="00281300" w14:paraId="361CAB31" w14:textId="77777777">
      <w:pPr>
        <w:spacing w:line="276" w:lineRule="auto"/>
        <w:rPr>
          <w:rFonts w:eastAsiaTheme="minorHAnsi" w:cstheme="minorBidi"/>
          <w:b/>
          <w:bCs/>
          <w:szCs w:val="22"/>
          <w:u w:val="single"/>
        </w:rPr>
      </w:pPr>
      <w:r w:rsidRPr="0046367C">
        <w:rPr>
          <w:rFonts w:eastAsiaTheme="minorHAnsi" w:cstheme="minorBidi"/>
          <w:b/>
          <w:bCs/>
          <w:szCs w:val="22"/>
          <w:u w:val="single"/>
        </w:rPr>
        <w:t>Burden Estimates</w:t>
      </w:r>
      <w:r w:rsidRPr="0046367C" w:rsidR="002E7E42">
        <w:rPr>
          <w:rFonts w:eastAsiaTheme="minorHAnsi" w:cstheme="minorBidi"/>
          <w:b/>
          <w:bCs/>
          <w:szCs w:val="22"/>
          <w:u w:val="single"/>
        </w:rPr>
        <w:t xml:space="preserve"> – 0920-</w:t>
      </w:r>
      <w:r w:rsidR="00644B00">
        <w:rPr>
          <w:rFonts w:eastAsiaTheme="minorHAnsi" w:cstheme="minorBidi"/>
          <w:b/>
          <w:bCs/>
          <w:szCs w:val="22"/>
          <w:u w:val="single"/>
        </w:rPr>
        <w:t>0666</w:t>
      </w:r>
      <w:r w:rsidR="003B2779">
        <w:rPr>
          <w:rFonts w:eastAsiaTheme="minorHAnsi" w:cstheme="minorBidi"/>
          <w:b/>
          <w:bCs/>
          <w:szCs w:val="22"/>
          <w:u w:val="single"/>
        </w:rPr>
        <w:t xml:space="preserve"> </w:t>
      </w:r>
    </w:p>
    <w:p w:rsidR="00913E79" w:rsidP="00281300" w14:paraId="58630816" w14:textId="77777777">
      <w:pPr>
        <w:spacing w:line="276" w:lineRule="auto"/>
        <w:rPr>
          <w:rFonts w:eastAsiaTheme="minorHAnsi" w:cstheme="minorBidi"/>
          <w:b/>
          <w:bCs/>
          <w:szCs w:val="22"/>
          <w:u w:val="single"/>
        </w:rPr>
      </w:pPr>
    </w:p>
    <w:p w:rsidR="00913E79" w:rsidP="00281300" w14:paraId="010869CB" w14:textId="4FD238A7">
      <w:pPr>
        <w:spacing w:line="276" w:lineRule="auto"/>
        <w:rPr>
          <w:rFonts w:eastAsiaTheme="minorHAnsi" w:cstheme="minorBidi"/>
          <w:b/>
          <w:bCs/>
          <w:szCs w:val="22"/>
          <w:u w:val="single"/>
        </w:rPr>
      </w:pPr>
      <w:r w:rsidRPr="00820684">
        <w:rPr>
          <w:bCs/>
        </w:rPr>
        <w:t xml:space="preserve">As a result of proposed changes to the forms, the estimated annualized burden is expected to </w:t>
      </w:r>
      <w:r w:rsidRPr="00820684" w:rsidR="00820684">
        <w:t>decrease</w:t>
      </w:r>
      <w:r w:rsidRPr="00820684">
        <w:t xml:space="preserve"> by </w:t>
      </w:r>
      <w:r w:rsidR="008104A6">
        <w:t>1,031</w:t>
      </w:r>
      <w:r w:rsidRPr="00820684">
        <w:t xml:space="preserve"> hours, from </w:t>
      </w:r>
      <w:r w:rsidRPr="00820684" w:rsidR="00820684">
        <w:rPr>
          <w:color w:val="000000"/>
          <w:shd w:val="clear" w:color="auto" w:fill="EFEFEF"/>
        </w:rPr>
        <w:t>2,434,196</w:t>
      </w:r>
      <w:r w:rsidRPr="00820684">
        <w:t xml:space="preserve"> to </w:t>
      </w:r>
      <w:r w:rsidRPr="00820684" w:rsidR="00820684">
        <w:t>2,</w:t>
      </w:r>
      <w:r w:rsidR="008104A6">
        <w:t>433</w:t>
      </w:r>
      <w:r w:rsidRPr="00820684" w:rsidR="00820684">
        <w:t>,</w:t>
      </w:r>
      <w:r w:rsidR="008104A6">
        <w:t>16</w:t>
      </w:r>
      <w:r w:rsidRPr="00820684" w:rsidR="00820684">
        <w:t>5</w:t>
      </w:r>
      <w:r w:rsidRPr="005808D5">
        <w:t>.</w:t>
      </w:r>
      <w:r w:rsidRPr="00725EBB">
        <w:t xml:space="preserve"> </w:t>
      </w:r>
      <w:r w:rsidRPr="00725EBB">
        <w:rPr>
          <w:bCs/>
        </w:rPr>
        <w:t xml:space="preserve"> </w:t>
      </w:r>
    </w:p>
    <w:p w:rsidR="00531E9F" w:rsidRPr="0046367C" w:rsidP="00281300" w14:paraId="5B7B85F1" w14:textId="3B94B634">
      <w:pPr>
        <w:spacing w:line="276" w:lineRule="auto"/>
        <w:rPr>
          <w:b/>
          <w:bCs/>
        </w:rPr>
      </w:pPr>
      <w:bookmarkStart w:id="2" w:name="_Hlk158882739"/>
    </w:p>
    <w:tbl>
      <w:tblPr>
        <w:tblStyle w:val="TableGrid"/>
        <w:tblW w:w="9805" w:type="dxa"/>
        <w:tblLook w:val="04A0"/>
      </w:tblPr>
      <w:tblGrid>
        <w:gridCol w:w="2161"/>
        <w:gridCol w:w="3107"/>
        <w:gridCol w:w="1713"/>
        <w:gridCol w:w="1359"/>
        <w:gridCol w:w="1465"/>
      </w:tblGrid>
      <w:tr w14:paraId="0A05C8C5" w14:textId="77777777" w:rsidTr="00F91230">
        <w:tblPrEx>
          <w:tblW w:w="9805" w:type="dxa"/>
          <w:tblLook w:val="04A0"/>
        </w:tblPrEx>
        <w:trPr>
          <w:trHeight w:val="142"/>
        </w:trPr>
        <w:tc>
          <w:tcPr>
            <w:tcW w:w="2161" w:type="dxa"/>
            <w:tcBorders>
              <w:top w:val="single" w:sz="4" w:space="0" w:color="auto"/>
              <w:left w:val="single" w:sz="4" w:space="0" w:color="auto"/>
              <w:bottom w:val="single" w:sz="4" w:space="0" w:color="auto"/>
              <w:right w:val="single" w:sz="4" w:space="0" w:color="auto"/>
            </w:tcBorders>
            <w:hideMark/>
          </w:tcPr>
          <w:bookmarkEnd w:id="2"/>
          <w:p w:rsidR="004C11BF" w:rsidRPr="0046367C" w:rsidP="009853E2" w14:paraId="1000C672" w14:textId="77777777">
            <w:pPr>
              <w:rPr>
                <w:b/>
                <w:bCs/>
              </w:rPr>
            </w:pPr>
            <w:r w:rsidRPr="0046367C">
              <w:rPr>
                <w:b/>
                <w:bCs/>
              </w:rPr>
              <w:t>Form Name</w:t>
            </w:r>
          </w:p>
        </w:tc>
        <w:tc>
          <w:tcPr>
            <w:tcW w:w="3107" w:type="dxa"/>
            <w:tcBorders>
              <w:top w:val="single" w:sz="4" w:space="0" w:color="auto"/>
              <w:left w:val="single" w:sz="4" w:space="0" w:color="auto"/>
              <w:bottom w:val="single" w:sz="4" w:space="0" w:color="auto"/>
              <w:right w:val="single" w:sz="4" w:space="0" w:color="auto"/>
            </w:tcBorders>
            <w:hideMark/>
          </w:tcPr>
          <w:p w:rsidR="004C11BF" w:rsidRPr="0046367C" w:rsidP="009853E2" w14:paraId="08C9BAF1" w14:textId="77777777">
            <w:pPr>
              <w:rPr>
                <w:b/>
                <w:bCs/>
              </w:rPr>
            </w:pPr>
            <w:r w:rsidRPr="0046367C">
              <w:rPr>
                <w:b/>
                <w:bCs/>
              </w:rPr>
              <w:t>No. of Respondents</w:t>
            </w:r>
          </w:p>
        </w:tc>
        <w:tc>
          <w:tcPr>
            <w:tcW w:w="1713" w:type="dxa"/>
            <w:tcBorders>
              <w:top w:val="single" w:sz="4" w:space="0" w:color="auto"/>
              <w:left w:val="single" w:sz="4" w:space="0" w:color="auto"/>
              <w:bottom w:val="single" w:sz="4" w:space="0" w:color="auto"/>
              <w:right w:val="single" w:sz="4" w:space="0" w:color="auto"/>
            </w:tcBorders>
            <w:hideMark/>
          </w:tcPr>
          <w:p w:rsidR="004C11BF" w:rsidRPr="0046367C" w:rsidP="009853E2" w14:paraId="3E155384" w14:textId="77777777">
            <w:pPr>
              <w:rPr>
                <w:b/>
                <w:bCs/>
              </w:rPr>
            </w:pPr>
            <w:r w:rsidRPr="0046367C">
              <w:rPr>
                <w:b/>
                <w:bCs/>
              </w:rPr>
              <w:t>No. Responses per Respondent</w:t>
            </w:r>
          </w:p>
        </w:tc>
        <w:tc>
          <w:tcPr>
            <w:tcW w:w="1359" w:type="dxa"/>
            <w:tcBorders>
              <w:top w:val="single" w:sz="4" w:space="0" w:color="auto"/>
              <w:left w:val="single" w:sz="4" w:space="0" w:color="auto"/>
              <w:bottom w:val="single" w:sz="4" w:space="0" w:color="auto"/>
              <w:right w:val="single" w:sz="4" w:space="0" w:color="auto"/>
            </w:tcBorders>
            <w:hideMark/>
          </w:tcPr>
          <w:p w:rsidR="004C11BF" w:rsidRPr="0046367C" w:rsidP="009853E2" w14:paraId="5331CFFC" w14:textId="77777777">
            <w:pPr>
              <w:rPr>
                <w:b/>
                <w:bCs/>
              </w:rPr>
            </w:pPr>
            <w:r w:rsidRPr="0046367C">
              <w:rPr>
                <w:b/>
                <w:bCs/>
              </w:rPr>
              <w:t>Avg. Burden per response (in hrs.)</w:t>
            </w:r>
          </w:p>
        </w:tc>
        <w:tc>
          <w:tcPr>
            <w:tcW w:w="1465" w:type="dxa"/>
            <w:tcBorders>
              <w:top w:val="single" w:sz="4" w:space="0" w:color="auto"/>
              <w:left w:val="single" w:sz="4" w:space="0" w:color="auto"/>
              <w:bottom w:val="single" w:sz="4" w:space="0" w:color="auto"/>
              <w:right w:val="single" w:sz="4" w:space="0" w:color="auto"/>
            </w:tcBorders>
            <w:hideMark/>
          </w:tcPr>
          <w:p w:rsidR="009853E2" w:rsidRPr="0046367C" w:rsidP="009853E2" w14:paraId="1C19643A" w14:textId="77777777">
            <w:pPr>
              <w:rPr>
                <w:b/>
                <w:bCs/>
              </w:rPr>
            </w:pPr>
            <w:r w:rsidRPr="0046367C">
              <w:rPr>
                <w:b/>
                <w:bCs/>
              </w:rPr>
              <w:t>Total Burden</w:t>
            </w:r>
          </w:p>
          <w:p w:rsidR="004C11BF" w:rsidRPr="0046367C" w:rsidP="009853E2" w14:paraId="3904D901" w14:textId="076DD88E">
            <w:pPr>
              <w:rPr>
                <w:b/>
                <w:bCs/>
              </w:rPr>
            </w:pPr>
            <w:r w:rsidRPr="0046367C">
              <w:rPr>
                <w:b/>
                <w:bCs/>
              </w:rPr>
              <w:t xml:space="preserve"> (in hrs.)</w:t>
            </w:r>
          </w:p>
        </w:tc>
      </w:tr>
      <w:tr w14:paraId="437BB038" w14:textId="5A185914" w:rsidTr="00F91230">
        <w:tblPrEx>
          <w:tblW w:w="9805" w:type="dxa"/>
          <w:tblLook w:val="04A0"/>
        </w:tblPrEx>
        <w:trPr>
          <w:trHeight w:val="142"/>
        </w:trPr>
        <w:tc>
          <w:tcPr>
            <w:tcW w:w="2161" w:type="dxa"/>
            <w:vAlign w:val="bottom"/>
          </w:tcPr>
          <w:p w:rsidR="00B77824" w:rsidP="00B77824" w14:paraId="0B542430" w14:textId="70DF6812">
            <w:r>
              <w:t>Hemovigilance Module Monthly Incident Summary (57.302)</w:t>
            </w:r>
          </w:p>
        </w:tc>
        <w:tc>
          <w:tcPr>
            <w:tcW w:w="3107" w:type="dxa"/>
            <w:vAlign w:val="bottom"/>
          </w:tcPr>
          <w:p w:rsidR="00B77824" w:rsidRPr="00F77A59" w:rsidP="00596B54" w14:paraId="46198CD7" w14:textId="498648C0">
            <w:pPr>
              <w:jc w:val="center"/>
            </w:pPr>
            <w:r>
              <w:t>9</w:t>
            </w:r>
          </w:p>
        </w:tc>
        <w:tc>
          <w:tcPr>
            <w:tcW w:w="1713" w:type="dxa"/>
            <w:vAlign w:val="bottom"/>
          </w:tcPr>
          <w:p w:rsidR="00B77824" w:rsidRPr="00F77A59" w:rsidP="00596B54" w14:paraId="5D3D00E6" w14:textId="5E9CCFCD">
            <w:pPr>
              <w:jc w:val="center"/>
            </w:pPr>
            <w:r>
              <w:t>12</w:t>
            </w:r>
          </w:p>
        </w:tc>
        <w:tc>
          <w:tcPr>
            <w:tcW w:w="1359" w:type="dxa"/>
            <w:vAlign w:val="bottom"/>
          </w:tcPr>
          <w:p w:rsidR="00B77824" w:rsidRPr="00F77A59" w:rsidP="00596B54" w14:paraId="08586DDF" w14:textId="7DDCB4D6">
            <w:pPr>
              <w:jc w:val="center"/>
            </w:pPr>
            <w:r>
              <w:t>30/60</w:t>
            </w:r>
          </w:p>
        </w:tc>
        <w:tc>
          <w:tcPr>
            <w:tcW w:w="1465" w:type="dxa"/>
            <w:vAlign w:val="bottom"/>
          </w:tcPr>
          <w:p w:rsidR="00B77824" w:rsidRPr="00F77A59" w:rsidP="00596B54" w14:paraId="731E331F" w14:textId="73CEDA19">
            <w:pPr>
              <w:spacing w:after="160" w:line="259" w:lineRule="auto"/>
              <w:jc w:val="center"/>
            </w:pPr>
            <w:r>
              <w:t>54</w:t>
            </w:r>
          </w:p>
        </w:tc>
      </w:tr>
      <w:tr w14:paraId="595EAE2A" w14:textId="72B47003" w:rsidTr="00F91230">
        <w:tblPrEx>
          <w:tblW w:w="9805" w:type="dxa"/>
          <w:tblLook w:val="04A0"/>
        </w:tblPrEx>
        <w:trPr>
          <w:trHeight w:val="142"/>
        </w:trPr>
        <w:tc>
          <w:tcPr>
            <w:tcW w:w="2161" w:type="dxa"/>
          </w:tcPr>
          <w:p w:rsidR="00B77824" w:rsidP="002E081C" w14:paraId="1DA6830D" w14:textId="5954F136">
            <w:pPr>
              <w:tabs>
                <w:tab w:val="left" w:pos="5220"/>
              </w:tabs>
            </w:pPr>
            <w:r w:rsidRPr="002E081C">
              <w:t>Hemovigilance Module Adverse Reaction Transfusion Associated Circulatory Overload (57.318)</w:t>
            </w:r>
          </w:p>
        </w:tc>
        <w:tc>
          <w:tcPr>
            <w:tcW w:w="3107" w:type="dxa"/>
            <w:vAlign w:val="bottom"/>
          </w:tcPr>
          <w:p w:rsidR="00B77824" w:rsidRPr="00F77A59" w:rsidP="00C23EA1" w14:paraId="1047D626" w14:textId="34655431">
            <w:pPr>
              <w:jc w:val="center"/>
            </w:pPr>
            <w:r>
              <w:t>40</w:t>
            </w:r>
          </w:p>
        </w:tc>
        <w:tc>
          <w:tcPr>
            <w:tcW w:w="1713" w:type="dxa"/>
            <w:vAlign w:val="bottom"/>
          </w:tcPr>
          <w:p w:rsidR="00B77824" w:rsidRPr="00F77A59" w:rsidP="00C23EA1" w14:paraId="2EEF3544" w14:textId="2E5BAA41">
            <w:pPr>
              <w:jc w:val="center"/>
            </w:pPr>
            <w:r>
              <w:t>4</w:t>
            </w:r>
          </w:p>
        </w:tc>
        <w:tc>
          <w:tcPr>
            <w:tcW w:w="1359" w:type="dxa"/>
            <w:vAlign w:val="bottom"/>
          </w:tcPr>
          <w:p w:rsidR="00B77824" w:rsidRPr="00F77A59" w:rsidP="00C23EA1" w14:paraId="29DB33CB" w14:textId="3E67D40E">
            <w:pPr>
              <w:jc w:val="center"/>
            </w:pPr>
            <w:r>
              <w:t>21/60</w:t>
            </w:r>
          </w:p>
        </w:tc>
        <w:tc>
          <w:tcPr>
            <w:tcW w:w="1465" w:type="dxa"/>
            <w:vAlign w:val="bottom"/>
          </w:tcPr>
          <w:p w:rsidR="00B77824" w:rsidRPr="00F77A59" w:rsidP="00C23EA1" w14:paraId="0F3A10A3" w14:textId="7935038B">
            <w:pPr>
              <w:spacing w:after="160" w:line="259" w:lineRule="auto"/>
              <w:jc w:val="center"/>
            </w:pPr>
            <w:r>
              <w:t>56</w:t>
            </w:r>
          </w:p>
        </w:tc>
      </w:tr>
      <w:tr w14:paraId="3C64DDA9" w14:textId="77777777" w:rsidTr="00F91230">
        <w:tblPrEx>
          <w:tblW w:w="9805" w:type="dxa"/>
          <w:tblLook w:val="04A0"/>
        </w:tblPrEx>
        <w:trPr>
          <w:trHeight w:val="142"/>
        </w:trPr>
        <w:tc>
          <w:tcPr>
            <w:tcW w:w="2161" w:type="dxa"/>
            <w:tcBorders>
              <w:top w:val="single" w:sz="4" w:space="0" w:color="auto"/>
              <w:left w:val="single" w:sz="4" w:space="0" w:color="auto"/>
              <w:bottom w:val="single" w:sz="4" w:space="0" w:color="auto"/>
              <w:right w:val="single" w:sz="4" w:space="0" w:color="auto"/>
            </w:tcBorders>
          </w:tcPr>
          <w:p w:rsidR="00B77824" w:rsidRPr="0093437C" w:rsidP="00B77824" w14:paraId="6BE95F34" w14:textId="67E874A0">
            <w:r w:rsidRPr="0093437C">
              <w:t>Monthly Reporting Plan</w:t>
            </w:r>
            <w:r w:rsidR="00DA52A4">
              <w:t xml:space="preserve"> for LTCF</w:t>
            </w:r>
            <w:r w:rsidRPr="0093437C">
              <w:t xml:space="preserve"> (57.141)</w:t>
            </w:r>
          </w:p>
        </w:tc>
        <w:tc>
          <w:tcPr>
            <w:tcW w:w="3107" w:type="dxa"/>
            <w:tcBorders>
              <w:top w:val="single" w:sz="4" w:space="0" w:color="auto"/>
              <w:left w:val="single" w:sz="4" w:space="0" w:color="auto"/>
              <w:bottom w:val="single" w:sz="4" w:space="0" w:color="auto"/>
              <w:right w:val="single" w:sz="4" w:space="0" w:color="auto"/>
            </w:tcBorders>
          </w:tcPr>
          <w:p w:rsidR="0093437C" w:rsidP="0093437C" w14:paraId="237B797D" w14:textId="77777777">
            <w:pPr>
              <w:jc w:val="center"/>
            </w:pPr>
          </w:p>
          <w:p w:rsidR="0093437C" w:rsidP="0093437C" w14:paraId="70819018" w14:textId="77777777">
            <w:pPr>
              <w:jc w:val="center"/>
            </w:pPr>
          </w:p>
          <w:p w:rsidR="0093437C" w:rsidP="0093437C" w14:paraId="4FB566D0" w14:textId="77777777">
            <w:pPr>
              <w:jc w:val="center"/>
            </w:pPr>
          </w:p>
          <w:p w:rsidR="00B77824" w:rsidRPr="00AA46C0" w:rsidP="0093437C" w14:paraId="72F65176" w14:textId="60DACF22">
            <w:pPr>
              <w:jc w:val="center"/>
            </w:pPr>
            <w:r>
              <w:t>833</w:t>
            </w:r>
          </w:p>
        </w:tc>
        <w:tc>
          <w:tcPr>
            <w:tcW w:w="1713" w:type="dxa"/>
            <w:tcBorders>
              <w:top w:val="single" w:sz="4" w:space="0" w:color="auto"/>
              <w:left w:val="single" w:sz="4" w:space="0" w:color="auto"/>
              <w:bottom w:val="single" w:sz="4" w:space="0" w:color="auto"/>
              <w:right w:val="single" w:sz="4" w:space="0" w:color="auto"/>
            </w:tcBorders>
          </w:tcPr>
          <w:p w:rsidR="0093437C" w:rsidP="0093437C" w14:paraId="5ACB6BF0" w14:textId="77777777">
            <w:pPr>
              <w:jc w:val="center"/>
            </w:pPr>
          </w:p>
          <w:p w:rsidR="0093437C" w:rsidP="0093437C" w14:paraId="09435A2C" w14:textId="77777777">
            <w:pPr>
              <w:jc w:val="center"/>
            </w:pPr>
          </w:p>
          <w:p w:rsidR="0093437C" w:rsidP="0093437C" w14:paraId="7587B32A" w14:textId="77777777">
            <w:pPr>
              <w:jc w:val="center"/>
            </w:pPr>
          </w:p>
          <w:p w:rsidR="00B77824" w:rsidRPr="00AA46C0" w:rsidP="0093437C" w14:paraId="6EA01A92" w14:textId="77E70A6B">
            <w:pPr>
              <w:jc w:val="center"/>
            </w:pPr>
            <w:r>
              <w:t>12</w:t>
            </w:r>
          </w:p>
        </w:tc>
        <w:tc>
          <w:tcPr>
            <w:tcW w:w="1359" w:type="dxa"/>
            <w:tcBorders>
              <w:top w:val="single" w:sz="4" w:space="0" w:color="auto"/>
              <w:left w:val="single" w:sz="4" w:space="0" w:color="auto"/>
              <w:bottom w:val="single" w:sz="4" w:space="0" w:color="auto"/>
              <w:right w:val="single" w:sz="4" w:space="0" w:color="auto"/>
            </w:tcBorders>
          </w:tcPr>
          <w:p w:rsidR="0093437C" w:rsidP="0093437C" w14:paraId="32C7AAA5" w14:textId="77777777">
            <w:pPr>
              <w:jc w:val="center"/>
            </w:pPr>
          </w:p>
          <w:p w:rsidR="0093437C" w:rsidP="0093437C" w14:paraId="277C9BC1" w14:textId="77777777">
            <w:pPr>
              <w:jc w:val="center"/>
            </w:pPr>
          </w:p>
          <w:p w:rsidR="0093437C" w:rsidP="0093437C" w14:paraId="4EC15EC1" w14:textId="77777777">
            <w:pPr>
              <w:jc w:val="center"/>
            </w:pPr>
          </w:p>
          <w:p w:rsidR="00B77824" w:rsidRPr="00AA46C0" w:rsidP="0093437C" w14:paraId="0F2832E0" w14:textId="284AFF0E">
            <w:pPr>
              <w:jc w:val="center"/>
            </w:pPr>
            <w:r>
              <w:t>15/60</w:t>
            </w:r>
          </w:p>
        </w:tc>
        <w:tc>
          <w:tcPr>
            <w:tcW w:w="1465" w:type="dxa"/>
            <w:tcBorders>
              <w:top w:val="single" w:sz="4" w:space="0" w:color="auto"/>
              <w:left w:val="single" w:sz="4" w:space="0" w:color="auto"/>
              <w:bottom w:val="single" w:sz="4" w:space="0" w:color="auto"/>
              <w:right w:val="single" w:sz="4" w:space="0" w:color="auto"/>
            </w:tcBorders>
          </w:tcPr>
          <w:p w:rsidR="0093437C" w:rsidP="0093437C" w14:paraId="6972C07F" w14:textId="77777777">
            <w:pPr>
              <w:jc w:val="center"/>
            </w:pPr>
          </w:p>
          <w:p w:rsidR="0093437C" w:rsidP="0093437C" w14:paraId="748CDF69" w14:textId="77777777">
            <w:pPr>
              <w:jc w:val="center"/>
            </w:pPr>
          </w:p>
          <w:p w:rsidR="0093437C" w:rsidP="0093437C" w14:paraId="1C5A4EF6" w14:textId="77777777">
            <w:pPr>
              <w:jc w:val="center"/>
            </w:pPr>
          </w:p>
          <w:p w:rsidR="00B77824" w:rsidRPr="00AA46C0" w:rsidP="0093437C" w14:paraId="14347B24" w14:textId="6AEEF4EC">
            <w:pPr>
              <w:jc w:val="center"/>
            </w:pPr>
            <w:r>
              <w:t>2499</w:t>
            </w:r>
          </w:p>
        </w:tc>
      </w:tr>
      <w:tr w14:paraId="4A25FD09" w14:textId="77777777" w:rsidTr="00F91230">
        <w:tblPrEx>
          <w:tblW w:w="9805" w:type="dxa"/>
          <w:tblLook w:val="04A0"/>
        </w:tblPrEx>
        <w:trPr>
          <w:trHeight w:val="142"/>
        </w:trPr>
        <w:tc>
          <w:tcPr>
            <w:tcW w:w="2161" w:type="dxa"/>
            <w:tcBorders>
              <w:top w:val="single" w:sz="4" w:space="0" w:color="auto"/>
              <w:left w:val="single" w:sz="4" w:space="0" w:color="auto"/>
              <w:bottom w:val="single" w:sz="4" w:space="0" w:color="auto"/>
              <w:right w:val="single" w:sz="4" w:space="0" w:color="auto"/>
            </w:tcBorders>
          </w:tcPr>
          <w:p w:rsidR="00B77824" w:rsidRPr="0093437C" w:rsidP="00B77824" w14:paraId="50FEC371" w14:textId="1DBD12C4">
            <w:r w:rsidRPr="0093437C">
              <w:t>Long Term Care (LTC) Respiratory Pathogens Event Module Denominator Form (57.142)</w:t>
            </w:r>
          </w:p>
        </w:tc>
        <w:tc>
          <w:tcPr>
            <w:tcW w:w="3107" w:type="dxa"/>
            <w:tcBorders>
              <w:top w:val="single" w:sz="4" w:space="0" w:color="auto"/>
              <w:left w:val="single" w:sz="4" w:space="0" w:color="auto"/>
              <w:bottom w:val="single" w:sz="4" w:space="0" w:color="auto"/>
              <w:right w:val="single" w:sz="4" w:space="0" w:color="auto"/>
            </w:tcBorders>
          </w:tcPr>
          <w:p w:rsidR="0093437C" w:rsidP="0093437C" w14:paraId="215EE7E4" w14:textId="77777777">
            <w:pPr>
              <w:jc w:val="center"/>
            </w:pPr>
          </w:p>
          <w:p w:rsidR="0093437C" w:rsidP="0093437C" w14:paraId="0E85F6FA" w14:textId="77777777">
            <w:pPr>
              <w:jc w:val="center"/>
            </w:pPr>
          </w:p>
          <w:p w:rsidR="0093437C" w:rsidP="0093437C" w14:paraId="4470F344" w14:textId="77777777">
            <w:pPr>
              <w:jc w:val="center"/>
            </w:pPr>
          </w:p>
          <w:p w:rsidR="0093437C" w:rsidP="0093437C" w14:paraId="4C82029D" w14:textId="77777777">
            <w:pPr>
              <w:jc w:val="center"/>
            </w:pPr>
          </w:p>
          <w:p w:rsidR="00B77824" w:rsidRPr="00AA46C0" w:rsidP="0093437C" w14:paraId="589C9732" w14:textId="24F8F9E2">
            <w:pPr>
              <w:jc w:val="center"/>
            </w:pPr>
            <w:r>
              <w:t>71</w:t>
            </w:r>
            <w:r w:rsidR="0022395C">
              <w:t>5</w:t>
            </w:r>
          </w:p>
        </w:tc>
        <w:tc>
          <w:tcPr>
            <w:tcW w:w="1713" w:type="dxa"/>
            <w:tcBorders>
              <w:top w:val="single" w:sz="4" w:space="0" w:color="auto"/>
              <w:left w:val="single" w:sz="4" w:space="0" w:color="auto"/>
              <w:bottom w:val="single" w:sz="4" w:space="0" w:color="auto"/>
              <w:right w:val="single" w:sz="4" w:space="0" w:color="auto"/>
            </w:tcBorders>
          </w:tcPr>
          <w:p w:rsidR="0093437C" w:rsidP="0093437C" w14:paraId="4E8B71EE" w14:textId="77777777">
            <w:pPr>
              <w:jc w:val="center"/>
            </w:pPr>
          </w:p>
          <w:p w:rsidR="0093437C" w:rsidP="0093437C" w14:paraId="1B3C1407" w14:textId="77777777">
            <w:pPr>
              <w:jc w:val="center"/>
            </w:pPr>
          </w:p>
          <w:p w:rsidR="0093437C" w:rsidP="0093437C" w14:paraId="2505A843" w14:textId="77777777">
            <w:pPr>
              <w:jc w:val="center"/>
            </w:pPr>
          </w:p>
          <w:p w:rsidR="0093437C" w:rsidP="0093437C" w14:paraId="6D0C0585" w14:textId="77777777">
            <w:pPr>
              <w:jc w:val="center"/>
            </w:pPr>
          </w:p>
          <w:p w:rsidR="00B77824" w:rsidRPr="00AA46C0" w:rsidP="0093437C" w14:paraId="0A614E81" w14:textId="6514E116">
            <w:pPr>
              <w:jc w:val="center"/>
            </w:pPr>
            <w:r>
              <w:t>12</w:t>
            </w:r>
          </w:p>
        </w:tc>
        <w:tc>
          <w:tcPr>
            <w:tcW w:w="1359" w:type="dxa"/>
            <w:tcBorders>
              <w:top w:val="single" w:sz="4" w:space="0" w:color="auto"/>
              <w:left w:val="single" w:sz="4" w:space="0" w:color="auto"/>
              <w:bottom w:val="single" w:sz="4" w:space="0" w:color="auto"/>
              <w:right w:val="single" w:sz="4" w:space="0" w:color="auto"/>
            </w:tcBorders>
          </w:tcPr>
          <w:p w:rsidR="0093437C" w:rsidP="0093437C" w14:paraId="772325D6" w14:textId="77777777">
            <w:pPr>
              <w:jc w:val="center"/>
            </w:pPr>
          </w:p>
          <w:p w:rsidR="0093437C" w:rsidP="0093437C" w14:paraId="4366CB01" w14:textId="77777777">
            <w:pPr>
              <w:jc w:val="center"/>
            </w:pPr>
          </w:p>
          <w:p w:rsidR="0093437C" w:rsidP="0093437C" w14:paraId="231F8B85" w14:textId="77777777">
            <w:pPr>
              <w:jc w:val="center"/>
            </w:pPr>
          </w:p>
          <w:p w:rsidR="0093437C" w:rsidP="0093437C" w14:paraId="6240270B" w14:textId="77777777">
            <w:pPr>
              <w:jc w:val="center"/>
            </w:pPr>
          </w:p>
          <w:p w:rsidR="00B77824" w:rsidRPr="00AA46C0" w:rsidP="0093437C" w14:paraId="520D6F92" w14:textId="3F6CC9DD">
            <w:pPr>
              <w:jc w:val="center"/>
            </w:pPr>
            <w:r>
              <w:t>35/60</w:t>
            </w:r>
          </w:p>
        </w:tc>
        <w:tc>
          <w:tcPr>
            <w:tcW w:w="1465" w:type="dxa"/>
            <w:tcBorders>
              <w:top w:val="single" w:sz="4" w:space="0" w:color="auto"/>
              <w:left w:val="single" w:sz="4" w:space="0" w:color="auto"/>
              <w:bottom w:val="single" w:sz="4" w:space="0" w:color="auto"/>
              <w:right w:val="single" w:sz="4" w:space="0" w:color="auto"/>
            </w:tcBorders>
          </w:tcPr>
          <w:p w:rsidR="00B77824" w:rsidP="0093437C" w14:paraId="7A4D8425" w14:textId="77777777">
            <w:pPr>
              <w:jc w:val="center"/>
            </w:pPr>
          </w:p>
          <w:p w:rsidR="0093437C" w:rsidP="0093437C" w14:paraId="6B5C76B9" w14:textId="77777777">
            <w:pPr>
              <w:jc w:val="center"/>
            </w:pPr>
          </w:p>
          <w:p w:rsidR="0093437C" w:rsidP="0093437C" w14:paraId="1A76A71A" w14:textId="77777777">
            <w:pPr>
              <w:jc w:val="center"/>
            </w:pPr>
          </w:p>
          <w:p w:rsidR="0093437C" w:rsidP="0093437C" w14:paraId="5E9A1D3E" w14:textId="77777777">
            <w:pPr>
              <w:jc w:val="center"/>
            </w:pPr>
          </w:p>
          <w:p w:rsidR="0093437C" w:rsidRPr="00AA46C0" w:rsidP="0093437C" w14:paraId="687E2388" w14:textId="497CA1C4">
            <w:pPr>
              <w:jc w:val="center"/>
            </w:pPr>
            <w:r>
              <w:t>5005</w:t>
            </w:r>
          </w:p>
        </w:tc>
      </w:tr>
      <w:tr w14:paraId="576A4D4D" w14:textId="77777777" w:rsidTr="00F91230">
        <w:tblPrEx>
          <w:tblW w:w="9805" w:type="dxa"/>
          <w:tblLook w:val="04A0"/>
        </w:tblPrEx>
        <w:trPr>
          <w:trHeight w:val="142"/>
        </w:trPr>
        <w:tc>
          <w:tcPr>
            <w:tcW w:w="2161" w:type="dxa"/>
            <w:tcBorders>
              <w:top w:val="single" w:sz="4" w:space="0" w:color="auto"/>
              <w:left w:val="single" w:sz="4" w:space="0" w:color="auto"/>
              <w:bottom w:val="single" w:sz="4" w:space="0" w:color="auto"/>
              <w:right w:val="single" w:sz="4" w:space="0" w:color="auto"/>
            </w:tcBorders>
          </w:tcPr>
          <w:p w:rsidR="0093437C" w:rsidRPr="0093437C" w:rsidP="00B77824" w14:paraId="615D3C41" w14:textId="7985B58D">
            <w:r w:rsidRPr="0093437C">
              <w:t>Long Term Care (LTC) Respiratory Pathogens Event Module Resident Respiratory Pathogens Event Form (57.144)</w:t>
            </w:r>
          </w:p>
        </w:tc>
        <w:tc>
          <w:tcPr>
            <w:tcW w:w="3107" w:type="dxa"/>
            <w:tcBorders>
              <w:top w:val="single" w:sz="4" w:space="0" w:color="auto"/>
              <w:left w:val="single" w:sz="4" w:space="0" w:color="auto"/>
              <w:bottom w:val="single" w:sz="4" w:space="0" w:color="auto"/>
              <w:right w:val="single" w:sz="4" w:space="0" w:color="auto"/>
            </w:tcBorders>
          </w:tcPr>
          <w:p w:rsidR="0093437C" w:rsidP="0093437C" w14:paraId="6A918544" w14:textId="77777777">
            <w:pPr>
              <w:jc w:val="center"/>
            </w:pPr>
          </w:p>
          <w:p w:rsidR="0093437C" w:rsidP="0093437C" w14:paraId="3981FAB7" w14:textId="77777777">
            <w:pPr>
              <w:jc w:val="center"/>
            </w:pPr>
          </w:p>
          <w:p w:rsidR="0093437C" w:rsidP="0093437C" w14:paraId="1281F8B6" w14:textId="77777777">
            <w:pPr>
              <w:jc w:val="center"/>
            </w:pPr>
          </w:p>
          <w:p w:rsidR="0093437C" w:rsidP="0093437C" w14:paraId="6B558ACD" w14:textId="77777777">
            <w:pPr>
              <w:jc w:val="center"/>
            </w:pPr>
          </w:p>
          <w:p w:rsidR="0093437C" w:rsidRPr="00AA46C0" w:rsidP="0093437C" w14:paraId="50DD6AF2" w14:textId="1F2F0EBF">
            <w:pPr>
              <w:jc w:val="center"/>
            </w:pPr>
            <w:r>
              <w:t>16,500</w:t>
            </w:r>
          </w:p>
        </w:tc>
        <w:tc>
          <w:tcPr>
            <w:tcW w:w="1713" w:type="dxa"/>
            <w:tcBorders>
              <w:top w:val="single" w:sz="4" w:space="0" w:color="auto"/>
              <w:left w:val="single" w:sz="4" w:space="0" w:color="auto"/>
              <w:bottom w:val="single" w:sz="4" w:space="0" w:color="auto"/>
              <w:right w:val="single" w:sz="4" w:space="0" w:color="auto"/>
            </w:tcBorders>
          </w:tcPr>
          <w:p w:rsidR="0093437C" w:rsidP="0093437C" w14:paraId="11E56A91" w14:textId="77777777">
            <w:pPr>
              <w:jc w:val="center"/>
            </w:pPr>
          </w:p>
          <w:p w:rsidR="0093437C" w:rsidP="0093437C" w14:paraId="17982AD5" w14:textId="77777777">
            <w:pPr>
              <w:jc w:val="center"/>
            </w:pPr>
          </w:p>
          <w:p w:rsidR="0093437C" w:rsidP="0093437C" w14:paraId="4F531C25" w14:textId="77777777">
            <w:pPr>
              <w:jc w:val="center"/>
            </w:pPr>
          </w:p>
          <w:p w:rsidR="0093437C" w:rsidP="0093437C" w14:paraId="35801402" w14:textId="77777777">
            <w:pPr>
              <w:jc w:val="center"/>
            </w:pPr>
          </w:p>
          <w:p w:rsidR="0093437C" w:rsidRPr="00AA46C0" w:rsidP="0093437C" w14:paraId="595C9DE1" w14:textId="426B9D58">
            <w:pPr>
              <w:jc w:val="center"/>
            </w:pPr>
            <w:r>
              <w:t>24</w:t>
            </w:r>
          </w:p>
        </w:tc>
        <w:tc>
          <w:tcPr>
            <w:tcW w:w="1359" w:type="dxa"/>
            <w:tcBorders>
              <w:top w:val="single" w:sz="4" w:space="0" w:color="auto"/>
              <w:left w:val="single" w:sz="4" w:space="0" w:color="auto"/>
              <w:bottom w:val="single" w:sz="4" w:space="0" w:color="auto"/>
              <w:right w:val="single" w:sz="4" w:space="0" w:color="auto"/>
            </w:tcBorders>
          </w:tcPr>
          <w:p w:rsidR="0093437C" w:rsidP="0093437C" w14:paraId="5D1DC2A6" w14:textId="77777777">
            <w:pPr>
              <w:jc w:val="center"/>
            </w:pPr>
          </w:p>
          <w:p w:rsidR="0093437C" w:rsidP="0093437C" w14:paraId="68E26898" w14:textId="77777777">
            <w:pPr>
              <w:jc w:val="center"/>
            </w:pPr>
          </w:p>
          <w:p w:rsidR="0093437C" w:rsidP="0093437C" w14:paraId="5F7410EE" w14:textId="77777777">
            <w:pPr>
              <w:jc w:val="center"/>
            </w:pPr>
          </w:p>
          <w:p w:rsidR="0093437C" w:rsidP="0093437C" w14:paraId="443A9D60" w14:textId="77777777">
            <w:pPr>
              <w:jc w:val="center"/>
            </w:pPr>
          </w:p>
          <w:p w:rsidR="0093437C" w:rsidRPr="00AA46C0" w:rsidP="0093437C" w14:paraId="5121A404" w14:textId="34D3AE8D">
            <w:pPr>
              <w:jc w:val="center"/>
            </w:pPr>
            <w:r>
              <w:t>25/60</w:t>
            </w:r>
          </w:p>
        </w:tc>
        <w:tc>
          <w:tcPr>
            <w:tcW w:w="1465" w:type="dxa"/>
            <w:tcBorders>
              <w:top w:val="single" w:sz="4" w:space="0" w:color="auto"/>
              <w:left w:val="single" w:sz="4" w:space="0" w:color="auto"/>
              <w:bottom w:val="single" w:sz="4" w:space="0" w:color="auto"/>
              <w:right w:val="single" w:sz="4" w:space="0" w:color="auto"/>
            </w:tcBorders>
          </w:tcPr>
          <w:p w:rsidR="0093437C" w:rsidP="0093437C" w14:paraId="70F54BC5" w14:textId="77777777">
            <w:pPr>
              <w:jc w:val="center"/>
            </w:pPr>
          </w:p>
          <w:p w:rsidR="0093437C" w:rsidP="0093437C" w14:paraId="02C55FC5" w14:textId="77777777">
            <w:pPr>
              <w:jc w:val="center"/>
            </w:pPr>
          </w:p>
          <w:p w:rsidR="0093437C" w:rsidP="0093437C" w14:paraId="0223ED1D" w14:textId="77777777">
            <w:pPr>
              <w:jc w:val="center"/>
            </w:pPr>
          </w:p>
          <w:p w:rsidR="0093437C" w:rsidP="0093437C" w14:paraId="01AD1951" w14:textId="77777777">
            <w:pPr>
              <w:jc w:val="center"/>
            </w:pPr>
          </w:p>
          <w:p w:rsidR="0093437C" w:rsidRPr="00AA46C0" w:rsidP="0093437C" w14:paraId="129E2125" w14:textId="2BCDC489">
            <w:pPr>
              <w:jc w:val="center"/>
            </w:pPr>
            <w:r>
              <w:t>165,000</w:t>
            </w:r>
          </w:p>
        </w:tc>
      </w:tr>
      <w:tr w14:paraId="5729AF0E" w14:textId="77777777" w:rsidTr="003C1757">
        <w:tblPrEx>
          <w:tblW w:w="9805" w:type="dxa"/>
          <w:tblLook w:val="04A0"/>
        </w:tblPrEx>
        <w:trPr>
          <w:trHeight w:val="737"/>
        </w:trPr>
        <w:tc>
          <w:tcPr>
            <w:tcW w:w="2161" w:type="dxa"/>
            <w:tcBorders>
              <w:top w:val="single" w:sz="4" w:space="0" w:color="auto"/>
              <w:left w:val="single" w:sz="4" w:space="0" w:color="auto"/>
              <w:bottom w:val="single" w:sz="4" w:space="0" w:color="auto"/>
              <w:right w:val="single" w:sz="4" w:space="0" w:color="auto"/>
            </w:tcBorders>
          </w:tcPr>
          <w:p w:rsidR="00F91230" w:rsidRPr="0093437C" w:rsidP="00B77824" w14:paraId="532F4E03" w14:textId="2F0BF2D1">
            <w:r>
              <w:rPr>
                <w:b/>
                <w:bCs/>
              </w:rPr>
              <w:t xml:space="preserve">Total Burden Hours for </w:t>
            </w:r>
            <w:r w:rsidR="00CB29E2">
              <w:rPr>
                <w:b/>
                <w:bCs/>
              </w:rPr>
              <w:t>0920-0666</w:t>
            </w:r>
          </w:p>
        </w:tc>
        <w:tc>
          <w:tcPr>
            <w:tcW w:w="3107" w:type="dxa"/>
            <w:tcBorders>
              <w:top w:val="single" w:sz="4" w:space="0" w:color="auto"/>
              <w:left w:val="single" w:sz="4" w:space="0" w:color="auto"/>
              <w:bottom w:val="single" w:sz="4" w:space="0" w:color="auto"/>
              <w:right w:val="single" w:sz="4" w:space="0" w:color="auto"/>
            </w:tcBorders>
          </w:tcPr>
          <w:p w:rsidR="00F91230" w:rsidP="0093437C" w14:paraId="58D09C09" w14:textId="77777777">
            <w:pPr>
              <w:jc w:val="center"/>
            </w:pPr>
          </w:p>
        </w:tc>
        <w:tc>
          <w:tcPr>
            <w:tcW w:w="1713" w:type="dxa"/>
            <w:tcBorders>
              <w:top w:val="single" w:sz="4" w:space="0" w:color="auto"/>
              <w:left w:val="single" w:sz="4" w:space="0" w:color="auto"/>
              <w:bottom w:val="single" w:sz="4" w:space="0" w:color="auto"/>
              <w:right w:val="single" w:sz="4" w:space="0" w:color="auto"/>
            </w:tcBorders>
          </w:tcPr>
          <w:p w:rsidR="00F91230" w:rsidP="0093437C" w14:paraId="55FEE208" w14:textId="77777777">
            <w:pPr>
              <w:jc w:val="center"/>
            </w:pPr>
          </w:p>
        </w:tc>
        <w:tc>
          <w:tcPr>
            <w:tcW w:w="1359" w:type="dxa"/>
            <w:tcBorders>
              <w:top w:val="single" w:sz="4" w:space="0" w:color="auto"/>
              <w:left w:val="single" w:sz="4" w:space="0" w:color="auto"/>
              <w:bottom w:val="single" w:sz="4" w:space="0" w:color="auto"/>
              <w:right w:val="single" w:sz="4" w:space="0" w:color="auto"/>
            </w:tcBorders>
          </w:tcPr>
          <w:p w:rsidR="00F91230" w:rsidP="0093437C" w14:paraId="2E3221CD" w14:textId="77777777">
            <w:pPr>
              <w:jc w:val="center"/>
            </w:pPr>
          </w:p>
        </w:tc>
        <w:tc>
          <w:tcPr>
            <w:tcW w:w="1465" w:type="dxa"/>
            <w:tcBorders>
              <w:top w:val="single" w:sz="4" w:space="0" w:color="auto"/>
              <w:left w:val="single" w:sz="4" w:space="0" w:color="auto"/>
              <w:bottom w:val="single" w:sz="4" w:space="0" w:color="auto"/>
              <w:right w:val="single" w:sz="4" w:space="0" w:color="auto"/>
            </w:tcBorders>
          </w:tcPr>
          <w:p w:rsidR="00F91230" w:rsidP="0093437C" w14:paraId="54478798" w14:textId="752131BC">
            <w:pPr>
              <w:jc w:val="center"/>
            </w:pPr>
            <w:r>
              <w:t>2,</w:t>
            </w:r>
            <w:r w:rsidR="008104A6">
              <w:t>433</w:t>
            </w:r>
            <w:r>
              <w:t>,</w:t>
            </w:r>
            <w:r w:rsidR="008104A6">
              <w:t>16</w:t>
            </w:r>
            <w:r>
              <w:t>5</w:t>
            </w:r>
          </w:p>
        </w:tc>
      </w:tr>
    </w:tbl>
    <w:p w:rsidR="003D7C25" w:rsidRPr="009853E2" w:rsidP="003C1757" w14:paraId="6B0444DC" w14:textId="77777777">
      <w:pPr>
        <w:spacing w:line="276" w:lineRule="auto"/>
      </w:pPr>
    </w:p>
    <w:sectPr w:rsidSect="00EE6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947C7"/>
    <w:multiLevelType w:val="hybridMultilevel"/>
    <w:tmpl w:val="3000D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F630ADA"/>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04FE8"/>
    <w:multiLevelType w:val="hybridMultilevel"/>
    <w:tmpl w:val="5EF8B87E"/>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12B734D2"/>
    <w:multiLevelType w:val="hybridMultilevel"/>
    <w:tmpl w:val="12DCC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C4194"/>
    <w:multiLevelType w:val="hybridMultilevel"/>
    <w:tmpl w:val="A62ED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3B67C5"/>
    <w:multiLevelType w:val="hybridMultilevel"/>
    <w:tmpl w:val="32204A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5B45F03"/>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993DDE"/>
    <w:multiLevelType w:val="hybridMultilevel"/>
    <w:tmpl w:val="D2468724"/>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206E59CD"/>
    <w:multiLevelType w:val="hybridMultilevel"/>
    <w:tmpl w:val="82A45A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7D03AE"/>
    <w:multiLevelType w:val="hybridMultilevel"/>
    <w:tmpl w:val="C5700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E4659"/>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0A1F13"/>
    <w:multiLevelType w:val="hybridMultilevel"/>
    <w:tmpl w:val="687CD1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7407FB"/>
    <w:multiLevelType w:val="hybridMultilevel"/>
    <w:tmpl w:val="FF4E0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7B0ADC"/>
    <w:multiLevelType w:val="hybridMultilevel"/>
    <w:tmpl w:val="FA064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731E3F"/>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3B6B45"/>
    <w:multiLevelType w:val="hybridMultilevel"/>
    <w:tmpl w:val="330EE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C45E8E"/>
    <w:multiLevelType w:val="hybridMultilevel"/>
    <w:tmpl w:val="0F882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5D7F0B"/>
    <w:multiLevelType w:val="hybridMultilevel"/>
    <w:tmpl w:val="26E6CB7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6E40156"/>
    <w:multiLevelType w:val="hybridMultilevel"/>
    <w:tmpl w:val="5454A2F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9676828"/>
    <w:multiLevelType w:val="hybridMultilevel"/>
    <w:tmpl w:val="30AC9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4B6CBF"/>
    <w:multiLevelType w:val="hybridMultilevel"/>
    <w:tmpl w:val="FA36A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3A18A3"/>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E11A1C"/>
    <w:multiLevelType w:val="hybridMultilevel"/>
    <w:tmpl w:val="08445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77C1"/>
    <w:multiLevelType w:val="hybridMultilevel"/>
    <w:tmpl w:val="0534EAA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4">
    <w:nsid w:val="5099412D"/>
    <w:multiLevelType w:val="hybridMultilevel"/>
    <w:tmpl w:val="32A08EE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5">
    <w:nsid w:val="523E571E"/>
    <w:multiLevelType w:val="hybridMultilevel"/>
    <w:tmpl w:val="9E86E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55F5773"/>
    <w:multiLevelType w:val="hybridMultilevel"/>
    <w:tmpl w:val="77AC7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50645"/>
    <w:multiLevelType w:val="hybridMultilevel"/>
    <w:tmpl w:val="136EA5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8D64E80"/>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A9B406A"/>
    <w:multiLevelType w:val="hybridMultilevel"/>
    <w:tmpl w:val="B830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C2A053E"/>
    <w:multiLevelType w:val="hybridMultilevel"/>
    <w:tmpl w:val="D4F42298"/>
    <w:lvl w:ilvl="0">
      <w:start w:val="1"/>
      <w:numFmt w:val="decimal"/>
      <w:lvlText w:val="%1."/>
      <w:lvlJc w:val="left"/>
      <w:pPr>
        <w:ind w:left="45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7493532"/>
    <w:multiLevelType w:val="hybridMultilevel"/>
    <w:tmpl w:val="76E83D7E"/>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4">
    <w:nsid w:val="6E144A8C"/>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CC7452"/>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D75F3F"/>
    <w:multiLevelType w:val="hybridMultilevel"/>
    <w:tmpl w:val="92F89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7F62EE"/>
    <w:multiLevelType w:val="hybridMultilevel"/>
    <w:tmpl w:val="DC227E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1E0C65"/>
    <w:multiLevelType w:val="hybridMultilevel"/>
    <w:tmpl w:val="27EC1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ADD3E50"/>
    <w:multiLevelType w:val="hybridMultilevel"/>
    <w:tmpl w:val="598CC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3728996">
    <w:abstractNumId w:val="22"/>
  </w:num>
  <w:num w:numId="2" w16cid:durableId="1576091870">
    <w:abstractNumId w:val="36"/>
  </w:num>
  <w:num w:numId="3" w16cid:durableId="9306356">
    <w:abstractNumId w:val="11"/>
  </w:num>
  <w:num w:numId="4" w16cid:durableId="31812386">
    <w:abstractNumId w:val="6"/>
  </w:num>
  <w:num w:numId="5" w16cid:durableId="1511485546">
    <w:abstractNumId w:val="14"/>
  </w:num>
  <w:num w:numId="6" w16cid:durableId="1445924473">
    <w:abstractNumId w:val="10"/>
  </w:num>
  <w:num w:numId="7" w16cid:durableId="1006126728">
    <w:abstractNumId w:val="19"/>
  </w:num>
  <w:num w:numId="8" w16cid:durableId="5106810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554816">
    <w:abstractNumId w:val="30"/>
  </w:num>
  <w:num w:numId="10" w16cid:durableId="4237714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21897">
    <w:abstractNumId w:val="8"/>
  </w:num>
  <w:num w:numId="12" w16cid:durableId="1472676076">
    <w:abstractNumId w:val="26"/>
  </w:num>
  <w:num w:numId="13" w16cid:durableId="1781220442">
    <w:abstractNumId w:val="0"/>
  </w:num>
  <w:num w:numId="14" w16cid:durableId="1665236047">
    <w:abstractNumId w:val="32"/>
  </w:num>
  <w:num w:numId="15" w16cid:durableId="87249828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154618">
    <w:abstractNumId w:val="34"/>
  </w:num>
  <w:num w:numId="17" w16cid:durableId="1030839389">
    <w:abstractNumId w:val="3"/>
  </w:num>
  <w:num w:numId="18" w16cid:durableId="699937987">
    <w:abstractNumId w:val="23"/>
  </w:num>
  <w:num w:numId="19" w16cid:durableId="246232820">
    <w:abstractNumId w:val="24"/>
  </w:num>
  <w:num w:numId="20" w16cid:durableId="2087528334">
    <w:abstractNumId w:val="20"/>
  </w:num>
  <w:num w:numId="21" w16cid:durableId="380597974">
    <w:abstractNumId w:val="37"/>
  </w:num>
  <w:num w:numId="22" w16cid:durableId="595791408">
    <w:abstractNumId w:val="38"/>
  </w:num>
  <w:num w:numId="23" w16cid:durableId="1960448893">
    <w:abstractNumId w:val="1"/>
  </w:num>
  <w:num w:numId="24" w16cid:durableId="358631639">
    <w:abstractNumId w:val="15"/>
  </w:num>
  <w:num w:numId="25" w16cid:durableId="13389944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978996">
    <w:abstractNumId w:val="27"/>
  </w:num>
  <w:num w:numId="27" w16cid:durableId="613249345">
    <w:abstractNumId w:val="13"/>
  </w:num>
  <w:num w:numId="28" w16cid:durableId="1456413105">
    <w:abstractNumId w:val="28"/>
  </w:num>
  <w:num w:numId="29" w16cid:durableId="408311283">
    <w:abstractNumId w:val="12"/>
  </w:num>
  <w:num w:numId="30" w16cid:durableId="875655535">
    <w:abstractNumId w:val="35"/>
  </w:num>
  <w:num w:numId="31" w16cid:durableId="1834369263">
    <w:abstractNumId w:val="21"/>
  </w:num>
  <w:num w:numId="32" w16cid:durableId="774593942">
    <w:abstractNumId w:val="16"/>
  </w:num>
  <w:num w:numId="33" w16cid:durableId="633020297">
    <w:abstractNumId w:val="2"/>
  </w:num>
  <w:num w:numId="34" w16cid:durableId="1928224705">
    <w:abstractNumId w:val="17"/>
  </w:num>
  <w:num w:numId="35" w16cid:durableId="1848665006">
    <w:abstractNumId w:val="7"/>
  </w:num>
  <w:num w:numId="36" w16cid:durableId="1406954059">
    <w:abstractNumId w:val="9"/>
  </w:num>
  <w:num w:numId="37" w16cid:durableId="1234779958">
    <w:abstractNumId w:val="40"/>
  </w:num>
  <w:num w:numId="38" w16cid:durableId="168446524">
    <w:abstractNumId w:val="5"/>
  </w:num>
  <w:num w:numId="39" w16cid:durableId="1682391330">
    <w:abstractNumId w:val="31"/>
  </w:num>
  <w:num w:numId="40" w16cid:durableId="963461309">
    <w:abstractNumId w:val="25"/>
  </w:num>
  <w:num w:numId="41" w16cid:durableId="719981603">
    <w:abstractNumId w:val="33"/>
  </w:num>
  <w:num w:numId="42" w16cid:durableId="261111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01CF1"/>
    <w:rsid w:val="00002EB3"/>
    <w:rsid w:val="00014F12"/>
    <w:rsid w:val="00017E18"/>
    <w:rsid w:val="000202CD"/>
    <w:rsid w:val="000358F0"/>
    <w:rsid w:val="00046E43"/>
    <w:rsid w:val="00056D25"/>
    <w:rsid w:val="00065580"/>
    <w:rsid w:val="0006640B"/>
    <w:rsid w:val="00067D57"/>
    <w:rsid w:val="00075073"/>
    <w:rsid w:val="00075486"/>
    <w:rsid w:val="00076EA3"/>
    <w:rsid w:val="000820F1"/>
    <w:rsid w:val="000846D0"/>
    <w:rsid w:val="00091165"/>
    <w:rsid w:val="00091BD5"/>
    <w:rsid w:val="000930C8"/>
    <w:rsid w:val="000A61E1"/>
    <w:rsid w:val="000B13A4"/>
    <w:rsid w:val="000B14EF"/>
    <w:rsid w:val="000B2DDB"/>
    <w:rsid w:val="000B3B63"/>
    <w:rsid w:val="000C02A6"/>
    <w:rsid w:val="000C2DFB"/>
    <w:rsid w:val="000C4494"/>
    <w:rsid w:val="000C59AF"/>
    <w:rsid w:val="000C5EF1"/>
    <w:rsid w:val="000D59E8"/>
    <w:rsid w:val="000D761F"/>
    <w:rsid w:val="000E7448"/>
    <w:rsid w:val="000F355D"/>
    <w:rsid w:val="000F38CE"/>
    <w:rsid w:val="000F41D0"/>
    <w:rsid w:val="000F5541"/>
    <w:rsid w:val="000F578F"/>
    <w:rsid w:val="0010243B"/>
    <w:rsid w:val="00102E82"/>
    <w:rsid w:val="001127F8"/>
    <w:rsid w:val="00134660"/>
    <w:rsid w:val="00135084"/>
    <w:rsid w:val="0014447E"/>
    <w:rsid w:val="001460AD"/>
    <w:rsid w:val="00147C78"/>
    <w:rsid w:val="00150C27"/>
    <w:rsid w:val="0015445D"/>
    <w:rsid w:val="001641DC"/>
    <w:rsid w:val="0016467B"/>
    <w:rsid w:val="00172570"/>
    <w:rsid w:val="001802BC"/>
    <w:rsid w:val="00183FE1"/>
    <w:rsid w:val="00187CE0"/>
    <w:rsid w:val="00191E1A"/>
    <w:rsid w:val="00192C85"/>
    <w:rsid w:val="001A508D"/>
    <w:rsid w:val="001A68A3"/>
    <w:rsid w:val="001A6DA5"/>
    <w:rsid w:val="001B17B6"/>
    <w:rsid w:val="001B28FF"/>
    <w:rsid w:val="001B3997"/>
    <w:rsid w:val="001B5006"/>
    <w:rsid w:val="001C1EDF"/>
    <w:rsid w:val="001C50B7"/>
    <w:rsid w:val="001D18B4"/>
    <w:rsid w:val="001D19A7"/>
    <w:rsid w:val="001D655A"/>
    <w:rsid w:val="001E063D"/>
    <w:rsid w:val="001E2097"/>
    <w:rsid w:val="001E65C1"/>
    <w:rsid w:val="001E6CCF"/>
    <w:rsid w:val="001F2CAA"/>
    <w:rsid w:val="001F579A"/>
    <w:rsid w:val="00202881"/>
    <w:rsid w:val="002032EB"/>
    <w:rsid w:val="00210126"/>
    <w:rsid w:val="002105FD"/>
    <w:rsid w:val="00213CD7"/>
    <w:rsid w:val="00213E73"/>
    <w:rsid w:val="002162E5"/>
    <w:rsid w:val="002207F0"/>
    <w:rsid w:val="0022395C"/>
    <w:rsid w:val="00224B0C"/>
    <w:rsid w:val="002255B7"/>
    <w:rsid w:val="00225CD7"/>
    <w:rsid w:val="00234353"/>
    <w:rsid w:val="002425EB"/>
    <w:rsid w:val="00243F7E"/>
    <w:rsid w:val="00244A0E"/>
    <w:rsid w:val="00244D30"/>
    <w:rsid w:val="00244F60"/>
    <w:rsid w:val="002508BF"/>
    <w:rsid w:val="00251CBC"/>
    <w:rsid w:val="00252C38"/>
    <w:rsid w:val="00252EBA"/>
    <w:rsid w:val="00254083"/>
    <w:rsid w:val="002540C4"/>
    <w:rsid w:val="00273604"/>
    <w:rsid w:val="00273CFE"/>
    <w:rsid w:val="00277547"/>
    <w:rsid w:val="00281300"/>
    <w:rsid w:val="00285DD2"/>
    <w:rsid w:val="002906FF"/>
    <w:rsid w:val="00294F7A"/>
    <w:rsid w:val="00295BE2"/>
    <w:rsid w:val="00296019"/>
    <w:rsid w:val="002A0432"/>
    <w:rsid w:val="002A0C46"/>
    <w:rsid w:val="002A1094"/>
    <w:rsid w:val="002A5875"/>
    <w:rsid w:val="002A5B24"/>
    <w:rsid w:val="002B16D1"/>
    <w:rsid w:val="002B2BE7"/>
    <w:rsid w:val="002D0BA3"/>
    <w:rsid w:val="002D64B5"/>
    <w:rsid w:val="002E01BC"/>
    <w:rsid w:val="002E081C"/>
    <w:rsid w:val="002E7E42"/>
    <w:rsid w:val="002F2FE2"/>
    <w:rsid w:val="002F6981"/>
    <w:rsid w:val="00301FAD"/>
    <w:rsid w:val="00305D36"/>
    <w:rsid w:val="00317EE9"/>
    <w:rsid w:val="00322D0A"/>
    <w:rsid w:val="00332C79"/>
    <w:rsid w:val="00335491"/>
    <w:rsid w:val="00341995"/>
    <w:rsid w:val="00345245"/>
    <w:rsid w:val="00351B28"/>
    <w:rsid w:val="00353C97"/>
    <w:rsid w:val="0035743E"/>
    <w:rsid w:val="00360E97"/>
    <w:rsid w:val="00367145"/>
    <w:rsid w:val="00373A1E"/>
    <w:rsid w:val="00381EF2"/>
    <w:rsid w:val="00383337"/>
    <w:rsid w:val="003868C5"/>
    <w:rsid w:val="00390DB4"/>
    <w:rsid w:val="00392A6E"/>
    <w:rsid w:val="00393BA9"/>
    <w:rsid w:val="0039792F"/>
    <w:rsid w:val="00397AF3"/>
    <w:rsid w:val="003A0DC7"/>
    <w:rsid w:val="003B2779"/>
    <w:rsid w:val="003B479C"/>
    <w:rsid w:val="003C1757"/>
    <w:rsid w:val="003C1ED5"/>
    <w:rsid w:val="003C45DA"/>
    <w:rsid w:val="003D16D1"/>
    <w:rsid w:val="003D4625"/>
    <w:rsid w:val="003D4C51"/>
    <w:rsid w:val="003D7C25"/>
    <w:rsid w:val="003E0A51"/>
    <w:rsid w:val="003F34CE"/>
    <w:rsid w:val="003F4674"/>
    <w:rsid w:val="00402A49"/>
    <w:rsid w:val="00403933"/>
    <w:rsid w:val="00403BD2"/>
    <w:rsid w:val="004055E1"/>
    <w:rsid w:val="004137CA"/>
    <w:rsid w:val="00414045"/>
    <w:rsid w:val="004140A8"/>
    <w:rsid w:val="00422DB7"/>
    <w:rsid w:val="00423BAE"/>
    <w:rsid w:val="00425B09"/>
    <w:rsid w:val="00434BDA"/>
    <w:rsid w:val="004358EF"/>
    <w:rsid w:val="00442823"/>
    <w:rsid w:val="0044310F"/>
    <w:rsid w:val="004478E1"/>
    <w:rsid w:val="0046096B"/>
    <w:rsid w:val="0046367C"/>
    <w:rsid w:val="0046621D"/>
    <w:rsid w:val="00466B70"/>
    <w:rsid w:val="004701A6"/>
    <w:rsid w:val="00474EC9"/>
    <w:rsid w:val="00475CA4"/>
    <w:rsid w:val="0048080F"/>
    <w:rsid w:val="004819E3"/>
    <w:rsid w:val="004845D0"/>
    <w:rsid w:val="0048742B"/>
    <w:rsid w:val="004936D9"/>
    <w:rsid w:val="004A2959"/>
    <w:rsid w:val="004A35AD"/>
    <w:rsid w:val="004A3CA5"/>
    <w:rsid w:val="004A6846"/>
    <w:rsid w:val="004A7339"/>
    <w:rsid w:val="004B26BB"/>
    <w:rsid w:val="004B7F27"/>
    <w:rsid w:val="004C07C4"/>
    <w:rsid w:val="004C11BF"/>
    <w:rsid w:val="004C15F3"/>
    <w:rsid w:val="004C3C6B"/>
    <w:rsid w:val="004C6E97"/>
    <w:rsid w:val="004C6EA8"/>
    <w:rsid w:val="004C7123"/>
    <w:rsid w:val="004D0403"/>
    <w:rsid w:val="004D3374"/>
    <w:rsid w:val="004D4D52"/>
    <w:rsid w:val="004D66E0"/>
    <w:rsid w:val="004E382F"/>
    <w:rsid w:val="004F035B"/>
    <w:rsid w:val="004F360F"/>
    <w:rsid w:val="00502D86"/>
    <w:rsid w:val="00515174"/>
    <w:rsid w:val="00521AD4"/>
    <w:rsid w:val="00522802"/>
    <w:rsid w:val="00531A03"/>
    <w:rsid w:val="00531E9F"/>
    <w:rsid w:val="0054783C"/>
    <w:rsid w:val="00560D99"/>
    <w:rsid w:val="0056367F"/>
    <w:rsid w:val="0056448D"/>
    <w:rsid w:val="00566ACE"/>
    <w:rsid w:val="00573084"/>
    <w:rsid w:val="005748DA"/>
    <w:rsid w:val="005808D5"/>
    <w:rsid w:val="00587395"/>
    <w:rsid w:val="00596B54"/>
    <w:rsid w:val="005A01D6"/>
    <w:rsid w:val="005A04BE"/>
    <w:rsid w:val="005A1DD0"/>
    <w:rsid w:val="005B0316"/>
    <w:rsid w:val="005B0331"/>
    <w:rsid w:val="005B122F"/>
    <w:rsid w:val="005D019C"/>
    <w:rsid w:val="005D0B49"/>
    <w:rsid w:val="005D68F6"/>
    <w:rsid w:val="005E0F65"/>
    <w:rsid w:val="005E43B0"/>
    <w:rsid w:val="005F01E8"/>
    <w:rsid w:val="005F1C76"/>
    <w:rsid w:val="005F2495"/>
    <w:rsid w:val="005F52BE"/>
    <w:rsid w:val="00601A62"/>
    <w:rsid w:val="00603842"/>
    <w:rsid w:val="0060599C"/>
    <w:rsid w:val="00612DAD"/>
    <w:rsid w:val="00615F3D"/>
    <w:rsid w:val="00616BF1"/>
    <w:rsid w:val="00617D1B"/>
    <w:rsid w:val="006210F0"/>
    <w:rsid w:val="00622486"/>
    <w:rsid w:val="00622FCA"/>
    <w:rsid w:val="00634AD3"/>
    <w:rsid w:val="00635763"/>
    <w:rsid w:val="00644B00"/>
    <w:rsid w:val="00645394"/>
    <w:rsid w:val="00646CE8"/>
    <w:rsid w:val="00647ABE"/>
    <w:rsid w:val="00647EA3"/>
    <w:rsid w:val="0065566E"/>
    <w:rsid w:val="00672F5A"/>
    <w:rsid w:val="00681DBE"/>
    <w:rsid w:val="006837EC"/>
    <w:rsid w:val="00684905"/>
    <w:rsid w:val="00684D4F"/>
    <w:rsid w:val="00686CE4"/>
    <w:rsid w:val="00694276"/>
    <w:rsid w:val="006945CB"/>
    <w:rsid w:val="0069483D"/>
    <w:rsid w:val="006A36D4"/>
    <w:rsid w:val="006B3616"/>
    <w:rsid w:val="006B36CA"/>
    <w:rsid w:val="006B3FBC"/>
    <w:rsid w:val="006B40AC"/>
    <w:rsid w:val="006B7805"/>
    <w:rsid w:val="006C0624"/>
    <w:rsid w:val="006C1B7D"/>
    <w:rsid w:val="006C2C07"/>
    <w:rsid w:val="006C3782"/>
    <w:rsid w:val="006C6AF4"/>
    <w:rsid w:val="006E1629"/>
    <w:rsid w:val="006E1C74"/>
    <w:rsid w:val="006E20F1"/>
    <w:rsid w:val="006E2F91"/>
    <w:rsid w:val="006E78CC"/>
    <w:rsid w:val="006F131E"/>
    <w:rsid w:val="006F4F43"/>
    <w:rsid w:val="007128CC"/>
    <w:rsid w:val="00713649"/>
    <w:rsid w:val="00713A2A"/>
    <w:rsid w:val="00713BE0"/>
    <w:rsid w:val="00713E3B"/>
    <w:rsid w:val="00714768"/>
    <w:rsid w:val="00725EBB"/>
    <w:rsid w:val="007353C1"/>
    <w:rsid w:val="0073781A"/>
    <w:rsid w:val="007413B7"/>
    <w:rsid w:val="00742E83"/>
    <w:rsid w:val="0074322F"/>
    <w:rsid w:val="00756A5D"/>
    <w:rsid w:val="0077212B"/>
    <w:rsid w:val="00773BE5"/>
    <w:rsid w:val="00776814"/>
    <w:rsid w:val="00776D77"/>
    <w:rsid w:val="00781207"/>
    <w:rsid w:val="00781A8B"/>
    <w:rsid w:val="0078272D"/>
    <w:rsid w:val="00786F09"/>
    <w:rsid w:val="00787119"/>
    <w:rsid w:val="007928FE"/>
    <w:rsid w:val="00796C43"/>
    <w:rsid w:val="007A39AB"/>
    <w:rsid w:val="007B3678"/>
    <w:rsid w:val="007B3987"/>
    <w:rsid w:val="007C148A"/>
    <w:rsid w:val="007D05F2"/>
    <w:rsid w:val="007D30EE"/>
    <w:rsid w:val="007D6F91"/>
    <w:rsid w:val="007D7375"/>
    <w:rsid w:val="007E0ADF"/>
    <w:rsid w:val="007E49A0"/>
    <w:rsid w:val="007E7922"/>
    <w:rsid w:val="007F0F9A"/>
    <w:rsid w:val="00800DD6"/>
    <w:rsid w:val="008046FC"/>
    <w:rsid w:val="00804A02"/>
    <w:rsid w:val="008070ED"/>
    <w:rsid w:val="008104A6"/>
    <w:rsid w:val="00820684"/>
    <w:rsid w:val="008217FE"/>
    <w:rsid w:val="008313A6"/>
    <w:rsid w:val="0083569C"/>
    <w:rsid w:val="008359CF"/>
    <w:rsid w:val="00840B2D"/>
    <w:rsid w:val="00844073"/>
    <w:rsid w:val="008510AC"/>
    <w:rsid w:val="008510D4"/>
    <w:rsid w:val="00852C44"/>
    <w:rsid w:val="008665E1"/>
    <w:rsid w:val="0087631F"/>
    <w:rsid w:val="00876DBF"/>
    <w:rsid w:val="00876DF8"/>
    <w:rsid w:val="00877AAA"/>
    <w:rsid w:val="00880BDE"/>
    <w:rsid w:val="00882B39"/>
    <w:rsid w:val="0089041C"/>
    <w:rsid w:val="00893D32"/>
    <w:rsid w:val="00895D6E"/>
    <w:rsid w:val="008A4949"/>
    <w:rsid w:val="008A66BA"/>
    <w:rsid w:val="008C123A"/>
    <w:rsid w:val="008C4167"/>
    <w:rsid w:val="008C51D3"/>
    <w:rsid w:val="008D3AFA"/>
    <w:rsid w:val="008D6452"/>
    <w:rsid w:val="008E631D"/>
    <w:rsid w:val="008F4EC2"/>
    <w:rsid w:val="008F5764"/>
    <w:rsid w:val="009010E3"/>
    <w:rsid w:val="00913E79"/>
    <w:rsid w:val="009169EC"/>
    <w:rsid w:val="00920BC5"/>
    <w:rsid w:val="0092428E"/>
    <w:rsid w:val="009252FC"/>
    <w:rsid w:val="00927F42"/>
    <w:rsid w:val="0093166E"/>
    <w:rsid w:val="0093437C"/>
    <w:rsid w:val="0093499F"/>
    <w:rsid w:val="00941346"/>
    <w:rsid w:val="00943F16"/>
    <w:rsid w:val="00946928"/>
    <w:rsid w:val="0094768D"/>
    <w:rsid w:val="00947CF5"/>
    <w:rsid w:val="00950B40"/>
    <w:rsid w:val="00950BBE"/>
    <w:rsid w:val="00953213"/>
    <w:rsid w:val="00956210"/>
    <w:rsid w:val="00957F13"/>
    <w:rsid w:val="009634C8"/>
    <w:rsid w:val="009743CC"/>
    <w:rsid w:val="00977428"/>
    <w:rsid w:val="009852BF"/>
    <w:rsid w:val="009853E2"/>
    <w:rsid w:val="00992A93"/>
    <w:rsid w:val="0099408E"/>
    <w:rsid w:val="00995E31"/>
    <w:rsid w:val="009A605E"/>
    <w:rsid w:val="009A6760"/>
    <w:rsid w:val="009A79C2"/>
    <w:rsid w:val="009A7F35"/>
    <w:rsid w:val="009B7513"/>
    <w:rsid w:val="009C0B63"/>
    <w:rsid w:val="009C5687"/>
    <w:rsid w:val="009D174B"/>
    <w:rsid w:val="009D7F1A"/>
    <w:rsid w:val="009F2FD2"/>
    <w:rsid w:val="009F3420"/>
    <w:rsid w:val="009F3F25"/>
    <w:rsid w:val="009F5211"/>
    <w:rsid w:val="009F709E"/>
    <w:rsid w:val="00A04384"/>
    <w:rsid w:val="00A04DCA"/>
    <w:rsid w:val="00A11BF2"/>
    <w:rsid w:val="00A11C2B"/>
    <w:rsid w:val="00A176BE"/>
    <w:rsid w:val="00A20A40"/>
    <w:rsid w:val="00A30925"/>
    <w:rsid w:val="00A35E23"/>
    <w:rsid w:val="00A42493"/>
    <w:rsid w:val="00A42A6B"/>
    <w:rsid w:val="00A42EFC"/>
    <w:rsid w:val="00A45248"/>
    <w:rsid w:val="00A72DBF"/>
    <w:rsid w:val="00A82552"/>
    <w:rsid w:val="00A86527"/>
    <w:rsid w:val="00A8721E"/>
    <w:rsid w:val="00A94728"/>
    <w:rsid w:val="00A94F91"/>
    <w:rsid w:val="00A95315"/>
    <w:rsid w:val="00AA2233"/>
    <w:rsid w:val="00AA3A4E"/>
    <w:rsid w:val="00AA46C0"/>
    <w:rsid w:val="00AA7BD4"/>
    <w:rsid w:val="00AB0343"/>
    <w:rsid w:val="00AB0F70"/>
    <w:rsid w:val="00AB194C"/>
    <w:rsid w:val="00AC709D"/>
    <w:rsid w:val="00AD450B"/>
    <w:rsid w:val="00AD59D4"/>
    <w:rsid w:val="00AD6AA8"/>
    <w:rsid w:val="00AE25E7"/>
    <w:rsid w:val="00AE4DA2"/>
    <w:rsid w:val="00AE5EA7"/>
    <w:rsid w:val="00AE7654"/>
    <w:rsid w:val="00B02DA7"/>
    <w:rsid w:val="00B05781"/>
    <w:rsid w:val="00B13805"/>
    <w:rsid w:val="00B14976"/>
    <w:rsid w:val="00B2132C"/>
    <w:rsid w:val="00B3393C"/>
    <w:rsid w:val="00B43499"/>
    <w:rsid w:val="00B51A4B"/>
    <w:rsid w:val="00B56706"/>
    <w:rsid w:val="00B57B62"/>
    <w:rsid w:val="00B619BE"/>
    <w:rsid w:val="00B61C99"/>
    <w:rsid w:val="00B61F67"/>
    <w:rsid w:val="00B75C7F"/>
    <w:rsid w:val="00B77824"/>
    <w:rsid w:val="00B81C9D"/>
    <w:rsid w:val="00B8304E"/>
    <w:rsid w:val="00B837AB"/>
    <w:rsid w:val="00B843B7"/>
    <w:rsid w:val="00B94621"/>
    <w:rsid w:val="00B964C5"/>
    <w:rsid w:val="00BA219E"/>
    <w:rsid w:val="00BA3997"/>
    <w:rsid w:val="00BA5DFA"/>
    <w:rsid w:val="00BB756C"/>
    <w:rsid w:val="00BC5AC7"/>
    <w:rsid w:val="00BC6386"/>
    <w:rsid w:val="00BD288F"/>
    <w:rsid w:val="00BD4057"/>
    <w:rsid w:val="00BD7F12"/>
    <w:rsid w:val="00BE3920"/>
    <w:rsid w:val="00BE51EC"/>
    <w:rsid w:val="00BF0DCE"/>
    <w:rsid w:val="00BF46BC"/>
    <w:rsid w:val="00BF7D11"/>
    <w:rsid w:val="00C032CB"/>
    <w:rsid w:val="00C04733"/>
    <w:rsid w:val="00C11B5B"/>
    <w:rsid w:val="00C13670"/>
    <w:rsid w:val="00C13D07"/>
    <w:rsid w:val="00C159A4"/>
    <w:rsid w:val="00C23EA1"/>
    <w:rsid w:val="00C26E63"/>
    <w:rsid w:val="00C27FDE"/>
    <w:rsid w:val="00C37725"/>
    <w:rsid w:val="00C42E73"/>
    <w:rsid w:val="00C44D96"/>
    <w:rsid w:val="00C5023A"/>
    <w:rsid w:val="00C5357A"/>
    <w:rsid w:val="00C549E2"/>
    <w:rsid w:val="00C555DE"/>
    <w:rsid w:val="00C605EB"/>
    <w:rsid w:val="00C61FA5"/>
    <w:rsid w:val="00C626A7"/>
    <w:rsid w:val="00C64A92"/>
    <w:rsid w:val="00C7758C"/>
    <w:rsid w:val="00C865BD"/>
    <w:rsid w:val="00C8691B"/>
    <w:rsid w:val="00C90838"/>
    <w:rsid w:val="00C912F6"/>
    <w:rsid w:val="00CA16D5"/>
    <w:rsid w:val="00CB08E4"/>
    <w:rsid w:val="00CB1396"/>
    <w:rsid w:val="00CB29E2"/>
    <w:rsid w:val="00CB3E3C"/>
    <w:rsid w:val="00CB7517"/>
    <w:rsid w:val="00CB76CA"/>
    <w:rsid w:val="00CC0A09"/>
    <w:rsid w:val="00CC2539"/>
    <w:rsid w:val="00CD07CC"/>
    <w:rsid w:val="00CD36D0"/>
    <w:rsid w:val="00CD576D"/>
    <w:rsid w:val="00CD6CAE"/>
    <w:rsid w:val="00CE0BF2"/>
    <w:rsid w:val="00CE74C9"/>
    <w:rsid w:val="00CE762C"/>
    <w:rsid w:val="00CF3448"/>
    <w:rsid w:val="00CF7181"/>
    <w:rsid w:val="00D007F4"/>
    <w:rsid w:val="00D00AAE"/>
    <w:rsid w:val="00D106AB"/>
    <w:rsid w:val="00D16481"/>
    <w:rsid w:val="00D2512B"/>
    <w:rsid w:val="00D26908"/>
    <w:rsid w:val="00D314F5"/>
    <w:rsid w:val="00D3316D"/>
    <w:rsid w:val="00D33EE8"/>
    <w:rsid w:val="00D34D8C"/>
    <w:rsid w:val="00D352F2"/>
    <w:rsid w:val="00D37BA9"/>
    <w:rsid w:val="00D42A23"/>
    <w:rsid w:val="00D46D98"/>
    <w:rsid w:val="00D535C3"/>
    <w:rsid w:val="00D5749E"/>
    <w:rsid w:val="00D6023A"/>
    <w:rsid w:val="00D6032B"/>
    <w:rsid w:val="00D85B05"/>
    <w:rsid w:val="00D92E40"/>
    <w:rsid w:val="00D97502"/>
    <w:rsid w:val="00DA40D0"/>
    <w:rsid w:val="00DA4CBC"/>
    <w:rsid w:val="00DA52A4"/>
    <w:rsid w:val="00DA5701"/>
    <w:rsid w:val="00DA7441"/>
    <w:rsid w:val="00DB58C3"/>
    <w:rsid w:val="00DB6B45"/>
    <w:rsid w:val="00DC07A5"/>
    <w:rsid w:val="00DC3602"/>
    <w:rsid w:val="00DC6EBB"/>
    <w:rsid w:val="00DC70FD"/>
    <w:rsid w:val="00DD4F9D"/>
    <w:rsid w:val="00DE0BA1"/>
    <w:rsid w:val="00DE256E"/>
    <w:rsid w:val="00DE771B"/>
    <w:rsid w:val="00E1178D"/>
    <w:rsid w:val="00E1526B"/>
    <w:rsid w:val="00E1674F"/>
    <w:rsid w:val="00E175D8"/>
    <w:rsid w:val="00E20E52"/>
    <w:rsid w:val="00E2412C"/>
    <w:rsid w:val="00E25E0F"/>
    <w:rsid w:val="00E3091D"/>
    <w:rsid w:val="00E32DBE"/>
    <w:rsid w:val="00E36BCA"/>
    <w:rsid w:val="00E372FB"/>
    <w:rsid w:val="00E42BAF"/>
    <w:rsid w:val="00E42F23"/>
    <w:rsid w:val="00E574AA"/>
    <w:rsid w:val="00E6293F"/>
    <w:rsid w:val="00E661FC"/>
    <w:rsid w:val="00E6622E"/>
    <w:rsid w:val="00E67492"/>
    <w:rsid w:val="00E700C5"/>
    <w:rsid w:val="00E73022"/>
    <w:rsid w:val="00E75192"/>
    <w:rsid w:val="00E76322"/>
    <w:rsid w:val="00E81A8F"/>
    <w:rsid w:val="00E844DE"/>
    <w:rsid w:val="00EA4CF7"/>
    <w:rsid w:val="00EA4DBB"/>
    <w:rsid w:val="00EC6CDF"/>
    <w:rsid w:val="00EC7762"/>
    <w:rsid w:val="00EE4A25"/>
    <w:rsid w:val="00EE66FC"/>
    <w:rsid w:val="00EF4174"/>
    <w:rsid w:val="00EF7DDF"/>
    <w:rsid w:val="00F01EA9"/>
    <w:rsid w:val="00F0353F"/>
    <w:rsid w:val="00F0589E"/>
    <w:rsid w:val="00F1358C"/>
    <w:rsid w:val="00F13A66"/>
    <w:rsid w:val="00F15EF8"/>
    <w:rsid w:val="00F24EC7"/>
    <w:rsid w:val="00F25A27"/>
    <w:rsid w:val="00F41FD8"/>
    <w:rsid w:val="00F44E11"/>
    <w:rsid w:val="00F51EA8"/>
    <w:rsid w:val="00F55908"/>
    <w:rsid w:val="00F60B3F"/>
    <w:rsid w:val="00F677C9"/>
    <w:rsid w:val="00F714F8"/>
    <w:rsid w:val="00F71BA9"/>
    <w:rsid w:val="00F72B22"/>
    <w:rsid w:val="00F77A59"/>
    <w:rsid w:val="00F77A82"/>
    <w:rsid w:val="00F81CCC"/>
    <w:rsid w:val="00F82185"/>
    <w:rsid w:val="00F8223D"/>
    <w:rsid w:val="00F83507"/>
    <w:rsid w:val="00F85C66"/>
    <w:rsid w:val="00F867BA"/>
    <w:rsid w:val="00F91230"/>
    <w:rsid w:val="00F9208D"/>
    <w:rsid w:val="00F96507"/>
    <w:rsid w:val="00FA2397"/>
    <w:rsid w:val="00FA5B59"/>
    <w:rsid w:val="00FB2021"/>
    <w:rsid w:val="00FB500A"/>
    <w:rsid w:val="00FC41DF"/>
    <w:rsid w:val="00FC70C6"/>
    <w:rsid w:val="00FD5316"/>
    <w:rsid w:val="00FD6751"/>
    <w:rsid w:val="00FE070C"/>
    <w:rsid w:val="00FE0F0F"/>
    <w:rsid w:val="00FE6501"/>
    <w:rsid w:val="00FE70EA"/>
    <w:rsid w:val="00FE7199"/>
    <w:rsid w:val="00FF2C92"/>
    <w:rsid w:val="00FF3FA5"/>
    <w:rsid w:val="00FF5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A17452"/>
  <w15:chartTrackingRefBased/>
  <w15:docId w15:val="{BA759442-F0AC-46DA-94C4-B448439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3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link w:val="NoSpacingChar"/>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unhideWhenUsed/>
    <w:rsid w:val="00A86527"/>
    <w:rPr>
      <w:sz w:val="20"/>
      <w:szCs w:val="20"/>
    </w:rPr>
  </w:style>
  <w:style w:type="character" w:customStyle="1" w:styleId="CommentTextChar">
    <w:name w:val="Comment Text Char"/>
    <w:basedOn w:val="DefaultParagraphFont"/>
    <w:link w:val="CommentText"/>
    <w:uiPriority w:val="99"/>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 w:type="character" w:styleId="IntenseEmphasis">
    <w:name w:val="Intense Emphasis"/>
    <w:basedOn w:val="DefaultParagraphFont"/>
    <w:uiPriority w:val="21"/>
    <w:qFormat/>
    <w:rsid w:val="0099408E"/>
    <w:rPr>
      <w:i/>
      <w:iCs/>
      <w:color w:val="4472C4"/>
    </w:rPr>
  </w:style>
  <w:style w:type="paragraph" w:styleId="Revision">
    <w:name w:val="Revision"/>
    <w:hidden/>
    <w:uiPriority w:val="99"/>
    <w:semiHidden/>
    <w:rsid w:val="00A176B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20BC5"/>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5D0B49"/>
    <w:pPr>
      <w:tabs>
        <w:tab w:val="center" w:pos="4680"/>
        <w:tab w:val="right" w:pos="9360"/>
      </w:tabs>
    </w:pPr>
  </w:style>
  <w:style w:type="character" w:customStyle="1" w:styleId="HeaderChar">
    <w:name w:val="Header Char"/>
    <w:basedOn w:val="DefaultParagraphFont"/>
    <w:link w:val="Header"/>
    <w:uiPriority w:val="99"/>
    <w:semiHidden/>
    <w:rsid w:val="005D0B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B49"/>
    <w:pPr>
      <w:tabs>
        <w:tab w:val="center" w:pos="4680"/>
        <w:tab w:val="right" w:pos="9360"/>
      </w:tabs>
    </w:pPr>
  </w:style>
  <w:style w:type="character" w:customStyle="1" w:styleId="FooterChar">
    <w:name w:val="Footer Char"/>
    <w:basedOn w:val="DefaultParagraphFont"/>
    <w:link w:val="Footer"/>
    <w:uiPriority w:val="99"/>
    <w:rsid w:val="005D0B49"/>
    <w:rPr>
      <w:rFonts w:ascii="Times New Roman" w:eastAsia="Times New Roman" w:hAnsi="Times New Roman" w:cs="Times New Roman"/>
      <w:sz w:val="24"/>
      <w:szCs w:val="24"/>
    </w:rPr>
  </w:style>
  <w:style w:type="character" w:customStyle="1" w:styleId="ui-provider">
    <w:name w:val="ui-provider"/>
    <w:basedOn w:val="DefaultParagraphFont"/>
    <w:rsid w:val="00B7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org/10.1093/ajcp/aqaa279"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academic.oup.com/ajcp/article/156/4/529/6210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552DE-42FF-43C2-98C2-492B5796B344}">
  <ds:schemaRefs>
    <ds:schemaRef ds:uri="http://schemas.openxmlformats.org/officeDocument/2006/bibliography"/>
  </ds:schemaRefs>
</ds:datastoreItem>
</file>

<file path=customXml/itemProps2.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3.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4.xml><?xml version="1.0" encoding="utf-8"?>
<ds:datastoreItem xmlns:ds="http://schemas.openxmlformats.org/officeDocument/2006/customXml" ds:itemID="{7E0BA4C8-60BC-4AF7-B69F-BFB49BAF4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Joyce, Kevin J. (CDC/IOD/OS)</cp:lastModifiedBy>
  <cp:revision>4</cp:revision>
  <dcterms:created xsi:type="dcterms:W3CDTF">2024-02-28T15:04:00Z</dcterms:created>
  <dcterms:modified xsi:type="dcterms:W3CDTF">2024-02-28T15:43:00Z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251f78d1daf5021fd8f06a5b9a92d7181275e46ba546b6dc7e5a3e705c035c54</vt:lpwstr>
  </property>
  <property fmtid="{D5CDD505-2E9C-101B-9397-08002B2CF9AE}" pid="4" name="MediaServiceImageTags">
    <vt:lpwstr/>
  </property>
  <property fmtid="{D5CDD505-2E9C-101B-9397-08002B2CF9AE}" pid="5" name="MSIP_Label_7b94a7b8-f06c-4dfe-bdcc-9b548fd58c31_ActionId">
    <vt:lpwstr>76c9152d-071c-4a32-a4f4-9ddd1a120d8e</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2020-11-02T21:31:52Z</vt:lpwstr>
  </property>
  <property fmtid="{D5CDD505-2E9C-101B-9397-08002B2CF9AE}" pid="11" name="MSIP_Label_7b94a7b8-f06c-4dfe-bdcc-9b548fd58c31_SiteId">
    <vt:lpwstr>9ce70869-60db-44fd-abe8-d2767077fc8f</vt:lpwstr>
  </property>
</Properties>
</file>