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92133" w:rsidRPr="00A86E38" w:rsidP="00B92133" w14:paraId="5E5A6422" w14:textId="30EE10B4">
      <w:pPr>
        <w:rPr>
          <w:rFonts w:ascii="Times New Roman" w:hAnsi="Times New Roman" w:cs="Times New Roman"/>
          <w:b/>
          <w:bCs/>
          <w:sz w:val="24"/>
          <w:szCs w:val="24"/>
        </w:rPr>
      </w:pPr>
      <w:r w:rsidRPr="00A86E38">
        <w:rPr>
          <w:rFonts w:ascii="Times New Roman" w:hAnsi="Times New Roman" w:cs="Times New Roman"/>
          <w:b/>
          <w:bCs/>
          <w:sz w:val="24"/>
          <w:szCs w:val="24"/>
        </w:rPr>
        <w:t>Appendix 1. Federal Register Notice Comments &amp; Responses</w:t>
      </w:r>
    </w:p>
    <w:tbl>
      <w:tblPr>
        <w:tblStyle w:val="TableGrid"/>
        <w:tblW w:w="14476" w:type="dxa"/>
        <w:tblInd w:w="-725" w:type="dxa"/>
        <w:tblLook w:val="04A0"/>
      </w:tblPr>
      <w:tblGrid>
        <w:gridCol w:w="807"/>
        <w:gridCol w:w="1353"/>
        <w:gridCol w:w="6210"/>
        <w:gridCol w:w="1170"/>
        <w:gridCol w:w="4936"/>
      </w:tblGrid>
      <w:tr w14:paraId="02FDEB30" w14:textId="77777777" w:rsidTr="00965EE8">
        <w:tblPrEx>
          <w:tblW w:w="14476" w:type="dxa"/>
          <w:tblInd w:w="-725" w:type="dxa"/>
          <w:tblLook w:val="04A0"/>
        </w:tblPrEx>
        <w:trPr>
          <w:trHeight w:val="403"/>
        </w:trPr>
        <w:tc>
          <w:tcPr>
            <w:tcW w:w="1913" w:type="dxa"/>
          </w:tcPr>
          <w:p w:rsidR="004A659E" w:rsidRPr="00A86E38" w14:paraId="534376E2" w14:textId="12FC16F9">
            <w:pPr>
              <w:rPr>
                <w:rFonts w:ascii="Times New Roman" w:hAnsi="Times New Roman" w:cs="Times New Roman"/>
                <w:b/>
                <w:bCs/>
              </w:rPr>
            </w:pPr>
            <w:r w:rsidRPr="00A86E38">
              <w:rPr>
                <w:rFonts w:ascii="Times New Roman" w:hAnsi="Times New Roman" w:cs="Times New Roman"/>
                <w:b/>
                <w:bCs/>
              </w:rPr>
              <w:t>#</w:t>
            </w:r>
          </w:p>
        </w:tc>
        <w:tc>
          <w:tcPr>
            <w:tcW w:w="247" w:type="dxa"/>
            <w:noWrap/>
            <w:hideMark/>
          </w:tcPr>
          <w:p w:rsidR="004A659E" w:rsidRPr="00A86E38" w14:paraId="3C155311" w14:textId="53E6AB38">
            <w:pPr>
              <w:rPr>
                <w:rFonts w:ascii="Times New Roman" w:hAnsi="Times New Roman" w:cs="Times New Roman"/>
                <w:b/>
                <w:bCs/>
              </w:rPr>
            </w:pPr>
            <w:r w:rsidRPr="00A86E38">
              <w:rPr>
                <w:rFonts w:ascii="Times New Roman" w:hAnsi="Times New Roman" w:cs="Times New Roman"/>
                <w:b/>
                <w:bCs/>
              </w:rPr>
              <w:t xml:space="preserve">Commentor </w:t>
            </w:r>
          </w:p>
        </w:tc>
        <w:tc>
          <w:tcPr>
            <w:tcW w:w="6210" w:type="dxa"/>
            <w:noWrap/>
            <w:hideMark/>
          </w:tcPr>
          <w:p w:rsidR="004A659E" w:rsidRPr="00A86E38" w14:paraId="192074D1" w14:textId="77777777">
            <w:pPr>
              <w:rPr>
                <w:rFonts w:ascii="Times New Roman" w:hAnsi="Times New Roman" w:cs="Times New Roman"/>
                <w:b/>
                <w:bCs/>
              </w:rPr>
            </w:pPr>
            <w:r w:rsidRPr="00A86E38">
              <w:rPr>
                <w:rFonts w:ascii="Times New Roman" w:hAnsi="Times New Roman" w:cs="Times New Roman"/>
                <w:b/>
                <w:bCs/>
              </w:rPr>
              <w:t>Comment</w:t>
            </w:r>
          </w:p>
        </w:tc>
        <w:tc>
          <w:tcPr>
            <w:tcW w:w="1170" w:type="dxa"/>
            <w:noWrap/>
            <w:hideMark/>
          </w:tcPr>
          <w:p w:rsidR="004A659E" w:rsidRPr="00A86E38" w14:paraId="0D2E2DE7" w14:textId="77777777">
            <w:pPr>
              <w:rPr>
                <w:rFonts w:ascii="Times New Roman" w:hAnsi="Times New Roman" w:cs="Times New Roman"/>
                <w:b/>
                <w:bCs/>
              </w:rPr>
            </w:pPr>
            <w:r w:rsidRPr="00A86E38">
              <w:rPr>
                <w:rFonts w:ascii="Times New Roman" w:hAnsi="Times New Roman" w:cs="Times New Roman"/>
                <w:b/>
                <w:bCs/>
              </w:rPr>
              <w:t>Change Decision</w:t>
            </w:r>
          </w:p>
        </w:tc>
        <w:tc>
          <w:tcPr>
            <w:tcW w:w="4936" w:type="dxa"/>
            <w:noWrap/>
            <w:hideMark/>
          </w:tcPr>
          <w:p w:rsidR="004A659E" w:rsidRPr="00A86E38" w14:paraId="3FA39E55" w14:textId="77777777">
            <w:pPr>
              <w:rPr>
                <w:rFonts w:ascii="Times New Roman" w:hAnsi="Times New Roman" w:cs="Times New Roman"/>
                <w:b/>
                <w:bCs/>
              </w:rPr>
            </w:pPr>
            <w:r w:rsidRPr="00A86E38">
              <w:rPr>
                <w:rFonts w:ascii="Times New Roman" w:hAnsi="Times New Roman" w:cs="Times New Roman"/>
                <w:b/>
                <w:bCs/>
              </w:rPr>
              <w:t>Change Notes</w:t>
            </w:r>
          </w:p>
        </w:tc>
      </w:tr>
      <w:tr w14:paraId="361DDFAD" w14:textId="77777777" w:rsidTr="00965EE8">
        <w:tblPrEx>
          <w:tblW w:w="14476" w:type="dxa"/>
          <w:tblInd w:w="-725" w:type="dxa"/>
          <w:tblLook w:val="04A0"/>
        </w:tblPrEx>
        <w:trPr>
          <w:trHeight w:val="310"/>
        </w:trPr>
        <w:tc>
          <w:tcPr>
            <w:tcW w:w="1913" w:type="dxa"/>
          </w:tcPr>
          <w:p w:rsidR="004A659E" w:rsidRPr="00A86E38" w14:paraId="24A5167D" w14:textId="1BEDB29F">
            <w:pPr>
              <w:rPr>
                <w:rFonts w:ascii="Times New Roman" w:hAnsi="Times New Roman" w:cs="Times New Roman"/>
              </w:rPr>
            </w:pPr>
            <w:r w:rsidRPr="00A86E38">
              <w:rPr>
                <w:rFonts w:ascii="Times New Roman" w:hAnsi="Times New Roman" w:cs="Times New Roman"/>
              </w:rPr>
              <w:t>1</w:t>
            </w:r>
          </w:p>
        </w:tc>
        <w:tc>
          <w:tcPr>
            <w:tcW w:w="247" w:type="dxa"/>
            <w:noWrap/>
          </w:tcPr>
          <w:p w:rsidR="004A659E" w:rsidRPr="00A86E38" w14:paraId="62344EC7" w14:textId="5ADEEE29">
            <w:pPr>
              <w:rPr>
                <w:rFonts w:ascii="Times New Roman" w:hAnsi="Times New Roman" w:cs="Times New Roman"/>
              </w:rPr>
            </w:pPr>
            <w:r>
              <w:rPr>
                <w:rFonts w:ascii="Times New Roman" w:hAnsi="Times New Roman" w:cs="Times New Roman"/>
              </w:rPr>
              <w:t>Port Gamble S’Klallam Tribe</w:t>
            </w:r>
          </w:p>
        </w:tc>
        <w:tc>
          <w:tcPr>
            <w:tcW w:w="6210" w:type="dxa"/>
            <w:noWrap/>
          </w:tcPr>
          <w:p w:rsidR="004A659E" w:rsidRPr="00A86E38" w14:paraId="0BBF06EF" w14:textId="64077179">
            <w:pPr>
              <w:rPr>
                <w:rFonts w:ascii="Times New Roman" w:hAnsi="Times New Roman" w:cs="Times New Roman"/>
              </w:rPr>
            </w:pPr>
            <w:r>
              <w:rPr>
                <w:rFonts w:ascii="Times New Roman" w:hAnsi="Times New Roman" w:cs="Times New Roman"/>
              </w:rPr>
              <w:t xml:space="preserve">The proposed reporting is not required under 42 U.S.C. </w:t>
            </w:r>
            <w:r w:rsidRPr="00E4304C">
              <w:rPr>
                <w:rFonts w:ascii="Times New Roman" w:hAnsi="Times New Roman" w:cs="Times New Roman"/>
              </w:rPr>
              <w:t>§</w:t>
            </w:r>
            <w:r>
              <w:rPr>
                <w:rFonts w:ascii="Times New Roman" w:hAnsi="Times New Roman" w:cs="Times New Roman"/>
              </w:rPr>
              <w:t xml:space="preserve"> 8621. 42 U.S.C. </w:t>
            </w:r>
            <w:r w:rsidRPr="00E4304C">
              <w:rPr>
                <w:rFonts w:ascii="Times New Roman" w:hAnsi="Times New Roman" w:cs="Times New Roman"/>
              </w:rPr>
              <w:t>§</w:t>
            </w:r>
            <w:r>
              <w:rPr>
                <w:rFonts w:ascii="Times New Roman" w:hAnsi="Times New Roman" w:cs="Times New Roman"/>
              </w:rPr>
              <w:t xml:space="preserve"> 8624 gives the Secretary broad authority to collect data under LIHEAP. However, that authority does not extend so far as “to require the Secretary to collect data which has been collected and made available to the Secretary by any other agency.” Various LIHEAP information is already being reported by the Tribe in three separate reports: the annual financial report, the household data report form, the annual carryover report. It is unduly burdensome and unnecessary to require this additional report when the information is already being provided in other required LIHEAP reports.”</w:t>
            </w:r>
          </w:p>
        </w:tc>
        <w:tc>
          <w:tcPr>
            <w:tcW w:w="1170" w:type="dxa"/>
            <w:noWrap/>
          </w:tcPr>
          <w:p w:rsidR="004A659E" w:rsidRPr="00A86E38" w14:paraId="3A79B2C0" w14:textId="478E157E">
            <w:pPr>
              <w:rPr>
                <w:rFonts w:ascii="Times New Roman" w:hAnsi="Times New Roman" w:cs="Times New Roman"/>
              </w:rPr>
            </w:pPr>
            <w:r>
              <w:rPr>
                <w:rFonts w:ascii="Times New Roman" w:hAnsi="Times New Roman" w:cs="Times New Roman"/>
              </w:rPr>
              <w:t>Change</w:t>
            </w:r>
          </w:p>
        </w:tc>
        <w:tc>
          <w:tcPr>
            <w:tcW w:w="4936" w:type="dxa"/>
            <w:noWrap/>
          </w:tcPr>
          <w:p w:rsidR="00435909" w:rsidRPr="00322C45" w:rsidP="00435909" w14:paraId="42C807F0" w14:textId="04ED8003">
            <w:pPr>
              <w:rPr>
                <w:rFonts w:ascii="Times New Roman" w:hAnsi="Times New Roman" w:cs="Times New Roman"/>
              </w:rPr>
            </w:pPr>
            <w:r w:rsidRPr="00322C45">
              <w:rPr>
                <w:rFonts w:ascii="Times New Roman" w:hAnsi="Times New Roman" w:cs="Times New Roman"/>
              </w:rPr>
              <w:t xml:space="preserve">OCS is implementing LIHEAP Quarterly Reporting to help strengthen the program and improve our ability to highlight the impact LIHEAP is having on households across the </w:t>
            </w:r>
            <w:r w:rsidRPr="00322C45" w:rsidR="006215D1">
              <w:rPr>
                <w:rFonts w:ascii="Times New Roman" w:hAnsi="Times New Roman" w:cs="Times New Roman"/>
              </w:rPr>
              <w:t>country</w:t>
            </w:r>
            <w:r w:rsidRPr="00322C45">
              <w:rPr>
                <w:rFonts w:ascii="Times New Roman" w:hAnsi="Times New Roman" w:cs="Times New Roman"/>
              </w:rPr>
              <w:t xml:space="preserve">. In designing this report, OCS strived to only ask for the information we absolutely need to minimize the reporting burden for grant recipients to the greatest extent possible. </w:t>
            </w:r>
          </w:p>
          <w:p w:rsidR="00435909" w:rsidRPr="00322C45" w:rsidP="00435909" w14:paraId="0EE54D7E" w14:textId="77777777">
            <w:pPr>
              <w:rPr>
                <w:rFonts w:ascii="Times New Roman" w:hAnsi="Times New Roman" w:cs="Times New Roman"/>
              </w:rPr>
            </w:pPr>
          </w:p>
          <w:p w:rsidR="00435909" w:rsidRPr="00322C45" w:rsidP="00435909" w14:paraId="0DDAA34F" w14:textId="7508AFBC">
            <w:pPr>
              <w:rPr>
                <w:rFonts w:ascii="Times New Roman" w:hAnsi="Times New Roman" w:cs="Times New Roman"/>
              </w:rPr>
            </w:pPr>
            <w:r w:rsidRPr="00322C45">
              <w:rPr>
                <w:rFonts w:ascii="Times New Roman" w:hAnsi="Times New Roman" w:cs="Times New Roman"/>
              </w:rPr>
              <w:t xml:space="preserve">The quarterly reports will help OCS track key information in near real time. Currently, OCS does not receive comprehensive performance and management data until approximately three months after the end of each federal fiscal year. </w:t>
            </w:r>
            <w:r w:rsidRPr="00322C45" w:rsidR="00E002AF">
              <w:rPr>
                <w:rFonts w:ascii="Times New Roman" w:hAnsi="Times New Roman" w:cs="Times New Roman"/>
              </w:rPr>
              <w:t>The</w:t>
            </w:r>
            <w:r w:rsidRPr="00322C45">
              <w:rPr>
                <w:rFonts w:ascii="Times New Roman" w:hAnsi="Times New Roman" w:cs="Times New Roman"/>
              </w:rPr>
              <w:t xml:space="preserve"> LIHEAP Quarterly Report will assist OCS in receiving data and information about LIHEAP during the federal fiscal year. This almost real time data will be particularly important this year as LIHEAP grant recipients both administer historical levels of LIHEAP funding and develop and implement plans to reach the most vulnerable households amidst ongoing energy price increases.</w:t>
            </w:r>
          </w:p>
          <w:p w:rsidR="00435909" w:rsidRPr="00322C45" w:rsidP="00435909" w14:paraId="17B7BA96" w14:textId="77777777">
            <w:pPr>
              <w:rPr>
                <w:rFonts w:ascii="Times New Roman" w:hAnsi="Times New Roman" w:cs="Times New Roman"/>
              </w:rPr>
            </w:pPr>
          </w:p>
          <w:p w:rsidR="00322C45" w:rsidRPr="00322C45" w:rsidP="00435909" w14:paraId="7897333B" w14:textId="30DB5280">
            <w:pPr>
              <w:rPr>
                <w:rFonts w:ascii="Times New Roman" w:hAnsi="Times New Roman" w:cs="Times New Roman"/>
              </w:rPr>
            </w:pPr>
            <w:r w:rsidRPr="00322C45">
              <w:rPr>
                <w:rFonts w:ascii="Times New Roman" w:hAnsi="Times New Roman" w:cs="Times New Roman"/>
              </w:rPr>
              <w:t>Now and in future years, t</w:t>
            </w:r>
            <w:r w:rsidRPr="00322C45" w:rsidR="00435909">
              <w:rPr>
                <w:rFonts w:ascii="Times New Roman" w:hAnsi="Times New Roman" w:cs="Times New Roman"/>
              </w:rPr>
              <w:t>hese reports will be critical in helping us address challenges in a timely manner including unmet T/TA needs, approaching obligation deadlines, and challenges related to outreach and intake such as reaching newly eligible populations.</w:t>
            </w:r>
          </w:p>
          <w:p w:rsidR="00322C45" w:rsidRPr="00522202" w:rsidP="00322C45" w14:paraId="69CB44DE" w14:textId="68F8B62A">
            <w:pPr>
              <w:rPr>
                <w:rFonts w:ascii="Times New Roman" w:hAnsi="Times New Roman" w:cs="Times New Roman"/>
              </w:rPr>
            </w:pPr>
            <w:r w:rsidRPr="00322C45">
              <w:rPr>
                <w:rFonts w:ascii="Times New Roman" w:hAnsi="Times New Roman" w:cs="Times New Roman"/>
              </w:rPr>
              <w:t xml:space="preserve">However, OCS understands the concerns regarding reporting burden, particularly for our Tribal grant recipients with the smallest awards. Therefore, </w:t>
            </w:r>
            <w:r w:rsidRPr="00322C45">
              <w:rPr>
                <w:rFonts w:ascii="Times New Roman" w:hAnsi="Times New Roman"/>
              </w:rPr>
              <w:t xml:space="preserve">OCS will only require that Tribes with </w:t>
            </w:r>
            <w:r w:rsidR="00235BFA">
              <w:rPr>
                <w:rFonts w:ascii="Times New Roman" w:hAnsi="Times New Roman"/>
              </w:rPr>
              <w:t xml:space="preserve">non-supplemental </w:t>
            </w:r>
            <w:r w:rsidRPr="00322C45">
              <w:rPr>
                <w:rFonts w:ascii="Times New Roman" w:hAnsi="Times New Roman"/>
              </w:rPr>
              <w:t xml:space="preserve">annual block grant allocations under $50,000 submit </w:t>
            </w:r>
            <w:r w:rsidR="00522202">
              <w:rPr>
                <w:rFonts w:ascii="Times New Roman" w:hAnsi="Times New Roman" w:cs="Times New Roman"/>
              </w:rPr>
              <w:t xml:space="preserve">Section I, V, VI (total households assisted, remarks, </w:t>
            </w:r>
            <w:r w:rsidR="00522202">
              <w:rPr>
                <w:rFonts w:ascii="Times New Roman" w:hAnsi="Times New Roman" w:cs="Times New Roman"/>
              </w:rPr>
              <w:t>and certification)</w:t>
            </w:r>
            <w:r w:rsidRPr="00522202">
              <w:rPr>
                <w:rFonts w:ascii="Times New Roman" w:hAnsi="Times New Roman"/>
              </w:rPr>
              <w:t>, all other report sections will be optional.</w:t>
            </w:r>
          </w:p>
        </w:tc>
      </w:tr>
      <w:tr w14:paraId="71CF9E42" w14:textId="77777777" w:rsidTr="00965EE8">
        <w:tblPrEx>
          <w:tblW w:w="14476" w:type="dxa"/>
          <w:tblInd w:w="-725" w:type="dxa"/>
          <w:tblLook w:val="04A0"/>
        </w:tblPrEx>
        <w:trPr>
          <w:trHeight w:val="1003"/>
        </w:trPr>
        <w:tc>
          <w:tcPr>
            <w:tcW w:w="1913" w:type="dxa"/>
          </w:tcPr>
          <w:p w:rsidR="004A659E" w:rsidRPr="00A86E38" w14:paraId="344DC9A9" w14:textId="08EA33DD">
            <w:pPr>
              <w:rPr>
                <w:rFonts w:ascii="Times New Roman" w:hAnsi="Times New Roman" w:cs="Times New Roman"/>
              </w:rPr>
            </w:pPr>
            <w:r w:rsidRPr="00A86E38">
              <w:rPr>
                <w:rFonts w:ascii="Times New Roman" w:hAnsi="Times New Roman" w:cs="Times New Roman"/>
              </w:rPr>
              <w:t>2</w:t>
            </w:r>
          </w:p>
        </w:tc>
        <w:tc>
          <w:tcPr>
            <w:tcW w:w="247" w:type="dxa"/>
            <w:noWrap/>
          </w:tcPr>
          <w:p w:rsidR="004A659E" w:rsidRPr="00A86E38" w14:paraId="331AC052" w14:textId="2C77FEAE">
            <w:pPr>
              <w:rPr>
                <w:rFonts w:ascii="Times New Roman" w:hAnsi="Times New Roman" w:cs="Times New Roman"/>
              </w:rPr>
            </w:pPr>
            <w:r>
              <w:rPr>
                <w:rFonts w:ascii="Times New Roman" w:hAnsi="Times New Roman" w:cs="Times New Roman"/>
              </w:rPr>
              <w:t>Port Gamble S’Klallam Tribe</w:t>
            </w:r>
          </w:p>
        </w:tc>
        <w:tc>
          <w:tcPr>
            <w:tcW w:w="6210" w:type="dxa"/>
            <w:noWrap/>
          </w:tcPr>
          <w:p w:rsidR="004A659E" w:rsidRPr="00A86E38" w14:paraId="2450E6C7" w14:textId="594F4860">
            <w:pPr>
              <w:rPr>
                <w:rFonts w:ascii="Times New Roman" w:hAnsi="Times New Roman" w:cs="Times New Roman"/>
              </w:rPr>
            </w:pPr>
            <w:r>
              <w:rPr>
                <w:rFonts w:ascii="Times New Roman" w:hAnsi="Times New Roman" w:cs="Times New Roman"/>
              </w:rPr>
              <w:t xml:space="preserve">We strongly suggest that the U.S. Department of Health and Human Services work with tribes individually to determine how to effectively compile information already submitted in other reports. Specifically, we request amending the already existing, required reports to include information on the performance measures rather than adding an additional report with a quarterly requirement to include this data. </w:t>
            </w:r>
          </w:p>
        </w:tc>
        <w:tc>
          <w:tcPr>
            <w:tcW w:w="1170" w:type="dxa"/>
            <w:noWrap/>
          </w:tcPr>
          <w:p w:rsidR="004A659E" w:rsidRPr="00A86E38" w14:paraId="4EB223BA" w14:textId="287155E8">
            <w:pPr>
              <w:rPr>
                <w:rFonts w:ascii="Times New Roman" w:hAnsi="Times New Roman" w:cs="Times New Roman"/>
              </w:rPr>
            </w:pPr>
            <w:r>
              <w:rPr>
                <w:rFonts w:ascii="Times New Roman" w:hAnsi="Times New Roman" w:cs="Times New Roman"/>
              </w:rPr>
              <w:t>Change</w:t>
            </w:r>
          </w:p>
        </w:tc>
        <w:tc>
          <w:tcPr>
            <w:tcW w:w="4936" w:type="dxa"/>
            <w:noWrap/>
          </w:tcPr>
          <w:p w:rsidR="004A659E" w:rsidRPr="00A86E38" w14:paraId="231182B2" w14:textId="353BE624">
            <w:pPr>
              <w:rPr>
                <w:rFonts w:ascii="Times New Roman" w:hAnsi="Times New Roman" w:cs="Times New Roman"/>
              </w:rPr>
            </w:pPr>
            <w:r>
              <w:rPr>
                <w:rFonts w:ascii="Times New Roman" w:hAnsi="Times New Roman" w:cs="Times New Roman"/>
              </w:rPr>
              <w:t>As noted above, OCS has determined that regular quarterly reporting is essential to strengthening LIHEAP. OCS is committed to working with all our grant recipients, particularly Tribal</w:t>
            </w:r>
            <w:r w:rsidR="00322C45">
              <w:rPr>
                <w:rFonts w:ascii="Times New Roman" w:hAnsi="Times New Roman" w:cs="Times New Roman"/>
              </w:rPr>
              <w:t xml:space="preserve"> grant recipients (with</w:t>
            </w:r>
            <w:r w:rsidR="00235BFA">
              <w:rPr>
                <w:rFonts w:ascii="Times New Roman" w:hAnsi="Times New Roman"/>
              </w:rPr>
              <w:t xml:space="preserve"> non-supplemental</w:t>
            </w:r>
            <w:r w:rsidR="00322C45">
              <w:rPr>
                <w:rFonts w:ascii="Times New Roman" w:hAnsi="Times New Roman" w:cs="Times New Roman"/>
              </w:rPr>
              <w:t xml:space="preserve"> annual block grant awards over $50,000)</w:t>
            </w:r>
            <w:r>
              <w:rPr>
                <w:rFonts w:ascii="Times New Roman" w:hAnsi="Times New Roman" w:cs="Times New Roman"/>
              </w:rPr>
              <w:t xml:space="preserve"> and territory grant recipients who are being asked to report performance measures for the first time, to help them compile the required information as efficiently as possible. </w:t>
            </w:r>
            <w:r w:rsidR="00322C45">
              <w:rPr>
                <w:rFonts w:ascii="Times New Roman" w:hAnsi="Times New Roman" w:cs="Times New Roman"/>
              </w:rPr>
              <w:t xml:space="preserve">As indicated above, Tribal grant recipients with </w:t>
            </w:r>
            <w:r w:rsidR="00235BFA">
              <w:rPr>
                <w:rFonts w:ascii="Times New Roman" w:hAnsi="Times New Roman"/>
              </w:rPr>
              <w:t xml:space="preserve">non-supplemental </w:t>
            </w:r>
            <w:r w:rsidR="00322C45">
              <w:rPr>
                <w:rFonts w:ascii="Times New Roman" w:hAnsi="Times New Roman" w:cs="Times New Roman"/>
              </w:rPr>
              <w:t>annual block grant awards under $50,000 will not have to report performance measures or any other data other than what is required in Section</w:t>
            </w:r>
            <w:r w:rsidR="00522202">
              <w:rPr>
                <w:rFonts w:ascii="Times New Roman" w:hAnsi="Times New Roman" w:cs="Times New Roman"/>
              </w:rPr>
              <w:t xml:space="preserve"> I, V, VI (total households assisted, remarks, and certification</w:t>
            </w:r>
            <w:r w:rsidR="00DA08B0">
              <w:rPr>
                <w:rFonts w:ascii="Times New Roman" w:hAnsi="Times New Roman" w:cs="Times New Roman"/>
              </w:rPr>
              <w:t>)</w:t>
            </w:r>
            <w:r w:rsidR="00FC1828">
              <w:rPr>
                <w:rFonts w:ascii="Times New Roman" w:hAnsi="Times New Roman" w:cs="Times New Roman"/>
              </w:rPr>
              <w:t xml:space="preserve">, all other report sections will be </w:t>
            </w:r>
            <w:r w:rsidR="00235BFA">
              <w:rPr>
                <w:rFonts w:ascii="Times New Roman" w:hAnsi="Times New Roman" w:cs="Times New Roman"/>
              </w:rPr>
              <w:t>optional</w:t>
            </w:r>
            <w:r w:rsidR="00FC1828">
              <w:rPr>
                <w:rFonts w:ascii="Times New Roman" w:hAnsi="Times New Roman" w:cs="Times New Roman"/>
              </w:rPr>
              <w:t xml:space="preserve">. </w:t>
            </w:r>
          </w:p>
        </w:tc>
      </w:tr>
      <w:tr w14:paraId="297CC864" w14:textId="77777777" w:rsidTr="00965EE8">
        <w:tblPrEx>
          <w:tblW w:w="14476" w:type="dxa"/>
          <w:tblInd w:w="-725" w:type="dxa"/>
          <w:tblLook w:val="04A0"/>
        </w:tblPrEx>
        <w:trPr>
          <w:trHeight w:val="310"/>
        </w:trPr>
        <w:tc>
          <w:tcPr>
            <w:tcW w:w="1913" w:type="dxa"/>
          </w:tcPr>
          <w:p w:rsidR="004A659E" w:rsidRPr="00A86E38" w14:paraId="1476A360" w14:textId="1BD45E4F">
            <w:pPr>
              <w:rPr>
                <w:rFonts w:ascii="Times New Roman" w:hAnsi="Times New Roman" w:cs="Times New Roman"/>
              </w:rPr>
            </w:pPr>
            <w:r w:rsidRPr="00A86E38">
              <w:rPr>
                <w:rFonts w:ascii="Times New Roman" w:hAnsi="Times New Roman" w:cs="Times New Roman"/>
              </w:rPr>
              <w:t>3</w:t>
            </w:r>
          </w:p>
        </w:tc>
        <w:tc>
          <w:tcPr>
            <w:tcW w:w="247" w:type="dxa"/>
            <w:noWrap/>
          </w:tcPr>
          <w:p w:rsidR="004A659E" w:rsidRPr="00A86E38" w14:paraId="44F741A3" w14:textId="3398523F">
            <w:pPr>
              <w:rPr>
                <w:rFonts w:ascii="Times New Roman" w:hAnsi="Times New Roman" w:cs="Times New Roman"/>
              </w:rPr>
            </w:pPr>
            <w:r w:rsidRPr="00965EE8">
              <w:rPr>
                <w:rFonts w:ascii="Times New Roman" w:hAnsi="Times New Roman" w:cs="Times New Roman"/>
              </w:rPr>
              <w:t>Citizen Potawatomi Nation</w:t>
            </w:r>
          </w:p>
        </w:tc>
        <w:tc>
          <w:tcPr>
            <w:tcW w:w="6210" w:type="dxa"/>
            <w:noWrap/>
          </w:tcPr>
          <w:p w:rsidR="004A659E" w:rsidRPr="00A86E38" w:rsidP="00965EE8" w14:paraId="5C9DE733" w14:textId="3B439E8E">
            <w:pPr>
              <w:rPr>
                <w:rFonts w:ascii="Times New Roman" w:hAnsi="Times New Roman" w:cs="Times New Roman"/>
              </w:rPr>
            </w:pPr>
            <w:r w:rsidRPr="00965EE8">
              <w:rPr>
                <w:rFonts w:ascii="Times New Roman" w:hAnsi="Times New Roman" w:cs="Times New Roman"/>
              </w:rPr>
              <w:t>The additional rep</w:t>
            </w:r>
            <w:r>
              <w:rPr>
                <w:rFonts w:ascii="Times New Roman" w:hAnsi="Times New Roman" w:cs="Times New Roman"/>
              </w:rPr>
              <w:t>ort</w:t>
            </w:r>
            <w:r w:rsidRPr="00965EE8">
              <w:rPr>
                <w:rFonts w:ascii="Times New Roman" w:hAnsi="Times New Roman" w:cs="Times New Roman"/>
              </w:rPr>
              <w:t>ing burden proposed in this notice is unnecessary. The proper performance of the</w:t>
            </w:r>
            <w:r>
              <w:rPr>
                <w:rFonts w:ascii="Times New Roman" w:hAnsi="Times New Roman" w:cs="Times New Roman"/>
              </w:rPr>
              <w:t xml:space="preserve"> </w:t>
            </w:r>
            <w:r w:rsidRPr="00965EE8">
              <w:rPr>
                <w:rFonts w:ascii="Times New Roman" w:hAnsi="Times New Roman" w:cs="Times New Roman"/>
              </w:rPr>
              <w:t>agency, including oversight and successful administration of programs funded by no</w:t>
            </w:r>
            <w:r>
              <w:rPr>
                <w:rFonts w:ascii="Times New Roman" w:hAnsi="Times New Roman" w:cs="Times New Roman"/>
              </w:rPr>
              <w:t>r</w:t>
            </w:r>
            <w:r w:rsidRPr="00965EE8">
              <w:rPr>
                <w:rFonts w:ascii="Times New Roman" w:hAnsi="Times New Roman" w:cs="Times New Roman"/>
              </w:rPr>
              <w:t>mal and ARPA</w:t>
            </w:r>
            <w:r>
              <w:rPr>
                <w:rFonts w:ascii="Times New Roman" w:hAnsi="Times New Roman" w:cs="Times New Roman"/>
              </w:rPr>
              <w:t xml:space="preserve"> </w:t>
            </w:r>
            <w:r w:rsidRPr="00965EE8">
              <w:rPr>
                <w:rFonts w:ascii="Times New Roman" w:hAnsi="Times New Roman" w:cs="Times New Roman"/>
              </w:rPr>
              <w:t>supplemental funds will not be enhanced by the institution of additional quarterly reports. Grantees will</w:t>
            </w:r>
            <w:r>
              <w:rPr>
                <w:rFonts w:ascii="Times New Roman" w:hAnsi="Times New Roman" w:cs="Times New Roman"/>
              </w:rPr>
              <w:t xml:space="preserve"> </w:t>
            </w:r>
            <w:r w:rsidRPr="00965EE8">
              <w:rPr>
                <w:rFonts w:ascii="Times New Roman" w:hAnsi="Times New Roman" w:cs="Times New Roman"/>
              </w:rPr>
              <w:t>be overwhelmed by an increased burden not-in-proportion to the meager additional awards they have</w:t>
            </w:r>
            <w:r>
              <w:rPr>
                <w:rFonts w:ascii="Times New Roman" w:hAnsi="Times New Roman" w:cs="Times New Roman"/>
              </w:rPr>
              <w:t xml:space="preserve"> </w:t>
            </w:r>
            <w:r w:rsidRPr="00965EE8">
              <w:rPr>
                <w:rFonts w:ascii="Times New Roman" w:hAnsi="Times New Roman" w:cs="Times New Roman"/>
              </w:rPr>
              <w:t>received, and the flood of new reports will not be used by the agency in a timely fashion. This proposal</w:t>
            </w:r>
            <w:r>
              <w:rPr>
                <w:rFonts w:ascii="Times New Roman" w:hAnsi="Times New Roman" w:cs="Times New Roman"/>
              </w:rPr>
              <w:t xml:space="preserve"> </w:t>
            </w:r>
            <w:r w:rsidRPr="00965EE8">
              <w:rPr>
                <w:rFonts w:ascii="Times New Roman" w:hAnsi="Times New Roman" w:cs="Times New Roman"/>
              </w:rPr>
              <w:t>amounts to widget counting with no practical utility. The existing annual reporting structure for LIHEAP</w:t>
            </w:r>
            <w:r>
              <w:rPr>
                <w:rFonts w:ascii="Times New Roman" w:hAnsi="Times New Roman" w:cs="Times New Roman"/>
              </w:rPr>
              <w:t xml:space="preserve"> </w:t>
            </w:r>
            <w:r w:rsidRPr="00965EE8">
              <w:rPr>
                <w:rFonts w:ascii="Times New Roman" w:hAnsi="Times New Roman" w:cs="Times New Roman"/>
              </w:rPr>
              <w:t>is sufficient and should be maintained.</w:t>
            </w:r>
          </w:p>
        </w:tc>
        <w:tc>
          <w:tcPr>
            <w:tcW w:w="1170" w:type="dxa"/>
            <w:noWrap/>
          </w:tcPr>
          <w:p w:rsidR="004A659E" w:rsidRPr="00A86E38" w14:paraId="30BB7954" w14:textId="1EF9674C">
            <w:pPr>
              <w:rPr>
                <w:rFonts w:ascii="Times New Roman" w:hAnsi="Times New Roman" w:cs="Times New Roman"/>
              </w:rPr>
            </w:pPr>
            <w:r>
              <w:rPr>
                <w:rFonts w:ascii="Times New Roman" w:hAnsi="Times New Roman" w:cs="Times New Roman"/>
              </w:rPr>
              <w:t>Change</w:t>
            </w:r>
          </w:p>
        </w:tc>
        <w:tc>
          <w:tcPr>
            <w:tcW w:w="4936" w:type="dxa"/>
            <w:noWrap/>
          </w:tcPr>
          <w:p w:rsidR="00FD29FE" w:rsidRPr="00A86E38" w:rsidP="006215D1" w14:paraId="232A5147" w14:textId="2E30B0BC">
            <w:pPr>
              <w:rPr>
                <w:rFonts w:ascii="Times New Roman" w:hAnsi="Times New Roman" w:cs="Times New Roman"/>
              </w:rPr>
            </w:pPr>
            <w:r>
              <w:rPr>
                <w:rFonts w:ascii="Times New Roman" w:hAnsi="Times New Roman" w:cs="Times New Roman"/>
              </w:rPr>
              <w:t>OCS acknowledges</w:t>
            </w:r>
            <w:r>
              <w:rPr>
                <w:rFonts w:ascii="Times New Roman" w:hAnsi="Times New Roman" w:cs="Times New Roman"/>
              </w:rPr>
              <w:t xml:space="preserve"> and appreciates</w:t>
            </w:r>
            <w:r>
              <w:rPr>
                <w:rFonts w:ascii="Times New Roman" w:hAnsi="Times New Roman" w:cs="Times New Roman"/>
              </w:rPr>
              <w:t xml:space="preserve"> the concerns regarding reporting burden</w:t>
            </w:r>
            <w:r>
              <w:rPr>
                <w:rFonts w:ascii="Times New Roman" w:hAnsi="Times New Roman" w:cs="Times New Roman"/>
              </w:rPr>
              <w:t xml:space="preserve">. During the design of the quarterly report, OCS strove to ensure </w:t>
            </w:r>
            <w:r w:rsidR="00235BFA">
              <w:rPr>
                <w:rFonts w:ascii="Times New Roman" w:hAnsi="Times New Roman" w:cs="Times New Roman"/>
              </w:rPr>
              <w:t xml:space="preserve">that the data being requested </w:t>
            </w:r>
            <w:r>
              <w:rPr>
                <w:rFonts w:ascii="Times New Roman" w:hAnsi="Times New Roman" w:cs="Times New Roman"/>
              </w:rPr>
              <w:t xml:space="preserve"> was </w:t>
            </w:r>
            <w:r>
              <w:rPr>
                <w:rFonts w:ascii="Times New Roman" w:hAnsi="Times New Roman" w:cs="Times New Roman"/>
              </w:rPr>
              <w:t>absolutely essential</w:t>
            </w:r>
            <w:r>
              <w:rPr>
                <w:rFonts w:ascii="Times New Roman" w:hAnsi="Times New Roman" w:cs="Times New Roman"/>
              </w:rPr>
              <w:t xml:space="preserve"> and</w:t>
            </w:r>
            <w:r w:rsidR="00235BFA">
              <w:rPr>
                <w:rFonts w:ascii="Times New Roman" w:hAnsi="Times New Roman" w:cs="Times New Roman"/>
              </w:rPr>
              <w:t xml:space="preserve"> for the</w:t>
            </w:r>
            <w:r>
              <w:rPr>
                <w:rFonts w:ascii="Times New Roman" w:hAnsi="Times New Roman" w:cs="Times New Roman"/>
              </w:rPr>
              <w:t xml:space="preserve"> data that </w:t>
            </w:r>
            <w:r w:rsidR="00FC1828">
              <w:rPr>
                <w:rFonts w:ascii="Times New Roman" w:hAnsi="Times New Roman" w:cs="Times New Roman"/>
              </w:rPr>
              <w:t>OCS</w:t>
            </w:r>
            <w:r>
              <w:rPr>
                <w:rFonts w:ascii="Times New Roman" w:hAnsi="Times New Roman" w:cs="Times New Roman"/>
              </w:rPr>
              <w:t xml:space="preserve"> will </w:t>
            </w:r>
            <w:r w:rsidR="00235BFA">
              <w:rPr>
                <w:rFonts w:ascii="Times New Roman" w:hAnsi="Times New Roman" w:cs="Times New Roman"/>
              </w:rPr>
              <w:t>utilize</w:t>
            </w:r>
            <w:r>
              <w:rPr>
                <w:rFonts w:ascii="Times New Roman" w:hAnsi="Times New Roman" w:cs="Times New Roman"/>
              </w:rPr>
              <w:t xml:space="preserve">. </w:t>
            </w:r>
            <w:r w:rsidR="00322C45">
              <w:rPr>
                <w:rFonts w:ascii="Times New Roman" w:hAnsi="Times New Roman" w:cs="Times New Roman"/>
              </w:rPr>
              <w:t xml:space="preserve">As explained above, to alleviate burden on our Tribal grant recipients with the smallest awards, OCS is only requiring Tribes with </w:t>
            </w:r>
            <w:r w:rsidR="00235BFA">
              <w:rPr>
                <w:rFonts w:ascii="Times New Roman" w:hAnsi="Times New Roman"/>
              </w:rPr>
              <w:t xml:space="preserve">non-supplemental </w:t>
            </w:r>
            <w:r w:rsidR="00322C45">
              <w:rPr>
                <w:rFonts w:ascii="Times New Roman" w:hAnsi="Times New Roman" w:cs="Times New Roman"/>
              </w:rPr>
              <w:t xml:space="preserve">annual block grant awards under $50,000 to report the data in </w:t>
            </w:r>
            <w:bookmarkStart w:id="0" w:name="_Hlk115794211"/>
            <w:r w:rsidR="00322C45">
              <w:rPr>
                <w:rFonts w:ascii="Times New Roman" w:hAnsi="Times New Roman" w:cs="Times New Roman"/>
              </w:rPr>
              <w:t xml:space="preserve">Section </w:t>
            </w:r>
            <w:r w:rsidR="00522202">
              <w:rPr>
                <w:rFonts w:ascii="Times New Roman" w:hAnsi="Times New Roman" w:cs="Times New Roman"/>
              </w:rPr>
              <w:t>I, V, VI</w:t>
            </w:r>
            <w:r w:rsidR="00322C45">
              <w:rPr>
                <w:rFonts w:ascii="Times New Roman" w:hAnsi="Times New Roman" w:cs="Times New Roman"/>
              </w:rPr>
              <w:t xml:space="preserve"> (total households assisted</w:t>
            </w:r>
            <w:r w:rsidR="00522202">
              <w:rPr>
                <w:rFonts w:ascii="Times New Roman" w:hAnsi="Times New Roman" w:cs="Times New Roman"/>
              </w:rPr>
              <w:t>, remarks, and certification</w:t>
            </w:r>
            <w:bookmarkEnd w:id="0"/>
            <w:r w:rsidR="00322C45">
              <w:rPr>
                <w:rFonts w:ascii="Times New Roman" w:hAnsi="Times New Roman" w:cs="Times New Roman"/>
              </w:rPr>
              <w:t>)</w:t>
            </w:r>
            <w:r w:rsidR="00FC1828">
              <w:rPr>
                <w:rFonts w:ascii="Times New Roman" w:hAnsi="Times New Roman" w:cs="Times New Roman"/>
              </w:rPr>
              <w:t xml:space="preserve"> ), all other report sections will be optional.</w:t>
            </w:r>
            <w:r w:rsidR="001127CC">
              <w:rPr>
                <w:rFonts w:ascii="Times New Roman" w:hAnsi="Times New Roman" w:cs="Times New Roman"/>
              </w:rPr>
              <w:t xml:space="preserve"> </w:t>
            </w:r>
            <w:r>
              <w:rPr>
                <w:rFonts w:ascii="Times New Roman" w:hAnsi="Times New Roman" w:cs="Times New Roman"/>
              </w:rPr>
              <w:t>OCS</w:t>
            </w:r>
            <w:r w:rsidR="00322C45">
              <w:rPr>
                <w:rFonts w:ascii="Times New Roman" w:hAnsi="Times New Roman" w:cs="Times New Roman"/>
              </w:rPr>
              <w:t xml:space="preserve"> also</w:t>
            </w:r>
            <w:r>
              <w:rPr>
                <w:rFonts w:ascii="Times New Roman" w:hAnsi="Times New Roman" w:cs="Times New Roman"/>
              </w:rPr>
              <w:t xml:space="preserve"> remains committed to working with any grant recipient that anticipates experiencing challenges with the quarterly reporting burden. OCS has</w:t>
            </w:r>
            <w:r>
              <w:rPr>
                <w:rFonts w:ascii="Times New Roman" w:hAnsi="Times New Roman" w:cs="Times New Roman"/>
              </w:rPr>
              <w:t xml:space="preserve"> determined that quarterly reporting is essential to our oversight and administration of LIHEAP</w:t>
            </w:r>
            <w:r>
              <w:rPr>
                <w:rFonts w:ascii="Times New Roman" w:hAnsi="Times New Roman" w:cs="Times New Roman"/>
              </w:rPr>
              <w:t xml:space="preserve"> and will </w:t>
            </w:r>
            <w:r>
              <w:rPr>
                <w:rFonts w:ascii="Times New Roman" w:hAnsi="Times New Roman" w:cs="Times New Roman"/>
              </w:rPr>
              <w:t xml:space="preserve">be analyzing all quarterly report data in a timely fashion to inform our ongoing training and technical </w:t>
            </w:r>
            <w:r>
              <w:rPr>
                <w:rFonts w:ascii="Times New Roman" w:hAnsi="Times New Roman" w:cs="Times New Roman"/>
              </w:rPr>
              <w:t xml:space="preserve">assistance work. OCS also plans to publicly release </w:t>
            </w:r>
            <w:r w:rsidR="006215D1">
              <w:rPr>
                <w:rFonts w:ascii="Times New Roman" w:hAnsi="Times New Roman" w:cs="Times New Roman"/>
              </w:rPr>
              <w:t xml:space="preserve">data gleaned from the </w:t>
            </w:r>
            <w:r>
              <w:rPr>
                <w:rFonts w:ascii="Times New Roman" w:hAnsi="Times New Roman" w:cs="Times New Roman"/>
              </w:rPr>
              <w:t xml:space="preserve">quarterly report within 30-60 days of the submission deadline in a format </w:t>
            </w:r>
            <w:r>
              <w:rPr>
                <w:rFonts w:ascii="Times New Roman" w:hAnsi="Times New Roman" w:cs="Times New Roman"/>
              </w:rPr>
              <w:t>similar to</w:t>
            </w:r>
            <w:r>
              <w:rPr>
                <w:rFonts w:ascii="Times New Roman" w:hAnsi="Times New Roman" w:cs="Times New Roman"/>
              </w:rPr>
              <w:t xml:space="preserve"> the </w:t>
            </w:r>
            <w:hyperlink r:id="rId9" w:history="1">
              <w:r w:rsidRPr="00F60201">
                <w:rPr>
                  <w:rStyle w:val="Hyperlink"/>
                  <w:rFonts w:ascii="Times New Roman" w:hAnsi="Times New Roman" w:cs="Times New Roman"/>
                </w:rPr>
                <w:t>Low-Income Household Water Assistance Program Dashboard</w:t>
              </w:r>
            </w:hyperlink>
            <w:r>
              <w:rPr>
                <w:rFonts w:ascii="Times New Roman" w:hAnsi="Times New Roman" w:cs="Times New Roman"/>
              </w:rPr>
              <w:t xml:space="preserve">. </w:t>
            </w:r>
            <w:r w:rsidR="00322C45">
              <w:rPr>
                <w:rFonts w:ascii="Times New Roman" w:hAnsi="Times New Roman" w:cs="Times New Roman"/>
              </w:rPr>
              <w:t xml:space="preserve">Please note, </w:t>
            </w:r>
            <w:r w:rsidR="00FC1828">
              <w:rPr>
                <w:rFonts w:ascii="Times New Roman" w:hAnsi="Times New Roman" w:cs="Times New Roman"/>
              </w:rPr>
              <w:t>OCS</w:t>
            </w:r>
            <w:r w:rsidR="00322C45">
              <w:rPr>
                <w:rFonts w:ascii="Times New Roman" w:hAnsi="Times New Roman" w:cs="Times New Roman"/>
              </w:rPr>
              <w:t xml:space="preserve"> </w:t>
            </w:r>
            <w:r w:rsidR="00FC1828">
              <w:rPr>
                <w:rFonts w:ascii="Times New Roman" w:hAnsi="Times New Roman" w:cs="Times New Roman"/>
              </w:rPr>
              <w:t>encourages</w:t>
            </w:r>
            <w:r w:rsidR="00322C45">
              <w:rPr>
                <w:rFonts w:ascii="Times New Roman" w:hAnsi="Times New Roman" w:cs="Times New Roman"/>
              </w:rPr>
              <w:t xml:space="preserve"> Tribes with annual block grant awards under $50,000 </w:t>
            </w:r>
            <w:r w:rsidR="00FC1828">
              <w:rPr>
                <w:rFonts w:ascii="Times New Roman" w:hAnsi="Times New Roman" w:cs="Times New Roman"/>
              </w:rPr>
              <w:t xml:space="preserve">that have the capacity </w:t>
            </w:r>
            <w:r w:rsidR="00322C45">
              <w:rPr>
                <w:rFonts w:ascii="Times New Roman" w:hAnsi="Times New Roman" w:cs="Times New Roman"/>
              </w:rPr>
              <w:t>to submit the full report</w:t>
            </w:r>
            <w:r w:rsidR="00FC1828">
              <w:rPr>
                <w:rFonts w:ascii="Times New Roman" w:hAnsi="Times New Roman" w:cs="Times New Roman"/>
              </w:rPr>
              <w:t>.</w:t>
            </w:r>
            <w:r w:rsidR="00322C45">
              <w:rPr>
                <w:rFonts w:ascii="Times New Roman" w:hAnsi="Times New Roman" w:cs="Times New Roman"/>
              </w:rPr>
              <w:t xml:space="preserve">  Submitting all data will allow the Tribal grant recipient to have more data featured in the LIHEAP Dashboard. </w:t>
            </w:r>
          </w:p>
        </w:tc>
      </w:tr>
    </w:tbl>
    <w:p w:rsidR="001C300B" w:rsidRPr="00FB1297" w14:paraId="4C796CE6" w14:textId="77777777">
      <w:pPr>
        <w:rPr>
          <w:rFonts w:ascii="Times New Roman" w:hAnsi="Times New Roman" w:cs="Times New Roman"/>
        </w:rPr>
      </w:pPr>
    </w:p>
    <w:sectPr w:rsidSect="00FB1297">
      <w:footerReference w:type="default" r:id="rId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50572332"/>
      <w:docPartObj>
        <w:docPartGallery w:val="Page Numbers (Bottom of Page)"/>
        <w:docPartUnique/>
      </w:docPartObj>
    </w:sdtPr>
    <w:sdtEndPr>
      <w:rPr>
        <w:noProof/>
      </w:rPr>
    </w:sdtEndPr>
    <w:sdtContent>
      <w:p w:rsidR="00B92133" w14:paraId="69F5C7A2" w14:textId="1E3EBDD0">
        <w:pPr>
          <w:pStyle w:val="Footer"/>
          <w:jc w:val="right"/>
        </w:pPr>
        <w:r>
          <w:fldChar w:fldCharType="begin"/>
        </w:r>
        <w:r>
          <w:instrText xml:space="preserve"> PAGE   \* MERGEFORMAT </w:instrText>
        </w:r>
        <w:r>
          <w:fldChar w:fldCharType="separate"/>
        </w:r>
        <w:r w:rsidR="009D40A4">
          <w:rPr>
            <w:noProof/>
          </w:rPr>
          <w:t>10</w:t>
        </w:r>
        <w:r>
          <w:rPr>
            <w:noProof/>
          </w:rPr>
          <w:fldChar w:fldCharType="end"/>
        </w:r>
      </w:p>
    </w:sdtContent>
  </w:sdt>
  <w:p w:rsidR="00B92133" w14:paraId="0C560621"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97"/>
    <w:rsid w:val="000207B4"/>
    <w:rsid w:val="00030F55"/>
    <w:rsid w:val="0003226F"/>
    <w:rsid w:val="000424C0"/>
    <w:rsid w:val="0005616F"/>
    <w:rsid w:val="000E06DA"/>
    <w:rsid w:val="001127CC"/>
    <w:rsid w:val="0012659C"/>
    <w:rsid w:val="00181786"/>
    <w:rsid w:val="00184799"/>
    <w:rsid w:val="001C300B"/>
    <w:rsid w:val="001D3B7D"/>
    <w:rsid w:val="0021453F"/>
    <w:rsid w:val="0022091F"/>
    <w:rsid w:val="00235BFA"/>
    <w:rsid w:val="00236620"/>
    <w:rsid w:val="00241F21"/>
    <w:rsid w:val="0028308D"/>
    <w:rsid w:val="002A7A0C"/>
    <w:rsid w:val="002C7DD0"/>
    <w:rsid w:val="002D51DE"/>
    <w:rsid w:val="002E48E2"/>
    <w:rsid w:val="002E4FCF"/>
    <w:rsid w:val="00322598"/>
    <w:rsid w:val="00322C45"/>
    <w:rsid w:val="00322EAE"/>
    <w:rsid w:val="00323505"/>
    <w:rsid w:val="00367269"/>
    <w:rsid w:val="0038173C"/>
    <w:rsid w:val="003858A4"/>
    <w:rsid w:val="004310F6"/>
    <w:rsid w:val="00435909"/>
    <w:rsid w:val="00444A96"/>
    <w:rsid w:val="00484AAB"/>
    <w:rsid w:val="004A0438"/>
    <w:rsid w:val="004A659E"/>
    <w:rsid w:val="004E0F6B"/>
    <w:rsid w:val="00522202"/>
    <w:rsid w:val="00543998"/>
    <w:rsid w:val="00546AC7"/>
    <w:rsid w:val="00547995"/>
    <w:rsid w:val="00566ECE"/>
    <w:rsid w:val="005C13A1"/>
    <w:rsid w:val="005E1B37"/>
    <w:rsid w:val="00606134"/>
    <w:rsid w:val="00614861"/>
    <w:rsid w:val="00617F48"/>
    <w:rsid w:val="006215D1"/>
    <w:rsid w:val="00631B78"/>
    <w:rsid w:val="00650A6B"/>
    <w:rsid w:val="00657C49"/>
    <w:rsid w:val="006859C5"/>
    <w:rsid w:val="006F3FCC"/>
    <w:rsid w:val="007528B1"/>
    <w:rsid w:val="007557F3"/>
    <w:rsid w:val="007673DE"/>
    <w:rsid w:val="007827F6"/>
    <w:rsid w:val="00785A7B"/>
    <w:rsid w:val="00792AB1"/>
    <w:rsid w:val="00794F60"/>
    <w:rsid w:val="007E79CD"/>
    <w:rsid w:val="00813F73"/>
    <w:rsid w:val="00816E4C"/>
    <w:rsid w:val="008410EA"/>
    <w:rsid w:val="008578B8"/>
    <w:rsid w:val="008A5B06"/>
    <w:rsid w:val="008B48FE"/>
    <w:rsid w:val="008F2985"/>
    <w:rsid w:val="009406F6"/>
    <w:rsid w:val="009411F9"/>
    <w:rsid w:val="0094740C"/>
    <w:rsid w:val="00965EE8"/>
    <w:rsid w:val="00985A05"/>
    <w:rsid w:val="009A0414"/>
    <w:rsid w:val="009D3D61"/>
    <w:rsid w:val="009D40A4"/>
    <w:rsid w:val="00A77C3F"/>
    <w:rsid w:val="00A81B48"/>
    <w:rsid w:val="00A86E38"/>
    <w:rsid w:val="00A95A94"/>
    <w:rsid w:val="00AE7110"/>
    <w:rsid w:val="00B006F7"/>
    <w:rsid w:val="00B15C37"/>
    <w:rsid w:val="00B457F8"/>
    <w:rsid w:val="00B76922"/>
    <w:rsid w:val="00B80881"/>
    <w:rsid w:val="00B92133"/>
    <w:rsid w:val="00BC6D40"/>
    <w:rsid w:val="00BD4815"/>
    <w:rsid w:val="00C405E9"/>
    <w:rsid w:val="00C572E9"/>
    <w:rsid w:val="00C925D8"/>
    <w:rsid w:val="00CA2D56"/>
    <w:rsid w:val="00CA39AC"/>
    <w:rsid w:val="00CE3472"/>
    <w:rsid w:val="00D47E25"/>
    <w:rsid w:val="00D65F83"/>
    <w:rsid w:val="00D750FB"/>
    <w:rsid w:val="00DA08B0"/>
    <w:rsid w:val="00DB28D6"/>
    <w:rsid w:val="00DE41AD"/>
    <w:rsid w:val="00DF5CB6"/>
    <w:rsid w:val="00E002AF"/>
    <w:rsid w:val="00E021DF"/>
    <w:rsid w:val="00E12442"/>
    <w:rsid w:val="00E40D84"/>
    <w:rsid w:val="00E4304C"/>
    <w:rsid w:val="00E52873"/>
    <w:rsid w:val="00E856D0"/>
    <w:rsid w:val="00EA670C"/>
    <w:rsid w:val="00EE4796"/>
    <w:rsid w:val="00F0122D"/>
    <w:rsid w:val="00F10358"/>
    <w:rsid w:val="00F60201"/>
    <w:rsid w:val="00F722C8"/>
    <w:rsid w:val="00F7250A"/>
    <w:rsid w:val="00F96DA2"/>
    <w:rsid w:val="00FB1297"/>
    <w:rsid w:val="00FC1828"/>
    <w:rsid w:val="00FD29FE"/>
    <w:rsid w:val="00FE2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E250A7"/>
  <w15:docId w15:val="{C941FC92-D418-494D-AE0B-37D5CB9D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1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2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133"/>
  </w:style>
  <w:style w:type="paragraph" w:styleId="Footer">
    <w:name w:val="footer"/>
    <w:basedOn w:val="Normal"/>
    <w:link w:val="FooterChar"/>
    <w:uiPriority w:val="99"/>
    <w:unhideWhenUsed/>
    <w:rsid w:val="00B92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133"/>
  </w:style>
  <w:style w:type="paragraph" w:styleId="EndnoteText">
    <w:name w:val="endnote text"/>
    <w:basedOn w:val="Normal"/>
    <w:link w:val="EndnoteTextChar"/>
    <w:uiPriority w:val="99"/>
    <w:semiHidden/>
    <w:unhideWhenUsed/>
    <w:rsid w:val="00B769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6922"/>
    <w:rPr>
      <w:sz w:val="20"/>
      <w:szCs w:val="20"/>
    </w:rPr>
  </w:style>
  <w:style w:type="character" w:styleId="EndnoteReference">
    <w:name w:val="endnote reference"/>
    <w:basedOn w:val="DefaultParagraphFont"/>
    <w:uiPriority w:val="99"/>
    <w:semiHidden/>
    <w:unhideWhenUsed/>
    <w:rsid w:val="00B76922"/>
    <w:rPr>
      <w:vertAlign w:val="superscript"/>
    </w:rPr>
  </w:style>
  <w:style w:type="paragraph" w:styleId="FootnoteText">
    <w:name w:val="footnote text"/>
    <w:basedOn w:val="Normal"/>
    <w:link w:val="FootnoteTextChar"/>
    <w:uiPriority w:val="99"/>
    <w:semiHidden/>
    <w:unhideWhenUsed/>
    <w:rsid w:val="002C7D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7DD0"/>
    <w:rPr>
      <w:sz w:val="20"/>
      <w:szCs w:val="20"/>
    </w:rPr>
  </w:style>
  <w:style w:type="character" w:styleId="FootnoteReference">
    <w:name w:val="footnote reference"/>
    <w:basedOn w:val="DefaultParagraphFont"/>
    <w:uiPriority w:val="99"/>
    <w:semiHidden/>
    <w:unhideWhenUsed/>
    <w:rsid w:val="002C7DD0"/>
    <w:rPr>
      <w:vertAlign w:val="superscript"/>
    </w:rPr>
  </w:style>
  <w:style w:type="character" w:styleId="CommentReference">
    <w:name w:val="annotation reference"/>
    <w:basedOn w:val="DefaultParagraphFont"/>
    <w:uiPriority w:val="99"/>
    <w:semiHidden/>
    <w:unhideWhenUsed/>
    <w:rsid w:val="00C925D8"/>
    <w:rPr>
      <w:sz w:val="16"/>
      <w:szCs w:val="16"/>
    </w:rPr>
  </w:style>
  <w:style w:type="paragraph" w:styleId="CommentText">
    <w:name w:val="annotation text"/>
    <w:basedOn w:val="Normal"/>
    <w:link w:val="CommentTextChar"/>
    <w:uiPriority w:val="99"/>
    <w:unhideWhenUsed/>
    <w:rsid w:val="00C925D8"/>
    <w:pPr>
      <w:spacing w:line="240" w:lineRule="auto"/>
    </w:pPr>
    <w:rPr>
      <w:sz w:val="20"/>
      <w:szCs w:val="20"/>
    </w:rPr>
  </w:style>
  <w:style w:type="character" w:customStyle="1" w:styleId="CommentTextChar">
    <w:name w:val="Comment Text Char"/>
    <w:basedOn w:val="DefaultParagraphFont"/>
    <w:link w:val="CommentText"/>
    <w:uiPriority w:val="99"/>
    <w:rsid w:val="00C925D8"/>
    <w:rPr>
      <w:sz w:val="20"/>
      <w:szCs w:val="20"/>
    </w:rPr>
  </w:style>
  <w:style w:type="paragraph" w:styleId="CommentSubject">
    <w:name w:val="annotation subject"/>
    <w:basedOn w:val="CommentText"/>
    <w:next w:val="CommentText"/>
    <w:link w:val="CommentSubjectChar"/>
    <w:uiPriority w:val="99"/>
    <w:semiHidden/>
    <w:unhideWhenUsed/>
    <w:rsid w:val="00C925D8"/>
    <w:rPr>
      <w:b/>
      <w:bCs/>
    </w:rPr>
  </w:style>
  <w:style w:type="character" w:customStyle="1" w:styleId="CommentSubjectChar">
    <w:name w:val="Comment Subject Char"/>
    <w:basedOn w:val="CommentTextChar"/>
    <w:link w:val="CommentSubject"/>
    <w:uiPriority w:val="99"/>
    <w:semiHidden/>
    <w:rsid w:val="00C925D8"/>
    <w:rPr>
      <w:b/>
      <w:bCs/>
      <w:sz w:val="20"/>
      <w:szCs w:val="20"/>
    </w:rPr>
  </w:style>
  <w:style w:type="paragraph" w:styleId="BalloonText">
    <w:name w:val="Balloon Text"/>
    <w:basedOn w:val="Normal"/>
    <w:link w:val="BalloonTextChar"/>
    <w:uiPriority w:val="99"/>
    <w:semiHidden/>
    <w:unhideWhenUsed/>
    <w:rsid w:val="00E40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D84"/>
    <w:rPr>
      <w:rFonts w:ascii="Tahoma" w:hAnsi="Tahoma" w:cs="Tahoma"/>
      <w:sz w:val="16"/>
      <w:szCs w:val="16"/>
    </w:rPr>
  </w:style>
  <w:style w:type="paragraph" w:styleId="ListParagraph">
    <w:name w:val="List Paragraph"/>
    <w:basedOn w:val="Normal"/>
    <w:uiPriority w:val="34"/>
    <w:qFormat/>
    <w:rsid w:val="000424C0"/>
    <w:pPr>
      <w:ind w:left="720"/>
      <w:contextualSpacing/>
    </w:pPr>
  </w:style>
  <w:style w:type="character" w:styleId="Hyperlink">
    <w:name w:val="Hyperlink"/>
    <w:basedOn w:val="DefaultParagraphFont"/>
    <w:uiPriority w:val="99"/>
    <w:unhideWhenUsed/>
    <w:rsid w:val="00F60201"/>
    <w:rPr>
      <w:color w:val="0563C1" w:themeColor="hyperlink"/>
      <w:u w:val="single"/>
    </w:rPr>
  </w:style>
  <w:style w:type="character" w:styleId="UnresolvedMention">
    <w:name w:val="Unresolved Mention"/>
    <w:basedOn w:val="DefaultParagraphFont"/>
    <w:uiPriority w:val="99"/>
    <w:semiHidden/>
    <w:unhideWhenUsed/>
    <w:rsid w:val="00F60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lihwap-hhs-acf.opendata.arcgi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ET7ED2XPRZ62-36194351-2228</_dlc_DocId>
    <_dlc_DocIdUrl xmlns="9d9fd9e6-c86a-4755-9461-9f784f6b47c7">
      <Url>https://collaboration.acf.hhs.gov/offices/ocs/div/dea/_layouts/15/DocIdRedir.aspx?ID=ET7ED2XPRZ62-36194351-2228</Url>
      <Description>ET7ED2XPRZ62-36194351-2228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F68A854B084B4DB67CEB0558E86752" ma:contentTypeVersion="2" ma:contentTypeDescription="Create a new document." ma:contentTypeScope="" ma:versionID="7befff7338ad52899af40ea75a7355e2">
  <xsd:schema xmlns:xsd="http://www.w3.org/2001/XMLSchema" xmlns:xs="http://www.w3.org/2001/XMLSchema" xmlns:p="http://schemas.microsoft.com/office/2006/metadata/properties" xmlns:ns2="9d9fd9e6-c86a-4755-9461-9f784f6b47c7" targetNamespace="http://schemas.microsoft.com/office/2006/metadata/properties" ma:root="true" ma:fieldsID="e7884a5b2cb7dc682c6970d111362a59" ns2:_="">
    <xsd:import namespace="9d9fd9e6-c86a-4755-9461-9f784f6b47c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C93DD-3288-4D88-B9DE-2FBE6F4A1841}">
  <ds:schemaRefs>
    <ds:schemaRef ds:uri="http://schemas.microsoft.com/sharepoint/v3/contenttype/forms"/>
  </ds:schemaRefs>
</ds:datastoreItem>
</file>

<file path=customXml/itemProps2.xml><?xml version="1.0" encoding="utf-8"?>
<ds:datastoreItem xmlns:ds="http://schemas.openxmlformats.org/officeDocument/2006/customXml" ds:itemID="{666FDA81-56E1-4AEF-A903-458DFB9E284E}">
  <ds:schemaRefs>
    <ds:schemaRef ds:uri="http://schemas.microsoft.com/office/2006/metadata/properties"/>
    <ds:schemaRef ds:uri="http://schemas.microsoft.com/office/infopath/2007/PartnerControls"/>
    <ds:schemaRef ds:uri="9d9fd9e6-c86a-4755-9461-9f784f6b47c7"/>
  </ds:schemaRefs>
</ds:datastoreItem>
</file>

<file path=customXml/itemProps3.xml><?xml version="1.0" encoding="utf-8"?>
<ds:datastoreItem xmlns:ds="http://schemas.openxmlformats.org/officeDocument/2006/customXml" ds:itemID="{84B760AF-E3DE-4DD7-8D6C-6BDB191EB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fd9e6-c86a-4755-9461-9f784f6b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7DAD74-B127-48C2-8151-AA23927D48E1}">
  <ds:schemaRefs>
    <ds:schemaRef ds:uri="http://schemas.microsoft.com/sharepoint/events"/>
  </ds:schemaRefs>
</ds:datastoreItem>
</file>

<file path=customXml/itemProps5.xml><?xml version="1.0" encoding="utf-8"?>
<ds:datastoreItem xmlns:ds="http://schemas.openxmlformats.org/officeDocument/2006/customXml" ds:itemID="{8F39147F-A6DC-4D2F-BE93-08B43B473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4890</Characters>
  <Application>Microsoft Office Word</Application>
  <DocSecurity>0</DocSecurity>
  <Lines>84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Kathryn (ACF) (CTR)</dc:creator>
  <cp:lastModifiedBy>Green, Kathryn (ACF)</cp:lastModifiedBy>
  <cp:revision>2</cp:revision>
  <dcterms:created xsi:type="dcterms:W3CDTF">2022-10-05T20:56:00Z</dcterms:created>
  <dcterms:modified xsi:type="dcterms:W3CDTF">2022-10-05T20:56:00Z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0x01010026F68A854B084B4DB67CEB0558E86752</vt:lpwstr>
  </property>
  <property fmtid="{D5CDD505-2E9C-101B-9397-08002B2CF9AE}" pid="3" name="_dlc_DocIdItemGuid">
    <vt:lpwstr>81f01e6d-ff9d-4368-b3b5-1319c23daa11</vt:lpwstr>
  </property>
</Properties>
</file>