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25CE4F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115AC">
        <w:t>Heather Jones</w:t>
      </w:r>
    </w:p>
    <w:p w:rsidR="0005680D" w:rsidP="0005680D" w14:paraId="48DB0716" w14:textId="1ECB803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1115AC">
        <w:t>Office of Community Services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0FA0C5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115AC">
        <w:t>February 27,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2B3CDD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1115AC" w:rsidR="001115AC">
        <w:t>Low Income Home Energy Assistance Program (LIHEAP) Detailed Model Plan Application</w:t>
      </w:r>
      <w:r w:rsidRPr="001115AC" w:rsidR="001115AC">
        <w:t xml:space="preserve"> </w:t>
      </w:r>
      <w:r>
        <w:t>(OMB #0970-0</w:t>
      </w:r>
      <w:r w:rsidR="001115AC">
        <w:t>075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33B7EEBF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1115AC" w:rsidR="001115AC">
        <w:t xml:space="preserve">Low Income Home Energy Assistance Program (LIHEAP) Detailed Model Plan Application </w:t>
      </w:r>
      <w:r w:rsidR="001115AC">
        <w:t>(OMB #0970-0075)</w:t>
      </w:r>
      <w:r w:rsidR="001115AC">
        <w:t>.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5F456C01">
      <w:r>
        <w:t xml:space="preserve">The </w:t>
      </w:r>
      <w:r w:rsidRPr="001115AC">
        <w:t xml:space="preserve">LIHEAP Detailed Model Plan Application </w:t>
      </w:r>
      <w:r>
        <w:t xml:space="preserve">was most recently approved by OMB on February 25, 2024. During the 30-day comment period, the Office of Community Services received </w:t>
      </w:r>
      <w:r>
        <w:t>a number of</w:t>
      </w:r>
      <w:r>
        <w:t xml:space="preserve"> comments and would like to post responses to these public comments publicly for transparency.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RPr="001115AC" w:rsidP="001115AC" w14:paraId="7DBC6097" w14:textId="4FBD4D18">
      <w:r>
        <w:t xml:space="preserve">This request is to upload OCS’s responses to public comments received during the 30-day comment period.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15AC"/>
    <w:rsid w:val="00116024"/>
    <w:rsid w:val="00201D4A"/>
    <w:rsid w:val="00416E1B"/>
    <w:rsid w:val="00430033"/>
    <w:rsid w:val="004A777C"/>
    <w:rsid w:val="004E0796"/>
    <w:rsid w:val="0070116E"/>
    <w:rsid w:val="00995018"/>
    <w:rsid w:val="00A44387"/>
    <w:rsid w:val="00B64781"/>
    <w:rsid w:val="00BF696B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2024-02-27T14:36:00Z</dcterms:created>
  <dcterms:modified xsi:type="dcterms:W3CDTF">2024-02-27T14:39:00Z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