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3C04" w:rsidRPr="00487ECF" w:rsidP="00400751" w14:paraId="128EDAB0" w14:textId="7FABA90D">
      <w:pPr>
        <w:jc w:val="center"/>
        <w:rPr>
          <w:rFonts w:asciiTheme="minorHAnsi" w:hAnsiTheme="minorHAnsi" w:cs="Arial"/>
          <w:b/>
          <w:bCs/>
          <w:sz w:val="22"/>
          <w:szCs w:val="22"/>
        </w:rPr>
      </w:pPr>
      <w:r w:rsidRPr="006D7186">
        <w:rPr>
          <w:rFonts w:asciiTheme="minorHAnsi" w:hAnsiTheme="minorHAnsi" w:cs="Arial"/>
          <w:b/>
          <w:color w:val="FF0000"/>
          <w:sz w:val="28"/>
          <w:szCs w:val="28"/>
          <w:lang w:val="en-CA"/>
        </w:rPr>
        <w:t xml:space="preserve"> </w:t>
      </w:r>
      <w:r w:rsidRPr="00487ECF">
        <w:rPr>
          <w:rFonts w:asciiTheme="minorHAnsi" w:hAnsiTheme="minorHAnsi" w:cs="Arial"/>
          <w:b/>
          <w:sz w:val="22"/>
          <w:szCs w:val="22"/>
          <w:lang w:val="en-CA"/>
        </w:rPr>
        <w:fldChar w:fldCharType="begin"/>
      </w:r>
      <w:r w:rsidRPr="00487ECF">
        <w:rPr>
          <w:rFonts w:asciiTheme="minorHAnsi" w:hAnsiTheme="minorHAnsi" w:cs="Arial"/>
          <w:b/>
          <w:sz w:val="22"/>
          <w:szCs w:val="22"/>
          <w:lang w:val="en-CA"/>
        </w:rPr>
        <w:instrText xml:space="preserve"> SEQ CHAPTER \h \r 1</w:instrText>
      </w:r>
      <w:r w:rsidRPr="00487ECF">
        <w:rPr>
          <w:rFonts w:asciiTheme="minorHAnsi" w:hAnsiTheme="minorHAnsi" w:cs="Arial"/>
          <w:b/>
          <w:sz w:val="22"/>
          <w:szCs w:val="22"/>
          <w:lang w:val="en-CA"/>
        </w:rPr>
        <w:fldChar w:fldCharType="separate"/>
      </w:r>
      <w:r w:rsidRPr="00487ECF">
        <w:rPr>
          <w:rFonts w:asciiTheme="minorHAnsi" w:hAnsiTheme="minorHAnsi" w:cs="Arial"/>
          <w:b/>
          <w:sz w:val="22"/>
          <w:szCs w:val="22"/>
          <w:lang w:val="en-CA"/>
        </w:rPr>
        <w:fldChar w:fldCharType="end"/>
      </w:r>
      <w:r w:rsidRPr="00487ECF">
        <w:rPr>
          <w:rFonts w:asciiTheme="minorHAnsi" w:hAnsiTheme="minorHAnsi" w:cs="Arial"/>
          <w:b/>
          <w:bCs/>
          <w:sz w:val="22"/>
          <w:szCs w:val="22"/>
        </w:rPr>
        <w:t>SUPPORTING STATEMENT</w:t>
      </w:r>
    </w:p>
    <w:p w:rsidR="00400751" w:rsidRPr="00487ECF" w:rsidP="00400751" w14:paraId="0D6851A1" w14:textId="110D5C81">
      <w:pPr>
        <w:jc w:val="center"/>
        <w:rPr>
          <w:rFonts w:asciiTheme="minorHAnsi" w:hAnsiTheme="minorHAnsi" w:cs="Arial"/>
          <w:bCs/>
          <w:sz w:val="22"/>
          <w:szCs w:val="22"/>
        </w:rPr>
      </w:pPr>
      <w:r w:rsidRPr="00487ECF">
        <w:rPr>
          <w:rFonts w:asciiTheme="minorHAnsi" w:hAnsiTheme="minorHAnsi" w:cs="Arial"/>
          <w:bCs/>
          <w:sz w:val="22"/>
          <w:szCs w:val="22"/>
        </w:rPr>
        <w:t>Internal Revenue Service</w:t>
      </w:r>
      <w:r w:rsidRPr="00487ECF" w:rsidR="00C56EC1">
        <w:rPr>
          <w:rFonts w:asciiTheme="minorHAnsi" w:hAnsiTheme="minorHAnsi" w:cs="Arial"/>
          <w:bCs/>
          <w:sz w:val="22"/>
          <w:szCs w:val="22"/>
        </w:rPr>
        <w:t xml:space="preserve"> (IRS)</w:t>
      </w:r>
    </w:p>
    <w:p w:rsidR="007E37B8" w:rsidRPr="00487ECF" w:rsidP="00400751" w14:paraId="02E36FEE" w14:textId="13A8D869">
      <w:pPr>
        <w:jc w:val="center"/>
        <w:rPr>
          <w:rFonts w:asciiTheme="minorHAnsi" w:hAnsiTheme="minorHAnsi" w:cs="Arial"/>
          <w:bCs/>
          <w:sz w:val="22"/>
          <w:szCs w:val="22"/>
        </w:rPr>
      </w:pPr>
      <w:r w:rsidRPr="00487ECF">
        <w:rPr>
          <w:rFonts w:asciiTheme="minorHAnsi" w:hAnsiTheme="minorHAnsi" w:cs="Arial"/>
          <w:bCs/>
          <w:sz w:val="22"/>
          <w:szCs w:val="22"/>
        </w:rPr>
        <w:t>TD 9208</w:t>
      </w:r>
    </w:p>
    <w:p w:rsidR="00400751" w:rsidRPr="00487ECF" w:rsidP="00400751" w14:paraId="76105019" w14:textId="77777777">
      <w:pPr>
        <w:jc w:val="center"/>
        <w:rPr>
          <w:rFonts w:asciiTheme="minorHAnsi" w:hAnsiTheme="minorHAnsi" w:cs="Arial"/>
          <w:bCs/>
          <w:sz w:val="22"/>
          <w:szCs w:val="22"/>
        </w:rPr>
      </w:pPr>
      <w:r w:rsidRPr="00487ECF">
        <w:rPr>
          <w:rFonts w:asciiTheme="minorHAnsi" w:hAnsiTheme="minorHAnsi" w:cs="Arial"/>
          <w:bCs/>
          <w:sz w:val="22"/>
          <w:szCs w:val="22"/>
        </w:rPr>
        <w:t>Election Out of GST Deemed Allocations</w:t>
      </w:r>
    </w:p>
    <w:p w:rsidR="00400751" w:rsidRPr="00487ECF" w:rsidP="00400751" w14:paraId="6ADDBB47" w14:textId="5B981F5A">
      <w:pPr>
        <w:spacing w:line="360" w:lineRule="auto"/>
        <w:jc w:val="center"/>
        <w:rPr>
          <w:rFonts w:asciiTheme="minorHAnsi" w:hAnsiTheme="minorHAnsi" w:cs="Arial"/>
          <w:b/>
          <w:bCs/>
          <w:sz w:val="22"/>
          <w:szCs w:val="22"/>
        </w:rPr>
      </w:pPr>
      <w:r w:rsidRPr="00487ECF">
        <w:rPr>
          <w:rFonts w:asciiTheme="minorHAnsi" w:hAnsiTheme="minorHAnsi" w:cs="Arial"/>
          <w:sz w:val="22"/>
          <w:szCs w:val="22"/>
        </w:rPr>
        <w:t xml:space="preserve">OMB </w:t>
      </w:r>
      <w:r w:rsidRPr="00487ECF" w:rsidR="00FD2EBB">
        <w:rPr>
          <w:rFonts w:asciiTheme="minorHAnsi" w:hAnsiTheme="minorHAnsi" w:cs="Arial"/>
          <w:sz w:val="22"/>
          <w:szCs w:val="22"/>
        </w:rPr>
        <w:t>Control Number</w:t>
      </w:r>
      <w:r w:rsidRPr="00487ECF">
        <w:rPr>
          <w:rFonts w:asciiTheme="minorHAnsi" w:hAnsiTheme="minorHAnsi" w:cs="Arial"/>
          <w:b/>
          <w:bCs/>
          <w:sz w:val="22"/>
          <w:szCs w:val="22"/>
        </w:rPr>
        <w:t xml:space="preserve"> </w:t>
      </w:r>
      <w:r w:rsidRPr="00487ECF">
        <w:rPr>
          <w:rFonts w:asciiTheme="minorHAnsi" w:hAnsiTheme="minorHAnsi" w:cs="Arial"/>
          <w:bCs/>
          <w:sz w:val="22"/>
          <w:szCs w:val="22"/>
        </w:rPr>
        <w:t>1545-1892</w:t>
      </w:r>
    </w:p>
    <w:p w:rsidR="00B93C04" w14:paraId="41EFB798" w14:textId="77777777">
      <w:pPr>
        <w:rPr>
          <w:rFonts w:asciiTheme="minorHAnsi" w:hAnsiTheme="minorHAnsi" w:cs="Arial"/>
          <w:sz w:val="22"/>
          <w:szCs w:val="22"/>
        </w:rPr>
      </w:pPr>
    </w:p>
    <w:p w:rsidR="00487ECF" w:rsidRPr="00FD2EBB" w14:paraId="576677B8" w14:textId="77777777">
      <w:pPr>
        <w:rPr>
          <w:rFonts w:asciiTheme="minorHAnsi" w:hAnsiTheme="minorHAnsi" w:cs="Arial"/>
          <w:sz w:val="22"/>
          <w:szCs w:val="22"/>
        </w:rPr>
        <w:sectPr>
          <w:headerReference w:type="default" r:id="rId5"/>
          <w:type w:val="continuous"/>
          <w:pgSz w:w="12240" w:h="15840"/>
          <w:pgMar w:top="1440" w:right="1440" w:bottom="1440" w:left="1440" w:header="1440" w:footer="1440" w:gutter="0"/>
          <w:cols w:space="720"/>
          <w:titlePg/>
        </w:sectPr>
      </w:pPr>
    </w:p>
    <w:p w:rsidR="00B93C04" w:rsidRPr="00FD2EBB" w14:paraId="110BC176" w14:textId="77777777">
      <w:pPr>
        <w:pStyle w:val="Level1"/>
        <w:numPr>
          <w:ilvl w:val="0"/>
          <w:numId w:val="1"/>
        </w:numPr>
        <w:tabs>
          <w:tab w:val="left" w:pos="720"/>
        </w:tabs>
        <w:ind w:left="720" w:hanging="720"/>
        <w:jc w:val="left"/>
        <w:rPr>
          <w:rFonts w:asciiTheme="minorHAnsi" w:hAnsiTheme="minorHAnsi" w:cs="Arial"/>
          <w:bCs/>
          <w:sz w:val="22"/>
          <w:szCs w:val="22"/>
        </w:rPr>
      </w:pPr>
      <w:r w:rsidRPr="00FD2EBB">
        <w:rPr>
          <w:rFonts w:asciiTheme="minorHAnsi" w:hAnsiTheme="minorHAnsi" w:cs="Arial"/>
          <w:bCs/>
          <w:sz w:val="22"/>
          <w:szCs w:val="22"/>
        </w:rPr>
        <w:t xml:space="preserve"> </w:t>
      </w:r>
      <w:r w:rsidRPr="00FD2EBB">
        <w:rPr>
          <w:rFonts w:asciiTheme="minorHAnsi" w:hAnsiTheme="minorHAnsi" w:cs="Arial"/>
          <w:bCs/>
          <w:sz w:val="22"/>
          <w:szCs w:val="22"/>
          <w:u w:val="single"/>
        </w:rPr>
        <w:t>CIRCUMSTANCES NECESSITATING COLLECTION OF INFORMATION</w:t>
      </w:r>
    </w:p>
    <w:p w:rsidR="00B93C04" w:rsidRPr="00FD2EBB" w14:paraId="0B0989C3" w14:textId="77777777">
      <w:pPr>
        <w:numPr>
          <w:ilvl w:val="12"/>
          <w:numId w:val="0"/>
        </w:numPr>
        <w:rPr>
          <w:rFonts w:asciiTheme="minorHAnsi" w:hAnsiTheme="minorHAnsi" w:cs="Arial"/>
          <w:bCs/>
          <w:sz w:val="22"/>
          <w:szCs w:val="22"/>
        </w:rPr>
      </w:pPr>
    </w:p>
    <w:p w:rsidR="00B93C04" w:rsidRPr="00D16A96" w14:paraId="07F6B2AB" w14:textId="77777777">
      <w:pPr>
        <w:numPr>
          <w:ilvl w:val="12"/>
          <w:numId w:val="0"/>
        </w:numPr>
        <w:ind w:left="720"/>
        <w:rPr>
          <w:rFonts w:asciiTheme="minorHAnsi" w:hAnsiTheme="minorHAnsi" w:cs="Arial"/>
          <w:bCs/>
          <w:sz w:val="22"/>
          <w:szCs w:val="22"/>
        </w:rPr>
      </w:pPr>
      <w:r w:rsidRPr="00D16A96">
        <w:rPr>
          <w:rFonts w:asciiTheme="minorHAnsi" w:hAnsiTheme="minorHAnsi" w:cs="Arial"/>
          <w:bCs/>
          <w:sz w:val="22"/>
          <w:szCs w:val="22"/>
        </w:rPr>
        <w:t>These regulations provide rules for taxpayers who elect to have the generation</w:t>
      </w:r>
      <w:r w:rsidRPr="00D16A96">
        <w:rPr>
          <w:rFonts w:asciiTheme="minorHAnsi" w:hAnsiTheme="minorHAnsi" w:cs="Arial"/>
          <w:bCs/>
          <w:sz w:val="22"/>
          <w:szCs w:val="22"/>
        </w:rPr>
        <w:noBreakHyphen/>
        <w:t xml:space="preserve">skipping transfer tax (GST) deemed allocation rules contained in section 2632(c)(1) of the Internal Revenue Code not apply to the current transfer and/or to future transfers to the trust or to terminate such election.  These regulations also provide rules for taxpayers who elect to treat </w:t>
      </w:r>
      <w:r w:rsidRPr="00D16A96" w:rsidR="00FD713F">
        <w:rPr>
          <w:rFonts w:asciiTheme="minorHAnsi" w:hAnsiTheme="minorHAnsi" w:cs="Arial"/>
          <w:bCs/>
          <w:sz w:val="22"/>
          <w:szCs w:val="22"/>
        </w:rPr>
        <w:t>trusts that</w:t>
      </w:r>
      <w:r w:rsidRPr="00D16A96">
        <w:rPr>
          <w:rFonts w:asciiTheme="minorHAnsi" w:hAnsiTheme="minorHAnsi" w:cs="Arial"/>
          <w:bCs/>
          <w:sz w:val="22"/>
          <w:szCs w:val="22"/>
        </w:rPr>
        <w:t xml:space="preserve"> are not subject to the GST deemed allocation rules, as GST trusts or to terminate such election.  </w:t>
      </w:r>
    </w:p>
    <w:p w:rsidR="00FD713F" w:rsidRPr="00D16A96" w14:paraId="1E30FFC6" w14:textId="77777777">
      <w:pPr>
        <w:numPr>
          <w:ilvl w:val="12"/>
          <w:numId w:val="0"/>
        </w:numPr>
        <w:ind w:left="720"/>
        <w:rPr>
          <w:rFonts w:asciiTheme="minorHAnsi" w:hAnsiTheme="minorHAnsi" w:cs="Arial"/>
          <w:bCs/>
          <w:sz w:val="22"/>
          <w:szCs w:val="22"/>
        </w:rPr>
      </w:pPr>
    </w:p>
    <w:p w:rsidR="00B93C04" w:rsidRPr="00D16A96" w14:paraId="58D10481" w14:textId="77777777">
      <w:pPr>
        <w:numPr>
          <w:ilvl w:val="12"/>
          <w:numId w:val="0"/>
        </w:numPr>
        <w:ind w:left="720"/>
        <w:rPr>
          <w:rFonts w:asciiTheme="minorHAnsi" w:hAnsiTheme="minorHAnsi" w:cs="Arial"/>
          <w:bCs/>
          <w:sz w:val="22"/>
          <w:szCs w:val="22"/>
        </w:rPr>
      </w:pPr>
      <w:r w:rsidRPr="00D16A96">
        <w:rPr>
          <w:rFonts w:asciiTheme="minorHAnsi" w:hAnsiTheme="minorHAnsi" w:cs="Arial"/>
          <w:bCs/>
          <w:sz w:val="22"/>
          <w:szCs w:val="22"/>
        </w:rPr>
        <w:t xml:space="preserve">The final regulation requires taxpayers, who make or terminate one of the two elections to attach a statement to a timely filed Form 709 (OMB# 1545-0020), for the calendar year in which the transfer was made.  The statement must identify the trust (or separate share), describe the current transfer, and specifically provide that the transferor is making (or terminating) one of the elections.  </w:t>
      </w:r>
    </w:p>
    <w:p w:rsidR="00FD713F" w:rsidRPr="00D16A96" w14:paraId="65A69DD4" w14:textId="77777777">
      <w:pPr>
        <w:numPr>
          <w:ilvl w:val="12"/>
          <w:numId w:val="0"/>
        </w:numPr>
        <w:ind w:left="720"/>
        <w:rPr>
          <w:rFonts w:asciiTheme="minorHAnsi" w:hAnsiTheme="minorHAnsi" w:cs="Arial"/>
          <w:bCs/>
          <w:sz w:val="22"/>
          <w:szCs w:val="22"/>
        </w:rPr>
      </w:pPr>
    </w:p>
    <w:p w:rsidR="00B93C04" w:rsidRPr="00FD2EBB" w14:paraId="4401CD78" w14:textId="77777777">
      <w:pPr>
        <w:pStyle w:val="Level1"/>
        <w:numPr>
          <w:ilvl w:val="0"/>
          <w:numId w:val="1"/>
        </w:numPr>
        <w:tabs>
          <w:tab w:val="left" w:pos="720"/>
        </w:tabs>
        <w:ind w:left="720" w:hanging="720"/>
        <w:jc w:val="left"/>
        <w:rPr>
          <w:rFonts w:asciiTheme="minorHAnsi" w:hAnsiTheme="minorHAnsi" w:cs="Arial"/>
          <w:bCs/>
          <w:sz w:val="22"/>
          <w:szCs w:val="22"/>
        </w:rPr>
      </w:pPr>
      <w:r w:rsidRPr="00FD2EBB">
        <w:rPr>
          <w:rFonts w:asciiTheme="minorHAnsi" w:hAnsiTheme="minorHAnsi" w:cs="Arial"/>
          <w:bCs/>
          <w:sz w:val="22"/>
          <w:szCs w:val="22"/>
          <w:u w:val="single"/>
        </w:rPr>
        <w:t>USE OF DATA</w:t>
      </w:r>
      <w:r w:rsidRPr="00FD2EBB">
        <w:rPr>
          <w:rFonts w:asciiTheme="minorHAnsi" w:hAnsiTheme="minorHAnsi" w:cs="Arial"/>
          <w:bCs/>
          <w:sz w:val="22"/>
          <w:szCs w:val="22"/>
        </w:rPr>
        <w:t xml:space="preserve">              </w:t>
      </w:r>
    </w:p>
    <w:p w:rsidR="00B93C04" w:rsidRPr="00FD2EBB" w14:paraId="14344D50" w14:textId="77777777">
      <w:pPr>
        <w:numPr>
          <w:ilvl w:val="12"/>
          <w:numId w:val="0"/>
        </w:numPr>
        <w:rPr>
          <w:rFonts w:asciiTheme="minorHAnsi" w:hAnsiTheme="minorHAnsi" w:cs="Arial"/>
          <w:bCs/>
          <w:sz w:val="22"/>
          <w:szCs w:val="22"/>
        </w:rPr>
      </w:pPr>
    </w:p>
    <w:p w:rsidR="00B93C04" w:rsidRPr="001F2D70" w14:paraId="3586ABF0" w14:textId="66E5FC79">
      <w:pPr>
        <w:numPr>
          <w:ilvl w:val="12"/>
          <w:numId w:val="0"/>
        </w:numPr>
        <w:ind w:left="720"/>
        <w:rPr>
          <w:rFonts w:asciiTheme="minorHAnsi" w:hAnsiTheme="minorHAnsi" w:cs="Arial"/>
          <w:bCs/>
          <w:sz w:val="22"/>
          <w:szCs w:val="22"/>
        </w:rPr>
      </w:pPr>
      <w:r w:rsidRPr="001F2D70">
        <w:rPr>
          <w:rFonts w:asciiTheme="minorHAnsi" w:hAnsiTheme="minorHAnsi" w:cs="Arial"/>
          <w:bCs/>
          <w:sz w:val="22"/>
          <w:szCs w:val="22"/>
        </w:rPr>
        <w:t xml:space="preserve">The information collected will be used by the IRS to identify the trusts to which the election or termination of election will apply.  The collection of information is required </w:t>
      </w:r>
      <w:r w:rsidRPr="001F2D70">
        <w:rPr>
          <w:rFonts w:asciiTheme="minorHAnsi" w:hAnsiTheme="minorHAnsi" w:cs="Arial"/>
          <w:bCs/>
          <w:sz w:val="22"/>
          <w:szCs w:val="22"/>
        </w:rPr>
        <w:t>in order to</w:t>
      </w:r>
      <w:r w:rsidRPr="001F2D70">
        <w:rPr>
          <w:rFonts w:asciiTheme="minorHAnsi" w:hAnsiTheme="minorHAnsi" w:cs="Arial"/>
          <w:bCs/>
          <w:sz w:val="22"/>
          <w:szCs w:val="22"/>
        </w:rPr>
        <w:t xml:space="preserve"> have a valid election or termination of election</w:t>
      </w:r>
      <w:r w:rsidRPr="001F2D70" w:rsidR="00656DA7">
        <w:rPr>
          <w:rFonts w:asciiTheme="minorHAnsi" w:hAnsiTheme="minorHAnsi" w:cs="Arial"/>
          <w:bCs/>
          <w:sz w:val="22"/>
          <w:szCs w:val="22"/>
        </w:rPr>
        <w:t>.</w:t>
      </w:r>
    </w:p>
    <w:p w:rsidR="00B93C04" w:rsidRPr="00FD2EBB" w14:paraId="0A7EE0AB" w14:textId="77777777">
      <w:pPr>
        <w:numPr>
          <w:ilvl w:val="12"/>
          <w:numId w:val="0"/>
        </w:numPr>
        <w:rPr>
          <w:rFonts w:asciiTheme="minorHAnsi" w:hAnsiTheme="minorHAnsi" w:cs="Arial"/>
          <w:bCs/>
          <w:sz w:val="22"/>
          <w:szCs w:val="22"/>
        </w:rPr>
      </w:pPr>
      <w:r w:rsidRPr="00FD2EBB">
        <w:rPr>
          <w:rFonts w:asciiTheme="minorHAnsi" w:hAnsiTheme="minorHAnsi" w:cs="Arial"/>
          <w:bCs/>
          <w:sz w:val="22"/>
          <w:szCs w:val="22"/>
        </w:rPr>
        <w:t xml:space="preserve">               </w:t>
      </w:r>
    </w:p>
    <w:p w:rsidR="00B93C04" w:rsidRPr="00FD2EBB" w14:paraId="407DC8BA" w14:textId="77777777">
      <w:pPr>
        <w:pStyle w:val="Level1"/>
        <w:numPr>
          <w:ilvl w:val="0"/>
          <w:numId w:val="1"/>
        </w:numPr>
        <w:tabs>
          <w:tab w:val="left" w:pos="720"/>
        </w:tabs>
        <w:ind w:left="720" w:hanging="720"/>
        <w:jc w:val="left"/>
        <w:rPr>
          <w:rFonts w:asciiTheme="minorHAnsi" w:hAnsiTheme="minorHAnsi" w:cs="Arial"/>
          <w:bCs/>
          <w:sz w:val="22"/>
          <w:szCs w:val="22"/>
        </w:rPr>
      </w:pPr>
      <w:r w:rsidRPr="00FD2EBB">
        <w:rPr>
          <w:rFonts w:asciiTheme="minorHAnsi" w:hAnsiTheme="minorHAnsi" w:cs="Arial"/>
          <w:bCs/>
          <w:sz w:val="22"/>
          <w:szCs w:val="22"/>
          <w:u w:val="single"/>
        </w:rPr>
        <w:t>USE OF IMPROVED INFORMATION TECHNOLOGY TO REDUCE BURDEN</w:t>
      </w:r>
    </w:p>
    <w:p w:rsidR="00B93C04" w:rsidRPr="00FD2EBB" w14:paraId="348A61C9" w14:textId="77777777">
      <w:pPr>
        <w:numPr>
          <w:ilvl w:val="12"/>
          <w:numId w:val="0"/>
        </w:numPr>
        <w:rPr>
          <w:rFonts w:asciiTheme="minorHAnsi" w:hAnsiTheme="minorHAnsi" w:cs="Arial"/>
          <w:bCs/>
          <w:sz w:val="22"/>
          <w:szCs w:val="22"/>
        </w:rPr>
      </w:pPr>
    </w:p>
    <w:p w:rsidR="00B93C04" w:rsidRPr="00381D50" w14:paraId="3BD62A2C" w14:textId="52F6677F">
      <w:pPr>
        <w:numPr>
          <w:ilvl w:val="12"/>
          <w:numId w:val="0"/>
        </w:numPr>
        <w:ind w:left="720"/>
        <w:rPr>
          <w:rFonts w:asciiTheme="minorHAnsi" w:hAnsiTheme="minorHAnsi" w:cs="Arial"/>
          <w:bCs/>
          <w:sz w:val="22"/>
          <w:szCs w:val="22"/>
        </w:rPr>
      </w:pPr>
      <w:r w:rsidRPr="00381D50">
        <w:rPr>
          <w:rFonts w:asciiTheme="minorHAnsi" w:hAnsiTheme="minorHAnsi" w:cs="Arial"/>
          <w:bCs/>
          <w:sz w:val="22"/>
          <w:szCs w:val="22"/>
        </w:rPr>
        <w:t xml:space="preserve">The </w:t>
      </w:r>
      <w:r w:rsidRPr="00381D50" w:rsidR="00381D50">
        <w:rPr>
          <w:rFonts w:asciiTheme="minorHAnsi" w:hAnsiTheme="minorHAnsi" w:cs="Arial"/>
          <w:bCs/>
          <w:sz w:val="22"/>
          <w:szCs w:val="22"/>
        </w:rPr>
        <w:t xml:space="preserve">IRS has no plan </w:t>
      </w:r>
      <w:r w:rsidRPr="00381D50" w:rsidR="00381D50">
        <w:rPr>
          <w:rFonts w:asciiTheme="minorHAnsi" w:hAnsiTheme="minorHAnsi" w:cs="Arial"/>
          <w:bCs/>
          <w:sz w:val="22"/>
          <w:szCs w:val="22"/>
        </w:rPr>
        <w:t>at this time</w:t>
      </w:r>
      <w:r w:rsidRPr="00381D50" w:rsidR="00381D50">
        <w:rPr>
          <w:rFonts w:asciiTheme="minorHAnsi" w:hAnsiTheme="minorHAnsi" w:cs="Arial"/>
          <w:bCs/>
          <w:sz w:val="22"/>
          <w:szCs w:val="22"/>
        </w:rPr>
        <w:t xml:space="preserve"> to offer electronic filing due to the low number of filers</w:t>
      </w:r>
      <w:r w:rsidRPr="00381D50">
        <w:rPr>
          <w:rFonts w:asciiTheme="minorHAnsi" w:hAnsiTheme="minorHAnsi" w:cs="Arial"/>
          <w:bCs/>
          <w:sz w:val="22"/>
          <w:szCs w:val="22"/>
        </w:rPr>
        <w:t>.</w:t>
      </w:r>
    </w:p>
    <w:p w:rsidR="00B93C04" w:rsidRPr="00FD2EBB" w14:paraId="221C9EC5" w14:textId="77777777">
      <w:pPr>
        <w:numPr>
          <w:ilvl w:val="12"/>
          <w:numId w:val="0"/>
        </w:numPr>
        <w:rPr>
          <w:rFonts w:asciiTheme="minorHAnsi" w:hAnsiTheme="minorHAnsi" w:cs="Arial"/>
          <w:bCs/>
          <w:sz w:val="22"/>
          <w:szCs w:val="22"/>
        </w:rPr>
      </w:pPr>
    </w:p>
    <w:p w:rsidR="00B93C04" w:rsidRPr="00FD2EBB" w14:paraId="3F03BBAA" w14:textId="77777777">
      <w:pPr>
        <w:pStyle w:val="Level1"/>
        <w:numPr>
          <w:ilvl w:val="0"/>
          <w:numId w:val="1"/>
        </w:numPr>
        <w:tabs>
          <w:tab w:val="left" w:pos="720"/>
        </w:tabs>
        <w:ind w:left="720" w:hanging="720"/>
        <w:jc w:val="left"/>
        <w:rPr>
          <w:rFonts w:asciiTheme="minorHAnsi" w:hAnsiTheme="minorHAnsi" w:cs="Arial"/>
          <w:bCs/>
          <w:sz w:val="22"/>
          <w:szCs w:val="22"/>
        </w:rPr>
      </w:pPr>
      <w:r w:rsidRPr="00FD2EBB">
        <w:rPr>
          <w:rFonts w:asciiTheme="minorHAnsi" w:hAnsiTheme="minorHAnsi" w:cs="Arial"/>
          <w:bCs/>
          <w:sz w:val="22"/>
          <w:szCs w:val="22"/>
          <w:u w:val="single"/>
        </w:rPr>
        <w:t>EFFORTS TO IDENTIFY DUPLICATION</w:t>
      </w:r>
    </w:p>
    <w:p w:rsidR="00B93C04" w:rsidRPr="00FD2EBB" w14:paraId="0D434945" w14:textId="77777777">
      <w:pPr>
        <w:numPr>
          <w:ilvl w:val="12"/>
          <w:numId w:val="0"/>
        </w:numPr>
        <w:rPr>
          <w:rFonts w:asciiTheme="minorHAnsi" w:hAnsiTheme="minorHAnsi" w:cs="Arial"/>
          <w:bCs/>
          <w:sz w:val="22"/>
          <w:szCs w:val="22"/>
        </w:rPr>
      </w:pPr>
    </w:p>
    <w:p w:rsidR="00B93C04" w:rsidRPr="00433006" w14:paraId="695E8DBE" w14:textId="77777777">
      <w:pPr>
        <w:numPr>
          <w:ilvl w:val="12"/>
          <w:numId w:val="0"/>
        </w:numPr>
        <w:ind w:left="720"/>
        <w:rPr>
          <w:rFonts w:asciiTheme="minorHAnsi" w:hAnsiTheme="minorHAnsi" w:cs="Arial"/>
          <w:bCs/>
          <w:sz w:val="22"/>
          <w:szCs w:val="22"/>
        </w:rPr>
      </w:pPr>
      <w:r w:rsidRPr="00433006">
        <w:rPr>
          <w:rFonts w:asciiTheme="minorHAnsi" w:hAnsiTheme="minorHAnsi" w:cs="Arial"/>
          <w:bCs/>
          <w:sz w:val="22"/>
          <w:szCs w:val="22"/>
        </w:rPr>
        <w:t>The information obtained through this collection is unique and is not already available for use or adaptation from another source</w:t>
      </w:r>
      <w:r w:rsidRPr="00433006">
        <w:rPr>
          <w:rFonts w:asciiTheme="minorHAnsi" w:hAnsiTheme="minorHAnsi" w:cs="Arial"/>
          <w:bCs/>
          <w:sz w:val="22"/>
          <w:szCs w:val="22"/>
        </w:rPr>
        <w:t xml:space="preserve">.  </w:t>
      </w:r>
    </w:p>
    <w:p w:rsidR="00B93C04" w:rsidRPr="00AE4F51" w14:paraId="6B709C45" w14:textId="77777777">
      <w:pPr>
        <w:numPr>
          <w:ilvl w:val="12"/>
          <w:numId w:val="0"/>
        </w:numPr>
        <w:rPr>
          <w:rFonts w:asciiTheme="minorHAnsi" w:hAnsiTheme="minorHAnsi" w:cs="Arial"/>
          <w:bCs/>
          <w:color w:val="0070C0"/>
          <w:sz w:val="22"/>
          <w:szCs w:val="22"/>
        </w:rPr>
      </w:pPr>
    </w:p>
    <w:p w:rsidR="00B93C04" w:rsidRPr="00FD2EBB" w14:paraId="5A27F2A2" w14:textId="15BD179A">
      <w:pPr>
        <w:pStyle w:val="Level1"/>
        <w:numPr>
          <w:ilvl w:val="0"/>
          <w:numId w:val="1"/>
        </w:numPr>
        <w:tabs>
          <w:tab w:val="left" w:pos="720"/>
        </w:tabs>
        <w:ind w:left="720" w:hanging="720"/>
        <w:jc w:val="left"/>
        <w:rPr>
          <w:rFonts w:asciiTheme="minorHAnsi" w:hAnsiTheme="minorHAnsi" w:cs="Arial"/>
          <w:bCs/>
          <w:sz w:val="22"/>
          <w:szCs w:val="22"/>
        </w:rPr>
      </w:pPr>
      <w:r w:rsidRPr="00FD2EBB">
        <w:rPr>
          <w:rFonts w:asciiTheme="minorHAnsi" w:hAnsiTheme="minorHAnsi" w:cs="Arial"/>
          <w:bCs/>
          <w:sz w:val="22"/>
          <w:szCs w:val="22"/>
          <w:u w:val="single"/>
        </w:rPr>
        <w:t>METHODS TO MINIMIZE BURDEN ON SMALL BUSINESSES OR OTHER</w:t>
      </w:r>
      <w:r w:rsidRPr="00877F69" w:rsidR="00877F69">
        <w:rPr>
          <w:rFonts w:asciiTheme="minorHAnsi" w:hAnsiTheme="minorHAnsi" w:cs="Arial"/>
          <w:bCs/>
          <w:sz w:val="22"/>
          <w:szCs w:val="22"/>
          <w:u w:val="single"/>
        </w:rPr>
        <w:t xml:space="preserve"> </w:t>
      </w:r>
      <w:r w:rsidRPr="00FD2EBB">
        <w:rPr>
          <w:rFonts w:asciiTheme="minorHAnsi" w:hAnsiTheme="minorHAnsi" w:cs="Arial"/>
          <w:bCs/>
          <w:sz w:val="22"/>
          <w:szCs w:val="22"/>
          <w:u w:val="single"/>
        </w:rPr>
        <w:t>SMALL ENTITIES</w:t>
      </w:r>
    </w:p>
    <w:p w:rsidR="00B93C04" w:rsidRPr="00FD2EBB" w14:paraId="49941C86" w14:textId="46D11F1F">
      <w:pPr>
        <w:numPr>
          <w:ilvl w:val="12"/>
          <w:numId w:val="0"/>
        </w:numPr>
        <w:rPr>
          <w:rFonts w:asciiTheme="minorHAnsi" w:hAnsiTheme="minorHAnsi" w:cs="Arial"/>
          <w:bCs/>
          <w:sz w:val="22"/>
          <w:szCs w:val="22"/>
        </w:rPr>
      </w:pPr>
      <w:r>
        <w:rPr>
          <w:rFonts w:asciiTheme="minorHAnsi" w:hAnsiTheme="minorHAnsi" w:cs="Arial"/>
          <w:bCs/>
          <w:sz w:val="22"/>
          <w:szCs w:val="22"/>
        </w:rPr>
        <w:t xml:space="preserve"> </w:t>
      </w:r>
    </w:p>
    <w:p w:rsidR="00B93C04" w:rsidRPr="001E7AA3" w14:paraId="52171B31" w14:textId="44115259">
      <w:pPr>
        <w:numPr>
          <w:ilvl w:val="12"/>
          <w:numId w:val="0"/>
        </w:numPr>
        <w:ind w:left="720"/>
        <w:rPr>
          <w:rFonts w:asciiTheme="minorHAnsi" w:hAnsiTheme="minorHAnsi" w:cs="Arial"/>
          <w:bCs/>
          <w:color w:val="0070C0"/>
          <w:sz w:val="22"/>
          <w:szCs w:val="22"/>
        </w:rPr>
      </w:pPr>
      <w:r w:rsidRPr="00433006">
        <w:rPr>
          <w:rFonts w:asciiTheme="minorHAnsi" w:hAnsiTheme="minorHAnsi" w:cs="Arial"/>
          <w:bCs/>
          <w:sz w:val="22"/>
          <w:szCs w:val="22"/>
        </w:rPr>
        <w:t>The</w:t>
      </w:r>
      <w:r w:rsidRPr="00433006" w:rsidR="00EE265D">
        <w:rPr>
          <w:rFonts w:asciiTheme="minorHAnsi" w:hAnsiTheme="minorHAnsi" w:cs="Arial"/>
          <w:bCs/>
          <w:sz w:val="22"/>
          <w:szCs w:val="22"/>
        </w:rPr>
        <w:t xml:space="preserve"> coll</w:t>
      </w:r>
      <w:r w:rsidRPr="00433006" w:rsidR="00DA72C8">
        <w:rPr>
          <w:rFonts w:asciiTheme="minorHAnsi" w:hAnsiTheme="minorHAnsi" w:cs="Arial"/>
          <w:bCs/>
          <w:sz w:val="22"/>
          <w:szCs w:val="22"/>
        </w:rPr>
        <w:t xml:space="preserve">ection of information requirement will not have a significant economic impact on a substantial number of </w:t>
      </w:r>
      <w:r w:rsidRPr="00433006">
        <w:rPr>
          <w:rFonts w:asciiTheme="minorHAnsi" w:hAnsiTheme="minorHAnsi" w:cs="Arial"/>
          <w:bCs/>
          <w:sz w:val="22"/>
          <w:szCs w:val="22"/>
        </w:rPr>
        <w:t xml:space="preserve">small </w:t>
      </w:r>
      <w:r w:rsidRPr="00433006" w:rsidR="00AE4F51">
        <w:rPr>
          <w:rFonts w:asciiTheme="minorHAnsi" w:hAnsiTheme="minorHAnsi" w:cs="Arial"/>
          <w:bCs/>
          <w:sz w:val="22"/>
          <w:szCs w:val="22"/>
        </w:rPr>
        <w:t>business</w:t>
      </w:r>
      <w:r w:rsidRPr="00433006">
        <w:rPr>
          <w:rFonts w:asciiTheme="minorHAnsi" w:hAnsiTheme="minorHAnsi" w:cs="Arial"/>
          <w:bCs/>
          <w:sz w:val="22"/>
          <w:szCs w:val="22"/>
        </w:rPr>
        <w:t>es</w:t>
      </w:r>
      <w:r w:rsidRPr="00433006" w:rsidR="00AE4F51">
        <w:rPr>
          <w:rFonts w:asciiTheme="minorHAnsi" w:hAnsiTheme="minorHAnsi" w:cs="Arial"/>
          <w:bCs/>
          <w:sz w:val="22"/>
          <w:szCs w:val="22"/>
        </w:rPr>
        <w:t xml:space="preserve"> or other small entities</w:t>
      </w:r>
      <w:r w:rsidRPr="00433006" w:rsidR="00DA72C8">
        <w:rPr>
          <w:rFonts w:asciiTheme="minorHAnsi" w:hAnsiTheme="minorHAnsi" w:cs="Arial"/>
          <w:bCs/>
          <w:sz w:val="22"/>
          <w:szCs w:val="22"/>
        </w:rPr>
        <w:t>.</w:t>
      </w:r>
      <w:r w:rsidR="00DA72C8">
        <w:rPr>
          <w:rFonts w:asciiTheme="minorHAnsi" w:hAnsiTheme="minorHAnsi" w:cs="Arial"/>
          <w:bCs/>
          <w:color w:val="0070C0"/>
          <w:sz w:val="22"/>
          <w:szCs w:val="22"/>
        </w:rPr>
        <w:t xml:space="preserve"> </w:t>
      </w:r>
      <w:r w:rsidRPr="001E7AA3" w:rsidR="00AE4F51">
        <w:rPr>
          <w:rFonts w:asciiTheme="minorHAnsi" w:hAnsiTheme="minorHAnsi" w:cs="Arial"/>
          <w:bCs/>
          <w:color w:val="0070C0"/>
          <w:sz w:val="22"/>
          <w:szCs w:val="22"/>
        </w:rPr>
        <w:t xml:space="preserve"> </w:t>
      </w:r>
    </w:p>
    <w:p w:rsidR="00B93C04" w:rsidRPr="00FD2EBB" w14:paraId="1B414951" w14:textId="77777777">
      <w:pPr>
        <w:numPr>
          <w:ilvl w:val="12"/>
          <w:numId w:val="0"/>
        </w:numPr>
        <w:rPr>
          <w:rFonts w:asciiTheme="minorHAnsi" w:hAnsiTheme="minorHAnsi" w:cs="Arial"/>
          <w:bCs/>
          <w:sz w:val="22"/>
          <w:szCs w:val="22"/>
        </w:rPr>
      </w:pPr>
    </w:p>
    <w:p w:rsidR="00B93C04" w:rsidRPr="00FD2EBB" w14:paraId="32A67A06" w14:textId="77777777">
      <w:pPr>
        <w:pStyle w:val="Level1"/>
        <w:numPr>
          <w:ilvl w:val="0"/>
          <w:numId w:val="1"/>
        </w:numPr>
        <w:tabs>
          <w:tab w:val="left" w:pos="720"/>
        </w:tabs>
        <w:ind w:left="720" w:hanging="720"/>
        <w:jc w:val="left"/>
        <w:rPr>
          <w:rFonts w:asciiTheme="minorHAnsi" w:hAnsiTheme="minorHAnsi" w:cs="Arial"/>
          <w:bCs/>
          <w:sz w:val="22"/>
          <w:szCs w:val="22"/>
        </w:rPr>
      </w:pPr>
      <w:r w:rsidRPr="00FD2EBB">
        <w:rPr>
          <w:rFonts w:asciiTheme="minorHAnsi" w:hAnsiTheme="minorHAnsi" w:cs="Arial"/>
          <w:bCs/>
          <w:sz w:val="22"/>
          <w:szCs w:val="22"/>
          <w:u w:val="single"/>
        </w:rPr>
        <w:t>CONSEQUENCES OF LESS FREQUENT COLLECTION ON FEDERAL PROGRAMS OR POLICY ACTIVITIES</w:t>
      </w:r>
    </w:p>
    <w:p w:rsidR="00B93C04" w:rsidRPr="00FD2EBB" w14:paraId="37A40A9A" w14:textId="77777777">
      <w:pPr>
        <w:numPr>
          <w:ilvl w:val="12"/>
          <w:numId w:val="0"/>
        </w:numPr>
        <w:rPr>
          <w:rFonts w:asciiTheme="minorHAnsi" w:hAnsiTheme="minorHAnsi" w:cs="Arial"/>
          <w:bCs/>
          <w:sz w:val="22"/>
          <w:szCs w:val="22"/>
        </w:rPr>
      </w:pPr>
    </w:p>
    <w:p w:rsidR="00B93C04" w:rsidRPr="00433006" w14:paraId="2B37884B" w14:textId="2D94D219">
      <w:pPr>
        <w:numPr>
          <w:ilvl w:val="12"/>
          <w:numId w:val="0"/>
        </w:numPr>
        <w:ind w:left="720"/>
        <w:rPr>
          <w:rFonts w:asciiTheme="minorHAnsi" w:hAnsiTheme="minorHAnsi" w:cs="Arial"/>
          <w:bCs/>
          <w:sz w:val="22"/>
          <w:szCs w:val="22"/>
        </w:rPr>
      </w:pPr>
      <w:r w:rsidRPr="00433006">
        <w:rPr>
          <w:rFonts w:asciiTheme="minorHAnsi" w:hAnsiTheme="minorHAnsi" w:cs="Arial"/>
          <w:bCs/>
          <w:sz w:val="22"/>
          <w:szCs w:val="22"/>
        </w:rPr>
        <w:t xml:space="preserve">A less frequent collection of the information will prevent the IRS from </w:t>
      </w:r>
      <w:r w:rsidRPr="00433006">
        <w:rPr>
          <w:rFonts w:asciiTheme="minorHAnsi" w:hAnsiTheme="minorHAnsi" w:cs="Arial"/>
          <w:bCs/>
          <w:sz w:val="22"/>
          <w:szCs w:val="22"/>
        </w:rPr>
        <w:t>making a determination</w:t>
      </w:r>
      <w:r w:rsidRPr="00433006">
        <w:rPr>
          <w:rFonts w:asciiTheme="minorHAnsi" w:hAnsiTheme="minorHAnsi" w:cs="Arial"/>
          <w:bCs/>
          <w:sz w:val="22"/>
          <w:szCs w:val="22"/>
        </w:rPr>
        <w:t xml:space="preserve"> of the compliance with the requirements outlined in section 2632(c)(1) of the Code </w:t>
      </w:r>
      <w:r w:rsidRPr="00433006" w:rsidR="00DA72C8">
        <w:rPr>
          <w:rFonts w:asciiTheme="minorHAnsi" w:hAnsiTheme="minorHAnsi" w:cs="Arial"/>
          <w:bCs/>
          <w:sz w:val="22"/>
          <w:szCs w:val="22"/>
        </w:rPr>
        <w:t xml:space="preserve">thereby engendering the ability of </w:t>
      </w:r>
      <w:r w:rsidRPr="00433006">
        <w:rPr>
          <w:rFonts w:asciiTheme="minorHAnsi" w:hAnsiTheme="minorHAnsi" w:cs="Arial"/>
          <w:bCs/>
          <w:sz w:val="22"/>
          <w:szCs w:val="22"/>
        </w:rPr>
        <w:t xml:space="preserve">the IRS to </w:t>
      </w:r>
      <w:r w:rsidRPr="00433006" w:rsidR="00DA72C8">
        <w:rPr>
          <w:rFonts w:asciiTheme="minorHAnsi" w:hAnsiTheme="minorHAnsi" w:cs="Arial"/>
          <w:bCs/>
          <w:sz w:val="22"/>
          <w:szCs w:val="22"/>
        </w:rPr>
        <w:t xml:space="preserve">meet </w:t>
      </w:r>
      <w:r w:rsidRPr="00433006">
        <w:rPr>
          <w:rFonts w:asciiTheme="minorHAnsi" w:hAnsiTheme="minorHAnsi" w:cs="Arial"/>
          <w:bCs/>
          <w:sz w:val="22"/>
          <w:szCs w:val="22"/>
        </w:rPr>
        <w:t>its mission</w:t>
      </w:r>
      <w:r w:rsidRPr="00433006">
        <w:rPr>
          <w:rFonts w:asciiTheme="minorHAnsi" w:hAnsiTheme="minorHAnsi" w:cs="Arial"/>
          <w:bCs/>
          <w:sz w:val="22"/>
          <w:szCs w:val="22"/>
        </w:rPr>
        <w:t>.</w:t>
      </w:r>
    </w:p>
    <w:p w:rsidR="00B93C04" w:rsidRPr="00FD2EBB" w14:paraId="0C7470A1" w14:textId="77777777">
      <w:pPr>
        <w:numPr>
          <w:ilvl w:val="12"/>
          <w:numId w:val="0"/>
        </w:numPr>
        <w:rPr>
          <w:rFonts w:asciiTheme="minorHAnsi" w:hAnsiTheme="minorHAnsi" w:cs="Arial"/>
          <w:bCs/>
          <w:sz w:val="22"/>
          <w:szCs w:val="22"/>
        </w:rPr>
      </w:pPr>
    </w:p>
    <w:p w:rsidR="00B93C04" w:rsidRPr="00FD2EBB" w14:paraId="6A11799F" w14:textId="77777777">
      <w:pPr>
        <w:pStyle w:val="Level1"/>
        <w:numPr>
          <w:ilvl w:val="0"/>
          <w:numId w:val="1"/>
        </w:numPr>
        <w:tabs>
          <w:tab w:val="left" w:pos="720"/>
        </w:tabs>
        <w:ind w:left="720" w:hanging="720"/>
        <w:jc w:val="left"/>
        <w:rPr>
          <w:rFonts w:asciiTheme="minorHAnsi" w:hAnsiTheme="minorHAnsi" w:cs="Arial"/>
          <w:bCs/>
          <w:sz w:val="22"/>
          <w:szCs w:val="22"/>
        </w:rPr>
      </w:pPr>
      <w:r w:rsidRPr="00FD2EBB">
        <w:rPr>
          <w:rFonts w:asciiTheme="minorHAnsi" w:hAnsiTheme="minorHAnsi" w:cs="Arial"/>
          <w:bCs/>
          <w:sz w:val="22"/>
          <w:szCs w:val="22"/>
          <w:u w:val="single"/>
        </w:rPr>
        <w:t>SPECIAL CIRCUMSTANCES REQUIRING DATA COLLECTION TO BE</w:t>
      </w:r>
      <w:r w:rsidRPr="00FD2EBB">
        <w:rPr>
          <w:rFonts w:asciiTheme="minorHAnsi" w:hAnsiTheme="minorHAnsi" w:cs="Arial"/>
          <w:bCs/>
          <w:sz w:val="22"/>
          <w:szCs w:val="22"/>
        </w:rPr>
        <w:t xml:space="preserve">     </w:t>
      </w:r>
      <w:r w:rsidRPr="00FD2EBB">
        <w:rPr>
          <w:rFonts w:asciiTheme="minorHAnsi" w:hAnsiTheme="minorHAnsi" w:cs="Arial"/>
          <w:bCs/>
          <w:sz w:val="22"/>
          <w:szCs w:val="22"/>
          <w:u w:val="single"/>
        </w:rPr>
        <w:t>INCONSISTENT WITH GUIDELINES IN 5 CFR 1320.5(d)(2)</w:t>
      </w:r>
    </w:p>
    <w:p w:rsidR="00B93C04" w:rsidRPr="00FD2EBB" w14:paraId="3B73BE40" w14:textId="77777777">
      <w:pPr>
        <w:numPr>
          <w:ilvl w:val="12"/>
          <w:numId w:val="0"/>
        </w:numPr>
        <w:rPr>
          <w:rFonts w:asciiTheme="minorHAnsi" w:hAnsiTheme="minorHAnsi" w:cs="Arial"/>
          <w:bCs/>
          <w:sz w:val="22"/>
          <w:szCs w:val="22"/>
        </w:rPr>
      </w:pPr>
    </w:p>
    <w:p w:rsidR="00B93C04" w:rsidRPr="00433006" w14:paraId="62566FE5" w14:textId="77777777">
      <w:pPr>
        <w:numPr>
          <w:ilvl w:val="12"/>
          <w:numId w:val="0"/>
        </w:numPr>
        <w:ind w:left="720"/>
        <w:rPr>
          <w:rFonts w:asciiTheme="minorHAnsi" w:hAnsiTheme="minorHAnsi" w:cs="Arial"/>
          <w:bCs/>
          <w:sz w:val="22"/>
          <w:szCs w:val="22"/>
        </w:rPr>
      </w:pPr>
      <w:r w:rsidRPr="00433006">
        <w:rPr>
          <w:rFonts w:asciiTheme="minorHAnsi" w:hAnsiTheme="minorHAnsi" w:cs="Arial"/>
          <w:bCs/>
          <w:sz w:val="22"/>
          <w:szCs w:val="22"/>
        </w:rPr>
        <w:t>There are no special circumstances requiring data collection to be inconsistent with Guidelines in 5 CFR 1320.5(d)(2)</w:t>
      </w:r>
      <w:r w:rsidRPr="00433006">
        <w:rPr>
          <w:rFonts w:asciiTheme="minorHAnsi" w:hAnsiTheme="minorHAnsi" w:cs="Arial"/>
          <w:bCs/>
          <w:sz w:val="22"/>
          <w:szCs w:val="22"/>
        </w:rPr>
        <w:t>.</w:t>
      </w:r>
    </w:p>
    <w:p w:rsidR="00B93C04" w:rsidRPr="00433006" w14:paraId="290F8B72" w14:textId="77777777">
      <w:pPr>
        <w:numPr>
          <w:ilvl w:val="12"/>
          <w:numId w:val="0"/>
        </w:numPr>
        <w:rPr>
          <w:rFonts w:asciiTheme="minorHAnsi" w:hAnsiTheme="minorHAnsi" w:cs="Arial"/>
          <w:bCs/>
          <w:sz w:val="22"/>
          <w:szCs w:val="22"/>
        </w:rPr>
      </w:pPr>
    </w:p>
    <w:p w:rsidR="00B93C04" w:rsidRPr="00FD2EBB" w14:paraId="5465536E" w14:textId="77777777">
      <w:pPr>
        <w:pStyle w:val="Level1"/>
        <w:numPr>
          <w:ilvl w:val="0"/>
          <w:numId w:val="1"/>
        </w:numPr>
        <w:tabs>
          <w:tab w:val="left" w:pos="720"/>
        </w:tabs>
        <w:ind w:left="720" w:hanging="720"/>
        <w:jc w:val="left"/>
        <w:rPr>
          <w:rFonts w:asciiTheme="minorHAnsi" w:hAnsiTheme="minorHAnsi" w:cs="Arial"/>
          <w:bCs/>
          <w:sz w:val="22"/>
          <w:szCs w:val="22"/>
        </w:rPr>
      </w:pPr>
      <w:r w:rsidRPr="00FD2EBB">
        <w:rPr>
          <w:rFonts w:asciiTheme="minorHAnsi" w:hAnsiTheme="minorHAnsi" w:cs="Arial"/>
          <w:bCs/>
          <w:sz w:val="22"/>
          <w:szCs w:val="22"/>
          <w:u w:val="single"/>
        </w:rPr>
        <w:t>CONSULTATION WITH INDIVIDUALS OUTSIDE OF THE AGENCY ON</w:t>
      </w:r>
      <w:r w:rsidRPr="00FD2EBB">
        <w:rPr>
          <w:rFonts w:asciiTheme="minorHAnsi" w:hAnsiTheme="minorHAnsi" w:cs="Arial"/>
          <w:bCs/>
          <w:sz w:val="22"/>
          <w:szCs w:val="22"/>
        </w:rPr>
        <w:t xml:space="preserve">     </w:t>
      </w:r>
      <w:r w:rsidRPr="00FD2EBB">
        <w:rPr>
          <w:rFonts w:asciiTheme="minorHAnsi" w:hAnsiTheme="minorHAnsi" w:cs="Arial"/>
          <w:bCs/>
          <w:sz w:val="22"/>
          <w:szCs w:val="22"/>
          <w:u w:val="single"/>
        </w:rPr>
        <w:t>AVAILABILITY OF DATA, FREQUENCY OF COLLECTION, CLARITY OF INSTRUCTIONS AND FORMS, AND DATA ELEMENTS</w:t>
      </w:r>
    </w:p>
    <w:p w:rsidR="00B93C04" w:rsidRPr="003E5DB9" w14:paraId="4E3E7395" w14:textId="77777777">
      <w:pPr>
        <w:numPr>
          <w:ilvl w:val="12"/>
          <w:numId w:val="0"/>
        </w:numPr>
        <w:rPr>
          <w:rFonts w:asciiTheme="minorHAnsi" w:hAnsiTheme="minorHAnsi" w:cs="Arial"/>
          <w:bCs/>
          <w:sz w:val="22"/>
          <w:szCs w:val="22"/>
        </w:rPr>
      </w:pPr>
    </w:p>
    <w:p w:rsidR="00740765" w14:paraId="2FE945A8" w14:textId="4E869263">
      <w:pPr>
        <w:numPr>
          <w:ilvl w:val="12"/>
          <w:numId w:val="0"/>
        </w:numPr>
        <w:ind w:left="720"/>
        <w:rPr>
          <w:rFonts w:asciiTheme="minorHAnsi" w:hAnsiTheme="minorHAnsi" w:cs="Arial"/>
          <w:bCs/>
          <w:sz w:val="22"/>
          <w:szCs w:val="22"/>
        </w:rPr>
      </w:pPr>
      <w:r w:rsidRPr="003E5DB9">
        <w:rPr>
          <w:rFonts w:asciiTheme="minorHAnsi" w:hAnsiTheme="minorHAnsi" w:cs="Arial"/>
          <w:bCs/>
          <w:sz w:val="22"/>
          <w:szCs w:val="22"/>
        </w:rPr>
        <w:t>I</w:t>
      </w:r>
      <w:r w:rsidRPr="003E5DB9" w:rsidR="001D5D1D">
        <w:rPr>
          <w:rFonts w:asciiTheme="minorHAnsi" w:hAnsiTheme="minorHAnsi" w:cs="Arial"/>
          <w:bCs/>
          <w:sz w:val="22"/>
          <w:szCs w:val="22"/>
        </w:rPr>
        <w:t xml:space="preserve">n response to the </w:t>
      </w:r>
      <w:r w:rsidRPr="003E5DB9" w:rsidR="001D5D1D">
        <w:rPr>
          <w:rFonts w:asciiTheme="minorHAnsi" w:hAnsiTheme="minorHAnsi" w:cs="Arial"/>
          <w:bCs/>
          <w:i/>
          <w:iCs/>
          <w:sz w:val="22"/>
          <w:szCs w:val="22"/>
        </w:rPr>
        <w:t xml:space="preserve">Federal Register </w:t>
      </w:r>
      <w:r w:rsidRPr="003E5DB9" w:rsidR="001D5D1D">
        <w:rPr>
          <w:rFonts w:asciiTheme="minorHAnsi" w:hAnsiTheme="minorHAnsi" w:cs="Arial"/>
          <w:bCs/>
          <w:sz w:val="22"/>
          <w:szCs w:val="22"/>
        </w:rPr>
        <w:t>n</w:t>
      </w:r>
      <w:r w:rsidRPr="003E5DB9" w:rsidR="00A42F85">
        <w:rPr>
          <w:rFonts w:asciiTheme="minorHAnsi" w:hAnsiTheme="minorHAnsi" w:cs="Arial"/>
          <w:bCs/>
          <w:sz w:val="22"/>
          <w:szCs w:val="22"/>
        </w:rPr>
        <w:t xml:space="preserve">otice dated </w:t>
      </w:r>
      <w:r w:rsidRPr="003E5DB9" w:rsidR="003E5DB9">
        <w:rPr>
          <w:rFonts w:asciiTheme="minorHAnsi" w:hAnsiTheme="minorHAnsi" w:cs="Arial"/>
          <w:bCs/>
          <w:sz w:val="22"/>
          <w:szCs w:val="22"/>
        </w:rPr>
        <w:t>February 05</w:t>
      </w:r>
      <w:r w:rsidRPr="003E5DB9" w:rsidR="00CB69D3">
        <w:rPr>
          <w:rFonts w:asciiTheme="minorHAnsi" w:hAnsiTheme="minorHAnsi" w:cs="Arial"/>
          <w:bCs/>
          <w:sz w:val="22"/>
          <w:szCs w:val="22"/>
        </w:rPr>
        <w:t>,</w:t>
      </w:r>
      <w:r w:rsidRPr="003E5DB9" w:rsidR="00F854E0">
        <w:rPr>
          <w:rFonts w:asciiTheme="minorHAnsi" w:hAnsiTheme="minorHAnsi" w:cs="Arial"/>
          <w:bCs/>
          <w:sz w:val="22"/>
          <w:szCs w:val="22"/>
        </w:rPr>
        <w:t xml:space="preserve"> 2024</w:t>
      </w:r>
      <w:r w:rsidRPr="003E5DB9">
        <w:rPr>
          <w:rFonts w:asciiTheme="minorHAnsi" w:hAnsiTheme="minorHAnsi" w:cs="Arial"/>
          <w:bCs/>
          <w:sz w:val="22"/>
          <w:szCs w:val="22"/>
        </w:rPr>
        <w:t xml:space="preserve"> (89 FR </w:t>
      </w:r>
      <w:r w:rsidRPr="003E5DB9" w:rsidR="003E5DB9">
        <w:rPr>
          <w:rFonts w:asciiTheme="minorHAnsi" w:hAnsiTheme="minorHAnsi" w:cs="Arial"/>
          <w:bCs/>
          <w:sz w:val="22"/>
          <w:szCs w:val="22"/>
        </w:rPr>
        <w:t>7769</w:t>
      </w:r>
      <w:r w:rsidRPr="003E5DB9">
        <w:rPr>
          <w:rFonts w:asciiTheme="minorHAnsi" w:hAnsiTheme="minorHAnsi" w:cs="Arial"/>
          <w:bCs/>
          <w:sz w:val="22"/>
          <w:szCs w:val="22"/>
        </w:rPr>
        <w:t>),</w:t>
      </w:r>
      <w:r w:rsidRPr="003E5DB9" w:rsidR="00F854E0">
        <w:rPr>
          <w:rFonts w:asciiTheme="minorHAnsi" w:hAnsiTheme="minorHAnsi" w:cs="Arial"/>
          <w:bCs/>
          <w:sz w:val="22"/>
          <w:szCs w:val="22"/>
        </w:rPr>
        <w:t xml:space="preserve"> </w:t>
      </w:r>
      <w:r>
        <w:rPr>
          <w:rFonts w:asciiTheme="minorHAnsi" w:hAnsiTheme="minorHAnsi" w:cs="Arial"/>
          <w:bCs/>
          <w:sz w:val="22"/>
          <w:szCs w:val="22"/>
        </w:rPr>
        <w:t>IRS</w:t>
      </w:r>
      <w:r w:rsidRPr="00FD2EBB">
        <w:rPr>
          <w:rFonts w:asciiTheme="minorHAnsi" w:hAnsiTheme="minorHAnsi" w:cs="Arial"/>
          <w:bCs/>
          <w:sz w:val="22"/>
          <w:szCs w:val="22"/>
        </w:rPr>
        <w:t xml:space="preserve"> received </w:t>
      </w:r>
      <w:r>
        <w:rPr>
          <w:rFonts w:asciiTheme="minorHAnsi" w:hAnsiTheme="minorHAnsi" w:cs="Arial"/>
          <w:bCs/>
          <w:sz w:val="22"/>
          <w:szCs w:val="22"/>
        </w:rPr>
        <w:t xml:space="preserve">public </w:t>
      </w:r>
      <w:r w:rsidRPr="00FD2EBB">
        <w:rPr>
          <w:rFonts w:asciiTheme="minorHAnsi" w:hAnsiTheme="minorHAnsi" w:cs="Arial"/>
          <w:bCs/>
          <w:sz w:val="22"/>
          <w:szCs w:val="22"/>
        </w:rPr>
        <w:t xml:space="preserve">comments </w:t>
      </w:r>
      <w:r>
        <w:rPr>
          <w:rFonts w:asciiTheme="minorHAnsi" w:hAnsiTheme="minorHAnsi" w:cs="Arial"/>
          <w:bCs/>
          <w:sz w:val="22"/>
          <w:szCs w:val="22"/>
        </w:rPr>
        <w:t>from</w:t>
      </w:r>
      <w:r w:rsidR="00DB37BA">
        <w:rPr>
          <w:rFonts w:asciiTheme="minorHAnsi" w:hAnsiTheme="minorHAnsi" w:cs="Arial"/>
          <w:bCs/>
          <w:sz w:val="22"/>
          <w:szCs w:val="22"/>
        </w:rPr>
        <w:t xml:space="preserve"> The American Institute of CPA’s (AICPA)</w:t>
      </w:r>
      <w:r w:rsidRPr="007E37B8" w:rsidR="00F854E0">
        <w:rPr>
          <w:rFonts w:asciiTheme="minorHAnsi" w:hAnsiTheme="minorHAnsi" w:cs="Arial"/>
          <w:bCs/>
          <w:sz w:val="22"/>
          <w:szCs w:val="22"/>
        </w:rPr>
        <w:t xml:space="preserve">. </w:t>
      </w:r>
      <w:r>
        <w:rPr>
          <w:rFonts w:asciiTheme="minorHAnsi" w:hAnsiTheme="minorHAnsi" w:cs="Arial"/>
          <w:bCs/>
          <w:sz w:val="22"/>
          <w:szCs w:val="22"/>
        </w:rPr>
        <w:t>The summary of the comments and the IRS responses are below:</w:t>
      </w:r>
    </w:p>
    <w:p w:rsidR="00740765" w14:paraId="6C0C2DED" w14:textId="77777777">
      <w:pPr>
        <w:numPr>
          <w:ilvl w:val="12"/>
          <w:numId w:val="0"/>
        </w:numPr>
        <w:ind w:left="720"/>
        <w:rPr>
          <w:rFonts w:asciiTheme="minorHAnsi" w:hAnsiTheme="minorHAnsi" w:cs="Arial"/>
          <w:bCs/>
          <w:sz w:val="22"/>
          <w:szCs w:val="22"/>
        </w:rPr>
      </w:pPr>
    </w:p>
    <w:tbl>
      <w:tblPr>
        <w:tblStyle w:val="TableGrid"/>
        <w:tblW w:w="8730" w:type="dxa"/>
        <w:tblInd w:w="625" w:type="dxa"/>
        <w:tblLayout w:type="fixed"/>
        <w:tblLook w:val="04A0"/>
      </w:tblPr>
      <w:tblGrid>
        <w:gridCol w:w="1170"/>
        <w:gridCol w:w="3600"/>
        <w:gridCol w:w="3960"/>
      </w:tblGrid>
      <w:tr w14:paraId="2D5F3690" w14:textId="77777777" w:rsidTr="00161A72">
        <w:tblPrEx>
          <w:tblW w:w="8730" w:type="dxa"/>
          <w:tblInd w:w="625" w:type="dxa"/>
          <w:tblLayout w:type="fixed"/>
          <w:tblLook w:val="04A0"/>
        </w:tblPrEx>
        <w:tc>
          <w:tcPr>
            <w:tcW w:w="1170" w:type="dxa"/>
          </w:tcPr>
          <w:p w:rsidR="009930CB" w:rsidRPr="00DA6E96" w:rsidP="00161A72" w14:paraId="642F8157" w14:textId="77777777">
            <w:pPr>
              <w:rPr>
                <w:rFonts w:asciiTheme="minorHAnsi" w:hAnsiTheme="minorHAnsi" w:cstheme="minorHAnsi"/>
                <w:b/>
              </w:rPr>
            </w:pPr>
            <w:r w:rsidRPr="00DA6E96">
              <w:rPr>
                <w:rFonts w:asciiTheme="minorHAnsi" w:hAnsiTheme="minorHAnsi" w:cstheme="minorHAnsi"/>
                <w:b/>
              </w:rPr>
              <w:t>Comment Number</w:t>
            </w:r>
          </w:p>
        </w:tc>
        <w:tc>
          <w:tcPr>
            <w:tcW w:w="3600" w:type="dxa"/>
          </w:tcPr>
          <w:p w:rsidR="009930CB" w:rsidRPr="00DA6E96" w:rsidP="00161A72" w14:paraId="0D81D5BA" w14:textId="77777777">
            <w:pPr>
              <w:rPr>
                <w:rFonts w:asciiTheme="minorHAnsi" w:hAnsiTheme="minorHAnsi" w:cstheme="minorHAnsi"/>
                <w:b/>
              </w:rPr>
            </w:pPr>
          </w:p>
          <w:p w:rsidR="009930CB" w:rsidRPr="00DA6E96" w:rsidP="00161A72" w14:paraId="48F1025B" w14:textId="3E57BF64">
            <w:pPr>
              <w:rPr>
                <w:rFonts w:asciiTheme="minorHAnsi" w:hAnsiTheme="minorHAnsi" w:cstheme="minorHAnsi"/>
                <w:b/>
              </w:rPr>
            </w:pPr>
            <w:r w:rsidRPr="00DA6E96">
              <w:rPr>
                <w:rFonts w:asciiTheme="minorHAnsi" w:hAnsiTheme="minorHAnsi" w:cstheme="minorHAnsi"/>
                <w:b/>
              </w:rPr>
              <w:t xml:space="preserve">Summary of </w:t>
            </w:r>
            <w:r>
              <w:rPr>
                <w:rFonts w:asciiTheme="minorHAnsi" w:hAnsiTheme="minorHAnsi" w:cstheme="minorHAnsi"/>
                <w:b/>
              </w:rPr>
              <w:t>AICPA</w:t>
            </w:r>
            <w:r w:rsidRPr="00DA6E96">
              <w:rPr>
                <w:rFonts w:asciiTheme="minorHAnsi" w:hAnsiTheme="minorHAnsi" w:cstheme="minorHAnsi"/>
                <w:b/>
              </w:rPr>
              <w:t xml:space="preserve"> comment</w:t>
            </w:r>
          </w:p>
        </w:tc>
        <w:tc>
          <w:tcPr>
            <w:tcW w:w="3960" w:type="dxa"/>
          </w:tcPr>
          <w:p w:rsidR="009930CB" w:rsidRPr="00DA6E96" w:rsidP="00161A72" w14:paraId="60F44954" w14:textId="77777777">
            <w:pPr>
              <w:rPr>
                <w:rFonts w:asciiTheme="minorHAnsi" w:hAnsiTheme="minorHAnsi" w:cstheme="minorHAnsi"/>
                <w:b/>
              </w:rPr>
            </w:pPr>
          </w:p>
          <w:p w:rsidR="009930CB" w:rsidRPr="00DA6E96" w:rsidP="00161A72" w14:paraId="16AE076A" w14:textId="77777777">
            <w:pPr>
              <w:rPr>
                <w:rFonts w:asciiTheme="minorHAnsi" w:hAnsiTheme="minorHAnsi" w:cstheme="minorHAnsi"/>
                <w:b/>
              </w:rPr>
            </w:pPr>
            <w:r w:rsidRPr="00DA6E96">
              <w:rPr>
                <w:rFonts w:asciiTheme="minorHAnsi" w:hAnsiTheme="minorHAnsi" w:cstheme="minorHAnsi"/>
                <w:b/>
              </w:rPr>
              <w:t>IRS response</w:t>
            </w:r>
          </w:p>
        </w:tc>
      </w:tr>
      <w:tr w14:paraId="23B5EAB4" w14:textId="77777777" w:rsidTr="00161A72">
        <w:tblPrEx>
          <w:tblW w:w="8730" w:type="dxa"/>
          <w:tblInd w:w="625" w:type="dxa"/>
          <w:tblLayout w:type="fixed"/>
          <w:tblLook w:val="04A0"/>
        </w:tblPrEx>
        <w:tc>
          <w:tcPr>
            <w:tcW w:w="1170" w:type="dxa"/>
          </w:tcPr>
          <w:p w:rsidR="009930CB" w:rsidRPr="00DA6E96" w:rsidP="009930CB" w14:paraId="38BD0FF9" w14:textId="77777777">
            <w:pPr>
              <w:pStyle w:val="ListParagraph"/>
              <w:widowControl w:val="0"/>
              <w:numPr>
                <w:ilvl w:val="0"/>
                <w:numId w:val="2"/>
              </w:numPr>
              <w:autoSpaceDE w:val="0"/>
              <w:autoSpaceDN w:val="0"/>
              <w:adjustRightInd w:val="0"/>
              <w:contextualSpacing/>
              <w:rPr>
                <w:rFonts w:asciiTheme="minorHAnsi" w:hAnsiTheme="minorHAnsi" w:cstheme="minorHAnsi"/>
                <w:bCs/>
                <w:sz w:val="20"/>
                <w:szCs w:val="20"/>
              </w:rPr>
            </w:pPr>
          </w:p>
        </w:tc>
        <w:tc>
          <w:tcPr>
            <w:tcW w:w="3600" w:type="dxa"/>
          </w:tcPr>
          <w:p w:rsidR="009930CB" w:rsidRPr="009930CB" w:rsidP="00161A72" w14:paraId="481A9F3E" w14:textId="710FC083">
            <w:pPr>
              <w:rPr>
                <w:rFonts w:asciiTheme="minorHAnsi" w:hAnsiTheme="minorHAnsi" w:cstheme="minorHAnsi"/>
                <w:bCs/>
                <w:sz w:val="22"/>
                <w:szCs w:val="22"/>
              </w:rPr>
            </w:pPr>
            <w:r w:rsidRPr="009930CB">
              <w:rPr>
                <w:rFonts w:ascii="Calibri" w:hAnsi="Calibri"/>
                <w:sz w:val="22"/>
                <w:szCs w:val="22"/>
              </w:rPr>
              <w:t>The AICPA requested a “simplified procedure for obtaining an extension of time to elect out of automatic allocation of GST exemption to indirect skips, similar to Rev. Proc. 2004-46,” and recommended, “[a] procedure for retroactively revoking an inadvertent section 2632(c) election.” </w:t>
            </w:r>
          </w:p>
        </w:tc>
        <w:tc>
          <w:tcPr>
            <w:tcW w:w="3960" w:type="dxa"/>
          </w:tcPr>
          <w:p w:rsidR="009930CB" w:rsidP="00161A72" w14:paraId="279C7758" w14:textId="77777777">
            <w:pPr>
              <w:rPr>
                <w:rFonts w:asciiTheme="minorHAnsi" w:hAnsiTheme="minorHAnsi" w:cstheme="minorHAnsi"/>
                <w:bCs/>
              </w:rPr>
            </w:pPr>
            <w:r>
              <w:rPr>
                <w:rFonts w:asciiTheme="minorHAnsi" w:hAnsiTheme="minorHAnsi" w:cstheme="minorHAnsi"/>
                <w:bCs/>
              </w:rPr>
              <w:t>The IRS</w:t>
            </w:r>
            <w:r w:rsidRPr="0037723B">
              <w:rPr>
                <w:rFonts w:asciiTheme="minorHAnsi" w:hAnsiTheme="minorHAnsi" w:cstheme="minorHAnsi"/>
                <w:bCs/>
              </w:rPr>
              <w:t xml:space="preserve"> </w:t>
            </w:r>
            <w:r>
              <w:rPr>
                <w:rFonts w:asciiTheme="minorHAnsi" w:hAnsiTheme="minorHAnsi" w:cstheme="minorHAnsi"/>
                <w:bCs/>
              </w:rPr>
              <w:t>thanks the AICPA for their comments.</w:t>
            </w:r>
          </w:p>
          <w:p w:rsidR="009930CB" w:rsidRPr="00DA6E96" w:rsidP="00161A72" w14:paraId="405BFAEB" w14:textId="7747CE06">
            <w:pPr>
              <w:rPr>
                <w:rFonts w:asciiTheme="minorHAnsi" w:hAnsiTheme="minorHAnsi" w:cstheme="minorHAnsi"/>
                <w:bCs/>
              </w:rPr>
            </w:pPr>
            <w:r>
              <w:rPr>
                <w:rFonts w:asciiTheme="minorHAnsi" w:hAnsiTheme="minorHAnsi" w:cstheme="minorHAnsi"/>
                <w:bCs/>
              </w:rPr>
              <w:t xml:space="preserve">Several iterations of these comments have been submitted to the IRS in previous years. The IRS recognizes these comments, has studied them carefully, and will be publishing regulations that should address these concerns.  </w:t>
            </w:r>
            <w:r>
              <w:rPr>
                <w:rFonts w:asciiTheme="minorHAnsi" w:hAnsiTheme="minorHAnsi" w:cstheme="minorHAnsi"/>
                <w:bCs/>
              </w:rPr>
              <w:t xml:space="preserve">   </w:t>
            </w:r>
          </w:p>
        </w:tc>
      </w:tr>
    </w:tbl>
    <w:p w:rsidR="00B93C04" w:rsidRPr="00FD2EBB" w14:paraId="2E6732AD" w14:textId="77777777">
      <w:pPr>
        <w:numPr>
          <w:ilvl w:val="12"/>
          <w:numId w:val="0"/>
        </w:numPr>
        <w:jc w:val="center"/>
        <w:rPr>
          <w:rFonts w:asciiTheme="minorHAnsi" w:hAnsiTheme="minorHAnsi" w:cs="Arial"/>
          <w:bCs/>
          <w:sz w:val="22"/>
          <w:szCs w:val="22"/>
        </w:rPr>
      </w:pPr>
    </w:p>
    <w:p w:rsidR="00B93C04" w:rsidRPr="00FD2EBB" w14:paraId="480FE54C" w14:textId="0BF193CF">
      <w:pPr>
        <w:pStyle w:val="Level1"/>
        <w:numPr>
          <w:ilvl w:val="0"/>
          <w:numId w:val="1"/>
        </w:numPr>
        <w:tabs>
          <w:tab w:val="left" w:pos="720"/>
        </w:tabs>
        <w:ind w:left="720" w:hanging="720"/>
        <w:jc w:val="left"/>
        <w:rPr>
          <w:rFonts w:asciiTheme="minorHAnsi" w:hAnsiTheme="minorHAnsi" w:cs="Arial"/>
          <w:bCs/>
          <w:sz w:val="22"/>
          <w:szCs w:val="22"/>
        </w:rPr>
      </w:pPr>
      <w:r w:rsidRPr="00FD2EBB">
        <w:rPr>
          <w:rFonts w:asciiTheme="minorHAnsi" w:hAnsiTheme="minorHAnsi" w:cs="Arial"/>
          <w:bCs/>
          <w:sz w:val="22"/>
          <w:szCs w:val="22"/>
          <w:u w:val="single"/>
        </w:rPr>
        <w:t>EXPLANATION OF DECISION TO PROVIDE ANY PAYMENT OR GIFT TO</w:t>
      </w:r>
      <w:r w:rsidR="001D6908">
        <w:rPr>
          <w:rFonts w:asciiTheme="minorHAnsi" w:hAnsiTheme="minorHAnsi" w:cs="Arial"/>
          <w:bCs/>
          <w:sz w:val="22"/>
          <w:szCs w:val="22"/>
          <w:u w:val="single"/>
        </w:rPr>
        <w:t xml:space="preserve"> </w:t>
      </w:r>
      <w:r w:rsidRPr="00FD2EBB">
        <w:rPr>
          <w:rFonts w:asciiTheme="minorHAnsi" w:hAnsiTheme="minorHAnsi" w:cs="Arial"/>
          <w:bCs/>
          <w:sz w:val="22"/>
          <w:szCs w:val="22"/>
          <w:u w:val="single"/>
        </w:rPr>
        <w:t>RESPONDENTS</w:t>
      </w:r>
    </w:p>
    <w:p w:rsidR="00B93C04" w:rsidRPr="00FD2EBB" w14:paraId="24DC7545" w14:textId="77777777">
      <w:pPr>
        <w:numPr>
          <w:ilvl w:val="12"/>
          <w:numId w:val="0"/>
        </w:numPr>
        <w:rPr>
          <w:rFonts w:asciiTheme="minorHAnsi" w:hAnsiTheme="minorHAnsi" w:cs="Arial"/>
          <w:bCs/>
          <w:sz w:val="22"/>
          <w:szCs w:val="22"/>
        </w:rPr>
      </w:pPr>
    </w:p>
    <w:p w:rsidR="00B93C04" w:rsidRPr="00CB69D3" w14:paraId="388B97AE" w14:textId="12C5C853">
      <w:pPr>
        <w:numPr>
          <w:ilvl w:val="12"/>
          <w:numId w:val="0"/>
        </w:numPr>
        <w:ind w:left="720"/>
        <w:rPr>
          <w:rFonts w:asciiTheme="minorHAnsi" w:hAnsiTheme="minorHAnsi" w:cs="Arial"/>
          <w:bCs/>
          <w:sz w:val="22"/>
          <w:szCs w:val="22"/>
        </w:rPr>
      </w:pPr>
      <w:r w:rsidRPr="00CB69D3">
        <w:rPr>
          <w:rFonts w:asciiTheme="minorHAnsi" w:hAnsiTheme="minorHAnsi" w:cs="Arial"/>
          <w:bCs/>
          <w:sz w:val="22"/>
          <w:szCs w:val="22"/>
        </w:rPr>
        <w:t xml:space="preserve">No </w:t>
      </w:r>
      <w:r w:rsidRPr="00CB69D3" w:rsidR="00F854E0">
        <w:rPr>
          <w:rFonts w:asciiTheme="minorHAnsi" w:hAnsiTheme="minorHAnsi" w:cs="Arial"/>
          <w:bCs/>
          <w:sz w:val="22"/>
          <w:szCs w:val="22"/>
        </w:rPr>
        <w:t xml:space="preserve">gifts or </w:t>
      </w:r>
      <w:r w:rsidRPr="00CB69D3">
        <w:rPr>
          <w:rFonts w:asciiTheme="minorHAnsi" w:hAnsiTheme="minorHAnsi" w:cs="Arial"/>
          <w:bCs/>
          <w:sz w:val="22"/>
          <w:szCs w:val="22"/>
        </w:rPr>
        <w:t>payment</w:t>
      </w:r>
      <w:r w:rsidRPr="00CB69D3" w:rsidR="00CB69D3">
        <w:rPr>
          <w:rFonts w:asciiTheme="minorHAnsi" w:hAnsiTheme="minorHAnsi" w:cs="Arial"/>
          <w:bCs/>
          <w:sz w:val="22"/>
          <w:szCs w:val="22"/>
        </w:rPr>
        <w:t xml:space="preserve"> or gift has </w:t>
      </w:r>
      <w:r w:rsidRPr="00CB69D3" w:rsidR="00F854E0">
        <w:rPr>
          <w:rFonts w:asciiTheme="minorHAnsi" w:hAnsiTheme="minorHAnsi" w:cs="Arial"/>
          <w:bCs/>
          <w:sz w:val="22"/>
          <w:szCs w:val="22"/>
        </w:rPr>
        <w:t>be</w:t>
      </w:r>
      <w:r w:rsidRPr="00CB69D3" w:rsidR="00CB69D3">
        <w:rPr>
          <w:rFonts w:asciiTheme="minorHAnsi" w:hAnsiTheme="minorHAnsi" w:cs="Arial"/>
          <w:bCs/>
          <w:sz w:val="22"/>
          <w:szCs w:val="22"/>
        </w:rPr>
        <w:t>e</w:t>
      </w:r>
      <w:r w:rsidRPr="00CB69D3" w:rsidR="00F854E0">
        <w:rPr>
          <w:rFonts w:asciiTheme="minorHAnsi" w:hAnsiTheme="minorHAnsi" w:cs="Arial"/>
          <w:bCs/>
          <w:sz w:val="22"/>
          <w:szCs w:val="22"/>
        </w:rPr>
        <w:t>n p</w:t>
      </w:r>
      <w:r w:rsidRPr="00CB69D3">
        <w:rPr>
          <w:rFonts w:asciiTheme="minorHAnsi" w:hAnsiTheme="minorHAnsi" w:cs="Arial"/>
          <w:bCs/>
          <w:sz w:val="22"/>
          <w:szCs w:val="22"/>
        </w:rPr>
        <w:t>rovided to any respondents</w:t>
      </w:r>
      <w:r w:rsidRPr="00CB69D3">
        <w:rPr>
          <w:rFonts w:asciiTheme="minorHAnsi" w:hAnsiTheme="minorHAnsi" w:cs="Arial"/>
          <w:bCs/>
          <w:sz w:val="22"/>
          <w:szCs w:val="22"/>
        </w:rPr>
        <w:t>.</w:t>
      </w:r>
    </w:p>
    <w:p w:rsidR="00B93C04" w:rsidRPr="00CB69D3" w14:paraId="5E46D037" w14:textId="77777777">
      <w:pPr>
        <w:numPr>
          <w:ilvl w:val="12"/>
          <w:numId w:val="0"/>
        </w:numPr>
        <w:rPr>
          <w:rFonts w:asciiTheme="minorHAnsi" w:hAnsiTheme="minorHAnsi" w:cs="Arial"/>
          <w:bCs/>
          <w:sz w:val="22"/>
          <w:szCs w:val="22"/>
        </w:rPr>
      </w:pPr>
    </w:p>
    <w:p w:rsidR="00B93C04" w:rsidRPr="00FD2EBB" w14:paraId="5DAEBE4C" w14:textId="77777777">
      <w:pPr>
        <w:pStyle w:val="Level1"/>
        <w:numPr>
          <w:ilvl w:val="0"/>
          <w:numId w:val="1"/>
        </w:numPr>
        <w:tabs>
          <w:tab w:val="left" w:pos="720"/>
        </w:tabs>
        <w:ind w:left="720" w:hanging="720"/>
        <w:jc w:val="left"/>
        <w:rPr>
          <w:rFonts w:asciiTheme="minorHAnsi" w:hAnsiTheme="minorHAnsi" w:cs="Arial"/>
          <w:bCs/>
          <w:sz w:val="22"/>
          <w:szCs w:val="22"/>
        </w:rPr>
      </w:pPr>
      <w:r w:rsidRPr="00FD2EBB">
        <w:rPr>
          <w:rFonts w:asciiTheme="minorHAnsi" w:hAnsiTheme="minorHAnsi" w:cs="Arial"/>
          <w:bCs/>
          <w:sz w:val="22"/>
          <w:szCs w:val="22"/>
          <w:u w:val="single"/>
        </w:rPr>
        <w:t>ASSURANCE OF CONFIDENTIALITY OF RESPONSES</w:t>
      </w:r>
    </w:p>
    <w:p w:rsidR="00B93C04" w:rsidRPr="00FD2EBB" w14:paraId="13C74E2B" w14:textId="77777777">
      <w:pPr>
        <w:numPr>
          <w:ilvl w:val="12"/>
          <w:numId w:val="0"/>
        </w:numPr>
        <w:rPr>
          <w:rFonts w:asciiTheme="minorHAnsi" w:hAnsiTheme="minorHAnsi" w:cs="Arial"/>
          <w:bCs/>
          <w:sz w:val="22"/>
          <w:szCs w:val="22"/>
        </w:rPr>
      </w:pPr>
    </w:p>
    <w:p w:rsidR="00B93C04" w:rsidRPr="00CB69D3" w14:paraId="600E71F4" w14:textId="77777777">
      <w:pPr>
        <w:numPr>
          <w:ilvl w:val="12"/>
          <w:numId w:val="0"/>
        </w:numPr>
        <w:ind w:left="720"/>
        <w:rPr>
          <w:rFonts w:asciiTheme="minorHAnsi" w:hAnsiTheme="minorHAnsi" w:cs="Arial"/>
          <w:bCs/>
          <w:sz w:val="22"/>
          <w:szCs w:val="22"/>
        </w:rPr>
      </w:pPr>
      <w:r w:rsidRPr="00CB69D3">
        <w:rPr>
          <w:rFonts w:asciiTheme="minorHAnsi" w:hAnsiTheme="minorHAnsi" w:cs="Arial"/>
          <w:bCs/>
          <w:sz w:val="22"/>
          <w:szCs w:val="22"/>
        </w:rPr>
        <w:t>Generally, tax returns and tax return information are confidential as required by 26 USC 6103.</w:t>
      </w:r>
    </w:p>
    <w:p w:rsidR="00B93C04" w:rsidRPr="001E7AA3" w14:paraId="25368F89" w14:textId="77777777">
      <w:pPr>
        <w:numPr>
          <w:ilvl w:val="12"/>
          <w:numId w:val="0"/>
        </w:numPr>
        <w:rPr>
          <w:rFonts w:asciiTheme="minorHAnsi" w:hAnsiTheme="minorHAnsi" w:cs="Arial"/>
          <w:bCs/>
          <w:color w:val="0070C0"/>
          <w:sz w:val="22"/>
          <w:szCs w:val="22"/>
        </w:rPr>
      </w:pPr>
    </w:p>
    <w:p w:rsidR="00B93C04" w:rsidRPr="00FD2EBB" w14:paraId="392D31D8" w14:textId="77777777">
      <w:pPr>
        <w:pStyle w:val="Level1"/>
        <w:numPr>
          <w:ilvl w:val="0"/>
          <w:numId w:val="1"/>
        </w:numPr>
        <w:tabs>
          <w:tab w:val="left" w:pos="720"/>
        </w:tabs>
        <w:ind w:left="720" w:hanging="720"/>
        <w:jc w:val="left"/>
        <w:rPr>
          <w:rFonts w:asciiTheme="minorHAnsi" w:hAnsiTheme="minorHAnsi" w:cs="Arial"/>
          <w:bCs/>
          <w:sz w:val="22"/>
          <w:szCs w:val="22"/>
          <w:u w:val="single"/>
        </w:rPr>
      </w:pPr>
      <w:r w:rsidRPr="00FD2EBB">
        <w:rPr>
          <w:rFonts w:asciiTheme="minorHAnsi" w:hAnsiTheme="minorHAnsi" w:cs="Arial"/>
          <w:bCs/>
          <w:sz w:val="22"/>
          <w:szCs w:val="22"/>
          <w:u w:val="single"/>
        </w:rPr>
        <w:t>JUSTIFICATION OF SENSITIVE QUESTIONS</w:t>
      </w:r>
    </w:p>
    <w:p w:rsidR="00B93C04" w:rsidRPr="00FD2EBB" w14:paraId="15DDF25B" w14:textId="77777777">
      <w:pPr>
        <w:numPr>
          <w:ilvl w:val="12"/>
          <w:numId w:val="0"/>
        </w:numPr>
        <w:rPr>
          <w:rFonts w:asciiTheme="minorHAnsi" w:hAnsiTheme="minorHAnsi" w:cs="Arial"/>
          <w:bCs/>
          <w:sz w:val="22"/>
          <w:szCs w:val="22"/>
          <w:u w:val="single"/>
        </w:rPr>
      </w:pPr>
    </w:p>
    <w:p w:rsidR="00D8407B" w:rsidP="00D8407B" w14:paraId="7A77973F" w14:textId="16AE1382">
      <w:pPr>
        <w:ind w:left="720" w:right="-72"/>
        <w:rPr>
          <w:rFonts w:ascii="Calibri" w:hAnsi="Calibri" w:cs="Calibri"/>
          <w:sz w:val="22"/>
          <w:szCs w:val="22"/>
          <w:lang w:val="en"/>
        </w:rPr>
      </w:pPr>
      <w:r>
        <w:rPr>
          <w:rFonts w:ascii="Calibri" w:hAnsi="Calibri" w:cs="Calibri"/>
          <w:sz w:val="22"/>
          <w:szCs w:val="22"/>
          <w:lang w:val="en"/>
        </w:rPr>
        <w:t>No personally Identifiable Information (PII) is being collected through the regulations. Any collection of PII is addressed under OMB control number 1545-0020 for the Form 709-United States Gift (and Generation -Skipping Transfer) Tax Return.</w:t>
      </w:r>
    </w:p>
    <w:p w:rsidR="00D8407B" w:rsidP="00D8407B" w14:paraId="58F2529B" w14:textId="77777777">
      <w:pPr>
        <w:rPr>
          <w:rFonts w:ascii="Calibri" w:hAnsi="Calibri" w:cs="Calibri"/>
          <w:sz w:val="22"/>
          <w:szCs w:val="22"/>
        </w:rPr>
      </w:pPr>
    </w:p>
    <w:p w:rsidR="00B93C04" w:rsidRPr="00FD2EBB" w14:paraId="095ACAD9" w14:textId="77777777">
      <w:pPr>
        <w:pStyle w:val="Level1"/>
        <w:numPr>
          <w:ilvl w:val="0"/>
          <w:numId w:val="1"/>
        </w:numPr>
        <w:tabs>
          <w:tab w:val="left" w:pos="720"/>
        </w:tabs>
        <w:ind w:left="720" w:hanging="720"/>
        <w:jc w:val="left"/>
        <w:rPr>
          <w:rFonts w:asciiTheme="minorHAnsi" w:hAnsiTheme="minorHAnsi" w:cs="Arial"/>
          <w:bCs/>
          <w:sz w:val="22"/>
          <w:szCs w:val="22"/>
          <w:u w:val="single"/>
        </w:rPr>
      </w:pPr>
      <w:r w:rsidRPr="00FD2EBB">
        <w:rPr>
          <w:rFonts w:asciiTheme="minorHAnsi" w:hAnsiTheme="minorHAnsi" w:cs="Arial"/>
          <w:bCs/>
          <w:sz w:val="22"/>
          <w:szCs w:val="22"/>
          <w:u w:val="single"/>
        </w:rPr>
        <w:t>ESTIMATED BURDEN OF INFORMATION COLLECTION</w:t>
      </w:r>
    </w:p>
    <w:p w:rsidR="00B93C04" w:rsidRPr="00FD2EBB" w14:paraId="7B2494E9" w14:textId="77777777">
      <w:pPr>
        <w:numPr>
          <w:ilvl w:val="12"/>
          <w:numId w:val="0"/>
        </w:numPr>
        <w:ind w:left="720"/>
        <w:rPr>
          <w:rFonts w:asciiTheme="minorHAnsi" w:hAnsiTheme="minorHAnsi" w:cs="Arial"/>
          <w:bCs/>
          <w:sz w:val="22"/>
          <w:szCs w:val="22"/>
        </w:rPr>
      </w:pPr>
    </w:p>
    <w:p w:rsidR="00A912B1" w:rsidRPr="00CB69D3" w:rsidP="00A912B1" w14:paraId="4571A3AF" w14:textId="61753B3A">
      <w:pPr>
        <w:numPr>
          <w:ilvl w:val="12"/>
          <w:numId w:val="0"/>
        </w:numPr>
        <w:ind w:left="720"/>
        <w:rPr>
          <w:rFonts w:asciiTheme="minorHAnsi" w:hAnsiTheme="minorHAnsi" w:cs="Arial"/>
          <w:bCs/>
          <w:sz w:val="22"/>
          <w:szCs w:val="22"/>
        </w:rPr>
      </w:pPr>
      <w:r w:rsidRPr="00CB69D3">
        <w:rPr>
          <w:rFonts w:asciiTheme="minorHAnsi" w:hAnsiTheme="minorHAnsi" w:cs="Arial"/>
          <w:bCs/>
          <w:sz w:val="22"/>
          <w:szCs w:val="22"/>
        </w:rPr>
        <w:t xml:space="preserve">Sections 26.2632-1(b)(2)(ii) and 26.2632-1(b)(2)(iii) of the regulations provide a reporting requirement for taxpayers who elect to have the automatic allocation rules not apply to the current transfer and/or to future transfers to the trust or to terminate such election.  Section 26.2632-1(b)(3) of the regulations provides a reporting requirement for taxpayers who elect to treat trusts described in section 2632(c)(3)(B)(i) through (vi) as GST trusts or to terminate such election.  Taxpayers must attach a statement to a timely filed Form 709 for the calendar year in which the transfer was made.  </w:t>
      </w:r>
    </w:p>
    <w:p w:rsidR="0065607E" w:rsidRPr="00FD2EBB" w:rsidP="00A912B1" w14:paraId="33A13FED" w14:textId="77777777">
      <w:pPr>
        <w:numPr>
          <w:ilvl w:val="12"/>
          <w:numId w:val="0"/>
        </w:numPr>
        <w:ind w:left="720"/>
        <w:rPr>
          <w:rFonts w:asciiTheme="minorHAnsi" w:hAnsiTheme="minorHAnsi" w:cs="Arial"/>
          <w:bCs/>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9"/>
        <w:gridCol w:w="1379"/>
        <w:gridCol w:w="1500"/>
        <w:gridCol w:w="1247"/>
        <w:gridCol w:w="1079"/>
        <w:gridCol w:w="1226"/>
      </w:tblGrid>
      <w:tr w14:paraId="7E952C9B" w14:textId="77777777" w:rsidTr="006C71D8">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58" w:type="dxa"/>
            <w:tcBorders>
              <w:top w:val="single" w:sz="4" w:space="0" w:color="auto"/>
              <w:left w:val="single" w:sz="4" w:space="0" w:color="auto"/>
              <w:bottom w:val="single" w:sz="4" w:space="0" w:color="auto"/>
              <w:right w:val="single" w:sz="4" w:space="0" w:color="auto"/>
            </w:tcBorders>
            <w:vAlign w:val="center"/>
            <w:hideMark/>
          </w:tcPr>
          <w:p w:rsidR="0065607E" w:rsidRPr="00FD2EBB" w14:paraId="4C1E2849"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Section</w:t>
            </w:r>
          </w:p>
        </w:tc>
        <w:tc>
          <w:tcPr>
            <w:tcW w:w="1350" w:type="dxa"/>
            <w:tcBorders>
              <w:top w:val="single" w:sz="4" w:space="0" w:color="auto"/>
              <w:left w:val="single" w:sz="4" w:space="0" w:color="auto"/>
              <w:bottom w:val="single" w:sz="4" w:space="0" w:color="auto"/>
              <w:right w:val="single" w:sz="4" w:space="0" w:color="auto"/>
            </w:tcBorders>
            <w:vAlign w:val="center"/>
            <w:hideMark/>
          </w:tcPr>
          <w:p w:rsidR="0065607E" w:rsidRPr="00FD2EBB" w14:paraId="3BFC5368"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 Respondents</w:t>
            </w:r>
          </w:p>
        </w:tc>
        <w:tc>
          <w:tcPr>
            <w:tcW w:w="1530" w:type="dxa"/>
            <w:tcBorders>
              <w:top w:val="single" w:sz="4" w:space="0" w:color="auto"/>
              <w:left w:val="single" w:sz="4" w:space="0" w:color="auto"/>
              <w:bottom w:val="single" w:sz="4" w:space="0" w:color="auto"/>
              <w:right w:val="single" w:sz="4" w:space="0" w:color="auto"/>
            </w:tcBorders>
            <w:vAlign w:val="center"/>
            <w:hideMark/>
          </w:tcPr>
          <w:p w:rsidR="0065607E" w:rsidRPr="00FD2EBB" w14:paraId="5A18A348"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 Responses Per Respondent</w:t>
            </w:r>
          </w:p>
        </w:tc>
        <w:tc>
          <w:tcPr>
            <w:tcW w:w="1260" w:type="dxa"/>
            <w:tcBorders>
              <w:top w:val="single" w:sz="4" w:space="0" w:color="auto"/>
              <w:left w:val="single" w:sz="4" w:space="0" w:color="auto"/>
              <w:bottom w:val="single" w:sz="4" w:space="0" w:color="auto"/>
              <w:right w:val="single" w:sz="4" w:space="0" w:color="auto"/>
            </w:tcBorders>
            <w:vAlign w:val="center"/>
            <w:hideMark/>
          </w:tcPr>
          <w:p w:rsidR="0065607E" w:rsidRPr="00FD2EBB" w14:paraId="7E3CED93"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 Annual Responses</w:t>
            </w:r>
          </w:p>
        </w:tc>
        <w:tc>
          <w:tcPr>
            <w:tcW w:w="1080" w:type="dxa"/>
            <w:tcBorders>
              <w:top w:val="single" w:sz="4" w:space="0" w:color="auto"/>
              <w:left w:val="single" w:sz="4" w:space="0" w:color="auto"/>
              <w:bottom w:val="single" w:sz="4" w:space="0" w:color="auto"/>
              <w:right w:val="single" w:sz="4" w:space="0" w:color="auto"/>
            </w:tcBorders>
            <w:vAlign w:val="center"/>
            <w:hideMark/>
          </w:tcPr>
          <w:p w:rsidR="0065607E" w:rsidRPr="00FD2EBB" w14:paraId="02731A3D"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Hours Per Response</w:t>
            </w:r>
          </w:p>
        </w:tc>
        <w:tc>
          <w:tcPr>
            <w:tcW w:w="1278" w:type="dxa"/>
            <w:tcBorders>
              <w:top w:val="single" w:sz="4" w:space="0" w:color="auto"/>
              <w:left w:val="single" w:sz="4" w:space="0" w:color="auto"/>
              <w:bottom w:val="single" w:sz="4" w:space="0" w:color="auto"/>
              <w:right w:val="single" w:sz="4" w:space="0" w:color="auto"/>
            </w:tcBorders>
            <w:vAlign w:val="center"/>
            <w:hideMark/>
          </w:tcPr>
          <w:p w:rsidR="0065607E" w:rsidRPr="00FD2EBB" w14:paraId="14C25720"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Total Annual Burden</w:t>
            </w:r>
          </w:p>
        </w:tc>
      </w:tr>
      <w:tr w14:paraId="6A8208DA" w14:textId="77777777" w:rsidTr="006C71D8">
        <w:tblPrEx>
          <w:tblW w:w="0" w:type="auto"/>
          <w:tblInd w:w="720" w:type="dxa"/>
          <w:tblLook w:val="04A0"/>
        </w:tblPrEx>
        <w:tc>
          <w:tcPr>
            <w:tcW w:w="2358" w:type="dxa"/>
            <w:tcBorders>
              <w:top w:val="single" w:sz="4" w:space="0" w:color="auto"/>
              <w:left w:val="single" w:sz="4" w:space="0" w:color="auto"/>
              <w:bottom w:val="single" w:sz="4" w:space="0" w:color="auto"/>
              <w:right w:val="single" w:sz="4" w:space="0" w:color="auto"/>
            </w:tcBorders>
            <w:vAlign w:val="center"/>
            <w:hideMark/>
          </w:tcPr>
          <w:p w:rsidR="0065607E" w:rsidRPr="00FD2EBB" w14:paraId="3BDD402D" w14:textId="77777777">
            <w:pPr>
              <w:pStyle w:val="SupportingStatementSTANDARD"/>
              <w:ind w:left="0" w:firstLine="0"/>
              <w:rPr>
                <w:rFonts w:asciiTheme="minorHAnsi" w:hAnsiTheme="minorHAnsi"/>
                <w:sz w:val="22"/>
                <w:szCs w:val="22"/>
              </w:rPr>
            </w:pPr>
            <w:r w:rsidRPr="00FD2EBB">
              <w:rPr>
                <w:rFonts w:asciiTheme="minorHAnsi" w:hAnsiTheme="minorHAnsi"/>
                <w:sz w:val="22"/>
                <w:szCs w:val="22"/>
              </w:rPr>
              <w:t>26.2632-1(b)(2)(i</w:t>
            </w:r>
            <w:r w:rsidRPr="00FD2EBB" w:rsidR="006C71D8">
              <w:rPr>
                <w:rFonts w:asciiTheme="minorHAnsi" w:hAnsiTheme="minorHAnsi"/>
                <w:sz w:val="22"/>
                <w:szCs w:val="22"/>
              </w:rPr>
              <w:t>i</w:t>
            </w:r>
            <w:r w:rsidRPr="00FD2EBB">
              <w:rPr>
                <w:rFonts w:asciiTheme="minorHAnsi" w:hAnsiTheme="minorHAnsi"/>
                <w:sz w:val="22"/>
                <w:szCs w:val="22"/>
              </w:rPr>
              <w:t>i)</w:t>
            </w:r>
          </w:p>
        </w:tc>
        <w:tc>
          <w:tcPr>
            <w:tcW w:w="1350" w:type="dxa"/>
            <w:tcBorders>
              <w:top w:val="single" w:sz="4" w:space="0" w:color="auto"/>
              <w:left w:val="single" w:sz="4" w:space="0" w:color="auto"/>
              <w:bottom w:val="single" w:sz="4" w:space="0" w:color="auto"/>
              <w:right w:val="single" w:sz="4" w:space="0" w:color="auto"/>
            </w:tcBorders>
            <w:vAlign w:val="center"/>
            <w:hideMark/>
          </w:tcPr>
          <w:p w:rsidR="0065607E" w:rsidRPr="00FD2EBB" w14:paraId="31F3E094"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12,500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5607E" w:rsidRPr="00FD2EBB" w14:paraId="73FB6C9F"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65607E" w:rsidRPr="00FD2EBB" w:rsidP="006C71D8" w14:paraId="0F830E52"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12,500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5607E" w:rsidRPr="00FD2EBB" w:rsidP="006C71D8" w14:paraId="31C90B53"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0</w:t>
            </w:r>
            <w:r w:rsidRPr="00FD2EBB" w:rsidR="006C71D8">
              <w:rPr>
                <w:rFonts w:asciiTheme="minorHAnsi" w:hAnsiTheme="minorHAnsi"/>
                <w:sz w:val="22"/>
                <w:szCs w:val="22"/>
              </w:rPr>
              <w:t>.50</w:t>
            </w:r>
          </w:p>
        </w:tc>
        <w:tc>
          <w:tcPr>
            <w:tcW w:w="1278" w:type="dxa"/>
            <w:tcBorders>
              <w:top w:val="single" w:sz="4" w:space="0" w:color="auto"/>
              <w:left w:val="single" w:sz="4" w:space="0" w:color="auto"/>
              <w:bottom w:val="single" w:sz="4" w:space="0" w:color="auto"/>
              <w:right w:val="single" w:sz="4" w:space="0" w:color="auto"/>
            </w:tcBorders>
            <w:vAlign w:val="center"/>
            <w:hideMark/>
          </w:tcPr>
          <w:p w:rsidR="0065607E" w:rsidRPr="00FD2EBB" w14:paraId="08C43716"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6,250</w:t>
            </w:r>
          </w:p>
        </w:tc>
      </w:tr>
      <w:tr w14:paraId="745FAEBE" w14:textId="77777777" w:rsidTr="006C71D8">
        <w:tblPrEx>
          <w:tblW w:w="0" w:type="auto"/>
          <w:tblInd w:w="720" w:type="dxa"/>
          <w:tblLook w:val="04A0"/>
        </w:tblPrEx>
        <w:tc>
          <w:tcPr>
            <w:tcW w:w="2358" w:type="dxa"/>
            <w:tcBorders>
              <w:top w:val="single" w:sz="4" w:space="0" w:color="auto"/>
              <w:left w:val="single" w:sz="4" w:space="0" w:color="auto"/>
              <w:bottom w:val="single" w:sz="4" w:space="0" w:color="auto"/>
              <w:right w:val="single" w:sz="4" w:space="0" w:color="auto"/>
            </w:tcBorders>
            <w:vAlign w:val="center"/>
          </w:tcPr>
          <w:p w:rsidR="0065607E" w:rsidRPr="00FD2EBB" w14:paraId="199A8670" w14:textId="77777777">
            <w:pPr>
              <w:pStyle w:val="SupportingStatementSTANDARD"/>
              <w:ind w:left="0" w:firstLine="0"/>
              <w:rPr>
                <w:rFonts w:asciiTheme="minorHAnsi" w:hAnsiTheme="minorHAnsi"/>
                <w:sz w:val="22"/>
                <w:szCs w:val="22"/>
              </w:rPr>
            </w:pPr>
            <w:r w:rsidRPr="00FD2EBB">
              <w:rPr>
                <w:rFonts w:asciiTheme="minorHAnsi" w:hAnsiTheme="minorHAnsi"/>
                <w:sz w:val="22"/>
                <w:szCs w:val="22"/>
              </w:rPr>
              <w:t>26.2632-1(b)(3)</w:t>
            </w:r>
          </w:p>
        </w:tc>
        <w:tc>
          <w:tcPr>
            <w:tcW w:w="1350" w:type="dxa"/>
            <w:tcBorders>
              <w:top w:val="single" w:sz="4" w:space="0" w:color="auto"/>
              <w:left w:val="single" w:sz="4" w:space="0" w:color="auto"/>
              <w:bottom w:val="single" w:sz="4" w:space="0" w:color="auto"/>
              <w:right w:val="single" w:sz="4" w:space="0" w:color="auto"/>
            </w:tcBorders>
            <w:vAlign w:val="center"/>
            <w:hideMark/>
          </w:tcPr>
          <w:p w:rsidR="0065607E" w:rsidRPr="00FD2EBB" w14:paraId="58243819"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12,500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5607E" w:rsidRPr="00FD2EBB" w14:paraId="008906E1"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65607E" w:rsidRPr="00FD2EBB" w:rsidP="006C71D8" w14:paraId="23D99984"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1</w:t>
            </w:r>
            <w:r w:rsidRPr="00FD2EBB">
              <w:rPr>
                <w:rFonts w:asciiTheme="minorHAnsi" w:hAnsiTheme="minorHAnsi"/>
                <w:sz w:val="22"/>
                <w:szCs w:val="22"/>
              </w:rPr>
              <w:t>2,</w:t>
            </w:r>
            <w:r w:rsidRPr="00FD2EBB">
              <w:rPr>
                <w:rFonts w:asciiTheme="minorHAnsi" w:hAnsiTheme="minorHAnsi"/>
                <w:sz w:val="22"/>
                <w:szCs w:val="22"/>
              </w:rPr>
              <w:t>5</w:t>
            </w:r>
            <w:r w:rsidRPr="00FD2EBB">
              <w:rPr>
                <w:rFonts w:asciiTheme="minorHAnsi" w:hAnsiTheme="minorHAnsi"/>
                <w:sz w:val="22"/>
                <w:szCs w:val="22"/>
              </w:rPr>
              <w:t>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5607E" w:rsidRPr="00FD2EBB" w:rsidP="006C71D8" w14:paraId="6DE32422"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0.</w:t>
            </w:r>
            <w:r w:rsidRPr="00FD2EBB" w:rsidR="006C71D8">
              <w:rPr>
                <w:rFonts w:asciiTheme="minorHAnsi" w:hAnsiTheme="minorHAnsi"/>
                <w:sz w:val="22"/>
                <w:szCs w:val="22"/>
              </w:rPr>
              <w:t>50</w:t>
            </w:r>
          </w:p>
        </w:tc>
        <w:tc>
          <w:tcPr>
            <w:tcW w:w="1278" w:type="dxa"/>
            <w:tcBorders>
              <w:top w:val="single" w:sz="4" w:space="0" w:color="auto"/>
              <w:left w:val="single" w:sz="4" w:space="0" w:color="auto"/>
              <w:bottom w:val="single" w:sz="4" w:space="0" w:color="auto"/>
              <w:right w:val="single" w:sz="4" w:space="0" w:color="auto"/>
            </w:tcBorders>
            <w:vAlign w:val="center"/>
            <w:hideMark/>
          </w:tcPr>
          <w:p w:rsidR="0065607E" w:rsidRPr="00FD2EBB" w14:paraId="3DEE271F"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6,250</w:t>
            </w:r>
          </w:p>
        </w:tc>
      </w:tr>
      <w:tr w14:paraId="56B168EB" w14:textId="77777777" w:rsidTr="006C71D8">
        <w:tblPrEx>
          <w:tblW w:w="0" w:type="auto"/>
          <w:tblInd w:w="720" w:type="dxa"/>
          <w:tblLook w:val="04A0"/>
        </w:tblPrEx>
        <w:trPr>
          <w:trHeight w:val="557"/>
        </w:trPr>
        <w:tc>
          <w:tcPr>
            <w:tcW w:w="2358" w:type="dxa"/>
            <w:tcBorders>
              <w:top w:val="single" w:sz="4" w:space="0" w:color="auto"/>
              <w:left w:val="single" w:sz="4" w:space="0" w:color="auto"/>
              <w:bottom w:val="single" w:sz="4" w:space="0" w:color="auto"/>
              <w:right w:val="single" w:sz="4" w:space="0" w:color="auto"/>
            </w:tcBorders>
            <w:vAlign w:val="center"/>
            <w:hideMark/>
          </w:tcPr>
          <w:p w:rsidR="0065607E" w:rsidRPr="00FD2EBB" w14:paraId="15BFB11A" w14:textId="77777777">
            <w:pPr>
              <w:pStyle w:val="SupportingStatementSTANDARD"/>
              <w:ind w:left="0" w:firstLine="0"/>
              <w:rPr>
                <w:rFonts w:asciiTheme="minorHAnsi" w:hAnsiTheme="minorHAnsi"/>
                <w:sz w:val="22"/>
                <w:szCs w:val="22"/>
              </w:rPr>
            </w:pPr>
            <w:r w:rsidRPr="00FD2EBB">
              <w:rPr>
                <w:rFonts w:asciiTheme="minorHAnsi" w:hAnsiTheme="minorHAnsi"/>
                <w:sz w:val="22"/>
                <w:szCs w:val="22"/>
              </w:rPr>
              <w:t>TOTALS</w:t>
            </w:r>
          </w:p>
        </w:tc>
        <w:tc>
          <w:tcPr>
            <w:tcW w:w="1350" w:type="dxa"/>
            <w:tcBorders>
              <w:top w:val="single" w:sz="4" w:space="0" w:color="auto"/>
              <w:left w:val="single" w:sz="4" w:space="0" w:color="auto"/>
              <w:bottom w:val="single" w:sz="4" w:space="0" w:color="auto"/>
              <w:right w:val="single" w:sz="4" w:space="0" w:color="auto"/>
            </w:tcBorders>
            <w:vAlign w:val="center"/>
            <w:hideMark/>
          </w:tcPr>
          <w:p w:rsidR="0065607E" w:rsidRPr="00FD2EBB" w14:paraId="75F9F282"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25</w:t>
            </w:r>
            <w:r w:rsidRPr="00FD2EBB">
              <w:rPr>
                <w:rFonts w:asciiTheme="minorHAnsi" w:hAnsiTheme="minorHAnsi"/>
                <w:sz w:val="22"/>
                <w:szCs w:val="22"/>
              </w:rPr>
              <w:t>,000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65607E" w:rsidRPr="00FD2EBB" w14:paraId="10D94AAF" w14:textId="77777777">
            <w:pPr>
              <w:pStyle w:val="SupportingStatementSTANDARD"/>
              <w:ind w:left="0" w:firstLine="0"/>
              <w:jc w:val="center"/>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65607E" w:rsidRPr="00FD2EBB" w14:paraId="7B12CCF3"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25</w:t>
            </w:r>
            <w:r w:rsidRPr="00FD2EBB">
              <w:rPr>
                <w:rFonts w:asciiTheme="minorHAnsi" w:hAnsiTheme="minorHAnsi"/>
                <w:sz w:val="22"/>
                <w:szCs w:val="22"/>
              </w:rPr>
              <w:t>,000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65607E" w:rsidRPr="00FD2EBB" w14:paraId="1B4D7B05" w14:textId="77777777">
            <w:pPr>
              <w:pStyle w:val="SupportingStatementSTANDARD"/>
              <w:ind w:left="0" w:firstLine="0"/>
              <w:jc w:val="center"/>
              <w:rPr>
                <w:rFonts w:asciiTheme="minorHAnsi" w:hAnsiTheme="minorHAnsi"/>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65607E" w:rsidRPr="00FD2EBB" w14:paraId="0675224C"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12,500</w:t>
            </w:r>
          </w:p>
        </w:tc>
      </w:tr>
    </w:tbl>
    <w:p w:rsidR="00A912B1" w:rsidP="00B27FA5" w14:paraId="6F12D8C2" w14:textId="6294E362">
      <w:pPr>
        <w:numPr>
          <w:ilvl w:val="12"/>
          <w:numId w:val="0"/>
        </w:numPr>
        <w:jc w:val="both"/>
        <w:rPr>
          <w:rFonts w:asciiTheme="minorHAnsi" w:hAnsiTheme="minorHAnsi" w:cs="Arial"/>
          <w:bCs/>
          <w:sz w:val="22"/>
          <w:szCs w:val="22"/>
        </w:rPr>
      </w:pPr>
    </w:p>
    <w:p w:rsidR="00877F69" w:rsidRPr="00CB69D3" w:rsidP="00877F69" w14:paraId="61389498" w14:textId="630B792E">
      <w:pPr>
        <w:numPr>
          <w:ilvl w:val="12"/>
          <w:numId w:val="0"/>
        </w:numPr>
        <w:ind w:left="720"/>
        <w:rPr>
          <w:rFonts w:asciiTheme="minorHAnsi" w:hAnsiTheme="minorHAnsi" w:cs="Arial"/>
          <w:bCs/>
          <w:sz w:val="22"/>
          <w:szCs w:val="22"/>
        </w:rPr>
      </w:pPr>
      <w:bookmarkStart w:id="0" w:name="_Hlk65079402"/>
      <w:r w:rsidRPr="00CB69D3">
        <w:rPr>
          <w:rFonts w:asciiTheme="minorHAnsi" w:hAnsiTheme="minorHAnsi" w:cs="Arial"/>
          <w:bCs/>
          <w:sz w:val="22"/>
          <w:szCs w:val="22"/>
        </w:rPr>
        <w:t xml:space="preserve"> </w:t>
      </w:r>
      <w:r w:rsidRPr="00CB69D3">
        <w:rPr>
          <w:rFonts w:asciiTheme="minorHAnsi" w:hAnsiTheme="minorHAnsi" w:cs="Arial"/>
          <w:bCs/>
          <w:sz w:val="22"/>
          <w:szCs w:val="22"/>
        </w:rPr>
        <w:t>Please continue to assign OMB number 1545-1892 to these regulations.</w:t>
      </w:r>
    </w:p>
    <w:p w:rsidR="00877F69" w:rsidRPr="00CB69D3" w:rsidP="00877F69" w14:paraId="01A58A48" w14:textId="3C916290">
      <w:pPr>
        <w:numPr>
          <w:ilvl w:val="12"/>
          <w:numId w:val="0"/>
        </w:numPr>
        <w:ind w:left="720"/>
        <w:rPr>
          <w:rFonts w:asciiTheme="minorHAnsi" w:hAnsiTheme="minorHAnsi" w:cs="Arial"/>
          <w:bCs/>
          <w:sz w:val="22"/>
          <w:szCs w:val="22"/>
        </w:rPr>
      </w:pPr>
      <w:r w:rsidRPr="00CB69D3">
        <w:rPr>
          <w:rFonts w:asciiTheme="minorHAnsi" w:hAnsiTheme="minorHAnsi" w:cs="Arial"/>
          <w:bCs/>
          <w:sz w:val="22"/>
          <w:szCs w:val="22"/>
        </w:rPr>
        <w:t xml:space="preserve"> 26.2632-1(b)(2)(III) and 26.2632-1(b)(3).</w:t>
      </w:r>
    </w:p>
    <w:p w:rsidR="00877F69" w:rsidRPr="001E7AA3" w:rsidP="00877F69" w14:paraId="7DF55E46" w14:textId="41166BB2">
      <w:pPr>
        <w:numPr>
          <w:ilvl w:val="12"/>
          <w:numId w:val="0"/>
        </w:numPr>
        <w:ind w:left="720"/>
        <w:rPr>
          <w:rFonts w:asciiTheme="minorHAnsi" w:hAnsiTheme="minorHAnsi" w:cs="Arial"/>
          <w:bCs/>
          <w:color w:val="0070C0"/>
          <w:sz w:val="22"/>
          <w:szCs w:val="22"/>
        </w:rPr>
      </w:pPr>
      <w:r w:rsidRPr="001E7AA3">
        <w:rPr>
          <w:rFonts w:asciiTheme="minorHAnsi" w:hAnsiTheme="minorHAnsi" w:cs="Arial"/>
          <w:bCs/>
          <w:color w:val="0070C0"/>
          <w:sz w:val="22"/>
          <w:szCs w:val="22"/>
        </w:rPr>
        <w:t xml:space="preserve"> </w:t>
      </w:r>
    </w:p>
    <w:bookmarkEnd w:id="0"/>
    <w:p w:rsidR="00877F69" w:rsidRPr="00FD2EBB" w14:paraId="04E40FE1" w14:textId="52A9662E">
      <w:pPr>
        <w:numPr>
          <w:ilvl w:val="12"/>
          <w:numId w:val="0"/>
        </w:numPr>
        <w:rPr>
          <w:rFonts w:asciiTheme="minorHAnsi" w:hAnsiTheme="minorHAnsi" w:cs="Arial"/>
          <w:bCs/>
          <w:sz w:val="22"/>
          <w:szCs w:val="22"/>
        </w:rPr>
      </w:pPr>
    </w:p>
    <w:p w:rsidR="00B93C04" w:rsidRPr="00FD2EBB" w14:paraId="41127F11" w14:textId="77777777">
      <w:pPr>
        <w:pStyle w:val="Level1"/>
        <w:numPr>
          <w:ilvl w:val="0"/>
          <w:numId w:val="1"/>
        </w:numPr>
        <w:tabs>
          <w:tab w:val="left" w:pos="720"/>
        </w:tabs>
        <w:ind w:left="720" w:hanging="720"/>
        <w:jc w:val="left"/>
        <w:rPr>
          <w:rFonts w:asciiTheme="minorHAnsi" w:hAnsiTheme="minorHAnsi" w:cs="Arial"/>
          <w:bCs/>
          <w:sz w:val="22"/>
          <w:szCs w:val="22"/>
        </w:rPr>
      </w:pPr>
      <w:r w:rsidRPr="00FD2EBB">
        <w:rPr>
          <w:rFonts w:asciiTheme="minorHAnsi" w:hAnsiTheme="minorHAnsi" w:cs="Arial"/>
          <w:bCs/>
          <w:sz w:val="22"/>
          <w:szCs w:val="22"/>
          <w:u w:val="single"/>
        </w:rPr>
        <w:t>ESTIMATED TOTAL ANNUAL COST BURDEN TO RESPONDENTS</w:t>
      </w:r>
    </w:p>
    <w:p w:rsidR="00B93C04" w:rsidRPr="00FD2EBB" w14:paraId="7DA17AED" w14:textId="77777777">
      <w:pPr>
        <w:numPr>
          <w:ilvl w:val="12"/>
          <w:numId w:val="0"/>
        </w:numPr>
        <w:rPr>
          <w:rFonts w:asciiTheme="minorHAnsi" w:hAnsiTheme="minorHAnsi" w:cs="Arial"/>
          <w:bCs/>
          <w:sz w:val="22"/>
          <w:szCs w:val="22"/>
        </w:rPr>
      </w:pPr>
    </w:p>
    <w:p w:rsidR="00B93C04" w:rsidRPr="00CB69D3" w:rsidP="008B1220" w14:paraId="36F5C870" w14:textId="565821A7">
      <w:pPr>
        <w:numPr>
          <w:ilvl w:val="12"/>
          <w:numId w:val="0"/>
        </w:numPr>
        <w:ind w:left="720"/>
        <w:rPr>
          <w:rFonts w:asciiTheme="minorHAnsi" w:hAnsiTheme="minorHAnsi"/>
          <w:bCs/>
          <w:sz w:val="22"/>
          <w:szCs w:val="22"/>
        </w:rPr>
      </w:pPr>
      <w:r w:rsidRPr="00CB69D3">
        <w:rPr>
          <w:rFonts w:asciiTheme="minorHAnsi" w:hAnsiTheme="minorHAnsi"/>
          <w:bCs/>
          <w:sz w:val="22"/>
          <w:szCs w:val="22"/>
        </w:rPr>
        <w:t xml:space="preserve">From our </w:t>
      </w:r>
      <w:r w:rsidRPr="00CB69D3">
        <w:rPr>
          <w:rFonts w:asciiTheme="minorHAnsi" w:hAnsiTheme="minorHAnsi"/>
          <w:bCs/>
          <w:i/>
          <w:iCs/>
          <w:sz w:val="22"/>
          <w:szCs w:val="22"/>
        </w:rPr>
        <w:t>Federal Register</w:t>
      </w:r>
      <w:r w:rsidRPr="00CB69D3">
        <w:rPr>
          <w:rFonts w:asciiTheme="minorHAnsi" w:hAnsiTheme="minorHAnsi"/>
          <w:bCs/>
          <w:sz w:val="22"/>
          <w:szCs w:val="22"/>
        </w:rPr>
        <w:t xml:space="preserve"> notice, dated </w:t>
      </w:r>
      <w:r w:rsidR="003E5DB9">
        <w:rPr>
          <w:rFonts w:asciiTheme="minorHAnsi" w:hAnsiTheme="minorHAnsi"/>
          <w:bCs/>
          <w:sz w:val="22"/>
          <w:szCs w:val="22"/>
        </w:rPr>
        <w:t>February 05</w:t>
      </w:r>
      <w:r w:rsidRPr="00CB69D3">
        <w:rPr>
          <w:rFonts w:asciiTheme="minorHAnsi" w:hAnsiTheme="minorHAnsi"/>
          <w:bCs/>
          <w:sz w:val="22"/>
          <w:szCs w:val="22"/>
        </w:rPr>
        <w:t xml:space="preserve">, 2024, no comments on the estimates of capital or start-up costs and cost </w:t>
      </w:r>
      <w:r w:rsidRPr="00CB69D3" w:rsidR="00592EF0">
        <w:rPr>
          <w:rFonts w:asciiTheme="minorHAnsi" w:hAnsiTheme="minorHAnsi"/>
          <w:bCs/>
          <w:sz w:val="22"/>
          <w:szCs w:val="22"/>
        </w:rPr>
        <w:t xml:space="preserve">operation, maintenance, and purchase of services to provide were received. However, to </w:t>
      </w:r>
      <w:r w:rsidRPr="00CB69D3" w:rsidR="008B1220">
        <w:rPr>
          <w:rFonts w:asciiTheme="minorHAnsi" w:hAnsiTheme="minorHAnsi"/>
          <w:bCs/>
          <w:sz w:val="22"/>
          <w:szCs w:val="22"/>
        </w:rPr>
        <w:t xml:space="preserve">ensure more accuracy and consistency across its information collections, </w:t>
      </w:r>
      <w:r w:rsidRPr="00CB69D3" w:rsidR="00592EF0">
        <w:rPr>
          <w:rFonts w:asciiTheme="minorHAnsi" w:hAnsiTheme="minorHAnsi"/>
          <w:bCs/>
          <w:sz w:val="22"/>
          <w:szCs w:val="22"/>
        </w:rPr>
        <w:t xml:space="preserve">the </w:t>
      </w:r>
      <w:r w:rsidRPr="00CB69D3" w:rsidR="008B1220">
        <w:rPr>
          <w:rFonts w:asciiTheme="minorHAnsi" w:hAnsiTheme="minorHAnsi"/>
          <w:bCs/>
          <w:sz w:val="22"/>
          <w:szCs w:val="22"/>
        </w:rPr>
        <w:t>IRS is currently in the process of revising the methodology it uses to estimate burden and costs. Once this methodology is complete, IRS will update this information collection to reflect a more precise estimate of burden and costs.</w:t>
      </w:r>
    </w:p>
    <w:p w:rsidR="008B1220" w:rsidRPr="00C56EC1" w:rsidP="008B1220" w14:paraId="0E1751B9" w14:textId="77777777">
      <w:pPr>
        <w:numPr>
          <w:ilvl w:val="12"/>
          <w:numId w:val="0"/>
        </w:numPr>
        <w:ind w:left="720"/>
        <w:rPr>
          <w:rFonts w:asciiTheme="minorHAnsi" w:hAnsiTheme="minorHAnsi" w:cs="Arial"/>
          <w:bCs/>
          <w:color w:val="FF0000"/>
          <w:sz w:val="22"/>
          <w:szCs w:val="22"/>
        </w:rPr>
      </w:pPr>
    </w:p>
    <w:p w:rsidR="00B93C04" w:rsidRPr="00FD2EBB" w14:paraId="2FA6E24D" w14:textId="77777777">
      <w:pPr>
        <w:pStyle w:val="Level1"/>
        <w:numPr>
          <w:ilvl w:val="0"/>
          <w:numId w:val="1"/>
        </w:numPr>
        <w:tabs>
          <w:tab w:val="left" w:pos="720"/>
        </w:tabs>
        <w:ind w:left="720" w:hanging="720"/>
        <w:jc w:val="left"/>
        <w:rPr>
          <w:rFonts w:asciiTheme="minorHAnsi" w:hAnsiTheme="minorHAnsi" w:cs="Arial"/>
          <w:bCs/>
          <w:sz w:val="22"/>
          <w:szCs w:val="22"/>
        </w:rPr>
      </w:pPr>
      <w:r w:rsidRPr="00FD2EBB">
        <w:rPr>
          <w:rFonts w:asciiTheme="minorHAnsi" w:hAnsiTheme="minorHAnsi" w:cs="Arial"/>
          <w:bCs/>
          <w:sz w:val="22"/>
          <w:szCs w:val="22"/>
          <w:u w:val="single"/>
        </w:rPr>
        <w:t>ESTIMATED ANNUALIZED COST TO THE FEDERAL GOVERNMENT</w:t>
      </w:r>
    </w:p>
    <w:p w:rsidR="00B93C04" w:rsidRPr="00FD2EBB" w14:paraId="30447160" w14:textId="77777777">
      <w:pPr>
        <w:numPr>
          <w:ilvl w:val="12"/>
          <w:numId w:val="0"/>
        </w:numPr>
        <w:rPr>
          <w:rFonts w:asciiTheme="minorHAnsi" w:hAnsiTheme="minorHAnsi" w:cs="Arial"/>
          <w:bCs/>
          <w:sz w:val="22"/>
          <w:szCs w:val="22"/>
        </w:rPr>
      </w:pPr>
    </w:p>
    <w:p w:rsidR="00B93C04" w:rsidRPr="0074587D" w14:paraId="4CBE3BB4" w14:textId="7CA5737B">
      <w:pPr>
        <w:numPr>
          <w:ilvl w:val="12"/>
          <w:numId w:val="0"/>
        </w:numPr>
        <w:ind w:left="720"/>
        <w:rPr>
          <w:rFonts w:asciiTheme="minorHAnsi" w:hAnsiTheme="minorHAnsi"/>
          <w:bCs/>
          <w:sz w:val="22"/>
          <w:szCs w:val="22"/>
        </w:rPr>
      </w:pPr>
      <w:r w:rsidRPr="0074587D">
        <w:rPr>
          <w:rFonts w:asciiTheme="minorHAnsi" w:hAnsiTheme="minorHAnsi"/>
          <w:bCs/>
          <w:sz w:val="22"/>
          <w:szCs w:val="22"/>
        </w:rPr>
        <w:t>T</w:t>
      </w:r>
      <w:r w:rsidRPr="0074587D" w:rsidR="00257768">
        <w:rPr>
          <w:rFonts w:asciiTheme="minorHAnsi" w:hAnsiTheme="minorHAnsi"/>
          <w:bCs/>
          <w:sz w:val="22"/>
          <w:szCs w:val="22"/>
        </w:rPr>
        <w:t xml:space="preserve">here is no annualized cost to the federal government. </w:t>
      </w:r>
    </w:p>
    <w:p w:rsidR="00B93C04" w:rsidRPr="00FD2EBB" w14:paraId="39053B56" w14:textId="77777777">
      <w:pPr>
        <w:numPr>
          <w:ilvl w:val="12"/>
          <w:numId w:val="0"/>
        </w:numPr>
        <w:rPr>
          <w:rFonts w:asciiTheme="minorHAnsi" w:hAnsiTheme="minorHAnsi"/>
          <w:bCs/>
          <w:sz w:val="22"/>
          <w:szCs w:val="22"/>
        </w:rPr>
      </w:pPr>
    </w:p>
    <w:p w:rsidR="00B93C04" w:rsidRPr="00FD2EBB" w14:paraId="18C22F02" w14:textId="77777777">
      <w:pPr>
        <w:pStyle w:val="Level1"/>
        <w:numPr>
          <w:ilvl w:val="0"/>
          <w:numId w:val="1"/>
        </w:numPr>
        <w:tabs>
          <w:tab w:val="left" w:pos="720"/>
        </w:tabs>
        <w:ind w:left="720" w:hanging="720"/>
        <w:jc w:val="left"/>
        <w:rPr>
          <w:rFonts w:asciiTheme="minorHAnsi" w:hAnsiTheme="minorHAnsi" w:cs="Arial"/>
          <w:bCs/>
          <w:sz w:val="22"/>
          <w:szCs w:val="22"/>
        </w:rPr>
      </w:pPr>
      <w:r w:rsidRPr="00FD2EBB">
        <w:rPr>
          <w:rFonts w:asciiTheme="minorHAnsi" w:hAnsiTheme="minorHAnsi" w:cs="Arial"/>
          <w:bCs/>
          <w:sz w:val="22"/>
          <w:szCs w:val="22"/>
          <w:u w:val="single"/>
        </w:rPr>
        <w:t>REASONS FOR CHANGE IN BURDEN</w:t>
      </w:r>
    </w:p>
    <w:p w:rsidR="00B93C04" w:rsidRPr="00FD2EBB" w14:paraId="6C920E41" w14:textId="77777777">
      <w:pPr>
        <w:numPr>
          <w:ilvl w:val="12"/>
          <w:numId w:val="0"/>
        </w:numPr>
        <w:rPr>
          <w:rFonts w:asciiTheme="minorHAnsi" w:hAnsiTheme="minorHAnsi" w:cs="Arial"/>
          <w:bCs/>
          <w:sz w:val="22"/>
          <w:szCs w:val="22"/>
        </w:rPr>
      </w:pPr>
    </w:p>
    <w:p w:rsidR="00B93C04" w:rsidRPr="00FD2EBB" w14:paraId="3A39CC19" w14:textId="77777777">
      <w:pPr>
        <w:numPr>
          <w:ilvl w:val="12"/>
          <w:numId w:val="0"/>
        </w:numPr>
        <w:rPr>
          <w:rFonts w:asciiTheme="minorHAnsi" w:hAnsiTheme="minorHAnsi" w:cs="Arial"/>
          <w:sz w:val="22"/>
          <w:szCs w:val="22"/>
        </w:rPr>
        <w:sectPr>
          <w:headerReference w:type="default" r:id="rId6"/>
          <w:type w:val="continuous"/>
          <w:pgSz w:w="12240" w:h="15840"/>
          <w:pgMar w:top="1440" w:right="1440" w:bottom="1440" w:left="1440" w:header="1440" w:footer="1440" w:gutter="0"/>
          <w:cols w:space="720"/>
          <w:titlePg/>
        </w:sectPr>
      </w:pPr>
    </w:p>
    <w:p w:rsidR="00B93C04" w:rsidRPr="0045760E" w:rsidP="00BC16DC" w14:paraId="5657B7EB" w14:textId="062B291B">
      <w:pPr>
        <w:numPr>
          <w:ilvl w:val="12"/>
          <w:numId w:val="0"/>
        </w:numPr>
        <w:ind w:left="720"/>
        <w:rPr>
          <w:rFonts w:asciiTheme="minorHAnsi" w:hAnsiTheme="minorHAnsi" w:cs="Arial"/>
          <w:bCs/>
          <w:sz w:val="22"/>
          <w:szCs w:val="22"/>
        </w:rPr>
      </w:pPr>
      <w:r w:rsidRPr="0045760E">
        <w:rPr>
          <w:rFonts w:asciiTheme="minorHAnsi" w:hAnsiTheme="minorHAnsi" w:cs="Arial"/>
          <w:bCs/>
          <w:sz w:val="22"/>
          <w:szCs w:val="22"/>
        </w:rPr>
        <w:t xml:space="preserve">There is no change in the </w:t>
      </w:r>
      <w:r w:rsidRPr="0045760E" w:rsidR="00811C09">
        <w:rPr>
          <w:rFonts w:asciiTheme="minorHAnsi" w:hAnsiTheme="minorHAnsi" w:cs="Arial"/>
          <w:bCs/>
          <w:sz w:val="22"/>
          <w:szCs w:val="22"/>
        </w:rPr>
        <w:t xml:space="preserve">paperwork </w:t>
      </w:r>
      <w:r w:rsidRPr="0045760E">
        <w:rPr>
          <w:rFonts w:asciiTheme="minorHAnsi" w:hAnsiTheme="minorHAnsi" w:cs="Arial"/>
          <w:bCs/>
          <w:sz w:val="22"/>
          <w:szCs w:val="22"/>
        </w:rPr>
        <w:t xml:space="preserve">burden previously </w:t>
      </w:r>
      <w:r w:rsidRPr="0045760E" w:rsidR="002E30E7">
        <w:rPr>
          <w:rFonts w:asciiTheme="minorHAnsi" w:hAnsiTheme="minorHAnsi" w:cs="Arial"/>
          <w:bCs/>
          <w:sz w:val="22"/>
          <w:szCs w:val="22"/>
        </w:rPr>
        <w:t xml:space="preserve">approved by </w:t>
      </w:r>
      <w:r w:rsidRPr="0045760E">
        <w:rPr>
          <w:rFonts w:asciiTheme="minorHAnsi" w:hAnsiTheme="minorHAnsi" w:cs="Arial"/>
          <w:bCs/>
          <w:sz w:val="22"/>
          <w:szCs w:val="22"/>
        </w:rPr>
        <w:t xml:space="preserve">OMB. We are making this submission </w:t>
      </w:r>
      <w:r w:rsidRPr="0045760E" w:rsidR="0045760E">
        <w:rPr>
          <w:rFonts w:asciiTheme="minorHAnsi" w:hAnsiTheme="minorHAnsi" w:cs="Arial"/>
          <w:bCs/>
          <w:sz w:val="22"/>
          <w:szCs w:val="22"/>
        </w:rPr>
        <w:t>as a previously approved collec</w:t>
      </w:r>
      <w:r w:rsidRPr="0045760E">
        <w:rPr>
          <w:rFonts w:asciiTheme="minorHAnsi" w:hAnsiTheme="minorHAnsi" w:cs="Arial"/>
          <w:bCs/>
          <w:sz w:val="22"/>
          <w:szCs w:val="22"/>
        </w:rPr>
        <w:t>t</w:t>
      </w:r>
      <w:r w:rsidRPr="0045760E" w:rsidR="0045760E">
        <w:rPr>
          <w:rFonts w:asciiTheme="minorHAnsi" w:hAnsiTheme="minorHAnsi" w:cs="Arial"/>
          <w:bCs/>
          <w:sz w:val="22"/>
          <w:szCs w:val="22"/>
        </w:rPr>
        <w:t>i</w:t>
      </w:r>
      <w:r w:rsidRPr="0045760E">
        <w:rPr>
          <w:rFonts w:asciiTheme="minorHAnsi" w:hAnsiTheme="minorHAnsi" w:cs="Arial"/>
          <w:bCs/>
          <w:sz w:val="22"/>
          <w:szCs w:val="22"/>
        </w:rPr>
        <w:t>o</w:t>
      </w:r>
      <w:r w:rsidRPr="0045760E" w:rsidR="0045760E">
        <w:rPr>
          <w:rFonts w:asciiTheme="minorHAnsi" w:hAnsiTheme="minorHAnsi" w:cs="Arial"/>
          <w:bCs/>
          <w:sz w:val="22"/>
          <w:szCs w:val="22"/>
        </w:rPr>
        <w:t xml:space="preserve">n. </w:t>
      </w:r>
    </w:p>
    <w:p w:rsidR="00BC16DC" w:rsidRPr="00FD2EBB" w:rsidP="00BC16DC" w14:paraId="7E378E3B" w14:textId="77777777">
      <w:pPr>
        <w:numPr>
          <w:ilvl w:val="12"/>
          <w:numId w:val="0"/>
        </w:numPr>
        <w:ind w:left="720"/>
        <w:rPr>
          <w:rFonts w:asciiTheme="minorHAnsi" w:hAnsiTheme="minorHAnsi" w:cs="Arial"/>
          <w:bCs/>
          <w:sz w:val="22"/>
          <w:szCs w:val="22"/>
        </w:rPr>
      </w:pPr>
    </w:p>
    <w:p w:rsidR="00B93C04" w:rsidRPr="00FD2EBB" w14:paraId="345861CC" w14:textId="77777777">
      <w:pPr>
        <w:pStyle w:val="Level1"/>
        <w:numPr>
          <w:ilvl w:val="0"/>
          <w:numId w:val="1"/>
        </w:numPr>
        <w:tabs>
          <w:tab w:val="left" w:pos="720"/>
        </w:tabs>
        <w:ind w:left="720" w:hanging="720"/>
        <w:jc w:val="left"/>
        <w:rPr>
          <w:rFonts w:asciiTheme="minorHAnsi" w:hAnsiTheme="minorHAnsi" w:cs="Arial"/>
          <w:bCs/>
          <w:sz w:val="22"/>
          <w:szCs w:val="22"/>
        </w:rPr>
      </w:pPr>
      <w:r w:rsidRPr="00FD2EBB">
        <w:rPr>
          <w:rFonts w:asciiTheme="minorHAnsi" w:hAnsiTheme="minorHAnsi" w:cs="Arial"/>
          <w:bCs/>
          <w:sz w:val="22"/>
          <w:szCs w:val="22"/>
          <w:u w:val="single"/>
        </w:rPr>
        <w:t>PLANS FOR TABULATION, STATISTICAL ANALYSIS AND PUBLICATION</w:t>
      </w:r>
    </w:p>
    <w:p w:rsidR="00B93C04" w:rsidRPr="00FD2EBB" w14:paraId="3DACAC65" w14:textId="77777777">
      <w:pPr>
        <w:numPr>
          <w:ilvl w:val="12"/>
          <w:numId w:val="0"/>
        </w:numPr>
        <w:rPr>
          <w:rFonts w:asciiTheme="minorHAnsi" w:hAnsiTheme="minorHAnsi" w:cs="Arial"/>
          <w:bCs/>
          <w:sz w:val="22"/>
          <w:szCs w:val="22"/>
        </w:rPr>
      </w:pPr>
    </w:p>
    <w:p w:rsidR="00B93C04" w:rsidRPr="0045760E" w14:paraId="245E7E01" w14:textId="77777777">
      <w:pPr>
        <w:numPr>
          <w:ilvl w:val="12"/>
          <w:numId w:val="0"/>
        </w:numPr>
        <w:ind w:left="720"/>
        <w:rPr>
          <w:rFonts w:asciiTheme="minorHAnsi" w:hAnsiTheme="minorHAnsi" w:cs="Arial"/>
          <w:bCs/>
          <w:sz w:val="22"/>
          <w:szCs w:val="22"/>
        </w:rPr>
      </w:pPr>
      <w:r w:rsidRPr="0045760E">
        <w:rPr>
          <w:rFonts w:asciiTheme="minorHAnsi" w:hAnsiTheme="minorHAnsi" w:cs="Arial"/>
          <w:bCs/>
          <w:sz w:val="22"/>
          <w:szCs w:val="22"/>
        </w:rPr>
        <w:t>There are no plans for tabulation, statistical analysis and publication</w:t>
      </w:r>
      <w:r w:rsidRPr="0045760E">
        <w:rPr>
          <w:rFonts w:asciiTheme="minorHAnsi" w:hAnsiTheme="minorHAnsi" w:cs="Arial"/>
          <w:bCs/>
          <w:sz w:val="22"/>
          <w:szCs w:val="22"/>
        </w:rPr>
        <w:t>.</w:t>
      </w:r>
    </w:p>
    <w:p w:rsidR="00B93C04" w:rsidRPr="00FD2EBB" w14:paraId="5814A1A3" w14:textId="77777777">
      <w:pPr>
        <w:numPr>
          <w:ilvl w:val="12"/>
          <w:numId w:val="0"/>
        </w:numPr>
        <w:ind w:left="720"/>
        <w:rPr>
          <w:rFonts w:asciiTheme="minorHAnsi" w:hAnsiTheme="minorHAnsi" w:cs="Arial"/>
          <w:bCs/>
          <w:sz w:val="22"/>
          <w:szCs w:val="22"/>
        </w:rPr>
      </w:pPr>
    </w:p>
    <w:p w:rsidR="00B93C04" w:rsidRPr="00FD2EBB" w14:paraId="2A89C9AD" w14:textId="77777777">
      <w:pPr>
        <w:pStyle w:val="Level1"/>
        <w:numPr>
          <w:ilvl w:val="0"/>
          <w:numId w:val="1"/>
        </w:numPr>
        <w:tabs>
          <w:tab w:val="left" w:pos="720"/>
        </w:tabs>
        <w:ind w:left="720" w:hanging="720"/>
        <w:jc w:val="left"/>
        <w:rPr>
          <w:rFonts w:asciiTheme="minorHAnsi" w:hAnsiTheme="minorHAnsi" w:cs="Arial"/>
          <w:bCs/>
          <w:sz w:val="22"/>
          <w:szCs w:val="22"/>
        </w:rPr>
      </w:pPr>
      <w:r w:rsidRPr="00FD2EBB">
        <w:rPr>
          <w:rFonts w:asciiTheme="minorHAnsi" w:hAnsiTheme="minorHAnsi" w:cs="Arial"/>
          <w:bCs/>
          <w:sz w:val="22"/>
          <w:szCs w:val="22"/>
          <w:u w:val="single"/>
        </w:rPr>
        <w:t>REASONS WHY DISPLAYING THE OMB EXPIRATION DATE IS</w:t>
      </w:r>
      <w:r w:rsidRPr="00FD2EBB">
        <w:rPr>
          <w:rFonts w:asciiTheme="minorHAnsi" w:hAnsiTheme="minorHAnsi" w:cs="Arial"/>
          <w:bCs/>
          <w:sz w:val="22"/>
          <w:szCs w:val="22"/>
        </w:rPr>
        <w:t xml:space="preserve">      </w:t>
      </w:r>
      <w:r w:rsidRPr="00FD2EBB">
        <w:rPr>
          <w:rFonts w:asciiTheme="minorHAnsi" w:hAnsiTheme="minorHAnsi" w:cs="Arial"/>
          <w:bCs/>
          <w:sz w:val="22"/>
          <w:szCs w:val="22"/>
          <w:u w:val="single"/>
        </w:rPr>
        <w:t>INAPPROPRIATE</w:t>
      </w:r>
    </w:p>
    <w:p w:rsidR="00B93C04" w:rsidRPr="00FD2EBB" w14:paraId="030AB510" w14:textId="77777777">
      <w:pPr>
        <w:numPr>
          <w:ilvl w:val="12"/>
          <w:numId w:val="0"/>
        </w:numPr>
        <w:rPr>
          <w:rFonts w:asciiTheme="minorHAnsi" w:hAnsiTheme="minorHAnsi" w:cs="Arial"/>
          <w:bCs/>
          <w:sz w:val="22"/>
          <w:szCs w:val="22"/>
        </w:rPr>
      </w:pPr>
    </w:p>
    <w:p w:rsidR="00B93C04" w:rsidRPr="0045760E" w14:paraId="4CD0D7AA" w14:textId="40D4B119">
      <w:pPr>
        <w:numPr>
          <w:ilvl w:val="12"/>
          <w:numId w:val="0"/>
        </w:numPr>
        <w:ind w:left="720"/>
        <w:rPr>
          <w:rFonts w:asciiTheme="minorHAnsi" w:hAnsiTheme="minorHAnsi" w:cs="Arial"/>
          <w:bCs/>
          <w:sz w:val="22"/>
          <w:szCs w:val="22"/>
        </w:rPr>
      </w:pPr>
      <w:r w:rsidRPr="0045760E">
        <w:rPr>
          <w:rFonts w:asciiTheme="minorHAnsi" w:hAnsiTheme="minorHAnsi" w:cs="Arial"/>
          <w:bCs/>
          <w:sz w:val="22"/>
          <w:szCs w:val="22"/>
        </w:rPr>
        <w:t>The IRS</w:t>
      </w:r>
      <w:r w:rsidRPr="0045760E">
        <w:rPr>
          <w:rFonts w:asciiTheme="minorHAnsi" w:hAnsiTheme="minorHAnsi" w:cs="Arial"/>
          <w:bCs/>
          <w:sz w:val="22"/>
          <w:szCs w:val="22"/>
        </w:rPr>
        <w:t xml:space="preserve"> believe</w:t>
      </w:r>
      <w:r w:rsidRPr="0045760E" w:rsidR="0045760E">
        <w:rPr>
          <w:rFonts w:asciiTheme="minorHAnsi" w:hAnsiTheme="minorHAnsi" w:cs="Arial"/>
          <w:bCs/>
          <w:sz w:val="22"/>
          <w:szCs w:val="22"/>
        </w:rPr>
        <w:t>s</w:t>
      </w:r>
      <w:r w:rsidRPr="0045760E">
        <w:rPr>
          <w:rFonts w:asciiTheme="minorHAnsi" w:hAnsiTheme="minorHAnsi" w:cs="Arial"/>
          <w:bCs/>
          <w:sz w:val="22"/>
          <w:szCs w:val="22"/>
        </w:rPr>
        <w:t xml:space="preser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00B93C04" w:rsidRPr="00FD2EBB" w14:paraId="02EE7F16" w14:textId="77777777">
      <w:pPr>
        <w:numPr>
          <w:ilvl w:val="12"/>
          <w:numId w:val="0"/>
        </w:numPr>
        <w:rPr>
          <w:rFonts w:asciiTheme="minorHAnsi" w:hAnsiTheme="minorHAnsi" w:cs="Arial"/>
          <w:bCs/>
          <w:sz w:val="22"/>
          <w:szCs w:val="22"/>
        </w:rPr>
      </w:pPr>
    </w:p>
    <w:p w:rsidR="00B93C04" w:rsidRPr="00FD2EBB" w14:paraId="128E2FCF" w14:textId="77777777">
      <w:pPr>
        <w:pStyle w:val="Level1"/>
        <w:numPr>
          <w:ilvl w:val="0"/>
          <w:numId w:val="1"/>
        </w:numPr>
        <w:tabs>
          <w:tab w:val="left" w:pos="720"/>
        </w:tabs>
        <w:ind w:left="720" w:hanging="720"/>
        <w:jc w:val="left"/>
        <w:rPr>
          <w:rFonts w:asciiTheme="minorHAnsi" w:hAnsiTheme="minorHAnsi" w:cs="Arial"/>
          <w:bCs/>
          <w:sz w:val="22"/>
          <w:szCs w:val="22"/>
        </w:rPr>
      </w:pPr>
      <w:r w:rsidRPr="00FD2EBB">
        <w:rPr>
          <w:rFonts w:asciiTheme="minorHAnsi" w:hAnsiTheme="minorHAnsi" w:cs="Arial"/>
          <w:bCs/>
          <w:sz w:val="22"/>
          <w:szCs w:val="22"/>
          <w:u w:val="single"/>
        </w:rPr>
        <w:t>EXCEPTIONS TO THE CERTIFICATION STATEMENT</w:t>
      </w:r>
    </w:p>
    <w:p w:rsidR="00B93C04" w:rsidRPr="00FD2EBB" w14:paraId="73CCD03F" w14:textId="77777777">
      <w:pPr>
        <w:numPr>
          <w:ilvl w:val="12"/>
          <w:numId w:val="0"/>
        </w:numPr>
        <w:rPr>
          <w:rFonts w:asciiTheme="minorHAnsi" w:hAnsiTheme="minorHAnsi" w:cs="Arial"/>
          <w:bCs/>
          <w:sz w:val="22"/>
          <w:szCs w:val="22"/>
        </w:rPr>
      </w:pPr>
    </w:p>
    <w:p w:rsidR="00B93C04" w:rsidRPr="00C95D9F" w14:paraId="135DECA3" w14:textId="77777777">
      <w:pPr>
        <w:numPr>
          <w:ilvl w:val="12"/>
          <w:numId w:val="0"/>
        </w:numPr>
        <w:ind w:left="720"/>
        <w:rPr>
          <w:rFonts w:asciiTheme="minorHAnsi" w:hAnsiTheme="minorHAnsi" w:cs="Arial"/>
          <w:bCs/>
          <w:sz w:val="22"/>
          <w:szCs w:val="22"/>
        </w:rPr>
      </w:pPr>
      <w:r w:rsidRPr="00C95D9F">
        <w:rPr>
          <w:rFonts w:asciiTheme="minorHAnsi" w:hAnsiTheme="minorHAnsi" w:cs="Arial"/>
          <w:bCs/>
          <w:sz w:val="22"/>
          <w:szCs w:val="22"/>
        </w:rPr>
        <w:t>There are no exceptions to the certification statement</w:t>
      </w:r>
      <w:r w:rsidRPr="00C95D9F">
        <w:rPr>
          <w:rFonts w:asciiTheme="minorHAnsi" w:hAnsiTheme="minorHAnsi" w:cs="Arial"/>
          <w:bCs/>
          <w:sz w:val="22"/>
          <w:szCs w:val="22"/>
        </w:rPr>
        <w:t>.</w:t>
      </w:r>
    </w:p>
    <w:p w:rsidR="00B93C04" w:rsidRPr="00C95D9F" w14:paraId="154BE47C" w14:textId="77777777">
      <w:pPr>
        <w:numPr>
          <w:ilvl w:val="12"/>
          <w:numId w:val="0"/>
        </w:numPr>
        <w:rPr>
          <w:rFonts w:asciiTheme="minorHAnsi" w:hAnsiTheme="minorHAnsi" w:cs="Arial"/>
          <w:bCs/>
          <w:sz w:val="22"/>
          <w:szCs w:val="22"/>
        </w:rPr>
      </w:pPr>
    </w:p>
    <w:p w:rsidR="00B93C04" w:rsidRPr="00C95D9F" w:rsidP="006E4D9C" w14:paraId="1B893686" w14:textId="2806711B">
      <w:pPr>
        <w:numPr>
          <w:ilvl w:val="12"/>
          <w:numId w:val="0"/>
        </w:numPr>
        <w:ind w:left="288" w:right="144" w:hanging="288"/>
        <w:jc w:val="both"/>
        <w:rPr>
          <w:rFonts w:asciiTheme="minorHAnsi" w:hAnsiTheme="minorHAnsi" w:cs="Arial"/>
          <w:bCs/>
          <w:sz w:val="22"/>
          <w:szCs w:val="22"/>
        </w:rPr>
      </w:pPr>
      <w:r w:rsidRPr="00C95D9F">
        <w:rPr>
          <w:rFonts w:asciiTheme="minorHAnsi" w:hAnsiTheme="minorHAnsi" w:cs="Arial"/>
          <w:b/>
          <w:bCs/>
          <w:sz w:val="22"/>
          <w:szCs w:val="22"/>
        </w:rPr>
        <w:t xml:space="preserve">      </w:t>
      </w:r>
      <w:r w:rsidRPr="00C95D9F">
        <w:rPr>
          <w:rFonts w:asciiTheme="minorHAnsi" w:hAnsiTheme="minorHAnsi" w:cs="Arial"/>
          <w:b/>
          <w:bCs/>
          <w:sz w:val="22"/>
          <w:szCs w:val="22"/>
          <w:u w:val="single"/>
        </w:rPr>
        <w:t>Note</w:t>
      </w:r>
      <w:r w:rsidRPr="00C95D9F">
        <w:rPr>
          <w:rFonts w:asciiTheme="minorHAnsi" w:hAnsiTheme="minorHAnsi" w:cs="Arial"/>
          <w:bCs/>
          <w:sz w:val="22"/>
          <w:szCs w:val="22"/>
          <w:u w:val="single"/>
        </w:rPr>
        <w:t>:</w:t>
      </w:r>
      <w:r w:rsidRPr="00C95D9F" w:rsidR="00110B4D">
        <w:rPr>
          <w:rFonts w:asciiTheme="minorHAnsi" w:hAnsiTheme="minorHAnsi" w:cs="Arial"/>
          <w:bCs/>
          <w:sz w:val="22"/>
          <w:szCs w:val="22"/>
        </w:rPr>
        <w:t xml:space="preserve"> </w:t>
      </w:r>
      <w:r w:rsidRPr="00C95D9F" w:rsidR="00F439CD">
        <w:rPr>
          <w:rFonts w:asciiTheme="minorHAnsi" w:hAnsiTheme="minorHAnsi" w:cs="Arial"/>
          <w:bCs/>
          <w:sz w:val="22"/>
          <w:szCs w:val="22"/>
        </w:rPr>
        <w:t xml:space="preserve"> The following paragraph applies to </w:t>
      </w:r>
      <w:r w:rsidRPr="00C95D9F" w:rsidR="00F439CD">
        <w:rPr>
          <w:rFonts w:asciiTheme="minorHAnsi" w:hAnsiTheme="minorHAnsi" w:cs="Arial"/>
          <w:bCs/>
          <w:sz w:val="22"/>
          <w:szCs w:val="22"/>
        </w:rPr>
        <w:t>all of</w:t>
      </w:r>
      <w:r w:rsidRPr="00C95D9F" w:rsidR="00F439CD">
        <w:rPr>
          <w:rFonts w:asciiTheme="minorHAnsi" w:hAnsiTheme="minorHAnsi" w:cs="Arial"/>
          <w:bCs/>
          <w:sz w:val="22"/>
          <w:szCs w:val="22"/>
        </w:rPr>
        <w:t xml:space="preserve"> the collections of information in this submission: </w:t>
      </w:r>
    </w:p>
    <w:p w:rsidR="00B93C04" w:rsidRPr="00C95D9F" w:rsidP="00811C09" w14:paraId="79FD8579" w14:textId="77777777">
      <w:pPr>
        <w:numPr>
          <w:ilvl w:val="12"/>
          <w:numId w:val="0"/>
        </w:numPr>
        <w:ind w:firstLine="720"/>
        <w:rPr>
          <w:rFonts w:asciiTheme="minorHAnsi" w:hAnsiTheme="minorHAnsi" w:cs="Arial"/>
          <w:bCs/>
          <w:sz w:val="22"/>
          <w:szCs w:val="22"/>
        </w:rPr>
      </w:pPr>
    </w:p>
    <w:p w:rsidR="00B93C04" w:rsidRPr="00F439CD" w:rsidP="00F439CD" w14:paraId="0DF66826" w14:textId="06F44240">
      <w:pPr>
        <w:numPr>
          <w:ilvl w:val="12"/>
          <w:numId w:val="0"/>
        </w:numPr>
        <w:ind w:left="720" w:hanging="720"/>
        <w:rPr>
          <w:rFonts w:asciiTheme="minorHAnsi" w:hAnsiTheme="minorHAnsi" w:cs="Arial"/>
          <w:bCs/>
          <w:color w:val="4472C4" w:themeColor="accent1"/>
          <w:sz w:val="22"/>
          <w:szCs w:val="22"/>
        </w:rPr>
      </w:pPr>
      <w:r w:rsidRPr="00C95D9F">
        <w:rPr>
          <w:rFonts w:asciiTheme="minorHAnsi" w:hAnsiTheme="minorHAnsi" w:cs="Arial"/>
          <w:bCs/>
          <w:sz w:val="22"/>
          <w:szCs w:val="22"/>
        </w:rPr>
        <w:tab/>
        <w:t xml:space="preserve">An agency may not conduct or sponsor, and a person is not required to respond to, a collection </w:t>
      </w:r>
      <w:r w:rsidRPr="00C95D9F" w:rsidR="00F439CD">
        <w:rPr>
          <w:rFonts w:asciiTheme="minorHAnsi" w:hAnsiTheme="minorHAnsi" w:cs="Arial"/>
          <w:bCs/>
          <w:sz w:val="22"/>
          <w:szCs w:val="22"/>
        </w:rPr>
        <w:t xml:space="preserve">                                    </w:t>
      </w:r>
      <w:r w:rsidRPr="00C95D9F">
        <w:rPr>
          <w:rFonts w:asciiTheme="minorHAnsi" w:hAnsiTheme="minorHAnsi" w:cs="Arial"/>
          <w:bCs/>
          <w:sz w:val="22"/>
          <w:szCs w:val="22"/>
        </w:rPr>
        <w:t xml:space="preserve">of information unless the collection of information displays a valid OMB control number.  Books or records relating to a collection of information must be retained </w:t>
      </w:r>
      <w:r w:rsidRPr="00C95D9F">
        <w:rPr>
          <w:rFonts w:asciiTheme="minorHAnsi" w:hAnsiTheme="minorHAnsi" w:cs="Arial"/>
          <w:bCs/>
          <w:sz w:val="22"/>
          <w:szCs w:val="22"/>
        </w:rPr>
        <w:t>as long as</w:t>
      </w:r>
      <w:r w:rsidRPr="00C95D9F">
        <w:rPr>
          <w:rFonts w:asciiTheme="minorHAnsi" w:hAnsiTheme="minorHAnsi" w:cs="Arial"/>
          <w:bCs/>
          <w:sz w:val="22"/>
          <w:szCs w:val="22"/>
        </w:rPr>
        <w:t xml:space="preserve"> their contents may become material in the administration of any internal revenue law.  Generally, tax returns and tax return information are confidential, as required by 26 U.S.C. 6103</w:t>
      </w:r>
      <w:r w:rsidRPr="00F439CD">
        <w:rPr>
          <w:rFonts w:asciiTheme="minorHAnsi" w:hAnsiTheme="minorHAnsi" w:cs="Arial"/>
          <w:bCs/>
          <w:color w:val="4472C4" w:themeColor="accent1"/>
          <w:sz w:val="22"/>
          <w:szCs w:val="22"/>
        </w:rPr>
        <w:t>.</w:t>
      </w:r>
    </w:p>
    <w:sectPr>
      <w:type w:val="continuous"/>
      <w:pgSz w:w="12240" w:h="15840"/>
      <w:pgMar w:top="1350" w:right="1440" w:bottom="1440"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883" w14:paraId="2F217DD0" w14:textId="77777777">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fldChar w:fldCharType="end"/>
    </w:r>
  </w:p>
  <w:p w:rsidR="00312883" w14:paraId="32E455C0" w14:textId="77777777">
    <w:pP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883" w14:paraId="1A0C30B8" w14:textId="77777777">
    <w:pPr>
      <w:framePr w:wrap="notBeside" w:vAnchor="text" w:hAnchor="page" w:x="6022" w:y="-49"/>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sidR="001E480C">
      <w:rPr>
        <w:rFonts w:ascii="Arial" w:hAnsi="Arial" w:cs="Arial"/>
        <w:noProof/>
        <w:sz w:val="24"/>
        <w:szCs w:val="24"/>
      </w:rPr>
      <w:t>2</w:t>
    </w:r>
    <w:r>
      <w:rPr>
        <w:rFonts w:ascii="Arial" w:hAnsi="Arial" w:cs="Arial"/>
        <w:sz w:val="24"/>
        <w:szCs w:val="24"/>
      </w:rPr>
      <w:fldChar w:fldCharType="end"/>
    </w:r>
  </w:p>
  <w:p w:rsidR="00312883" w14:paraId="60B5C8E6" w14:textId="77777777">
    <w:pPr>
      <w:rPr>
        <w:sz w:val="24"/>
        <w:szCs w:val="24"/>
      </w:rPr>
    </w:pPr>
  </w:p>
  <w:p w:rsidR="00312883" w14:paraId="38E91964"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7D40AC"/>
    <w:multiLevelType w:val="singleLevel"/>
    <w:tmpl w:val="67000B9A"/>
    <w:lvl w:ilvl="0">
      <w:start w:val="1"/>
      <w:numFmt w:val="decimal"/>
      <w:lvlText w:val="%1."/>
      <w:legacy w:legacy="1" w:legacySpace="0" w:legacyIndent="1"/>
      <w:lvlJc w:val="left"/>
      <w:pPr>
        <w:ind w:left="271" w:hanging="1"/>
      </w:pPr>
      <w:rPr>
        <w:rFonts w:ascii="Arial" w:hAnsi="Arial" w:cs="Arial" w:hint="default"/>
      </w:rPr>
    </w:lvl>
  </w:abstractNum>
  <w:abstractNum w:abstractNumId="1">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0884404">
    <w:abstractNumId w:val="0"/>
  </w:num>
  <w:num w:numId="2" w16cid:durableId="1168249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04"/>
    <w:rsid w:val="00011756"/>
    <w:rsid w:val="00030C50"/>
    <w:rsid w:val="00110B4D"/>
    <w:rsid w:val="00156513"/>
    <w:rsid w:val="00161A72"/>
    <w:rsid w:val="001A118D"/>
    <w:rsid w:val="001B58B9"/>
    <w:rsid w:val="001D5D1D"/>
    <w:rsid w:val="001D6908"/>
    <w:rsid w:val="001E480C"/>
    <w:rsid w:val="001E7AA3"/>
    <w:rsid w:val="001F2D70"/>
    <w:rsid w:val="00233687"/>
    <w:rsid w:val="00257768"/>
    <w:rsid w:val="002B54F1"/>
    <w:rsid w:val="002C53FA"/>
    <w:rsid w:val="002E30E7"/>
    <w:rsid w:val="00312883"/>
    <w:rsid w:val="0037723B"/>
    <w:rsid w:val="00381D50"/>
    <w:rsid w:val="003E5DB9"/>
    <w:rsid w:val="003F7AE6"/>
    <w:rsid w:val="00400751"/>
    <w:rsid w:val="00422932"/>
    <w:rsid w:val="00433006"/>
    <w:rsid w:val="004529A5"/>
    <w:rsid w:val="0045752C"/>
    <w:rsid w:val="0045760E"/>
    <w:rsid w:val="00487ECF"/>
    <w:rsid w:val="004E3C8C"/>
    <w:rsid w:val="00502C58"/>
    <w:rsid w:val="00553128"/>
    <w:rsid w:val="0058778A"/>
    <w:rsid w:val="00592EF0"/>
    <w:rsid w:val="0065607E"/>
    <w:rsid w:val="00656DA7"/>
    <w:rsid w:val="00687521"/>
    <w:rsid w:val="00690A28"/>
    <w:rsid w:val="006C71D8"/>
    <w:rsid w:val="006D7186"/>
    <w:rsid w:val="006E4D9C"/>
    <w:rsid w:val="00717752"/>
    <w:rsid w:val="00724B12"/>
    <w:rsid w:val="00740765"/>
    <w:rsid w:val="0074587D"/>
    <w:rsid w:val="00747AA1"/>
    <w:rsid w:val="00766B64"/>
    <w:rsid w:val="007D7435"/>
    <w:rsid w:val="007E37B8"/>
    <w:rsid w:val="007E7758"/>
    <w:rsid w:val="007F1721"/>
    <w:rsid w:val="00811C09"/>
    <w:rsid w:val="00877F69"/>
    <w:rsid w:val="008B1220"/>
    <w:rsid w:val="008B7E77"/>
    <w:rsid w:val="008C107C"/>
    <w:rsid w:val="008D4D5A"/>
    <w:rsid w:val="00981B3F"/>
    <w:rsid w:val="009930CB"/>
    <w:rsid w:val="009C2D37"/>
    <w:rsid w:val="00A04928"/>
    <w:rsid w:val="00A049C3"/>
    <w:rsid w:val="00A42F85"/>
    <w:rsid w:val="00A912B1"/>
    <w:rsid w:val="00AD3527"/>
    <w:rsid w:val="00AE4F51"/>
    <w:rsid w:val="00AF335A"/>
    <w:rsid w:val="00B10D7E"/>
    <w:rsid w:val="00B27FA5"/>
    <w:rsid w:val="00B45AF4"/>
    <w:rsid w:val="00B716F7"/>
    <w:rsid w:val="00B93C04"/>
    <w:rsid w:val="00BA4CE7"/>
    <w:rsid w:val="00BC16DC"/>
    <w:rsid w:val="00BE5C50"/>
    <w:rsid w:val="00BF2F84"/>
    <w:rsid w:val="00BF7270"/>
    <w:rsid w:val="00C369E0"/>
    <w:rsid w:val="00C40CC4"/>
    <w:rsid w:val="00C56EC1"/>
    <w:rsid w:val="00C7207E"/>
    <w:rsid w:val="00C95D9F"/>
    <w:rsid w:val="00CB69D3"/>
    <w:rsid w:val="00CC7C0D"/>
    <w:rsid w:val="00D16A96"/>
    <w:rsid w:val="00D71FCD"/>
    <w:rsid w:val="00D8407B"/>
    <w:rsid w:val="00DA6E96"/>
    <w:rsid w:val="00DA72C8"/>
    <w:rsid w:val="00DB37BA"/>
    <w:rsid w:val="00DF0B81"/>
    <w:rsid w:val="00E97F95"/>
    <w:rsid w:val="00EE265D"/>
    <w:rsid w:val="00F439CD"/>
    <w:rsid w:val="00F854E0"/>
    <w:rsid w:val="00FD2EBB"/>
    <w:rsid w:val="00FD713F"/>
    <w:rsid w:val="00FF19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46C7CB"/>
  <w15:chartTrackingRefBased/>
  <w15:docId w15:val="{1C9E3FAE-D50A-44A4-B0AE-26929FEC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w:hAnsi="Courier"/>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SupportingStatementSTANDARDChar">
    <w:name w:val="Supporting Statement STANDARD Char"/>
    <w:link w:val="SupportingStatementSTANDARD"/>
    <w:locked/>
    <w:rsid w:val="0065607E"/>
    <w:rPr>
      <w:sz w:val="24"/>
      <w:szCs w:val="24"/>
    </w:rPr>
  </w:style>
  <w:style w:type="paragraph" w:customStyle="1" w:styleId="SupportingStatementSTANDARD">
    <w:name w:val="Supporting Statement STANDARD"/>
    <w:basedOn w:val="Normal"/>
    <w:link w:val="SupportingStatementSTANDARDChar"/>
    <w:qFormat/>
    <w:rsid w:val="0065607E"/>
    <w:pPr>
      <w:tabs>
        <w:tab w:val="left" w:pos="720"/>
      </w:tabs>
      <w:ind w:left="720" w:hanging="720"/>
    </w:pPr>
    <w:rPr>
      <w:rFonts w:ascii="Times New Roman" w:hAnsi="Times New Roman"/>
      <w:sz w:val="24"/>
      <w:szCs w:val="24"/>
    </w:rPr>
  </w:style>
  <w:style w:type="paragraph" w:styleId="BalloonText">
    <w:name w:val="Balloon Text"/>
    <w:basedOn w:val="Normal"/>
    <w:link w:val="BalloonTextChar"/>
    <w:rsid w:val="00FD2EBB"/>
    <w:rPr>
      <w:rFonts w:ascii="Segoe UI" w:hAnsi="Segoe UI" w:cs="Segoe UI"/>
      <w:sz w:val="18"/>
      <w:szCs w:val="18"/>
    </w:rPr>
  </w:style>
  <w:style w:type="character" w:customStyle="1" w:styleId="BalloonTextChar">
    <w:name w:val="Balloon Text Char"/>
    <w:basedOn w:val="DefaultParagraphFont"/>
    <w:link w:val="BalloonText"/>
    <w:rsid w:val="00FD2EBB"/>
    <w:rPr>
      <w:rFonts w:ascii="Segoe UI" w:hAnsi="Segoe UI" w:cs="Segoe UI"/>
      <w:sz w:val="18"/>
      <w:szCs w:val="18"/>
    </w:rPr>
  </w:style>
  <w:style w:type="table" w:styleId="TableGrid">
    <w:name w:val="Table Grid"/>
    <w:basedOn w:val="TableNormal"/>
    <w:uiPriority w:val="59"/>
    <w:rsid w:val="00877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0CB"/>
    <w:pPr>
      <w:widowControl/>
      <w:autoSpaceDE/>
      <w:autoSpaceDN/>
      <w:adjustRightInd/>
      <w:ind w:left="720"/>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1988F-9B63-4961-AB76-725BB4B85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4</Pages>
  <Words>1076</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Office of Chief Counsel</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Samuels Mayer R</dc:creator>
  <cp:lastModifiedBy>Covington Sara L</cp:lastModifiedBy>
  <cp:revision>9</cp:revision>
  <cp:lastPrinted>2004-04-08T21:23:00Z</cp:lastPrinted>
  <dcterms:created xsi:type="dcterms:W3CDTF">2023-12-12T18:36:00Z</dcterms:created>
  <dcterms:modified xsi:type="dcterms:W3CDTF">2024-05-02T16:12:00Z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940132595</vt:i4>
  </property>
  <property fmtid="{D5CDD505-2E9C-101B-9397-08002B2CF9AE}" pid="3" name="_AuthorEmail">
    <vt:lpwstr>Mayer.R.Samuels@irscounsel.treas.gov</vt:lpwstr>
  </property>
  <property fmtid="{D5CDD505-2E9C-101B-9397-08002B2CF9AE}" pid="4" name="_AuthorEmailDisplayName">
    <vt:lpwstr>Samuels Mayer R</vt:lpwstr>
  </property>
  <property fmtid="{D5CDD505-2E9C-101B-9397-08002B2CF9AE}" pid="5" name="_EmailSubject">
    <vt:lpwstr>Paperwork Reduction Act package for REG-153841-02</vt:lpwstr>
  </property>
  <property fmtid="{D5CDD505-2E9C-101B-9397-08002B2CF9AE}" pid="6" name="_ReviewingToolsShownOnce">
    <vt:lpwstr/>
  </property>
</Properties>
</file>