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787AC639"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B163A0">
        <w:rPr>
          <w:sz w:val="28"/>
        </w:rPr>
        <w:t>1670</w:t>
      </w:r>
      <w:r>
        <w:rPr>
          <w:sz w:val="28"/>
        </w:rPr>
        <w:t>-</w:t>
      </w:r>
      <w:r w:rsidR="00B163A0">
        <w:rPr>
          <w:sz w:val="28"/>
        </w:rPr>
        <w:t>0027</w:t>
      </w:r>
      <w:r>
        <w:rPr>
          <w:sz w:val="28"/>
        </w:rPr>
        <w:t>)</w:t>
      </w:r>
    </w:p>
    <w:p w:rsidRPr="00754941" w:rsidR="00754941" w:rsidP="00434E33" w:rsidRDefault="00DD2040" w14:paraId="704AB908" w14:textId="1F5EB2D3">
      <w:pPr>
        <w:rPr>
          <w:color w:val="FFFFFF" w:themeColor="background1"/>
        </w:rPr>
      </w:pPr>
      <w:r w:rsidRPr="00754941">
        <w:rPr>
          <w:b/>
          <w:noProof/>
          <w:color w:val="FFFFFF" w:themeColor="background1"/>
        </w:rPr>
        <mc:AlternateContent>
          <mc:Choice Requires="wps">
            <w:drawing>
              <wp:anchor distT="4294967295" distB="4294967295" distL="114300" distR="114300" simplePos="0" relativeHeight="251657728" behindDoc="0" locked="0" layoutInCell="0" allowOverlap="1" wp14:editId="5C456E27" wp14:anchorId="08F93A7C">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oel="http://schemas.microsoft.com/office/2019/extlst">
            <w:pict w14:anchorId="4B62A3AF">
              <v:line id="Line 3"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1.5pt" from="0,0" to="468pt,0" w14:anchorId="6B609F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754941" w:rsidR="005E714A">
        <w:rPr>
          <w:b/>
          <w:color w:val="FFFFFF" w:themeColor="background1"/>
        </w:rPr>
        <w:t>:</w:t>
      </w:r>
      <w:r w:rsidRPr="00754941" w:rsidR="005E714A">
        <w:rPr>
          <w:color w:val="FFFFFF" w:themeColor="background1"/>
        </w:rPr>
        <w:t xml:space="preserve">  </w:t>
      </w:r>
    </w:p>
    <w:p w:rsidR="00754941" w:rsidP="00434E33" w:rsidRDefault="00754941" w14:paraId="3A291118" w14:textId="726B746F">
      <w:r w:rsidRPr="00434E33">
        <w:rPr>
          <w:b/>
        </w:rPr>
        <w:t>TITLE O</w:t>
      </w:r>
      <w:r>
        <w:rPr>
          <w:b/>
        </w:rPr>
        <w:t>F INSTRUMENT:</w:t>
      </w:r>
    </w:p>
    <w:p w:rsidRPr="009239AA" w:rsidR="00E50293" w:rsidP="3707ED58" w:rsidRDefault="00B62A5D" w14:paraId="1913826E" w14:textId="62EA3758">
      <w:pPr>
        <w:rPr>
          <w:b/>
          <w:bCs/>
        </w:rPr>
      </w:pPr>
      <w:r>
        <w:t>CISA Exercise Participant</w:t>
      </w:r>
      <w:r w:rsidR="00436589">
        <w:t xml:space="preserve"> Survey</w:t>
      </w:r>
    </w:p>
    <w:p w:rsidR="005E714A" w:rsidRDefault="005E714A" w14:paraId="1C7F640B" w14:textId="77777777"/>
    <w:p w:rsidR="00754941" w:rsidP="008926F9" w:rsidRDefault="00F15956" w14:paraId="76A6727F" w14:textId="77777777">
      <w:pPr>
        <w:rPr>
          <w:b/>
        </w:rPr>
      </w:pPr>
      <w:r>
        <w:rPr>
          <w:b/>
        </w:rPr>
        <w:t>PURPOSE</w:t>
      </w:r>
      <w:r w:rsidRPr="009239AA">
        <w:rPr>
          <w:b/>
        </w:rPr>
        <w:t>:</w:t>
      </w:r>
      <w:r w:rsidRPr="009239AA" w:rsidR="00C14CC4">
        <w:rPr>
          <w:b/>
        </w:rPr>
        <w:t xml:space="preserve">  </w:t>
      </w:r>
    </w:p>
    <w:p w:rsidR="00B62A5D" w:rsidP="00B62A5D" w:rsidRDefault="00B62A5D" w14:paraId="4FB4E02C" w14:textId="77777777">
      <w:r>
        <w:t xml:space="preserve">The CISA Exercises program, established as a sub-division and executive sponsor for exercises in July 2019 as part of the CISA 2020 realignment, combines legacy programs from CISA’s Infrastructure Security Division (ISD) and Cybersecurity Division (CSD). CISA Exercises conducts cyber and physical exercises with government, sector, and international critical infrastructure owners and operators to enhance security and resilience of critical infrastructure. CISA Exercises also shares trends that inform CISA-wide development of risk mitigating resources. Exercise products include Tabletop Exercise Packages or National Exercises and associated planning and coordination meetings for each.  </w:t>
      </w:r>
      <w:proofErr w:type="gramStart"/>
      <w:r>
        <w:t>In order for</w:t>
      </w:r>
      <w:proofErr w:type="gramEnd"/>
      <w:r>
        <w:t xml:space="preserve"> CISA Exercises to understand behavior change of an organization and the impact of the exercise, the study team will collect data from exercise participants after they have participated in an exercise, to explore what actions they have taken and what barriers they have encountered.   </w:t>
      </w:r>
    </w:p>
    <w:p w:rsidR="00B62A5D" w:rsidP="00B62A5D" w:rsidRDefault="00B62A5D" w14:paraId="6908EA3F" w14:textId="77777777"/>
    <w:p w:rsidR="008010FA" w:rsidP="00BA3B17" w:rsidRDefault="00B62A5D" w14:paraId="21A0E766" w14:textId="153AFDFC">
      <w:r>
        <w:t>The CISA Exercises study team will use the surveys and in-depth interviews to measure the degree in which exercise customers are implementing recommended corrective actions identified through the exercise process, and, in cases where they are not, to better understand the major factors limiting corrective action implementation. The long-term outcome of increased preparedness and resilience is dependent upon the intermediate-term outcome of customers implementing corrective actions to address planning and capability gaps identified through the exercise process.  The results of the evaluation will inform CISA Exercises, other CISA capability-building programs, and CISA at-large about how best to leverage and improve upon its capability-building approaches.</w:t>
      </w:r>
    </w:p>
    <w:p w:rsidR="00B62A5D" w:rsidP="00BA3B17" w:rsidRDefault="00B62A5D" w14:paraId="53DDF99C" w14:textId="77777777"/>
    <w:p w:rsidR="00754941" w:rsidP="006F7E24" w:rsidRDefault="00434E33" w14:paraId="0333B2D0" w14:textId="77777777">
      <w:pPr>
        <w:pStyle w:val="Header"/>
        <w:tabs>
          <w:tab w:val="clear" w:pos="4320"/>
          <w:tab w:val="clear" w:pos="8640"/>
        </w:tabs>
      </w:pPr>
      <w:r w:rsidRPr="00434E33">
        <w:rPr>
          <w:b/>
        </w:rPr>
        <w:t>DESCRIPTION OF RESPONDENTS</w:t>
      </w:r>
      <w:r>
        <w:t xml:space="preserve">: </w:t>
      </w:r>
    </w:p>
    <w:p w:rsidR="00E26329" w:rsidP="006F7E24" w:rsidRDefault="008926F9" w14:paraId="28E33C31" w14:textId="6F3479E8">
      <w:pPr>
        <w:pStyle w:val="Header"/>
        <w:tabs>
          <w:tab w:val="clear" w:pos="4320"/>
          <w:tab w:val="clear" w:pos="8640"/>
        </w:tabs>
        <w:rPr>
          <w:b/>
        </w:rPr>
      </w:pPr>
      <w:r>
        <w:t xml:space="preserve">Survey participants will include </w:t>
      </w:r>
      <w:r w:rsidR="00ED7950">
        <w:t>s</w:t>
      </w:r>
      <w:r>
        <w:t xml:space="preserve">tate, local, tribal, </w:t>
      </w:r>
      <w:r w:rsidR="00F11B23">
        <w:t>territorial, and private sector</w:t>
      </w:r>
      <w:r>
        <w:t xml:space="preserve"> community partners</w:t>
      </w:r>
      <w:r w:rsidR="006147DB">
        <w:t xml:space="preserve"> </w:t>
      </w:r>
      <w:r>
        <w:t xml:space="preserve">who </w:t>
      </w:r>
      <w:r w:rsidR="00ED7950">
        <w:t>have participated in a</w:t>
      </w:r>
      <w:r>
        <w:t xml:space="preserve"> </w:t>
      </w:r>
      <w:r w:rsidR="005C15AA">
        <w:t>CISA</w:t>
      </w:r>
      <w:r w:rsidR="00ED7950">
        <w:t xml:space="preserve"> exercise</w:t>
      </w:r>
      <w:r>
        <w:t xml:space="preserve">. </w:t>
      </w:r>
    </w:p>
    <w:p w:rsidR="00E26329" w:rsidRDefault="00E26329" w14:paraId="3088E092" w14:textId="77777777">
      <w:pPr>
        <w:rPr>
          <w:b/>
        </w:rPr>
      </w:pPr>
    </w:p>
    <w:p w:rsidRPr="00F06866" w:rsidR="00F06866" w:rsidRDefault="00F06866" w14:paraId="0E1C006F" w14:textId="77777777">
      <w:pPr>
        <w:rPr>
          <w:b/>
        </w:rPr>
      </w:pPr>
      <w:r>
        <w:rPr>
          <w:b/>
        </w:rPr>
        <w:t>TYPE OF COLLECTION:</w:t>
      </w:r>
      <w:r w:rsidRPr="00F06866">
        <w:t xml:space="preserve"> (Check one)</w:t>
      </w:r>
    </w:p>
    <w:p w:rsidRPr="00434E33" w:rsidR="00441434" w:rsidP="0096108F" w:rsidRDefault="00441434" w14:paraId="6349490F" w14:textId="77777777">
      <w:pPr>
        <w:pStyle w:val="BodyTextIndent"/>
        <w:tabs>
          <w:tab w:val="left" w:pos="360"/>
        </w:tabs>
        <w:ind w:left="0"/>
        <w:rPr>
          <w:bCs/>
          <w:sz w:val="16"/>
          <w:szCs w:val="16"/>
        </w:rPr>
      </w:pPr>
    </w:p>
    <w:p w:rsidRPr="00F06866" w:rsidR="00F06866" w:rsidP="0096108F" w:rsidRDefault="0096108F" w14:paraId="0D84C122"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294F2D">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8F1F26B"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34EDCE22" w14:textId="46C284B6">
      <w:pPr>
        <w:pStyle w:val="BodyTextIndent"/>
        <w:tabs>
          <w:tab w:val="left" w:pos="360"/>
        </w:tabs>
        <w:ind w:left="0"/>
        <w:rPr>
          <w:bCs/>
          <w:sz w:val="24"/>
        </w:rPr>
      </w:pPr>
      <w:proofErr w:type="gramStart"/>
      <w:r>
        <w:rPr>
          <w:bCs/>
          <w:sz w:val="24"/>
        </w:rPr>
        <w:t>[</w:t>
      </w:r>
      <w:r w:rsidR="00294F2D">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p>
    <w:p w:rsidR="00434E33" w:rsidRDefault="00434E33" w14:paraId="2209D156" w14:textId="77777777">
      <w:pPr>
        <w:pStyle w:val="Header"/>
        <w:tabs>
          <w:tab w:val="clear" w:pos="4320"/>
          <w:tab w:val="clear" w:pos="8640"/>
        </w:tabs>
      </w:pPr>
    </w:p>
    <w:p w:rsidR="00CA2650" w:rsidRDefault="00441434" w14:paraId="6DB081B1" w14:textId="77777777">
      <w:pPr>
        <w:rPr>
          <w:b/>
        </w:rPr>
      </w:pPr>
      <w:r>
        <w:rPr>
          <w:b/>
        </w:rPr>
        <w:t>C</w:t>
      </w:r>
      <w:r w:rsidR="009C13B9">
        <w:rPr>
          <w:b/>
        </w:rPr>
        <w:t>ERTIFICATION:</w:t>
      </w:r>
    </w:p>
    <w:p w:rsidR="00441434" w:rsidRDefault="00441434" w14:paraId="276C5F02" w14:textId="77777777">
      <w:pPr>
        <w:rPr>
          <w:sz w:val="16"/>
          <w:szCs w:val="16"/>
        </w:rPr>
      </w:pPr>
    </w:p>
    <w:p w:rsidR="00754941" w:rsidP="008101A5" w:rsidRDefault="008101A5" w14:paraId="4FD1C4D6" w14:textId="77777777">
      <w:r>
        <w:t>I certify the following to be true:</w:t>
      </w:r>
    </w:p>
    <w:p w:rsidRPr="009C13B9" w:rsidR="008101A5" w:rsidP="008101A5" w:rsidRDefault="008101A5" w14:paraId="0385A560" w14:textId="6A8372A3">
      <w:r>
        <w:t xml:space="preserve"> </w:t>
      </w:r>
    </w:p>
    <w:p w:rsidR="008101A5" w:rsidP="008101A5" w:rsidRDefault="008101A5" w14:paraId="3925F897" w14:textId="77777777">
      <w:pPr>
        <w:pStyle w:val="ListParagraph"/>
        <w:numPr>
          <w:ilvl w:val="0"/>
          <w:numId w:val="15"/>
        </w:numPr>
      </w:pPr>
      <w:r>
        <w:t>The collection is voluntary.</w:t>
      </w:r>
      <w:r w:rsidRPr="00C14CC4">
        <w:t xml:space="preserve"> </w:t>
      </w:r>
    </w:p>
    <w:p w:rsidR="008101A5" w:rsidP="008101A5" w:rsidRDefault="008101A5" w14:paraId="00BE92D9" w14:textId="77777777">
      <w:pPr>
        <w:pStyle w:val="ListParagraph"/>
        <w:numPr>
          <w:ilvl w:val="0"/>
          <w:numId w:val="15"/>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2A144814" w14:textId="77777777">
      <w:pPr>
        <w:pStyle w:val="ListParagraph"/>
        <w:numPr>
          <w:ilvl w:val="0"/>
          <w:numId w:val="15"/>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71DF869" w14:textId="77777777">
      <w:pPr>
        <w:pStyle w:val="ListParagraph"/>
        <w:numPr>
          <w:ilvl w:val="0"/>
          <w:numId w:val="15"/>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03CFD4FD" w14:textId="77777777">
      <w:pPr>
        <w:pStyle w:val="ListParagraph"/>
        <w:numPr>
          <w:ilvl w:val="0"/>
          <w:numId w:val="15"/>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572A9ADE" w14:textId="77777777">
      <w:pPr>
        <w:pStyle w:val="ListParagraph"/>
        <w:numPr>
          <w:ilvl w:val="0"/>
          <w:numId w:val="15"/>
        </w:numPr>
      </w:pPr>
      <w:r>
        <w:t>The collection is targeted to the solicitation of opinions from respondents who have experience with the program or may have experience with the program in the future.</w:t>
      </w:r>
    </w:p>
    <w:p w:rsidR="009C13B9" w:rsidP="009C13B9" w:rsidRDefault="009C13B9" w14:paraId="18840FE4" w14:textId="77777777"/>
    <w:p w:rsidR="009C13B9" w:rsidP="009C13B9" w:rsidRDefault="009C13B9" w14:paraId="1D625E1E" w14:textId="283D898A">
      <w:r>
        <w:t>Name:</w:t>
      </w:r>
      <w:r w:rsidR="008926F9">
        <w:t xml:space="preserve"> </w:t>
      </w:r>
      <w:r w:rsidR="00B163A0">
        <w:t xml:space="preserve">/s/ </w:t>
      </w:r>
      <w:r w:rsidR="005F4F7B">
        <w:t xml:space="preserve">Mia Bruce and </w:t>
      </w:r>
      <w:r w:rsidR="006137E5">
        <w:t xml:space="preserve">Cammie </w:t>
      </w:r>
      <w:proofErr w:type="spellStart"/>
      <w:r w:rsidR="006137E5">
        <w:t>Chiarella</w:t>
      </w:r>
      <w:proofErr w:type="spellEnd"/>
    </w:p>
    <w:p w:rsidR="009C13B9" w:rsidP="009C13B9" w:rsidRDefault="009C13B9" w14:paraId="61C178E4" w14:textId="77777777">
      <w:pPr>
        <w:pStyle w:val="ListParagraph"/>
        <w:ind w:left="360"/>
      </w:pPr>
    </w:p>
    <w:p w:rsidR="009C13B9" w:rsidP="009C13B9" w:rsidRDefault="009C13B9" w14:paraId="06D61500" w14:textId="77777777">
      <w:r>
        <w:t>To assist review, please provide answers to the following question:</w:t>
      </w:r>
    </w:p>
    <w:p w:rsidR="009C13B9" w:rsidP="009C13B9" w:rsidRDefault="009C13B9" w14:paraId="5DF04A82" w14:textId="77777777">
      <w:pPr>
        <w:pStyle w:val="ListParagraph"/>
        <w:ind w:left="360"/>
      </w:pPr>
    </w:p>
    <w:p w:rsidRPr="00C86E91" w:rsidR="009C13B9" w:rsidP="00C86E91" w:rsidRDefault="00C86E91" w14:paraId="66674F31"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2455EF35" w14:textId="75BDEA88">
      <w:pPr>
        <w:pStyle w:val="ListParagraph"/>
        <w:numPr>
          <w:ilvl w:val="0"/>
          <w:numId w:val="19"/>
        </w:numPr>
      </w:pPr>
      <w:r>
        <w:t>Is</w:t>
      </w:r>
      <w:r w:rsidR="00237B48">
        <w:t xml:space="preserve"> personally identifiable information (PII) collected</w:t>
      </w:r>
      <w:r>
        <w:t xml:space="preserve">?  </w:t>
      </w:r>
      <w:r w:rsidR="009239AA">
        <w:t>[</w:t>
      </w:r>
      <w:r w:rsidR="00ED7950">
        <w:t>X</w:t>
      </w:r>
      <w:r w:rsidR="00C33672">
        <w:t xml:space="preserve">] </w:t>
      </w:r>
      <w:proofErr w:type="gramStart"/>
      <w:r w:rsidR="00C33672">
        <w:t>Yes  [</w:t>
      </w:r>
      <w:proofErr w:type="gramEnd"/>
      <w:r w:rsidR="00ED7950">
        <w:t xml:space="preserve">  </w:t>
      </w:r>
      <w:r w:rsidR="009239AA">
        <w:t xml:space="preserve">]  No </w:t>
      </w:r>
    </w:p>
    <w:p w:rsidR="00C86E91" w:rsidP="00C86E91" w:rsidRDefault="009C13B9" w14:paraId="0FC68705" w14:textId="3455C04B">
      <w:pPr>
        <w:pStyle w:val="ListParagraph"/>
        <w:numPr>
          <w:ilvl w:val="0"/>
          <w:numId w:val="19"/>
        </w:numPr>
      </w:pPr>
      <w:r>
        <w:t xml:space="preserve">If </w:t>
      </w:r>
      <w:r w:rsidR="007872F4">
        <w:t>y</w:t>
      </w:r>
      <w:r w:rsidR="009239AA">
        <w:t>es,</w:t>
      </w:r>
      <w:r>
        <w:t xml:space="preserve"> </w:t>
      </w:r>
      <w:r w:rsidR="009239AA">
        <w:t xml:space="preserve">is the information that will be collected included in records that are subject to the Privacy Act of 1974?   </w:t>
      </w:r>
      <w:proofErr w:type="gramStart"/>
      <w:r w:rsidR="009239AA">
        <w:t>[</w:t>
      </w:r>
      <w:r w:rsidR="00013512">
        <w:t xml:space="preserve"> </w:t>
      </w:r>
      <w:r w:rsidR="009239AA">
        <w:t>]</w:t>
      </w:r>
      <w:proofErr w:type="gramEnd"/>
      <w:r w:rsidR="009239AA">
        <w:t xml:space="preserve"> Yes [</w:t>
      </w:r>
      <w:r w:rsidR="00013512">
        <w:t>X</w:t>
      </w:r>
      <w:r w:rsidR="009239AA">
        <w:t>] No</w:t>
      </w:r>
      <w:r w:rsidR="00C86E91">
        <w:t xml:space="preserve">   </w:t>
      </w:r>
    </w:p>
    <w:p w:rsidR="00C86E91" w:rsidP="00C86E91" w:rsidRDefault="00C86E91" w14:paraId="4E367839" w14:textId="508EEB51">
      <w:pPr>
        <w:pStyle w:val="ListParagraph"/>
        <w:numPr>
          <w:ilvl w:val="0"/>
          <w:numId w:val="19"/>
        </w:numPr>
      </w:pPr>
      <w:r>
        <w:t>If Applicable, has a System or Rec</w:t>
      </w:r>
      <w:r w:rsidR="00C030D5">
        <w:t xml:space="preserve">ords Notice been published?  </w:t>
      </w:r>
      <w:proofErr w:type="gramStart"/>
      <w:r w:rsidR="00C030D5">
        <w:t>[</w:t>
      </w:r>
      <w:r w:rsidR="00013512">
        <w:t xml:space="preserve"> </w:t>
      </w:r>
      <w:r w:rsidR="00C030D5">
        <w:t>]</w:t>
      </w:r>
      <w:proofErr w:type="gramEnd"/>
      <w:r w:rsidR="00C030D5">
        <w:t xml:space="preserve"> Yes  [</w:t>
      </w:r>
      <w:r w:rsidR="00013512">
        <w:t>X</w:t>
      </w:r>
      <w:r>
        <w:t>] No</w:t>
      </w:r>
    </w:p>
    <w:p w:rsidR="008926F9" w:rsidP="00C86E91" w:rsidRDefault="008926F9" w14:paraId="1AAEFF65" w14:textId="77777777">
      <w:pPr>
        <w:pStyle w:val="ListParagraph"/>
        <w:ind w:left="0"/>
        <w:rPr>
          <w:b/>
        </w:rPr>
      </w:pPr>
    </w:p>
    <w:p w:rsidRPr="00C86E91" w:rsidR="00C86E91" w:rsidP="00C86E91" w:rsidRDefault="00CB1078" w14:paraId="4688939E" w14:textId="77777777">
      <w:pPr>
        <w:pStyle w:val="ListParagraph"/>
        <w:ind w:left="0"/>
        <w:rPr>
          <w:b/>
        </w:rPr>
      </w:pPr>
      <w:r>
        <w:rPr>
          <w:b/>
        </w:rPr>
        <w:t>Gifts or Payments</w:t>
      </w:r>
      <w:r w:rsidR="00C86E91">
        <w:rPr>
          <w:b/>
        </w:rPr>
        <w:t>:</w:t>
      </w:r>
    </w:p>
    <w:p w:rsidR="00C86E91" w:rsidP="00C86E91" w:rsidRDefault="00C86E91" w14:paraId="0093EAA5" w14:textId="77777777">
      <w:r>
        <w:t xml:space="preserve">Is an incentive (e.g., money or reimbursement of expenses, token of appreciation) provided to participants?  </w:t>
      </w:r>
      <w:proofErr w:type="gramStart"/>
      <w:r>
        <w:t>[  ]</w:t>
      </w:r>
      <w:proofErr w:type="gramEnd"/>
      <w:r>
        <w:t xml:space="preserve"> Yes [</w:t>
      </w:r>
      <w:r w:rsidR="007872F4">
        <w:t>X</w:t>
      </w:r>
      <w:r>
        <w:t xml:space="preserve">] No  </w:t>
      </w:r>
    </w:p>
    <w:p w:rsidR="004D6E14" w:rsidRDefault="004D6E14" w14:paraId="459D720A" w14:textId="77777777">
      <w:pPr>
        <w:rPr>
          <w:b/>
        </w:rPr>
      </w:pPr>
    </w:p>
    <w:p w:rsidRPr="00483A64" w:rsidR="005E714A" w:rsidP="00C86E91" w:rsidRDefault="005E714A" w14:paraId="442CC905" w14:textId="77777777">
      <w:pPr>
        <w:rPr>
          <w:i/>
        </w:rPr>
      </w:pPr>
      <w:r w:rsidRPr="00483A64">
        <w:rPr>
          <w:b/>
        </w:rPr>
        <w:t>BURDEN HOUR</w:t>
      </w:r>
      <w:r w:rsidRPr="00483A64" w:rsidR="00441434">
        <w:rPr>
          <w:b/>
        </w:rPr>
        <w:t>S</w:t>
      </w:r>
      <w:r w:rsidRPr="00483A64">
        <w:t xml:space="preserve"> </w:t>
      </w:r>
    </w:p>
    <w:tbl>
      <w:tblPr>
        <w:tblW w:w="9900" w:type="dxa"/>
        <w:tblInd w:w="-5" w:type="dxa"/>
        <w:tblLayout w:type="fixed"/>
        <w:tblLook w:val="04A0" w:firstRow="1" w:lastRow="0" w:firstColumn="1" w:lastColumn="0" w:noHBand="0" w:noVBand="1"/>
      </w:tblPr>
      <w:tblGrid>
        <w:gridCol w:w="1325"/>
        <w:gridCol w:w="1555"/>
        <w:gridCol w:w="1350"/>
        <w:gridCol w:w="1350"/>
        <w:gridCol w:w="990"/>
        <w:gridCol w:w="1800"/>
        <w:gridCol w:w="1530"/>
      </w:tblGrid>
      <w:tr w:rsidR="00ED7950" w:rsidTr="005A642E" w14:paraId="5B581DA1" w14:textId="77777777">
        <w:trPr>
          <w:trHeight w:val="975"/>
        </w:trPr>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rsidR="00ED7950" w:rsidP="005A642E" w:rsidRDefault="00ED7950" w14:paraId="1C330CCD" w14:textId="77777777">
            <w:pPr>
              <w:spacing w:line="259" w:lineRule="auto"/>
              <w:jc w:val="center"/>
              <w:rPr>
                <w:b/>
                <w:bCs/>
                <w:color w:val="000000" w:themeColor="text1"/>
                <w:sz w:val="22"/>
                <w:szCs w:val="22"/>
              </w:rPr>
            </w:pPr>
            <w:r w:rsidRPr="1EB2EB1D">
              <w:rPr>
                <w:b/>
                <w:bCs/>
                <w:color w:val="000000" w:themeColor="text1"/>
                <w:sz w:val="22"/>
                <w:szCs w:val="22"/>
              </w:rPr>
              <w:t>Instrument</w:t>
            </w:r>
          </w:p>
        </w:tc>
        <w:tc>
          <w:tcPr>
            <w:tcW w:w="1555" w:type="dxa"/>
            <w:tcBorders>
              <w:top w:val="single" w:color="auto" w:sz="4" w:space="0"/>
              <w:left w:val="nil"/>
              <w:bottom w:val="single" w:color="auto" w:sz="4" w:space="0"/>
              <w:right w:val="single" w:color="auto" w:sz="4" w:space="0"/>
            </w:tcBorders>
            <w:shd w:val="clear" w:color="auto" w:fill="auto"/>
            <w:vAlign w:val="center"/>
            <w:hideMark/>
          </w:tcPr>
          <w:p w:rsidRPr="007775C8" w:rsidR="00ED7950" w:rsidP="005A642E" w:rsidRDefault="00ED7950" w14:paraId="6D7EDF53" w14:textId="77777777">
            <w:pPr>
              <w:jc w:val="center"/>
              <w:rPr>
                <w:b/>
                <w:bCs/>
                <w:color w:val="000000"/>
                <w:sz w:val="22"/>
                <w:szCs w:val="22"/>
              </w:rPr>
            </w:pPr>
            <w:r w:rsidRPr="1EB2EB1D">
              <w:rPr>
                <w:b/>
                <w:bCs/>
                <w:color w:val="000000" w:themeColor="text1"/>
                <w:sz w:val="22"/>
                <w:szCs w:val="22"/>
              </w:rPr>
              <w:t>Total Annual   Number of Respondents</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7775C8" w:rsidR="00ED7950" w:rsidP="005A642E" w:rsidRDefault="00ED7950" w14:paraId="374A5E9A" w14:textId="77777777">
            <w:pPr>
              <w:jc w:val="center"/>
              <w:rPr>
                <w:b/>
                <w:color w:val="000000"/>
                <w:sz w:val="22"/>
              </w:rPr>
            </w:pPr>
            <w:r w:rsidRPr="007775C8">
              <w:rPr>
                <w:b/>
                <w:color w:val="000000"/>
                <w:sz w:val="22"/>
              </w:rPr>
              <w:t xml:space="preserve">Number of Responses per </w:t>
            </w:r>
          </w:p>
          <w:p w:rsidRPr="007775C8" w:rsidR="00ED7950" w:rsidP="005A642E" w:rsidRDefault="00ED7950" w14:paraId="3B1BFFB4" w14:textId="77777777">
            <w:pPr>
              <w:jc w:val="center"/>
              <w:rPr>
                <w:b/>
                <w:color w:val="000000"/>
                <w:sz w:val="22"/>
              </w:rPr>
            </w:pPr>
            <w:r w:rsidRPr="007775C8">
              <w:rPr>
                <w:b/>
                <w:color w:val="000000"/>
                <w:sz w:val="22"/>
              </w:rPr>
              <w:t>Respondent</w:t>
            </w:r>
          </w:p>
        </w:tc>
        <w:tc>
          <w:tcPr>
            <w:tcW w:w="1350" w:type="dxa"/>
            <w:tcBorders>
              <w:top w:val="single" w:color="auto" w:sz="4" w:space="0"/>
              <w:left w:val="nil"/>
              <w:bottom w:val="single" w:color="auto" w:sz="4" w:space="0"/>
              <w:right w:val="single" w:color="auto" w:sz="4" w:space="0"/>
            </w:tcBorders>
            <w:shd w:val="clear" w:color="auto" w:fill="auto"/>
            <w:vAlign w:val="center"/>
            <w:hideMark/>
          </w:tcPr>
          <w:p w:rsidRPr="007775C8" w:rsidR="00ED7950" w:rsidP="005A642E" w:rsidRDefault="00ED7950" w14:paraId="3C2D7A5A" w14:textId="77777777">
            <w:pPr>
              <w:jc w:val="center"/>
              <w:rPr>
                <w:b/>
                <w:color w:val="000000"/>
                <w:sz w:val="22"/>
              </w:rPr>
            </w:pPr>
            <w:r w:rsidRPr="007775C8">
              <w:rPr>
                <w:b/>
                <w:color w:val="000000"/>
                <w:sz w:val="22"/>
              </w:rPr>
              <w:t>Average Burden per Response (hours)</w:t>
            </w:r>
          </w:p>
        </w:tc>
        <w:tc>
          <w:tcPr>
            <w:tcW w:w="990" w:type="dxa"/>
            <w:tcBorders>
              <w:top w:val="single" w:color="auto" w:sz="4" w:space="0"/>
              <w:left w:val="nil"/>
              <w:bottom w:val="single" w:color="auto" w:sz="4" w:space="0"/>
              <w:right w:val="single" w:color="auto" w:sz="4" w:space="0"/>
            </w:tcBorders>
            <w:shd w:val="clear" w:color="auto" w:fill="auto"/>
            <w:vAlign w:val="center"/>
            <w:hideMark/>
          </w:tcPr>
          <w:p w:rsidRPr="007775C8" w:rsidR="00ED7950" w:rsidP="005A642E" w:rsidRDefault="00ED7950" w14:paraId="37BB9FFE" w14:textId="77777777">
            <w:pPr>
              <w:jc w:val="center"/>
              <w:rPr>
                <w:b/>
                <w:color w:val="000000"/>
                <w:sz w:val="22"/>
              </w:rPr>
            </w:pPr>
            <w:r w:rsidRPr="007775C8">
              <w:rPr>
                <w:b/>
                <w:color w:val="000000"/>
                <w:sz w:val="22"/>
              </w:rPr>
              <w:t>Total Time Burden (hours)</w:t>
            </w:r>
          </w:p>
        </w:tc>
        <w:tc>
          <w:tcPr>
            <w:tcW w:w="1800" w:type="dxa"/>
            <w:tcBorders>
              <w:top w:val="single" w:color="auto" w:sz="4" w:space="0"/>
              <w:left w:val="nil"/>
              <w:bottom w:val="single" w:color="auto" w:sz="4" w:space="0"/>
              <w:right w:val="single" w:color="auto" w:sz="4" w:space="0"/>
            </w:tcBorders>
            <w:shd w:val="clear" w:color="auto" w:fill="auto"/>
            <w:vAlign w:val="center"/>
            <w:hideMark/>
          </w:tcPr>
          <w:p w:rsidRPr="007775C8" w:rsidR="00ED7950" w:rsidP="005A642E" w:rsidRDefault="00ED7950" w14:paraId="33F5B030" w14:textId="77777777">
            <w:pPr>
              <w:jc w:val="center"/>
              <w:rPr>
                <w:b/>
                <w:color w:val="000000"/>
                <w:sz w:val="22"/>
              </w:rPr>
            </w:pPr>
            <w:r w:rsidRPr="007775C8">
              <w:rPr>
                <w:b/>
                <w:color w:val="000000"/>
                <w:sz w:val="22"/>
              </w:rPr>
              <w:t>Average Hourly Compensation</w:t>
            </w:r>
          </w:p>
          <w:p w:rsidRPr="007775C8" w:rsidR="00ED7950" w:rsidP="005A642E" w:rsidRDefault="00ED7950" w14:paraId="7374DDE7" w14:textId="77777777">
            <w:pPr>
              <w:jc w:val="center"/>
              <w:rPr>
                <w:b/>
                <w:color w:val="000000"/>
                <w:sz w:val="22"/>
              </w:rPr>
            </w:pPr>
            <w:r w:rsidRPr="007775C8">
              <w:rPr>
                <w:b/>
                <w:color w:val="000000"/>
                <w:sz w:val="22"/>
              </w:rPr>
              <w:t>Rate</w:t>
            </w:r>
          </w:p>
        </w:tc>
        <w:tc>
          <w:tcPr>
            <w:tcW w:w="1530" w:type="dxa"/>
            <w:tcBorders>
              <w:top w:val="single" w:color="auto" w:sz="4" w:space="0"/>
              <w:left w:val="nil"/>
              <w:bottom w:val="single" w:color="auto" w:sz="4" w:space="0"/>
              <w:right w:val="single" w:color="auto" w:sz="4" w:space="0"/>
            </w:tcBorders>
            <w:shd w:val="clear" w:color="auto" w:fill="auto"/>
            <w:vAlign w:val="center"/>
            <w:hideMark/>
          </w:tcPr>
          <w:p w:rsidRPr="007775C8" w:rsidR="00ED7950" w:rsidP="005A642E" w:rsidRDefault="00ED7950" w14:paraId="6571D729" w14:textId="77777777">
            <w:pPr>
              <w:jc w:val="center"/>
              <w:rPr>
                <w:b/>
                <w:bCs/>
                <w:color w:val="000000"/>
                <w:sz w:val="22"/>
                <w:szCs w:val="22"/>
              </w:rPr>
            </w:pPr>
            <w:r w:rsidRPr="1EB2EB1D">
              <w:rPr>
                <w:b/>
                <w:bCs/>
                <w:color w:val="000000" w:themeColor="text1"/>
                <w:sz w:val="22"/>
                <w:szCs w:val="22"/>
              </w:rPr>
              <w:t>Total Annual Cost</w:t>
            </w:r>
          </w:p>
        </w:tc>
      </w:tr>
      <w:tr w:rsidR="00ED7950" w:rsidTr="005A642E" w14:paraId="5F644125" w14:textId="77777777">
        <w:trPr>
          <w:trHeight w:val="315"/>
        </w:trPr>
        <w:tc>
          <w:tcPr>
            <w:tcW w:w="1325" w:type="dxa"/>
            <w:tcBorders>
              <w:top w:val="single" w:color="auto" w:sz="4" w:space="0"/>
              <w:left w:val="single" w:color="auto" w:sz="4" w:space="0"/>
              <w:bottom w:val="single" w:color="auto" w:sz="4" w:space="0"/>
              <w:right w:val="single" w:color="auto" w:sz="4" w:space="0"/>
            </w:tcBorders>
            <w:shd w:val="clear" w:color="auto" w:fill="auto"/>
            <w:vAlign w:val="center"/>
          </w:tcPr>
          <w:p w:rsidR="00ED7950" w:rsidP="005A642E" w:rsidRDefault="00ED7950" w14:paraId="5E758C3E" w14:textId="77777777">
            <w:pPr>
              <w:jc w:val="center"/>
              <w:rPr>
                <w:color w:val="000000" w:themeColor="text1"/>
                <w:sz w:val="22"/>
                <w:szCs w:val="22"/>
              </w:rPr>
            </w:pPr>
            <w:r w:rsidRPr="1EB2EB1D">
              <w:rPr>
                <w:color w:val="000000" w:themeColor="text1"/>
                <w:sz w:val="22"/>
                <w:szCs w:val="22"/>
              </w:rPr>
              <w:t>Web Survey only</w:t>
            </w:r>
          </w:p>
        </w:tc>
        <w:tc>
          <w:tcPr>
            <w:tcW w:w="155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7775C8" w:rsidR="00ED7950" w:rsidP="005A642E" w:rsidRDefault="00ED7950" w14:paraId="5E920FCC" w14:textId="77777777">
            <w:pPr>
              <w:spacing w:line="259" w:lineRule="auto"/>
              <w:jc w:val="center"/>
            </w:pPr>
            <w:r w:rsidRPr="1EB2EB1D">
              <w:rPr>
                <w:color w:val="000000" w:themeColor="text1"/>
                <w:sz w:val="22"/>
                <w:szCs w:val="22"/>
              </w:rPr>
              <w:t>70</w:t>
            </w:r>
          </w:p>
        </w:tc>
        <w:tc>
          <w:tcPr>
            <w:tcW w:w="1350" w:type="dxa"/>
            <w:tcBorders>
              <w:top w:val="single" w:color="auto" w:sz="4" w:space="0"/>
              <w:left w:val="nil"/>
              <w:bottom w:val="single" w:color="auto" w:sz="4" w:space="0"/>
              <w:right w:val="single" w:color="auto" w:sz="4" w:space="0"/>
            </w:tcBorders>
            <w:shd w:val="clear" w:color="auto" w:fill="auto"/>
            <w:noWrap/>
            <w:vAlign w:val="center"/>
            <w:hideMark/>
          </w:tcPr>
          <w:p w:rsidRPr="007775C8" w:rsidR="00ED7950" w:rsidP="005A642E" w:rsidRDefault="00ED7950" w14:paraId="2474E6D1" w14:textId="77777777">
            <w:pPr>
              <w:jc w:val="center"/>
              <w:rPr>
                <w:color w:val="000000"/>
                <w:sz w:val="22"/>
              </w:rPr>
            </w:pPr>
            <w:r>
              <w:rPr>
                <w:color w:val="000000"/>
                <w:sz w:val="22"/>
              </w:rPr>
              <w:t>1</w:t>
            </w:r>
          </w:p>
        </w:tc>
        <w:tc>
          <w:tcPr>
            <w:tcW w:w="1350" w:type="dxa"/>
            <w:tcBorders>
              <w:top w:val="single" w:color="auto" w:sz="4" w:space="0"/>
              <w:left w:val="nil"/>
              <w:bottom w:val="single" w:color="auto" w:sz="4" w:space="0"/>
              <w:right w:val="single" w:color="auto" w:sz="4" w:space="0"/>
            </w:tcBorders>
            <w:shd w:val="clear" w:color="auto" w:fill="auto"/>
            <w:noWrap/>
            <w:vAlign w:val="center"/>
            <w:hideMark/>
          </w:tcPr>
          <w:p w:rsidRPr="007775C8" w:rsidR="00ED7950" w:rsidP="005A642E" w:rsidRDefault="00ED7950" w14:paraId="33C7B45F" w14:textId="77777777">
            <w:pPr>
              <w:jc w:val="center"/>
              <w:rPr>
                <w:color w:val="000000"/>
                <w:sz w:val="22"/>
                <w:szCs w:val="22"/>
              </w:rPr>
            </w:pPr>
            <w:r>
              <w:rPr>
                <w:color w:val="000000" w:themeColor="text1"/>
                <w:sz w:val="22"/>
                <w:szCs w:val="22"/>
              </w:rPr>
              <w:t>0.17</w:t>
            </w:r>
          </w:p>
        </w:tc>
        <w:tc>
          <w:tcPr>
            <w:tcW w:w="990" w:type="dxa"/>
            <w:tcBorders>
              <w:top w:val="single" w:color="auto" w:sz="4" w:space="0"/>
              <w:left w:val="nil"/>
              <w:bottom w:val="single" w:color="auto" w:sz="4" w:space="0"/>
              <w:right w:val="single" w:color="auto" w:sz="4" w:space="0"/>
            </w:tcBorders>
            <w:shd w:val="clear" w:color="auto" w:fill="auto"/>
            <w:noWrap/>
            <w:vAlign w:val="center"/>
            <w:hideMark/>
          </w:tcPr>
          <w:p w:rsidRPr="007775C8" w:rsidR="00ED7950" w:rsidP="005A642E" w:rsidRDefault="00ED7950" w14:paraId="0F5F6F31" w14:textId="77777777">
            <w:pPr>
              <w:jc w:val="center"/>
              <w:rPr>
                <w:color w:val="000000"/>
                <w:sz w:val="22"/>
                <w:szCs w:val="22"/>
              </w:rPr>
            </w:pPr>
            <w:r>
              <w:rPr>
                <w:color w:val="000000" w:themeColor="text1"/>
                <w:sz w:val="22"/>
                <w:szCs w:val="22"/>
              </w:rPr>
              <w:t>11.67</w:t>
            </w:r>
          </w:p>
        </w:tc>
        <w:tc>
          <w:tcPr>
            <w:tcW w:w="1800" w:type="dxa"/>
            <w:tcBorders>
              <w:top w:val="single" w:color="auto" w:sz="4" w:space="0"/>
              <w:left w:val="nil"/>
              <w:bottom w:val="single" w:color="auto" w:sz="4" w:space="0"/>
              <w:right w:val="single" w:color="auto" w:sz="4" w:space="0"/>
            </w:tcBorders>
            <w:shd w:val="clear" w:color="auto" w:fill="auto"/>
            <w:vAlign w:val="center"/>
            <w:hideMark/>
          </w:tcPr>
          <w:p w:rsidRPr="007775C8" w:rsidR="00ED7950" w:rsidP="005A642E" w:rsidRDefault="00ED7950" w14:paraId="5B3953A3" w14:textId="77777777">
            <w:pPr>
              <w:jc w:val="center"/>
              <w:rPr>
                <w:color w:val="000000"/>
                <w:sz w:val="22"/>
              </w:rPr>
            </w:pPr>
            <w:r>
              <w:rPr>
                <w:color w:val="000000"/>
                <w:sz w:val="22"/>
              </w:rPr>
              <w:t>$85.95</w:t>
            </w:r>
          </w:p>
        </w:tc>
        <w:tc>
          <w:tcPr>
            <w:tcW w:w="1530" w:type="dxa"/>
            <w:tcBorders>
              <w:top w:val="single" w:color="auto" w:sz="4" w:space="0"/>
              <w:left w:val="nil"/>
              <w:bottom w:val="single" w:color="auto" w:sz="4" w:space="0"/>
              <w:right w:val="single" w:color="auto" w:sz="4" w:space="0"/>
            </w:tcBorders>
            <w:shd w:val="clear" w:color="auto" w:fill="auto"/>
            <w:vAlign w:val="center"/>
            <w:hideMark/>
          </w:tcPr>
          <w:p w:rsidRPr="007775C8" w:rsidR="00ED7950" w:rsidP="005A642E" w:rsidRDefault="00ED7950" w14:paraId="414A6DD4" w14:textId="77777777">
            <w:pPr>
              <w:jc w:val="center"/>
              <w:rPr>
                <w:color w:val="000000"/>
                <w:sz w:val="22"/>
              </w:rPr>
            </w:pPr>
            <w:r>
              <w:rPr>
                <w:color w:val="000000"/>
                <w:sz w:val="22"/>
              </w:rPr>
              <w:t>$1,002.79</w:t>
            </w:r>
          </w:p>
        </w:tc>
      </w:tr>
      <w:tr w:rsidR="00ED7950" w:rsidTr="005A642E" w14:paraId="14E1CFDF" w14:textId="77777777">
        <w:trPr>
          <w:trHeight w:val="315"/>
        </w:trPr>
        <w:tc>
          <w:tcPr>
            <w:tcW w:w="1325" w:type="dxa"/>
            <w:tcBorders>
              <w:top w:val="nil"/>
              <w:left w:val="single" w:color="auto" w:sz="4" w:space="0"/>
              <w:bottom w:val="single" w:color="auto" w:sz="4" w:space="0"/>
              <w:right w:val="single" w:color="auto" w:sz="4" w:space="0"/>
            </w:tcBorders>
            <w:shd w:val="clear" w:color="auto" w:fill="auto"/>
            <w:vAlign w:val="center"/>
          </w:tcPr>
          <w:p w:rsidR="00ED7950" w:rsidP="005A642E" w:rsidRDefault="00ED7950" w14:paraId="24240E32" w14:textId="77777777">
            <w:pPr>
              <w:jc w:val="center"/>
              <w:rPr>
                <w:color w:val="000000" w:themeColor="text1"/>
                <w:sz w:val="22"/>
                <w:szCs w:val="22"/>
              </w:rPr>
            </w:pPr>
            <w:r w:rsidRPr="1EB2EB1D">
              <w:rPr>
                <w:color w:val="000000" w:themeColor="text1"/>
                <w:sz w:val="22"/>
                <w:szCs w:val="22"/>
              </w:rPr>
              <w:t>Web Survey &amp; In-depth Interview</w:t>
            </w:r>
          </w:p>
        </w:tc>
        <w:tc>
          <w:tcPr>
            <w:tcW w:w="1555" w:type="dxa"/>
            <w:tcBorders>
              <w:top w:val="nil"/>
              <w:left w:val="single" w:color="auto" w:sz="4" w:space="0"/>
              <w:bottom w:val="single" w:color="auto" w:sz="4" w:space="0"/>
              <w:right w:val="single" w:color="auto" w:sz="4" w:space="0"/>
            </w:tcBorders>
            <w:shd w:val="clear" w:color="auto" w:fill="auto"/>
            <w:noWrap/>
            <w:vAlign w:val="center"/>
            <w:hideMark/>
          </w:tcPr>
          <w:p w:rsidRPr="007775C8" w:rsidR="00ED7950" w:rsidP="005A642E" w:rsidRDefault="00ED7950" w14:paraId="16416145" w14:textId="77777777">
            <w:pPr>
              <w:jc w:val="center"/>
              <w:rPr>
                <w:color w:val="000000"/>
                <w:sz w:val="22"/>
                <w:szCs w:val="22"/>
              </w:rPr>
            </w:pPr>
            <w:r w:rsidRPr="1EB2EB1D">
              <w:rPr>
                <w:color w:val="000000" w:themeColor="text1"/>
                <w:sz w:val="22"/>
                <w:szCs w:val="22"/>
              </w:rPr>
              <w:t>30</w:t>
            </w:r>
          </w:p>
        </w:tc>
        <w:tc>
          <w:tcPr>
            <w:tcW w:w="1350" w:type="dxa"/>
            <w:tcBorders>
              <w:top w:val="nil"/>
              <w:left w:val="nil"/>
              <w:bottom w:val="single" w:color="auto" w:sz="4" w:space="0"/>
              <w:right w:val="single" w:color="auto" w:sz="4" w:space="0"/>
            </w:tcBorders>
            <w:shd w:val="clear" w:color="auto" w:fill="auto"/>
            <w:noWrap/>
            <w:vAlign w:val="center"/>
            <w:hideMark/>
          </w:tcPr>
          <w:p w:rsidRPr="007775C8" w:rsidR="00ED7950" w:rsidP="005A642E" w:rsidRDefault="00ED7950" w14:paraId="653D4405" w14:textId="77777777">
            <w:pPr>
              <w:jc w:val="center"/>
              <w:rPr>
                <w:color w:val="000000"/>
                <w:sz w:val="22"/>
              </w:rPr>
            </w:pPr>
            <w:r>
              <w:rPr>
                <w:color w:val="000000"/>
                <w:sz w:val="22"/>
              </w:rPr>
              <w:t>1</w:t>
            </w:r>
          </w:p>
        </w:tc>
        <w:tc>
          <w:tcPr>
            <w:tcW w:w="1350" w:type="dxa"/>
            <w:tcBorders>
              <w:top w:val="nil"/>
              <w:left w:val="nil"/>
              <w:bottom w:val="single" w:color="auto" w:sz="4" w:space="0"/>
              <w:right w:val="single" w:color="auto" w:sz="4" w:space="0"/>
            </w:tcBorders>
            <w:shd w:val="clear" w:color="auto" w:fill="auto"/>
            <w:noWrap/>
            <w:vAlign w:val="center"/>
            <w:hideMark/>
          </w:tcPr>
          <w:p w:rsidRPr="007775C8" w:rsidR="00ED7950" w:rsidP="005A642E" w:rsidRDefault="00ED7950" w14:paraId="7A67573E" w14:textId="77777777">
            <w:pPr>
              <w:jc w:val="center"/>
              <w:rPr>
                <w:color w:val="000000"/>
                <w:sz w:val="22"/>
                <w:szCs w:val="22"/>
              </w:rPr>
            </w:pPr>
            <w:r>
              <w:rPr>
                <w:color w:val="000000" w:themeColor="text1"/>
                <w:sz w:val="22"/>
                <w:szCs w:val="22"/>
              </w:rPr>
              <w:t>1.17</w:t>
            </w:r>
          </w:p>
        </w:tc>
        <w:tc>
          <w:tcPr>
            <w:tcW w:w="990" w:type="dxa"/>
            <w:tcBorders>
              <w:top w:val="nil"/>
              <w:left w:val="nil"/>
              <w:bottom w:val="single" w:color="auto" w:sz="4" w:space="0"/>
              <w:right w:val="single" w:color="auto" w:sz="4" w:space="0"/>
            </w:tcBorders>
            <w:shd w:val="clear" w:color="auto" w:fill="auto"/>
            <w:noWrap/>
            <w:vAlign w:val="center"/>
            <w:hideMark/>
          </w:tcPr>
          <w:p w:rsidRPr="007775C8" w:rsidR="00ED7950" w:rsidP="005A642E" w:rsidRDefault="00ED7950" w14:paraId="698AE726" w14:textId="77777777">
            <w:pPr>
              <w:jc w:val="center"/>
              <w:rPr>
                <w:color w:val="000000"/>
                <w:sz w:val="22"/>
                <w:szCs w:val="22"/>
              </w:rPr>
            </w:pPr>
            <w:r>
              <w:rPr>
                <w:color w:val="000000" w:themeColor="text1"/>
                <w:sz w:val="22"/>
                <w:szCs w:val="22"/>
              </w:rPr>
              <w:t>35</w:t>
            </w:r>
          </w:p>
        </w:tc>
        <w:tc>
          <w:tcPr>
            <w:tcW w:w="1800" w:type="dxa"/>
            <w:tcBorders>
              <w:top w:val="nil"/>
              <w:left w:val="nil"/>
              <w:bottom w:val="single" w:color="auto" w:sz="4" w:space="0"/>
              <w:right w:val="single" w:color="auto" w:sz="4" w:space="0"/>
            </w:tcBorders>
            <w:shd w:val="clear" w:color="auto" w:fill="auto"/>
            <w:vAlign w:val="center"/>
            <w:hideMark/>
          </w:tcPr>
          <w:p w:rsidRPr="007775C8" w:rsidR="00ED7950" w:rsidP="005A642E" w:rsidRDefault="00ED7950" w14:paraId="10D27FF0" w14:textId="77777777">
            <w:pPr>
              <w:jc w:val="center"/>
              <w:rPr>
                <w:color w:val="000000"/>
                <w:sz w:val="22"/>
              </w:rPr>
            </w:pPr>
            <w:r>
              <w:rPr>
                <w:color w:val="000000"/>
                <w:sz w:val="22"/>
              </w:rPr>
              <w:t>$85.95</w:t>
            </w:r>
          </w:p>
        </w:tc>
        <w:tc>
          <w:tcPr>
            <w:tcW w:w="1530" w:type="dxa"/>
            <w:tcBorders>
              <w:top w:val="nil"/>
              <w:left w:val="nil"/>
              <w:bottom w:val="single" w:color="auto" w:sz="4" w:space="0"/>
              <w:right w:val="single" w:color="auto" w:sz="4" w:space="0"/>
            </w:tcBorders>
            <w:shd w:val="clear" w:color="auto" w:fill="auto"/>
            <w:vAlign w:val="center"/>
            <w:hideMark/>
          </w:tcPr>
          <w:p w:rsidRPr="007775C8" w:rsidR="00ED7950" w:rsidP="005A642E" w:rsidRDefault="00ED7950" w14:paraId="7682D993" w14:textId="77777777">
            <w:pPr>
              <w:jc w:val="center"/>
              <w:rPr>
                <w:color w:val="000000"/>
                <w:sz w:val="22"/>
              </w:rPr>
            </w:pPr>
            <w:r>
              <w:rPr>
                <w:color w:val="000000"/>
                <w:sz w:val="22"/>
              </w:rPr>
              <w:t>$3,008.38</w:t>
            </w:r>
          </w:p>
        </w:tc>
      </w:tr>
      <w:tr w:rsidR="00ED7950" w:rsidTr="005A642E" w14:paraId="367B5D33" w14:textId="77777777">
        <w:trPr>
          <w:trHeight w:val="315"/>
        </w:trPr>
        <w:tc>
          <w:tcPr>
            <w:tcW w:w="1325" w:type="dxa"/>
            <w:tcBorders>
              <w:top w:val="nil"/>
              <w:left w:val="single" w:color="auto" w:sz="4" w:space="0"/>
              <w:bottom w:val="single" w:color="auto" w:sz="4" w:space="0"/>
              <w:right w:val="single" w:color="auto" w:sz="4" w:space="0"/>
            </w:tcBorders>
            <w:shd w:val="clear" w:color="auto" w:fill="auto"/>
            <w:vAlign w:val="center"/>
          </w:tcPr>
          <w:p w:rsidR="00ED7950" w:rsidP="005A642E" w:rsidRDefault="00ED7950" w14:paraId="35F04E0B" w14:textId="77777777">
            <w:pPr>
              <w:jc w:val="center"/>
              <w:rPr>
                <w:color w:val="000000" w:themeColor="text1"/>
                <w:sz w:val="22"/>
                <w:szCs w:val="22"/>
              </w:rPr>
            </w:pPr>
            <w:r w:rsidRPr="1EB2EB1D">
              <w:rPr>
                <w:color w:val="000000" w:themeColor="text1"/>
                <w:sz w:val="22"/>
                <w:szCs w:val="22"/>
              </w:rPr>
              <w:t xml:space="preserve"> Total</w:t>
            </w:r>
          </w:p>
        </w:tc>
        <w:tc>
          <w:tcPr>
            <w:tcW w:w="1555" w:type="dxa"/>
            <w:tcBorders>
              <w:top w:val="nil"/>
              <w:left w:val="single" w:color="auto" w:sz="4" w:space="0"/>
              <w:bottom w:val="single" w:color="auto" w:sz="4" w:space="0"/>
              <w:right w:val="single" w:color="auto" w:sz="4" w:space="0"/>
            </w:tcBorders>
            <w:shd w:val="clear" w:color="auto" w:fill="auto"/>
            <w:noWrap/>
            <w:vAlign w:val="center"/>
            <w:hideMark/>
          </w:tcPr>
          <w:p w:rsidRPr="007775C8" w:rsidR="00ED7950" w:rsidP="005A642E" w:rsidRDefault="00ED7950" w14:paraId="5EEEC008" w14:textId="77777777">
            <w:pPr>
              <w:jc w:val="center"/>
              <w:rPr>
                <w:color w:val="000000"/>
                <w:sz w:val="22"/>
              </w:rPr>
            </w:pPr>
            <w:r>
              <w:rPr>
                <w:color w:val="000000"/>
                <w:sz w:val="22"/>
              </w:rPr>
              <w:t>100</w:t>
            </w:r>
          </w:p>
        </w:tc>
        <w:tc>
          <w:tcPr>
            <w:tcW w:w="1350" w:type="dxa"/>
            <w:tcBorders>
              <w:top w:val="nil"/>
              <w:left w:val="nil"/>
              <w:bottom w:val="single" w:color="auto" w:sz="4" w:space="0"/>
              <w:right w:val="single" w:color="auto" w:sz="4" w:space="0"/>
            </w:tcBorders>
            <w:shd w:val="clear" w:color="auto" w:fill="auto"/>
            <w:noWrap/>
            <w:vAlign w:val="center"/>
            <w:hideMark/>
          </w:tcPr>
          <w:p w:rsidRPr="007775C8" w:rsidR="00ED7950" w:rsidP="005A642E" w:rsidRDefault="00ED7950" w14:paraId="0849CA0D" w14:textId="77777777">
            <w:pPr>
              <w:jc w:val="center"/>
              <w:rPr>
                <w:color w:val="000000"/>
                <w:sz w:val="22"/>
                <w:szCs w:val="22"/>
              </w:rPr>
            </w:pPr>
          </w:p>
        </w:tc>
        <w:tc>
          <w:tcPr>
            <w:tcW w:w="1350" w:type="dxa"/>
            <w:tcBorders>
              <w:top w:val="nil"/>
              <w:left w:val="nil"/>
              <w:bottom w:val="single" w:color="auto" w:sz="4" w:space="0"/>
              <w:right w:val="single" w:color="auto" w:sz="4" w:space="0"/>
            </w:tcBorders>
            <w:shd w:val="clear" w:color="auto" w:fill="auto"/>
            <w:noWrap/>
            <w:vAlign w:val="center"/>
            <w:hideMark/>
          </w:tcPr>
          <w:p w:rsidRPr="007775C8" w:rsidR="00ED7950" w:rsidP="005A642E" w:rsidRDefault="00ED7950" w14:paraId="11D911B8" w14:textId="77777777">
            <w:pPr>
              <w:jc w:val="center"/>
              <w:rPr>
                <w:color w:val="000000"/>
                <w:sz w:val="22"/>
                <w:szCs w:val="22"/>
              </w:rPr>
            </w:pPr>
            <w:r>
              <w:rPr>
                <w:color w:val="000000"/>
                <w:sz w:val="22"/>
                <w:szCs w:val="22"/>
              </w:rPr>
              <w:t> </w:t>
            </w:r>
          </w:p>
        </w:tc>
        <w:tc>
          <w:tcPr>
            <w:tcW w:w="990" w:type="dxa"/>
            <w:tcBorders>
              <w:top w:val="nil"/>
              <w:left w:val="nil"/>
              <w:bottom w:val="single" w:color="auto" w:sz="4" w:space="0"/>
              <w:right w:val="single" w:color="auto" w:sz="4" w:space="0"/>
            </w:tcBorders>
            <w:shd w:val="clear" w:color="auto" w:fill="auto"/>
            <w:noWrap/>
            <w:vAlign w:val="center"/>
            <w:hideMark/>
          </w:tcPr>
          <w:p w:rsidRPr="007775C8" w:rsidR="00ED7950" w:rsidP="005A642E" w:rsidRDefault="00ED7950" w14:paraId="4F896DC6" w14:textId="77777777">
            <w:pPr>
              <w:jc w:val="center"/>
              <w:rPr>
                <w:color w:val="000000"/>
                <w:sz w:val="22"/>
                <w:szCs w:val="22"/>
              </w:rPr>
            </w:pPr>
            <w:r>
              <w:rPr>
                <w:color w:val="000000"/>
                <w:sz w:val="22"/>
                <w:szCs w:val="22"/>
              </w:rPr>
              <w:t>46.67</w:t>
            </w:r>
          </w:p>
        </w:tc>
        <w:tc>
          <w:tcPr>
            <w:tcW w:w="1800" w:type="dxa"/>
            <w:tcBorders>
              <w:top w:val="nil"/>
              <w:left w:val="nil"/>
              <w:bottom w:val="single" w:color="auto" w:sz="4" w:space="0"/>
              <w:right w:val="single" w:color="auto" w:sz="4" w:space="0"/>
            </w:tcBorders>
            <w:shd w:val="clear" w:color="auto" w:fill="auto"/>
            <w:vAlign w:val="center"/>
            <w:hideMark/>
          </w:tcPr>
          <w:p w:rsidRPr="007775C8" w:rsidR="00ED7950" w:rsidP="005A642E" w:rsidRDefault="00ED7950" w14:paraId="66452C07" w14:textId="77777777">
            <w:pPr>
              <w:jc w:val="center"/>
              <w:rPr>
                <w:color w:val="000000"/>
                <w:sz w:val="22"/>
              </w:rPr>
            </w:pPr>
            <w:r>
              <w:rPr>
                <w:color w:val="000000"/>
                <w:sz w:val="22"/>
                <w:szCs w:val="22"/>
              </w:rPr>
              <w:t> </w:t>
            </w:r>
          </w:p>
        </w:tc>
        <w:tc>
          <w:tcPr>
            <w:tcW w:w="1530" w:type="dxa"/>
            <w:tcBorders>
              <w:top w:val="nil"/>
              <w:left w:val="nil"/>
              <w:bottom w:val="single" w:color="auto" w:sz="4" w:space="0"/>
              <w:right w:val="single" w:color="auto" w:sz="4" w:space="0"/>
            </w:tcBorders>
            <w:shd w:val="clear" w:color="auto" w:fill="auto"/>
            <w:vAlign w:val="center"/>
            <w:hideMark/>
          </w:tcPr>
          <w:p w:rsidRPr="007775C8" w:rsidR="00ED7950" w:rsidP="005A642E" w:rsidRDefault="00ED7950" w14:paraId="06B7065A" w14:textId="77777777">
            <w:pPr>
              <w:jc w:val="center"/>
              <w:rPr>
                <w:color w:val="000000"/>
                <w:sz w:val="22"/>
              </w:rPr>
            </w:pPr>
            <w:r>
              <w:rPr>
                <w:color w:val="000000"/>
                <w:sz w:val="22"/>
              </w:rPr>
              <w:t>$4,011.18</w:t>
            </w:r>
          </w:p>
        </w:tc>
      </w:tr>
    </w:tbl>
    <w:p w:rsidR="006832D9" w:rsidP="00F3170F" w:rsidRDefault="006832D9" w14:paraId="05288C87" w14:textId="502B153C">
      <w:pPr>
        <w:keepNext/>
        <w:keepLines/>
        <w:rPr>
          <w:b/>
          <w:highlight w:val="yellow"/>
        </w:rPr>
      </w:pPr>
    </w:p>
    <w:p w:rsidR="00ED7950" w:rsidP="00ED7950" w:rsidRDefault="00ED7950" w14:paraId="42F36587" w14:textId="77777777">
      <w:r>
        <w:t xml:space="preserve">To estimate the burden associated with completing the data collection activities, CISA Exercises uses the loaded average hourly compensation rate for </w:t>
      </w:r>
      <w:r w:rsidRPr="009B0F84">
        <w:t>General and Operations Managers</w:t>
      </w:r>
      <w:r>
        <w:t xml:space="preserve"> of public and private sectors. CISA Exercises used </w:t>
      </w:r>
      <w:r w:rsidRPr="009B0F84">
        <w:t xml:space="preserve">Bureau of Labor Statistics (BLS) data to estimate the average hourly wage rate for </w:t>
      </w:r>
      <w:r>
        <w:t>General and Operations Managers in public and private sectors of $60.45</w:t>
      </w:r>
      <w:r w:rsidRPr="009B0F84">
        <w:rPr>
          <w:rStyle w:val="FootnoteReference"/>
        </w:rPr>
        <w:footnoteReference w:id="1"/>
      </w:r>
      <w:r w:rsidRPr="009B0F84">
        <w:t>.</w:t>
      </w:r>
      <w:r>
        <w:t xml:space="preserve"> To account for benefits, DHS multiplies this average hourly wage rate by a compensation factor of 1.4219</w:t>
      </w:r>
      <w:r>
        <w:rPr>
          <w:rStyle w:val="FootnoteReference"/>
        </w:rPr>
        <w:footnoteReference w:id="2"/>
      </w:r>
      <w:r>
        <w:t>, which is the ratio of total compensation to salaries and wages.  The fully loaded average hourly compensation rate is $85.95.</w:t>
      </w:r>
      <w:r>
        <w:rPr>
          <w:rStyle w:val="FootnoteReference"/>
        </w:rPr>
        <w:footnoteReference w:id="3"/>
      </w:r>
      <w:r>
        <w:t xml:space="preserve">  </w:t>
      </w:r>
    </w:p>
    <w:p w:rsidRPr="006137E5" w:rsidR="000738DE" w:rsidP="00ED7950" w:rsidRDefault="000738DE" w14:paraId="2893DA27" w14:textId="7FEBFB6E">
      <w:pPr>
        <w:tabs>
          <w:tab w:val="left" w:pos="-1440"/>
        </w:tabs>
        <w:rPr>
          <w:b/>
          <w:bCs/>
          <w:i/>
          <w:sz w:val="20"/>
          <w:szCs w:val="20"/>
          <w:highlight w:val="yellow"/>
        </w:rPr>
      </w:pPr>
    </w:p>
    <w:p w:rsidR="00483A64" w:rsidP="00483A64" w:rsidRDefault="00483A64" w14:paraId="440B2E11" w14:textId="77777777">
      <w:r w:rsidRPr="00307020">
        <w:t xml:space="preserve">To estimate the labor cost for the respondents to complete the </w:t>
      </w:r>
      <w:r>
        <w:t>data collection activities</w:t>
      </w:r>
      <w:r w:rsidRPr="00307020">
        <w:t xml:space="preserve">, </w:t>
      </w:r>
      <w:r>
        <w:t>CISA Exercises</w:t>
      </w:r>
      <w:r w:rsidRPr="00307020">
        <w:t xml:space="preserve"> multiplies the total annual time burden by the </w:t>
      </w:r>
      <w:r>
        <w:t xml:space="preserve">loaded </w:t>
      </w:r>
      <w:r w:rsidRPr="00307020">
        <w:t xml:space="preserve">average hourly compensation rate.  As shown in Table </w:t>
      </w:r>
      <w:r w:rsidRPr="006E56C2">
        <w:t>A.1</w:t>
      </w:r>
      <w:r w:rsidRPr="00307020">
        <w:t xml:space="preserve">, </w:t>
      </w:r>
      <w:r>
        <w:t>CISA Exercises</w:t>
      </w:r>
      <w:r w:rsidRPr="00307020">
        <w:t xml:space="preserve"> estimates the labor cost to complete </w:t>
      </w:r>
      <w:r>
        <w:t>just the web survey</w:t>
      </w:r>
      <w:r w:rsidRPr="00307020">
        <w:t xml:space="preserve"> to $</w:t>
      </w:r>
      <w:r>
        <w:t xml:space="preserve">1,002.79.  The estimated labor cost to complete both the web survey and in-depth </w:t>
      </w:r>
      <w:r>
        <w:lastRenderedPageBreak/>
        <w:t>interview is $3,008.38</w:t>
      </w:r>
      <w:r w:rsidRPr="007E7680">
        <w:t>.  In total, CISA Exercises estimates the elements of this information collection would result in 46</w:t>
      </w:r>
      <w:r>
        <w:t>.67</w:t>
      </w:r>
      <w:r w:rsidRPr="007E7680">
        <w:t xml:space="preserve"> burden hours and $</w:t>
      </w:r>
      <w:r>
        <w:t xml:space="preserve">4,011.18 </w:t>
      </w:r>
      <w:r w:rsidRPr="007E7680">
        <w:t xml:space="preserve">in annual labor costs.  </w:t>
      </w:r>
      <w:r>
        <w:t xml:space="preserve">  </w:t>
      </w:r>
    </w:p>
    <w:p w:rsidRPr="006137E5" w:rsidR="00F3170F" w:rsidP="00F3170F" w:rsidRDefault="00F3170F" w14:paraId="4B24D9BE" w14:textId="08948050">
      <w:pPr>
        <w:rPr>
          <w:highlight w:val="yellow"/>
        </w:rPr>
      </w:pPr>
    </w:p>
    <w:p w:rsidRPr="006137E5" w:rsidR="000738DE" w:rsidRDefault="001C39F7" w14:paraId="61D653DC" w14:textId="319713ED">
      <w:pPr>
        <w:rPr>
          <w:highlight w:val="yellow"/>
          <w:u w:val="single"/>
        </w:rPr>
      </w:pPr>
      <w:r w:rsidRPr="00483A64">
        <w:rPr>
          <w:b/>
        </w:rPr>
        <w:t xml:space="preserve">FEDERAL </w:t>
      </w:r>
      <w:r w:rsidRPr="00483A64" w:rsidR="009F5923">
        <w:rPr>
          <w:b/>
        </w:rPr>
        <w:t>COST</w:t>
      </w:r>
      <w:r w:rsidRPr="00483A64" w:rsidR="00F06866">
        <w:rPr>
          <w:b/>
        </w:rPr>
        <w:t>:</w:t>
      </w:r>
      <w:r w:rsidRPr="00483A64" w:rsidR="00895229">
        <w:rPr>
          <w:b/>
        </w:rPr>
        <w:t xml:space="preserve"> </w:t>
      </w:r>
      <w:r w:rsidRPr="00483A64" w:rsidR="00C86E91">
        <w:rPr>
          <w:b/>
        </w:rPr>
        <w:t xml:space="preserve"> </w:t>
      </w:r>
      <w:r w:rsidRPr="00483A64" w:rsidR="00483A64">
        <w:t>The</w:t>
      </w:r>
      <w:r w:rsidR="00483A64">
        <w:t xml:space="preserve"> estimated</w:t>
      </w:r>
      <w:r w:rsidRPr="00483A64" w:rsidR="00483A64">
        <w:t xml:space="preserve"> total cost to the Federal government is $99,759.97over a 2-year period, or $49,879.99 on an annualized basis, based on the expected cost of the government contract used to conduct this collection.  </w:t>
      </w:r>
    </w:p>
    <w:p w:rsidR="000738DE" w:rsidRDefault="000738DE" w14:paraId="58C4BCB9" w14:textId="4CABDA16">
      <w:pPr>
        <w:rPr>
          <w:b/>
        </w:rPr>
      </w:pPr>
    </w:p>
    <w:p w:rsidRPr="00F51BBF" w:rsidR="00483A64" w:rsidRDefault="78F6AEDE" w14:paraId="42148600" w14:textId="61C59866">
      <w:r w:rsidRPr="6D0B2A63">
        <w:rPr>
          <w:b/>
          <w:bCs/>
          <w:u w:val="single"/>
        </w:rPr>
        <w:t>STATISTICAL METHOD:</w:t>
      </w:r>
      <w:r w:rsidRPr="6D0B2A63">
        <w:t xml:space="preserve"> </w:t>
      </w:r>
    </w:p>
    <w:p w:rsidRPr="00F51BBF" w:rsidR="00483A64" w:rsidP="6D0B2A63" w:rsidRDefault="00483A64" w14:paraId="77DA6205" w14:textId="07C75C53">
      <w:pPr>
        <w:rPr>
          <w:b/>
          <w:bCs/>
        </w:rPr>
      </w:pPr>
    </w:p>
    <w:p w:rsidR="0069403B" w:rsidP="00F06866" w:rsidRDefault="00ED6492" w14:paraId="35B34C15" w14:textId="77777777">
      <w:pPr>
        <w:rPr>
          <w:b/>
        </w:rPr>
      </w:pPr>
      <w:r>
        <w:rPr>
          <w:b/>
          <w:bCs/>
          <w:u w:val="single"/>
        </w:rPr>
        <w:t xml:space="preserve">If you are conducting a focus group, survey, or plan to employ statistical methods, </w:t>
      </w:r>
      <w:r w:rsidR="007872F4">
        <w:rPr>
          <w:b/>
          <w:bCs/>
          <w:u w:val="single"/>
        </w:rPr>
        <w:t>please provide</w:t>
      </w:r>
      <w:r w:rsidR="0069403B">
        <w:rPr>
          <w:b/>
          <w:bCs/>
          <w:u w:val="single"/>
        </w:rPr>
        <w:t xml:space="preserve"> answers to the following questions:</w:t>
      </w:r>
    </w:p>
    <w:p w:rsidR="0069403B" w:rsidP="00F06866" w:rsidRDefault="0069403B" w14:paraId="3A7A8B95" w14:textId="77777777">
      <w:pPr>
        <w:rPr>
          <w:b/>
        </w:rPr>
      </w:pPr>
    </w:p>
    <w:p w:rsidR="00F06866" w:rsidP="00F06866" w:rsidRDefault="00636621" w14:paraId="0A49B7B0" w14:textId="77777777">
      <w:pPr>
        <w:rPr>
          <w:b/>
        </w:rPr>
      </w:pPr>
      <w:r>
        <w:rPr>
          <w:b/>
        </w:rPr>
        <w:t>The</w:t>
      </w:r>
      <w:r w:rsidR="0069403B">
        <w:rPr>
          <w:b/>
        </w:rPr>
        <w:t xml:space="preserve"> select</w:t>
      </w:r>
      <w:r>
        <w:rPr>
          <w:b/>
        </w:rPr>
        <w:t>ion of your targeted respondents</w:t>
      </w:r>
    </w:p>
    <w:p w:rsidR="0069403B" w:rsidP="0069403B" w:rsidRDefault="0069403B" w14:paraId="49188546" w14:textId="77777777">
      <w:pPr>
        <w:pStyle w:val="ListParagraph"/>
        <w:numPr>
          <w:ilvl w:val="0"/>
          <w:numId w:val="16"/>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rsidR="00C33672">
        <w:t>[X</w:t>
      </w:r>
      <w:r>
        <w:t>] Yes</w:t>
      </w:r>
      <w:r>
        <w:tab/>
      </w:r>
      <w:proofErr w:type="gramStart"/>
      <w:r>
        <w:t>[</w:t>
      </w:r>
      <w:r w:rsidR="00853409">
        <w:t xml:space="preserve"> </w:t>
      </w:r>
      <w:r>
        <w:t>]</w:t>
      </w:r>
      <w:proofErr w:type="gramEnd"/>
      <w:r>
        <w:t xml:space="preserve"> No</w:t>
      </w:r>
    </w:p>
    <w:p w:rsidR="00636621" w:rsidP="00636621" w:rsidRDefault="00636621" w14:paraId="4CBD99F5" w14:textId="77777777">
      <w:pPr>
        <w:pStyle w:val="ListParagraph"/>
      </w:pPr>
    </w:p>
    <w:p w:rsidR="00636621" w:rsidP="001B0AAA" w:rsidRDefault="00636621" w14:paraId="20C82971"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39EA9AEF" w14:textId="77777777">
      <w:pPr>
        <w:pStyle w:val="ListParagraph"/>
      </w:pPr>
    </w:p>
    <w:p w:rsidRPr="00483A64" w:rsidR="00C33672" w:rsidP="00483A64" w:rsidRDefault="60D9B1F3" w14:paraId="46FDC28D" w14:textId="1FC616F4">
      <w:r>
        <w:t xml:space="preserve">CISA Exercises conducts between 80 to 100 exercises a year. Each exercise can include multiple people from the customer organization as well as individuals from partner organizations. The CISA Exercises study team will first select exercises that occurred 5 to 8 months before the planned data collection start, so that enough time has passed for customers to have implemented many of the recommendations outlined in the After-Action Report. </w:t>
      </w:r>
      <w:r w:rsidR="70DDFD77">
        <w:t>Exercises with f</w:t>
      </w:r>
      <w:r w:rsidR="4F4D8946">
        <w:t xml:space="preserve">ederal agencies will be excluded. </w:t>
      </w:r>
      <w:r>
        <w:t xml:space="preserve">Within the selected exercises, the study team will select up to 5 key participants for the web survey based on their level of involvement in the exercises process and likely knowledge of organizational change. Respondents will be sent an email invitation to complete the survey with an individual Survey Monkey link. Following the web survey, a purposive sample of up to 30 survey respondents will be contacted for the in-depth interview. </w:t>
      </w:r>
    </w:p>
    <w:p w:rsidR="00483A64" w:rsidP="00C33672" w:rsidRDefault="00483A64" w14:paraId="5F6B3E0C" w14:textId="77777777"/>
    <w:p w:rsidR="00A403BB" w:rsidP="00A403BB" w:rsidRDefault="007872F4" w14:paraId="101D7DC2" w14:textId="77777777">
      <w:pPr>
        <w:rPr>
          <w:b/>
        </w:rPr>
      </w:pPr>
      <w:r>
        <w:rPr>
          <w:b/>
        </w:rPr>
        <w:t>A</w:t>
      </w:r>
      <w:r w:rsidR="00A403BB">
        <w:rPr>
          <w:b/>
        </w:rPr>
        <w:t>dministration of the Instrument</w:t>
      </w:r>
    </w:p>
    <w:p w:rsidR="00A403BB" w:rsidP="00A403BB" w:rsidRDefault="001B0AAA" w14:paraId="566E297B" w14:textId="77777777">
      <w:pPr>
        <w:pStyle w:val="ListParagraph"/>
        <w:numPr>
          <w:ilvl w:val="0"/>
          <w:numId w:val="18"/>
        </w:numPr>
      </w:pPr>
      <w:r>
        <w:t>H</w:t>
      </w:r>
      <w:r w:rsidR="00A403BB">
        <w:t>ow will you collect the information? (Check all that apply)</w:t>
      </w:r>
    </w:p>
    <w:p w:rsidR="001B0AAA" w:rsidP="001B0AAA" w:rsidRDefault="00A403BB" w14:paraId="5B3A41C0" w14:textId="2305D51D">
      <w:pPr>
        <w:ind w:left="720"/>
      </w:pPr>
      <w:r>
        <w:t>[</w:t>
      </w:r>
      <w:r w:rsidR="009F4AA8">
        <w:t>X</w:t>
      </w:r>
      <w:r>
        <w:t>] Web-based</w:t>
      </w:r>
      <w:r w:rsidR="009012E8">
        <w:t xml:space="preserve"> or other forms of Social Media</w:t>
      </w:r>
    </w:p>
    <w:p w:rsidR="001B0AAA" w:rsidP="001B0AAA" w:rsidRDefault="00A403BB" w14:paraId="64F95C6E" w14:textId="40681949">
      <w:pPr>
        <w:ind w:left="720"/>
      </w:pPr>
      <w:r>
        <w:t>[</w:t>
      </w:r>
      <w:r w:rsidR="009F4AA8">
        <w:t>X</w:t>
      </w:r>
      <w:r>
        <w:t>] Telephone</w:t>
      </w:r>
      <w:r>
        <w:tab/>
      </w:r>
    </w:p>
    <w:p w:rsidR="001B0AAA" w:rsidP="001B0AAA" w:rsidRDefault="00A403BB" w14:paraId="4D5BE790" w14:textId="6B52FEA5">
      <w:pPr>
        <w:ind w:left="720"/>
      </w:pPr>
      <w:r>
        <w:t>[</w:t>
      </w:r>
      <w:r w:rsidR="00483A64">
        <w:t xml:space="preserve"> </w:t>
      </w:r>
      <w:proofErr w:type="gramStart"/>
      <w:r w:rsidR="00483A64">
        <w:t xml:space="preserve">  </w:t>
      </w:r>
      <w:r>
        <w:t>]</w:t>
      </w:r>
      <w:proofErr w:type="gramEnd"/>
      <w:r>
        <w:t xml:space="preserve"> In-person</w:t>
      </w:r>
      <w:r>
        <w:tab/>
      </w:r>
    </w:p>
    <w:p w:rsidR="001B0AAA" w:rsidP="001B0AAA" w:rsidRDefault="00A403BB" w14:paraId="59CF65F7" w14:textId="3913D719">
      <w:pPr>
        <w:ind w:left="720"/>
      </w:pPr>
      <w:r>
        <w:t>[</w:t>
      </w:r>
      <w:r w:rsidR="00483A64">
        <w:t xml:space="preserve"> </w:t>
      </w:r>
      <w:proofErr w:type="gramStart"/>
      <w:r w:rsidR="00483A64">
        <w:t xml:space="preserve">  </w:t>
      </w:r>
      <w:r>
        <w:t>]</w:t>
      </w:r>
      <w:proofErr w:type="gramEnd"/>
      <w:r>
        <w:t xml:space="preserve"> Mail</w:t>
      </w:r>
      <w:r w:rsidR="001B0AAA">
        <w:t xml:space="preserve"> </w:t>
      </w:r>
    </w:p>
    <w:p w:rsidR="001B0AAA" w:rsidP="001B0AAA" w:rsidRDefault="007872F4" w14:paraId="048788BB" w14:textId="11B86BAB">
      <w:pPr>
        <w:ind w:left="720"/>
      </w:pPr>
      <w:r>
        <w:t>[</w:t>
      </w:r>
      <w:r w:rsidR="00483A64">
        <w:t xml:space="preserve"> </w:t>
      </w:r>
      <w:proofErr w:type="gramStart"/>
      <w:r w:rsidR="00483A64">
        <w:t xml:space="preserve">  </w:t>
      </w:r>
      <w:r>
        <w:t>]</w:t>
      </w:r>
      <w:proofErr w:type="gramEnd"/>
      <w:r>
        <w:t xml:space="preserve"> Other (email response)</w:t>
      </w:r>
    </w:p>
    <w:p w:rsidR="00483A64" w:rsidP="001B0AAA" w:rsidRDefault="00483A64" w14:paraId="6B073657" w14:textId="77777777">
      <w:pPr>
        <w:ind w:left="720"/>
      </w:pPr>
    </w:p>
    <w:p w:rsidR="009012E8" w:rsidP="001B0AAA" w:rsidRDefault="009012E8" w14:paraId="31CD7601" w14:textId="57318233">
      <w:pPr>
        <w:ind w:left="720"/>
      </w:pPr>
      <w:r w:rsidRPr="009012E8">
        <w:t xml:space="preserve">For use of Survey Monkey, </w:t>
      </w:r>
      <w:r w:rsidR="00E45A67">
        <w:t>CISA</w:t>
      </w:r>
      <w:r w:rsidRPr="009012E8">
        <w:t xml:space="preserve"> will ensure that respondents IP addresses are not collected by ensuring that the Survey Monkey settings are updated to opt out of collecting this information</w:t>
      </w:r>
      <w:r>
        <w:t>.</w:t>
      </w:r>
    </w:p>
    <w:p w:rsidR="00C33672" w:rsidP="001B0AAA" w:rsidRDefault="00C33672" w14:paraId="5E9512CC" w14:textId="77777777">
      <w:pPr>
        <w:ind w:left="720"/>
      </w:pPr>
    </w:p>
    <w:p w:rsidR="00F24CFC" w:rsidP="00F24CFC" w:rsidRDefault="00F24CFC" w14:paraId="17FF040A" w14:textId="756A233B">
      <w:pPr>
        <w:pStyle w:val="ListParagraph"/>
        <w:numPr>
          <w:ilvl w:val="0"/>
          <w:numId w:val="18"/>
        </w:numPr>
      </w:pPr>
      <w:r>
        <w:t>Will interviewers or facilitators be used?  [</w:t>
      </w:r>
      <w:r w:rsidR="009F4AA8">
        <w:t>X</w:t>
      </w:r>
      <w:r>
        <w:t>] Yes</w:t>
      </w:r>
      <w:r w:rsidR="009F4AA8">
        <w:t>, for telephone or in-person distribution</w:t>
      </w:r>
      <w:r>
        <w:t xml:space="preserve"> </w:t>
      </w:r>
      <w:proofErr w:type="gramStart"/>
      <w:r>
        <w:t>[</w:t>
      </w:r>
      <w:r w:rsidR="009F4AA8">
        <w:t xml:space="preserve">  </w:t>
      </w:r>
      <w:r>
        <w:t>]</w:t>
      </w:r>
      <w:proofErr w:type="gramEnd"/>
      <w:r>
        <w:t xml:space="preserve"> No</w:t>
      </w:r>
    </w:p>
    <w:p w:rsidR="002D1690" w:rsidP="00F24CFC" w:rsidRDefault="002D1690" w14:paraId="3C75A716" w14:textId="77777777">
      <w:pPr>
        <w:pStyle w:val="ListParagraph"/>
        <w:ind w:left="360"/>
      </w:pPr>
    </w:p>
    <w:p w:rsidR="007872F4" w:rsidP="00483A64" w:rsidRDefault="00F24CFC" w14:paraId="05A1C778" w14:textId="0EBCA2CA">
      <w:pPr>
        <w:rPr>
          <w:sz w:val="28"/>
        </w:rPr>
      </w:pPr>
      <w:r w:rsidRPr="00F24CFC">
        <w:rPr>
          <w:b/>
        </w:rPr>
        <w:t>Please make sure that all instruments, instructions, and scripts are submitted with the request.</w:t>
      </w:r>
    </w:p>
    <w:sectPr w:rsidR="007872F4"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E0833" w14:textId="77777777" w:rsidR="00A71950" w:rsidRDefault="00A71950">
      <w:r>
        <w:separator/>
      </w:r>
    </w:p>
  </w:endnote>
  <w:endnote w:type="continuationSeparator" w:id="0">
    <w:p w14:paraId="7D1D2154" w14:textId="77777777" w:rsidR="00A71950" w:rsidRDefault="00A7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2EBA2" w14:textId="3FAA7A00" w:rsidR="008F50D4" w:rsidRDefault="0053096D">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25D0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EA0B9" w14:textId="77777777" w:rsidR="00A71950" w:rsidRDefault="00A71950">
      <w:r>
        <w:separator/>
      </w:r>
    </w:p>
  </w:footnote>
  <w:footnote w:type="continuationSeparator" w:id="0">
    <w:p w14:paraId="67E446B6" w14:textId="77777777" w:rsidR="00A71950" w:rsidRDefault="00A71950">
      <w:r>
        <w:continuationSeparator/>
      </w:r>
    </w:p>
  </w:footnote>
  <w:footnote w:id="1">
    <w:p w14:paraId="0E8AD34C" w14:textId="77777777" w:rsidR="00ED7950" w:rsidRDefault="00ED7950" w:rsidP="00ED7950">
      <w:pPr>
        <w:pStyle w:val="FootnoteText"/>
        <w:spacing w:after="60"/>
      </w:pPr>
      <w:r>
        <w:rPr>
          <w:rStyle w:val="FootnoteReference"/>
        </w:rPr>
        <w:footnoteRef/>
      </w:r>
      <w:r>
        <w:t xml:space="preserve"> BLS. Occupational Employment Statistics. May 2020.  </w:t>
      </w:r>
      <w:hyperlink r:id="rId1" w:history="1">
        <w:r w:rsidRPr="00BC2BA9">
          <w:rPr>
            <w:rStyle w:val="Hyperlink"/>
          </w:rPr>
          <w:t>www.bls.gov/oes/current/oes111021.htm</w:t>
        </w:r>
      </w:hyperlink>
      <w:r>
        <w:t xml:space="preserve">   </w:t>
      </w:r>
    </w:p>
  </w:footnote>
  <w:footnote w:id="2">
    <w:p w14:paraId="7ED8C99F" w14:textId="77777777" w:rsidR="00ED7950" w:rsidRDefault="00ED7950" w:rsidP="00ED7950">
      <w:pPr>
        <w:rPr>
          <w:rFonts w:ascii="Arial" w:hAnsi="Arial" w:cs="Arial"/>
          <w:color w:val="203764"/>
          <w:sz w:val="22"/>
          <w:szCs w:val="22"/>
        </w:rPr>
      </w:pPr>
      <w:r>
        <w:rPr>
          <w:rStyle w:val="FootnoteReference"/>
        </w:rPr>
        <w:footnoteRef/>
      </w:r>
      <w:r>
        <w:t xml:space="preserve"> </w:t>
      </w:r>
      <w:r w:rsidRPr="001B2104">
        <w:rPr>
          <w:sz w:val="20"/>
          <w:szCs w:val="20"/>
        </w:rPr>
        <w:t xml:space="preserve">BLS.  Employer Costs for Employee Compensation – December 2020, released March 18, 2021.  </w:t>
      </w:r>
      <w:r>
        <w:rPr>
          <w:sz w:val="20"/>
          <w:szCs w:val="20"/>
        </w:rPr>
        <w:t xml:space="preserve">Private industry workers. </w:t>
      </w:r>
      <w:hyperlink r:id="rId2" w:history="1">
        <w:r w:rsidRPr="001B2104">
          <w:rPr>
            <w:rStyle w:val="Hyperlink"/>
            <w:sz w:val="20"/>
            <w:szCs w:val="20"/>
          </w:rPr>
          <w:t>https://www.bls.gov/news.release/pdf/ecec.pdf</w:t>
        </w:r>
      </w:hyperlink>
    </w:p>
    <w:p w14:paraId="5DBBCFBF" w14:textId="77777777" w:rsidR="00ED7950" w:rsidRDefault="00ED7950" w:rsidP="00ED7950">
      <w:pPr>
        <w:pStyle w:val="FootnoteText"/>
        <w:spacing w:after="60"/>
      </w:pPr>
      <w:r>
        <w:t xml:space="preserve"> The compensation factor of 1.4219 is estimated by dividing total compensation ($36.23) by wages and salaries ($25.48).</w:t>
      </w:r>
    </w:p>
  </w:footnote>
  <w:footnote w:id="3">
    <w:p w14:paraId="091DBD50" w14:textId="77777777" w:rsidR="00ED7950" w:rsidRDefault="00ED7950" w:rsidP="00ED7950">
      <w:pPr>
        <w:pStyle w:val="FootnoteText"/>
        <w:spacing w:after="60"/>
      </w:pPr>
      <w:r>
        <w:rPr>
          <w:rStyle w:val="FootnoteReference"/>
        </w:rPr>
        <w:footnoteRef/>
      </w:r>
      <w:r>
        <w:t xml:space="preserve"> $85.95 = $60.45 × 1.4219.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895454"/>
    <w:multiLevelType w:val="hybridMultilevel"/>
    <w:tmpl w:val="FFFFFFFF"/>
    <w:lvl w:ilvl="0" w:tplc="CBEE28A4">
      <w:start w:val="1"/>
      <w:numFmt w:val="bullet"/>
      <w:lvlText w:val="-"/>
      <w:lvlJc w:val="left"/>
      <w:pPr>
        <w:ind w:left="720" w:hanging="360"/>
      </w:pPr>
      <w:rPr>
        <w:rFonts w:ascii="Symbol" w:hAnsi="Symbol" w:hint="default"/>
      </w:rPr>
    </w:lvl>
    <w:lvl w:ilvl="1" w:tplc="9A5894A0">
      <w:start w:val="1"/>
      <w:numFmt w:val="bullet"/>
      <w:lvlText w:val="o"/>
      <w:lvlJc w:val="left"/>
      <w:pPr>
        <w:ind w:left="1440" w:hanging="360"/>
      </w:pPr>
      <w:rPr>
        <w:rFonts w:ascii="Courier New" w:hAnsi="Courier New" w:hint="default"/>
      </w:rPr>
    </w:lvl>
    <w:lvl w:ilvl="2" w:tplc="42563CD8">
      <w:start w:val="1"/>
      <w:numFmt w:val="bullet"/>
      <w:lvlText w:val=""/>
      <w:lvlJc w:val="left"/>
      <w:pPr>
        <w:ind w:left="2160" w:hanging="360"/>
      </w:pPr>
      <w:rPr>
        <w:rFonts w:ascii="Wingdings" w:hAnsi="Wingdings" w:hint="default"/>
      </w:rPr>
    </w:lvl>
    <w:lvl w:ilvl="3" w:tplc="BAF04312">
      <w:start w:val="1"/>
      <w:numFmt w:val="bullet"/>
      <w:lvlText w:val=""/>
      <w:lvlJc w:val="left"/>
      <w:pPr>
        <w:ind w:left="2880" w:hanging="360"/>
      </w:pPr>
      <w:rPr>
        <w:rFonts w:ascii="Symbol" w:hAnsi="Symbol" w:hint="default"/>
      </w:rPr>
    </w:lvl>
    <w:lvl w:ilvl="4" w:tplc="7DD23DC0">
      <w:start w:val="1"/>
      <w:numFmt w:val="bullet"/>
      <w:lvlText w:val="o"/>
      <w:lvlJc w:val="left"/>
      <w:pPr>
        <w:ind w:left="3600" w:hanging="360"/>
      </w:pPr>
      <w:rPr>
        <w:rFonts w:ascii="Courier New" w:hAnsi="Courier New" w:hint="default"/>
      </w:rPr>
    </w:lvl>
    <w:lvl w:ilvl="5" w:tplc="75A4AD22">
      <w:start w:val="1"/>
      <w:numFmt w:val="bullet"/>
      <w:lvlText w:val=""/>
      <w:lvlJc w:val="left"/>
      <w:pPr>
        <w:ind w:left="4320" w:hanging="360"/>
      </w:pPr>
      <w:rPr>
        <w:rFonts w:ascii="Wingdings" w:hAnsi="Wingdings" w:hint="default"/>
      </w:rPr>
    </w:lvl>
    <w:lvl w:ilvl="6" w:tplc="7E2E0A8A">
      <w:start w:val="1"/>
      <w:numFmt w:val="bullet"/>
      <w:lvlText w:val=""/>
      <w:lvlJc w:val="left"/>
      <w:pPr>
        <w:ind w:left="5040" w:hanging="360"/>
      </w:pPr>
      <w:rPr>
        <w:rFonts w:ascii="Symbol" w:hAnsi="Symbol" w:hint="default"/>
      </w:rPr>
    </w:lvl>
    <w:lvl w:ilvl="7" w:tplc="A4EEC1C2">
      <w:start w:val="1"/>
      <w:numFmt w:val="bullet"/>
      <w:lvlText w:val="o"/>
      <w:lvlJc w:val="left"/>
      <w:pPr>
        <w:ind w:left="5760" w:hanging="360"/>
      </w:pPr>
      <w:rPr>
        <w:rFonts w:ascii="Courier New" w:hAnsi="Courier New" w:hint="default"/>
      </w:rPr>
    </w:lvl>
    <w:lvl w:ilvl="8" w:tplc="C0EA7078">
      <w:start w:val="1"/>
      <w:numFmt w:val="bullet"/>
      <w:lvlText w:val=""/>
      <w:lvlJc w:val="left"/>
      <w:pPr>
        <w:ind w:left="6480"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hybridMultilevel"/>
    <w:tmpl w:val="A5BA7554"/>
    <w:lvl w:ilvl="0" w:tplc="B1DE46E6">
      <w:start w:val="5"/>
      <w:numFmt w:val="lowerLetter"/>
      <w:lvlText w:val="%1."/>
      <w:lvlJc w:val="left"/>
      <w:pPr>
        <w:tabs>
          <w:tab w:val="num" w:pos="1434"/>
        </w:tabs>
        <w:ind w:left="1434" w:hanging="570"/>
      </w:pPr>
      <w:rPr>
        <w:rFonts w:hint="default"/>
      </w:rPr>
    </w:lvl>
    <w:lvl w:ilvl="1" w:tplc="7A323914">
      <w:numFmt w:val="decimal"/>
      <w:lvlText w:val=""/>
      <w:lvlJc w:val="left"/>
    </w:lvl>
    <w:lvl w:ilvl="2" w:tplc="16840EF0">
      <w:numFmt w:val="decimal"/>
      <w:lvlText w:val=""/>
      <w:lvlJc w:val="left"/>
    </w:lvl>
    <w:lvl w:ilvl="3" w:tplc="7A06B362">
      <w:numFmt w:val="decimal"/>
      <w:lvlText w:val=""/>
      <w:lvlJc w:val="left"/>
    </w:lvl>
    <w:lvl w:ilvl="4" w:tplc="6838CE48">
      <w:numFmt w:val="decimal"/>
      <w:lvlText w:val=""/>
      <w:lvlJc w:val="left"/>
    </w:lvl>
    <w:lvl w:ilvl="5" w:tplc="15A01FC8">
      <w:numFmt w:val="decimal"/>
      <w:lvlText w:val=""/>
      <w:lvlJc w:val="left"/>
    </w:lvl>
    <w:lvl w:ilvl="6" w:tplc="A55C428A">
      <w:numFmt w:val="decimal"/>
      <w:lvlText w:val=""/>
      <w:lvlJc w:val="left"/>
    </w:lvl>
    <w:lvl w:ilvl="7" w:tplc="1376D8C0">
      <w:numFmt w:val="decimal"/>
      <w:lvlText w:val=""/>
      <w:lvlJc w:val="left"/>
    </w:lvl>
    <w:lvl w:ilvl="8" w:tplc="C01ECEAA">
      <w:numFmt w:val="decimal"/>
      <w:lvlText w:val=""/>
      <w:lvlJc w:val="left"/>
    </w:lvl>
  </w:abstractNum>
  <w:abstractNum w:abstractNumId="17" w15:restartNumberingAfterBreak="0">
    <w:nsid w:val="7B8A28C0"/>
    <w:multiLevelType w:val="hybridMultilevel"/>
    <w:tmpl w:val="2A22CF7E"/>
    <w:lvl w:ilvl="0" w:tplc="3AEE0C14">
      <w:start w:val="1"/>
      <w:numFmt w:val="lowerLetter"/>
      <w:lvlText w:val="%1."/>
      <w:lvlJc w:val="left"/>
      <w:pPr>
        <w:tabs>
          <w:tab w:val="num" w:pos="1446"/>
        </w:tabs>
        <w:ind w:left="1446" w:hanging="570"/>
      </w:pPr>
      <w:rPr>
        <w:rFonts w:hint="default"/>
      </w:rPr>
    </w:lvl>
    <w:lvl w:ilvl="1" w:tplc="ACAA83EE">
      <w:numFmt w:val="decimal"/>
      <w:lvlText w:val=""/>
      <w:lvlJc w:val="left"/>
    </w:lvl>
    <w:lvl w:ilvl="2" w:tplc="BAFE2150">
      <w:numFmt w:val="decimal"/>
      <w:lvlText w:val=""/>
      <w:lvlJc w:val="left"/>
    </w:lvl>
    <w:lvl w:ilvl="3" w:tplc="58F04FBC">
      <w:numFmt w:val="decimal"/>
      <w:lvlText w:val=""/>
      <w:lvlJc w:val="left"/>
    </w:lvl>
    <w:lvl w:ilvl="4" w:tplc="66FA036E">
      <w:numFmt w:val="decimal"/>
      <w:lvlText w:val=""/>
      <w:lvlJc w:val="left"/>
    </w:lvl>
    <w:lvl w:ilvl="5" w:tplc="DD48B824">
      <w:numFmt w:val="decimal"/>
      <w:lvlText w:val=""/>
      <w:lvlJc w:val="left"/>
    </w:lvl>
    <w:lvl w:ilvl="6" w:tplc="C8E8268A">
      <w:numFmt w:val="decimal"/>
      <w:lvlText w:val=""/>
      <w:lvlJc w:val="left"/>
    </w:lvl>
    <w:lvl w:ilvl="7" w:tplc="DBE8052C">
      <w:numFmt w:val="decimal"/>
      <w:lvlText w:val=""/>
      <w:lvlJc w:val="left"/>
    </w:lvl>
    <w:lvl w:ilvl="8" w:tplc="BB66CAA6">
      <w:numFmt w:val="decimal"/>
      <w:lvlText w:val=""/>
      <w:lvlJc w:val="left"/>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7"/>
  </w:num>
  <w:num w:numId="4">
    <w:abstractNumId w:val="16"/>
  </w:num>
  <w:num w:numId="5">
    <w:abstractNumId w:val="18"/>
  </w:num>
  <w:num w:numId="6">
    <w:abstractNumId w:val="3"/>
  </w:num>
  <w:num w:numId="7">
    <w:abstractNumId w:val="1"/>
  </w:num>
  <w:num w:numId="8">
    <w:abstractNumId w:val="9"/>
  </w:num>
  <w:num w:numId="9">
    <w:abstractNumId w:val="14"/>
  </w:num>
  <w:num w:numId="10">
    <w:abstractNumId w:val="10"/>
  </w:num>
  <w:num w:numId="11">
    <w:abstractNumId w:val="2"/>
  </w:num>
  <w:num w:numId="12">
    <w:abstractNumId w:val="6"/>
  </w:num>
  <w:num w:numId="13">
    <w:abstractNumId w:val="7"/>
  </w:num>
  <w:num w:numId="14">
    <w:abstractNumId w:val="0"/>
  </w:num>
  <w:num w:numId="15">
    <w:abstractNumId w:val="15"/>
  </w:num>
  <w:num w:numId="16">
    <w:abstractNumId w:val="13"/>
  </w:num>
  <w:num w:numId="17">
    <w:abstractNumId w:val="12"/>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3512"/>
    <w:rsid w:val="00023A57"/>
    <w:rsid w:val="00047A64"/>
    <w:rsid w:val="00067329"/>
    <w:rsid w:val="00067977"/>
    <w:rsid w:val="000738DE"/>
    <w:rsid w:val="000A09DB"/>
    <w:rsid w:val="000A3BCD"/>
    <w:rsid w:val="000B2838"/>
    <w:rsid w:val="000D163C"/>
    <w:rsid w:val="000D44CA"/>
    <w:rsid w:val="000E200B"/>
    <w:rsid w:val="000F68BE"/>
    <w:rsid w:val="00120100"/>
    <w:rsid w:val="00127DD2"/>
    <w:rsid w:val="00177963"/>
    <w:rsid w:val="00177C19"/>
    <w:rsid w:val="001927A4"/>
    <w:rsid w:val="00194AC6"/>
    <w:rsid w:val="00195E2C"/>
    <w:rsid w:val="001A23B0"/>
    <w:rsid w:val="001A25CC"/>
    <w:rsid w:val="001B0AAA"/>
    <w:rsid w:val="001C39F7"/>
    <w:rsid w:val="001D7B22"/>
    <w:rsid w:val="00237B48"/>
    <w:rsid w:val="0024521E"/>
    <w:rsid w:val="00263C3D"/>
    <w:rsid w:val="00274D0B"/>
    <w:rsid w:val="00294F2D"/>
    <w:rsid w:val="002B3C95"/>
    <w:rsid w:val="002D0B92"/>
    <w:rsid w:val="002D1690"/>
    <w:rsid w:val="002D30AA"/>
    <w:rsid w:val="002E3D76"/>
    <w:rsid w:val="002F57A7"/>
    <w:rsid w:val="003405C9"/>
    <w:rsid w:val="00352D2C"/>
    <w:rsid w:val="00364317"/>
    <w:rsid w:val="00381C0B"/>
    <w:rsid w:val="00396CFB"/>
    <w:rsid w:val="003A41DD"/>
    <w:rsid w:val="003B71B1"/>
    <w:rsid w:val="003C14BE"/>
    <w:rsid w:val="003D5BBE"/>
    <w:rsid w:val="003E3C61"/>
    <w:rsid w:val="003F1C5B"/>
    <w:rsid w:val="00412C7C"/>
    <w:rsid w:val="00434E33"/>
    <w:rsid w:val="00436589"/>
    <w:rsid w:val="00441434"/>
    <w:rsid w:val="0045264C"/>
    <w:rsid w:val="004559A8"/>
    <w:rsid w:val="0046224E"/>
    <w:rsid w:val="0047239C"/>
    <w:rsid w:val="00483A64"/>
    <w:rsid w:val="004876EC"/>
    <w:rsid w:val="004D6E14"/>
    <w:rsid w:val="004D723E"/>
    <w:rsid w:val="004F13B1"/>
    <w:rsid w:val="005009B0"/>
    <w:rsid w:val="00525D07"/>
    <w:rsid w:val="0053096D"/>
    <w:rsid w:val="00585CCC"/>
    <w:rsid w:val="005A1006"/>
    <w:rsid w:val="005A19F8"/>
    <w:rsid w:val="005A5F5E"/>
    <w:rsid w:val="005C15AA"/>
    <w:rsid w:val="005D1C37"/>
    <w:rsid w:val="005E714A"/>
    <w:rsid w:val="005F4F7B"/>
    <w:rsid w:val="0060447B"/>
    <w:rsid w:val="006137E5"/>
    <w:rsid w:val="006140A0"/>
    <w:rsid w:val="006147DB"/>
    <w:rsid w:val="0062080F"/>
    <w:rsid w:val="0063295A"/>
    <w:rsid w:val="00636621"/>
    <w:rsid w:val="00642B49"/>
    <w:rsid w:val="00677EBE"/>
    <w:rsid w:val="006832D9"/>
    <w:rsid w:val="0069403B"/>
    <w:rsid w:val="006C7B08"/>
    <w:rsid w:val="006D7997"/>
    <w:rsid w:val="006E11A6"/>
    <w:rsid w:val="006F3DDE"/>
    <w:rsid w:val="006F7E24"/>
    <w:rsid w:val="00704678"/>
    <w:rsid w:val="00723B62"/>
    <w:rsid w:val="007425E7"/>
    <w:rsid w:val="00754941"/>
    <w:rsid w:val="007751E1"/>
    <w:rsid w:val="007872F4"/>
    <w:rsid w:val="007B3363"/>
    <w:rsid w:val="007D21C9"/>
    <w:rsid w:val="007E7504"/>
    <w:rsid w:val="007F2511"/>
    <w:rsid w:val="008010FA"/>
    <w:rsid w:val="00802526"/>
    <w:rsid w:val="00802607"/>
    <w:rsid w:val="00807D2D"/>
    <w:rsid w:val="008101A5"/>
    <w:rsid w:val="00822664"/>
    <w:rsid w:val="00842E0F"/>
    <w:rsid w:val="00842FF5"/>
    <w:rsid w:val="00843796"/>
    <w:rsid w:val="00853409"/>
    <w:rsid w:val="008923CD"/>
    <w:rsid w:val="008926F9"/>
    <w:rsid w:val="00895229"/>
    <w:rsid w:val="008C349D"/>
    <w:rsid w:val="008C690E"/>
    <w:rsid w:val="008F0203"/>
    <w:rsid w:val="008F50D4"/>
    <w:rsid w:val="009012E8"/>
    <w:rsid w:val="0092191D"/>
    <w:rsid w:val="009239AA"/>
    <w:rsid w:val="00932E53"/>
    <w:rsid w:val="00935ADA"/>
    <w:rsid w:val="00946B6C"/>
    <w:rsid w:val="00955A71"/>
    <w:rsid w:val="0096108F"/>
    <w:rsid w:val="009B2C4B"/>
    <w:rsid w:val="009C13B9"/>
    <w:rsid w:val="009D01A2"/>
    <w:rsid w:val="009F4AA8"/>
    <w:rsid w:val="009F5923"/>
    <w:rsid w:val="00A02B55"/>
    <w:rsid w:val="00A403BB"/>
    <w:rsid w:val="00A60CDD"/>
    <w:rsid w:val="00A674DF"/>
    <w:rsid w:val="00A71950"/>
    <w:rsid w:val="00A71E16"/>
    <w:rsid w:val="00A7375D"/>
    <w:rsid w:val="00A81F46"/>
    <w:rsid w:val="00A83AA6"/>
    <w:rsid w:val="00AA2AEB"/>
    <w:rsid w:val="00AE1809"/>
    <w:rsid w:val="00AF2493"/>
    <w:rsid w:val="00B01B15"/>
    <w:rsid w:val="00B163A0"/>
    <w:rsid w:val="00B62A5D"/>
    <w:rsid w:val="00B80D76"/>
    <w:rsid w:val="00B834E6"/>
    <w:rsid w:val="00B87A3B"/>
    <w:rsid w:val="00BA2105"/>
    <w:rsid w:val="00BA3B17"/>
    <w:rsid w:val="00BA5076"/>
    <w:rsid w:val="00BA7E06"/>
    <w:rsid w:val="00BB43B5"/>
    <w:rsid w:val="00BB6219"/>
    <w:rsid w:val="00BD290F"/>
    <w:rsid w:val="00BE478C"/>
    <w:rsid w:val="00BE4EDC"/>
    <w:rsid w:val="00C030D5"/>
    <w:rsid w:val="00C109A0"/>
    <w:rsid w:val="00C14CC4"/>
    <w:rsid w:val="00C3056E"/>
    <w:rsid w:val="00C33672"/>
    <w:rsid w:val="00C33C52"/>
    <w:rsid w:val="00C40D8B"/>
    <w:rsid w:val="00C75D4B"/>
    <w:rsid w:val="00C8407A"/>
    <w:rsid w:val="00C8488C"/>
    <w:rsid w:val="00C86E91"/>
    <w:rsid w:val="00CA2650"/>
    <w:rsid w:val="00CB1078"/>
    <w:rsid w:val="00CC6FAF"/>
    <w:rsid w:val="00CD2FAC"/>
    <w:rsid w:val="00D05372"/>
    <w:rsid w:val="00D132EF"/>
    <w:rsid w:val="00D24698"/>
    <w:rsid w:val="00D4230D"/>
    <w:rsid w:val="00D6383F"/>
    <w:rsid w:val="00D831D7"/>
    <w:rsid w:val="00DB59D0"/>
    <w:rsid w:val="00DC33D3"/>
    <w:rsid w:val="00DC48A4"/>
    <w:rsid w:val="00DD2040"/>
    <w:rsid w:val="00DE1E0D"/>
    <w:rsid w:val="00DF5569"/>
    <w:rsid w:val="00E01AA1"/>
    <w:rsid w:val="00E2455B"/>
    <w:rsid w:val="00E26329"/>
    <w:rsid w:val="00E40B50"/>
    <w:rsid w:val="00E45A67"/>
    <w:rsid w:val="00E50293"/>
    <w:rsid w:val="00E65FFC"/>
    <w:rsid w:val="00E80951"/>
    <w:rsid w:val="00E86088"/>
    <w:rsid w:val="00E86CC6"/>
    <w:rsid w:val="00E915F1"/>
    <w:rsid w:val="00E94B54"/>
    <w:rsid w:val="00EB56B3"/>
    <w:rsid w:val="00EC0823"/>
    <w:rsid w:val="00ED6492"/>
    <w:rsid w:val="00ED7950"/>
    <w:rsid w:val="00EE0870"/>
    <w:rsid w:val="00EF2095"/>
    <w:rsid w:val="00F06866"/>
    <w:rsid w:val="00F11B23"/>
    <w:rsid w:val="00F15956"/>
    <w:rsid w:val="00F24CFC"/>
    <w:rsid w:val="00F24D59"/>
    <w:rsid w:val="00F252C3"/>
    <w:rsid w:val="00F3170F"/>
    <w:rsid w:val="00F51BBF"/>
    <w:rsid w:val="00F554F3"/>
    <w:rsid w:val="00F64E80"/>
    <w:rsid w:val="00F842BD"/>
    <w:rsid w:val="00F976B0"/>
    <w:rsid w:val="00FA0747"/>
    <w:rsid w:val="00FA6DE7"/>
    <w:rsid w:val="00FB1EEF"/>
    <w:rsid w:val="00FB3245"/>
    <w:rsid w:val="00FC0A8E"/>
    <w:rsid w:val="00FE2FA6"/>
    <w:rsid w:val="00FE3DF2"/>
    <w:rsid w:val="00FF5AF5"/>
    <w:rsid w:val="00FF6903"/>
    <w:rsid w:val="1062D50D"/>
    <w:rsid w:val="2387B5EF"/>
    <w:rsid w:val="2AFA75B3"/>
    <w:rsid w:val="3707ED58"/>
    <w:rsid w:val="3CC53B28"/>
    <w:rsid w:val="4F4D8946"/>
    <w:rsid w:val="60D9B1F3"/>
    <w:rsid w:val="6D0B2A63"/>
    <w:rsid w:val="70DDFD77"/>
    <w:rsid w:val="78F6A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CCFF9FB"/>
  <w15:docId w15:val="{74570890-BF11-4D5A-B82B-CF930192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rsid w:val="000738DE"/>
    <w:rPr>
      <w:color w:val="0000FF"/>
      <w:u w:val="single"/>
    </w:rPr>
  </w:style>
  <w:style w:type="character" w:styleId="FollowedHyperlink">
    <w:name w:val="FollowedHyperlink"/>
    <w:basedOn w:val="DefaultParagraphFont"/>
    <w:semiHidden/>
    <w:unhideWhenUsed/>
    <w:rsid w:val="00DF5569"/>
    <w:rPr>
      <w:color w:val="800080" w:themeColor="followedHyperlink"/>
      <w:u w:val="single"/>
    </w:rPr>
  </w:style>
  <w:style w:type="character" w:styleId="FootnoteReference">
    <w:name w:val="footnote reference"/>
    <w:unhideWhenUsed/>
    <w:rsid w:val="00ED7950"/>
    <w:rPr>
      <w:vertAlign w:val="superscript"/>
    </w:rPr>
  </w:style>
  <w:style w:type="paragraph" w:styleId="FootnoteText">
    <w:name w:val="footnote text"/>
    <w:basedOn w:val="Normal"/>
    <w:link w:val="FootnoteTextChar"/>
    <w:rsid w:val="00ED7950"/>
    <w:rPr>
      <w:sz w:val="20"/>
      <w:szCs w:val="20"/>
    </w:rPr>
  </w:style>
  <w:style w:type="character" w:customStyle="1" w:styleId="FootnoteTextChar">
    <w:name w:val="Footnote Text Char"/>
    <w:basedOn w:val="DefaultParagraphFont"/>
    <w:link w:val="FootnoteText"/>
    <w:rsid w:val="00ED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pdf/ecec.pdf" TargetMode="External"/><Relationship Id="rId1" Type="http://schemas.openxmlformats.org/officeDocument/2006/relationships/hyperlink" Target="http://www.bls.gov/oes/current/oes1110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E4A7AF4F208E4ABA4A1837E45CF55E" ma:contentTypeVersion="2" ma:contentTypeDescription="Create a new document." ma:contentTypeScope="" ma:versionID="a67b9db05bbe2081914f003b0b7374bc">
  <xsd:schema xmlns:xsd="http://www.w3.org/2001/XMLSchema" xmlns:xs="http://www.w3.org/2001/XMLSchema" xmlns:p="http://schemas.microsoft.com/office/2006/metadata/properties" xmlns:ns2="716c71df-ffd1-4876-9ed6-8543a224ccba" targetNamespace="http://schemas.microsoft.com/office/2006/metadata/properties" ma:root="true" ma:fieldsID="355b1e8cc8e61632add5d911de27fd3a" ns2:_="">
    <xsd:import namespace="716c71df-ffd1-4876-9ed6-8543a224ccb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c71df-ffd1-4876-9ed6-8543a224c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1C86DB-6B9D-4BB7-A68D-975A560BA060}">
  <ds:schemaRefs>
    <ds:schemaRef ds:uri="http://schemas.microsoft.com/sharepoint/v3/contenttype/forms"/>
  </ds:schemaRefs>
</ds:datastoreItem>
</file>

<file path=customXml/itemProps2.xml><?xml version="1.0" encoding="utf-8"?>
<ds:datastoreItem xmlns:ds="http://schemas.openxmlformats.org/officeDocument/2006/customXml" ds:itemID="{AE2F5272-3DE2-492F-BAEB-D1F4FA03F9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3A02BB-1635-4057-A1DE-601552907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c71df-ffd1-4876-9ed6-8543a224c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6394</Characters>
  <Application>Microsoft Office Word</Application>
  <DocSecurity>0</DocSecurity>
  <Lines>53</Lines>
  <Paragraphs>15</Paragraphs>
  <ScaleCrop>false</ScaleCrop>
  <Company>ssa</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Marcantoni, Susan (She/Her)</cp:lastModifiedBy>
  <cp:revision>2</cp:revision>
  <cp:lastPrinted>2013-02-25T15:58:00Z</cp:lastPrinted>
  <dcterms:created xsi:type="dcterms:W3CDTF">2022-07-19T17:02:00Z</dcterms:created>
  <dcterms:modified xsi:type="dcterms:W3CDTF">2022-07-19T17:02:00Z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0x010100ACE4A7AF4F208E4ABA4A1837E45CF55E</vt:lpwstr>
  </property>
  <property fmtid="{D5CDD505-2E9C-101B-9397-08002B2CF9AE}" pid="4" name="MSIP_Label_a2eef23d-2e95-4428-9a3c-2526d95b164a_Enabled">
    <vt:lpwstr>true</vt:lpwstr>
  </property>
  <property fmtid="{D5CDD505-2E9C-101B-9397-08002B2CF9AE}" pid="5" name="MSIP_Label_a2eef23d-2e95-4428-9a3c-2526d95b164a_SetDate">
    <vt:lpwstr>2022-06-02T20:44:12Z</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iteId">
    <vt:lpwstr>3ccde76c-946d-4a12-bb7a-fc9d0842354a</vt:lpwstr>
  </property>
  <property fmtid="{D5CDD505-2E9C-101B-9397-08002B2CF9AE}" pid="9" name="MSIP_Label_a2eef23d-2e95-4428-9a3c-2526d95b164a_ActionId">
    <vt:lpwstr>3df6c948-1a97-4c3d-8cf2-b7bd7e859691</vt:lpwstr>
  </property>
  <property fmtid="{D5CDD505-2E9C-101B-9397-08002B2CF9AE}" pid="10" name="MSIP_Label_a2eef23d-2e95-4428-9a3c-2526d95b164a_ContentBits">
    <vt:lpwstr>0</vt:lpwstr>
  </property>
</Properties>
</file>