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F47" w:rsidRPr="00493DAD" w:rsidP="00647F47" w14:paraId="4F726FA1" w14:textId="77777777">
      <w:pPr>
        <w:pStyle w:val="Title"/>
        <w:rPr>
          <w:sz w:val="24"/>
          <w:szCs w:val="24"/>
        </w:rPr>
      </w:pPr>
      <w:r w:rsidRPr="00493DAD">
        <w:rPr>
          <w:sz w:val="24"/>
          <w:szCs w:val="24"/>
        </w:rPr>
        <w:t xml:space="preserve">Supporting Statement for Paperwork Reduction </w:t>
      </w:r>
      <w:r w:rsidRPr="00493DAD">
        <w:rPr>
          <w:sz w:val="24"/>
          <w:szCs w:val="24"/>
        </w:rPr>
        <w:t xml:space="preserve">Generic Information Collection Submissions for </w:t>
      </w:r>
    </w:p>
    <w:p w:rsidR="00EB5E96" w:rsidRPr="00493DAD" w:rsidP="00647F47" w14:paraId="6BC64690" w14:textId="74314049">
      <w:pPr>
        <w:pStyle w:val="Title"/>
        <w:rPr>
          <w:sz w:val="24"/>
          <w:szCs w:val="24"/>
        </w:rPr>
      </w:pPr>
      <w:r w:rsidRPr="00493DAD">
        <w:rPr>
          <w:sz w:val="24"/>
          <w:szCs w:val="24"/>
        </w:rPr>
        <w:t>“Generic Clearance for the Collection of Qualitative Feedback on Agency Service Delivery”</w:t>
      </w:r>
    </w:p>
    <w:p w:rsidR="00EB5E96" w:rsidRPr="00493DAD" w:rsidP="00D73BBC" w14:paraId="77992B39" w14:textId="77777777">
      <w:pPr>
        <w:tabs>
          <w:tab w:val="left" w:pos="-720"/>
        </w:tabs>
        <w:suppressAutoHyphens/>
        <w:jc w:val="center"/>
        <w:rPr>
          <w:b/>
        </w:rPr>
      </w:pPr>
    </w:p>
    <w:p w:rsidR="00EB5E96" w:rsidRPr="00493DAD" w:rsidP="00D73BBC" w14:paraId="4A1C1C46" w14:textId="4F9AB517">
      <w:pPr>
        <w:tabs>
          <w:tab w:val="left" w:pos="-720"/>
        </w:tabs>
        <w:suppressAutoHyphens/>
        <w:jc w:val="center"/>
        <w:rPr>
          <w:b/>
        </w:rPr>
      </w:pPr>
      <w:r w:rsidRPr="00493DAD">
        <w:rPr>
          <w:b/>
        </w:rPr>
        <w:t xml:space="preserve">OMB Control Number:  </w:t>
      </w:r>
      <w:r w:rsidRPr="00493DAD" w:rsidR="00756F27">
        <w:rPr>
          <w:b/>
        </w:rPr>
        <w:t>1670-0027</w:t>
      </w:r>
    </w:p>
    <w:p w:rsidR="00EB5E96" w:rsidRPr="00493DAD" w:rsidP="00D73BBC" w14:paraId="337578EE" w14:textId="77777777">
      <w:pPr>
        <w:tabs>
          <w:tab w:val="left" w:pos="-720"/>
        </w:tabs>
        <w:suppressAutoHyphens/>
        <w:jc w:val="center"/>
      </w:pPr>
    </w:p>
    <w:p w:rsidR="009F06EB" w:rsidRPr="00493DAD" w:rsidP="000C4293" w14:paraId="3CAD1196" w14:textId="77777777">
      <w:pPr>
        <w:tabs>
          <w:tab w:val="left" w:pos="-720"/>
        </w:tabs>
        <w:suppressAutoHyphens/>
        <w:jc w:val="both"/>
      </w:pPr>
    </w:p>
    <w:p w:rsidR="00EB5E96" w:rsidRPr="00493DAD" w:rsidP="000C4293" w14:paraId="56887A23" w14:textId="77777777">
      <w:pPr>
        <w:pStyle w:val="Heading1"/>
        <w:jc w:val="both"/>
        <w:rPr>
          <w:sz w:val="24"/>
          <w:szCs w:val="24"/>
        </w:rPr>
      </w:pPr>
      <w:r w:rsidRPr="00493DAD">
        <w:rPr>
          <w:sz w:val="24"/>
          <w:szCs w:val="24"/>
        </w:rPr>
        <w:t>A.  Justification</w:t>
      </w:r>
    </w:p>
    <w:p w:rsidR="00EB5E96" w:rsidRPr="00493DAD" w:rsidP="000C4293" w14:paraId="4CC277F7" w14:textId="77777777">
      <w:pPr>
        <w:tabs>
          <w:tab w:val="left" w:pos="-720"/>
        </w:tabs>
        <w:suppressAutoHyphens/>
        <w:jc w:val="both"/>
      </w:pPr>
    </w:p>
    <w:p w:rsidR="00EB5E96" w:rsidRPr="00493DAD" w:rsidP="00834195" w14:paraId="5B81241B" w14:textId="7A71B600">
      <w:pPr>
        <w:suppressAutoHyphens/>
      </w:pPr>
      <w:r w:rsidRPr="00493DAD">
        <w:fldChar w:fldCharType="begin"/>
      </w:r>
      <w:r w:rsidRPr="00493DAD">
        <w:instrText>ADVANCE \R 0.95</w:instrText>
      </w:r>
      <w:r w:rsidRPr="00493DAD">
        <w:fldChar w:fldCharType="end"/>
      </w:r>
      <w:r w:rsidRPr="00493DAD">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493DAD" w:rsidP="00834195" w14:paraId="045316CC" w14:textId="77777777">
      <w:pPr>
        <w:tabs>
          <w:tab w:val="left" w:pos="-720"/>
        </w:tabs>
        <w:suppressAutoHyphens/>
      </w:pPr>
    </w:p>
    <w:p w:rsidR="00F40834" w:rsidRPr="00493DAD" w:rsidP="00834195" w14:paraId="635D93F7" w14:textId="6D49D169">
      <w:pPr>
        <w:tabs>
          <w:tab w:val="left" w:pos="-720"/>
        </w:tabs>
        <w:suppressAutoHyphens/>
        <w:rPr>
          <w:spacing w:val="-3"/>
        </w:rPr>
      </w:pPr>
      <w:r w:rsidRPr="00493DAD">
        <w:rPr>
          <w:spacing w:val="-3"/>
        </w:rPr>
        <w:t xml:space="preserve">Executive Order 12862 directs Federal agencies to provide service to the public that matches or exceeds the best service available in the private sector. </w:t>
      </w:r>
      <w:r w:rsidRPr="00493DAD">
        <w:rPr>
          <w:spacing w:val="-3"/>
        </w:rPr>
        <w:t>In order to</w:t>
      </w:r>
      <w:r w:rsidRPr="00493DAD">
        <w:rPr>
          <w:spacing w:val="-3"/>
        </w:rPr>
        <w:t xml:space="preserve"> work continuously to ensure that our programs are effective and meet our customers and stakeholders needs, Cybersecurity and Infrastructure Security Agency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F40834" w:rsidRPr="00493DAD" w:rsidP="00834195" w14:paraId="1802623E" w14:textId="77777777">
      <w:pPr>
        <w:tabs>
          <w:tab w:val="left" w:pos="-720"/>
        </w:tabs>
        <w:suppressAutoHyphens/>
        <w:rPr>
          <w:spacing w:val="-3"/>
        </w:rPr>
      </w:pPr>
    </w:p>
    <w:p w:rsidR="00775631" w:rsidRPr="00493DAD" w:rsidP="00834195" w14:paraId="2B72C135" w14:textId="11CEFDEA">
      <w:pPr>
        <w:tabs>
          <w:tab w:val="left" w:pos="-720"/>
        </w:tabs>
        <w:suppressAutoHyphens/>
        <w:rPr>
          <w:spacing w:val="-3"/>
        </w:rPr>
      </w:pPr>
      <w:r w:rsidRPr="00493DAD">
        <w:rPr>
          <w:spacing w:val="-3"/>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rsidR="00603D41" w:rsidRPr="00493DAD" w:rsidP="00834195" w14:paraId="07570C80" w14:textId="77777777">
      <w:pPr>
        <w:tabs>
          <w:tab w:val="left" w:pos="-720"/>
        </w:tabs>
        <w:suppressAutoHyphens/>
        <w:rPr>
          <w:spacing w:val="-3"/>
        </w:rPr>
      </w:pPr>
    </w:p>
    <w:p w:rsidR="00603D41" w:rsidRPr="00493DAD" w:rsidP="268C710C" w14:paraId="08068FEB" w14:textId="47D10A66">
      <w:pPr>
        <w:suppressAutoHyphens/>
      </w:pPr>
      <w:r w:rsidRPr="00493DAD">
        <w:rPr>
          <w:spacing w:val="-3"/>
        </w:rPr>
        <w:t>This is a</w:t>
      </w:r>
      <w:r w:rsidRPr="00493DAD" w:rsidR="00834195">
        <w:rPr>
          <w:spacing w:val="-3"/>
        </w:rPr>
        <w:t>n</w:t>
      </w:r>
      <w:r w:rsidRPr="00493DAD">
        <w:rPr>
          <w:spacing w:val="-3"/>
        </w:rPr>
        <w:t xml:space="preserve"> exten</w:t>
      </w:r>
      <w:r w:rsidRPr="00493DAD" w:rsidR="00834195">
        <w:rPr>
          <w:spacing w:val="-3"/>
        </w:rPr>
        <w:t>s</w:t>
      </w:r>
      <w:r w:rsidRPr="00493DAD">
        <w:rPr>
          <w:spacing w:val="-3"/>
        </w:rPr>
        <w:t xml:space="preserve">ion request for the existing collection that was initially approved by OMB on 10/05/2014. The evaluation form’s most recent approval obtained on </w:t>
      </w:r>
      <w:r w:rsidRPr="00493DAD" w:rsidR="78BDAD2F">
        <w:rPr>
          <w:spacing w:val="-3"/>
        </w:rPr>
        <w:t>05/14/2021</w:t>
      </w:r>
      <w:r w:rsidRPr="00493DAD">
        <w:rPr>
          <w:spacing w:val="-3"/>
        </w:rPr>
        <w:t xml:space="preserve"> and </w:t>
      </w:r>
      <w:r w:rsidRPr="00493DAD" w:rsidR="00025805">
        <w:rPr>
          <w:spacing w:val="-3"/>
        </w:rPr>
        <w:t>expires</w:t>
      </w:r>
      <w:r w:rsidRPr="00493DAD" w:rsidR="4E150A14">
        <w:rPr>
          <w:spacing w:val="-3"/>
        </w:rPr>
        <w:t xml:space="preserve"> o</w:t>
      </w:r>
      <w:r w:rsidRPr="00493DAD">
        <w:rPr>
          <w:spacing w:val="-3"/>
        </w:rPr>
        <w:t>n 0</w:t>
      </w:r>
      <w:r w:rsidRPr="00493DAD" w:rsidR="6DB4B586">
        <w:rPr>
          <w:spacing w:val="-3"/>
        </w:rPr>
        <w:t>5</w:t>
      </w:r>
      <w:r w:rsidRPr="00493DAD">
        <w:rPr>
          <w:spacing w:val="-3"/>
        </w:rPr>
        <w:t>/31/202</w:t>
      </w:r>
      <w:r w:rsidRPr="00493DAD" w:rsidR="1DBEEFB1">
        <w:rPr>
          <w:spacing w:val="-3"/>
        </w:rPr>
        <w:t>4</w:t>
      </w:r>
      <w:r w:rsidRPr="00493DAD">
        <w:rPr>
          <w:spacing w:val="-3"/>
        </w:rPr>
        <w:t>. There are no substantial changes to the</w:t>
      </w:r>
      <w:r w:rsidRPr="00493DAD" w:rsidR="1F0864E8">
        <w:rPr>
          <w:spacing w:val="-3"/>
        </w:rPr>
        <w:t xml:space="preserve"> </w:t>
      </w:r>
      <w:r w:rsidRPr="00493DAD" w:rsidR="00025805">
        <w:rPr>
          <w:spacing w:val="-3"/>
        </w:rPr>
        <w:t>extension</w:t>
      </w:r>
      <w:r w:rsidRPr="00493DAD" w:rsidR="1F0864E8">
        <w:rPr>
          <w:spacing w:val="-3"/>
        </w:rPr>
        <w:t xml:space="preserve"> request</w:t>
      </w:r>
      <w:r w:rsidRPr="00493DAD">
        <w:rPr>
          <w:spacing w:val="-3"/>
        </w:rPr>
        <w:t xml:space="preserve"> </w:t>
      </w:r>
      <w:r w:rsidRPr="00493DAD" w:rsidR="6FD8A901">
        <w:rPr>
          <w:spacing w:val="-3"/>
        </w:rPr>
        <w:t xml:space="preserve">for </w:t>
      </w:r>
      <w:r w:rsidRPr="00493DAD">
        <w:rPr>
          <w:spacing w:val="-3"/>
        </w:rPr>
        <w:t>approval</w:t>
      </w:r>
      <w:r w:rsidRPr="00493DAD" w:rsidR="00834195">
        <w:rPr>
          <w:spacing w:val="-3"/>
        </w:rPr>
        <w:t>.</w:t>
      </w:r>
    </w:p>
    <w:p w:rsidR="00F40834" w:rsidRPr="00493DAD" w:rsidP="00834195" w14:paraId="6A57371B" w14:textId="77777777">
      <w:pPr>
        <w:tabs>
          <w:tab w:val="left" w:pos="-720"/>
        </w:tabs>
        <w:suppressAutoHyphens/>
        <w:rPr>
          <w:b/>
          <w:spacing w:val="-3"/>
          <w:u w:val="single"/>
        </w:rPr>
      </w:pPr>
    </w:p>
    <w:p w:rsidR="00EB5E96" w:rsidRPr="00493DAD" w:rsidP="00834195" w14:paraId="292D1E97"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2.  Indicate how, by whom, and for what purpose the information is to be used.  Except for a new collection, indicate the actual use the agency has made of the information received from the current collection. </w:t>
      </w:r>
    </w:p>
    <w:p w:rsidR="00D73BBC" w:rsidRPr="00493DAD" w:rsidP="00834195" w14:paraId="42FB41F9" w14:textId="77777777">
      <w:pPr>
        <w:tabs>
          <w:tab w:val="left" w:pos="-720"/>
        </w:tabs>
        <w:suppressAutoHyphens/>
        <w:rPr>
          <w:i/>
          <w:spacing w:val="-3"/>
        </w:rPr>
      </w:pPr>
    </w:p>
    <w:p w:rsidR="0037322A" w:rsidRPr="00493DAD" w:rsidP="00834195" w14:paraId="4ED59B21" w14:textId="602B1209">
      <w:pPr>
        <w:pStyle w:val="Default"/>
        <w:rPr>
          <w:bCs/>
          <w:iCs/>
        </w:rPr>
      </w:pPr>
      <w:r w:rsidRPr="00493DAD">
        <w:rPr>
          <w:bCs/>
          <w:iCs/>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w:t>
      </w:r>
      <w:r w:rsidRPr="00493DAD">
        <w:rPr>
          <w:bCs/>
          <w:iCs/>
        </w:rPr>
        <w:t>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C27817" w:rsidRPr="00493DAD" w:rsidP="00834195" w14:paraId="6F5FBC95" w14:textId="3DCAF6D8">
      <w:pPr>
        <w:pStyle w:val="Default"/>
        <w:rPr>
          <w:bCs/>
          <w:iCs/>
        </w:rPr>
      </w:pPr>
    </w:p>
    <w:p w:rsidR="00486304" w:rsidRPr="00493DAD" w:rsidP="00834195" w14:paraId="0121B713" w14:textId="77777777">
      <w:pPr>
        <w:pStyle w:val="Default"/>
        <w:rPr>
          <w:bCs/>
          <w:iCs/>
        </w:rPr>
      </w:pPr>
      <w:r w:rsidRPr="00493DAD">
        <w:rPr>
          <w:bCs/>
          <w:iCs/>
        </w:rPr>
        <w:t xml:space="preserve">The Agency will only submit a collection for approval under this generic clearance if it meets the following conditions:   </w:t>
      </w:r>
    </w:p>
    <w:p w:rsidR="00486304" w:rsidRPr="00493DAD" w:rsidP="00834195" w14:paraId="05790030" w14:textId="77777777">
      <w:pPr>
        <w:pStyle w:val="Default"/>
        <w:rPr>
          <w:bCs/>
          <w:iCs/>
        </w:rPr>
      </w:pPr>
    </w:p>
    <w:p w:rsidR="00D41B76" w:rsidRPr="00493DAD" w:rsidP="00834195" w14:paraId="3063CE5A" w14:textId="77777777">
      <w:pPr>
        <w:pStyle w:val="Default"/>
        <w:numPr>
          <w:ilvl w:val="0"/>
          <w:numId w:val="28"/>
        </w:numPr>
        <w:rPr>
          <w:bCs/>
          <w:iCs/>
        </w:rPr>
      </w:pPr>
      <w:r w:rsidRPr="00493DAD">
        <w:rPr>
          <w:bCs/>
          <w:iCs/>
        </w:rPr>
        <w:t>Information gathered will be used only internally for general service improvement and program management purposes and is not intended for release outside of the agency (if released, procedures outlined in Question 16 will be followed</w:t>
      </w:r>
      <w:r w:rsidRPr="00493DAD">
        <w:rPr>
          <w:bCs/>
          <w:iCs/>
        </w:rPr>
        <w:t>);</w:t>
      </w:r>
    </w:p>
    <w:p w:rsidR="00D41B76" w:rsidRPr="00493DAD" w:rsidP="00834195" w14:paraId="4F1359F7" w14:textId="08D123B9">
      <w:pPr>
        <w:pStyle w:val="Default"/>
        <w:numPr>
          <w:ilvl w:val="0"/>
          <w:numId w:val="28"/>
        </w:numPr>
        <w:rPr>
          <w:bCs/>
          <w:iCs/>
        </w:rPr>
      </w:pPr>
      <w:r w:rsidRPr="00493DAD">
        <w:rPr>
          <w:bCs/>
          <w:iCs/>
        </w:rPr>
        <w:t xml:space="preserve">Information gathered will not be used for the purpose of substantially informing influential </w:t>
      </w:r>
      <w:r w:rsidRPr="00493DAD" w:rsidR="005C6616">
        <w:rPr>
          <w:rStyle w:val="normaltextrun"/>
          <w:shd w:val="clear" w:color="auto" w:fill="FFFFFF"/>
        </w:rPr>
        <w:t xml:space="preserve">policy decisions </w:t>
      </w:r>
      <w:hyperlink r:id="rId10" w:anchor="_ftn1" w:tgtFrame="_blank" w:history="1">
        <w:r w:rsidRPr="00493DAD" w:rsidR="005C6616">
          <w:rPr>
            <w:rStyle w:val="normaltextrun"/>
            <w:color w:val="0000FF"/>
            <w:u w:val="single"/>
            <w:shd w:val="clear" w:color="auto" w:fill="FFFFFF"/>
            <w:vertAlign w:val="superscript"/>
          </w:rPr>
          <w:t>[1]</w:t>
        </w:r>
      </w:hyperlink>
      <w:r w:rsidRPr="00493DAD" w:rsidR="005C6616">
        <w:rPr>
          <w:rStyle w:val="normaltextrun"/>
          <w:shd w:val="clear" w:color="auto" w:fill="FFFFFF"/>
        </w:rPr>
        <w:t>;</w:t>
      </w:r>
      <w:r w:rsidRPr="00493DAD" w:rsidR="005C6616">
        <w:rPr>
          <w:bCs/>
          <w:iCs/>
        </w:rPr>
        <w:t xml:space="preserve"> </w:t>
      </w:r>
    </w:p>
    <w:p w:rsidR="00B726E0" w:rsidRPr="00493DAD" w:rsidP="00834195" w14:paraId="4908E79E" w14:textId="77777777">
      <w:pPr>
        <w:pStyle w:val="Default"/>
        <w:numPr>
          <w:ilvl w:val="0"/>
          <w:numId w:val="28"/>
        </w:numPr>
        <w:rPr>
          <w:bCs/>
          <w:iCs/>
        </w:rPr>
      </w:pPr>
      <w:r w:rsidRPr="00493DAD">
        <w:rPr>
          <w:bCs/>
          <w:iCs/>
        </w:rPr>
        <w:t xml:space="preserve">Information gathered will yield qualitative information; the collections will not be designed or expected to yield statistically reliable results or used as though the results are generalizable to the population of </w:t>
      </w:r>
      <w:r w:rsidRPr="00493DAD">
        <w:rPr>
          <w:bCs/>
          <w:iCs/>
        </w:rPr>
        <w:t>study;</w:t>
      </w:r>
    </w:p>
    <w:p w:rsidR="00B726E0" w:rsidRPr="00493DAD" w:rsidP="00834195" w14:paraId="4FA46009" w14:textId="77777777">
      <w:pPr>
        <w:pStyle w:val="Default"/>
        <w:numPr>
          <w:ilvl w:val="0"/>
          <w:numId w:val="28"/>
        </w:numPr>
        <w:rPr>
          <w:bCs/>
          <w:iCs/>
        </w:rPr>
      </w:pPr>
      <w:r w:rsidRPr="00493DAD">
        <w:rPr>
          <w:bCs/>
          <w:iCs/>
        </w:rPr>
        <w:t xml:space="preserve">The collections are </w:t>
      </w:r>
      <w:r w:rsidRPr="00493DAD">
        <w:rPr>
          <w:bCs/>
          <w:iCs/>
        </w:rPr>
        <w:t>voluntary;</w:t>
      </w:r>
    </w:p>
    <w:p w:rsidR="00B726E0" w:rsidRPr="00493DAD" w:rsidP="00834195" w14:paraId="45BC5080" w14:textId="77777777">
      <w:pPr>
        <w:pStyle w:val="Default"/>
        <w:numPr>
          <w:ilvl w:val="0"/>
          <w:numId w:val="28"/>
        </w:numPr>
        <w:rPr>
          <w:bCs/>
          <w:iCs/>
        </w:rPr>
      </w:pPr>
      <w:r w:rsidRPr="00493DAD">
        <w:rPr>
          <w:bCs/>
          <w:iCs/>
        </w:rPr>
        <w:t xml:space="preserve">The collections are low-burden for respondents (based on considerations of total burden hours, total number of respondents, or burden-hours per respondent) and are low-cost for both the respondents and the Federal </w:t>
      </w:r>
      <w:r w:rsidRPr="00493DAD">
        <w:rPr>
          <w:bCs/>
          <w:iCs/>
        </w:rPr>
        <w:t>Government;</w:t>
      </w:r>
    </w:p>
    <w:p w:rsidR="00B726E0" w:rsidRPr="00493DAD" w:rsidP="00834195" w14:paraId="24FF4039" w14:textId="77777777">
      <w:pPr>
        <w:pStyle w:val="Default"/>
        <w:numPr>
          <w:ilvl w:val="0"/>
          <w:numId w:val="28"/>
        </w:numPr>
        <w:rPr>
          <w:bCs/>
          <w:iCs/>
        </w:rPr>
      </w:pPr>
      <w:r w:rsidRPr="00493DAD">
        <w:rPr>
          <w:bCs/>
          <w:iCs/>
        </w:rPr>
        <w:t xml:space="preserve">The collections are non-controversial and do not raise issues of concern to other Federal </w:t>
      </w:r>
      <w:r w:rsidRPr="00493DAD">
        <w:rPr>
          <w:bCs/>
          <w:iCs/>
        </w:rPr>
        <w:t>agencies;</w:t>
      </w:r>
    </w:p>
    <w:p w:rsidR="00B726E0" w:rsidRPr="00493DAD" w:rsidP="00834195" w14:paraId="39872FA4" w14:textId="77777777">
      <w:pPr>
        <w:pStyle w:val="Default"/>
        <w:numPr>
          <w:ilvl w:val="0"/>
          <w:numId w:val="28"/>
        </w:numPr>
        <w:rPr>
          <w:bCs/>
          <w:iCs/>
        </w:rPr>
      </w:pPr>
      <w:r w:rsidRPr="00493DAD">
        <w:rPr>
          <w:bCs/>
          <w:iCs/>
        </w:rPr>
        <w:t xml:space="preserve">Any collection is targeted to the solicitation of opinions from respondents who have experience with the program or may have experience with the program </w:t>
      </w:r>
      <w:r w:rsidRPr="00493DAD">
        <w:rPr>
          <w:bCs/>
          <w:iCs/>
        </w:rPr>
        <w:t>in the near future</w:t>
      </w:r>
      <w:r w:rsidRPr="00493DAD">
        <w:rPr>
          <w:bCs/>
          <w:iCs/>
        </w:rPr>
        <w:t>; and</w:t>
      </w:r>
    </w:p>
    <w:p w:rsidR="00486304" w:rsidRPr="00493DAD" w:rsidP="00834195" w14:paraId="44DE77C5" w14:textId="3F765427">
      <w:pPr>
        <w:pStyle w:val="Default"/>
        <w:numPr>
          <w:ilvl w:val="0"/>
          <w:numId w:val="28"/>
        </w:numPr>
        <w:rPr>
          <w:bCs/>
          <w:iCs/>
        </w:rPr>
      </w:pPr>
      <w:r w:rsidRPr="00493DAD">
        <w:rPr>
          <w:bCs/>
          <w:iCs/>
        </w:rPr>
        <w:t>With the exception of</w:t>
      </w:r>
      <w:r w:rsidRPr="00493DAD">
        <w:rPr>
          <w:bCs/>
          <w:iCs/>
        </w:rPr>
        <w:t xml:space="preserve"> information needed to provide remuneration for participants of focus groups and cognitive laboratory studies, personally identifiable information (PII) is collected only to the extent necessary and is not retained. </w:t>
      </w:r>
    </w:p>
    <w:p w:rsidR="00486304" w:rsidRPr="00493DAD" w:rsidP="00834195" w14:paraId="25A59024" w14:textId="77777777">
      <w:pPr>
        <w:pStyle w:val="Default"/>
        <w:rPr>
          <w:bCs/>
          <w:iCs/>
        </w:rPr>
      </w:pPr>
    </w:p>
    <w:p w:rsidR="00486304" w:rsidRPr="00493DAD" w:rsidP="00834195" w14:paraId="5B978B2B" w14:textId="77777777">
      <w:pPr>
        <w:pStyle w:val="Default"/>
        <w:rPr>
          <w:bCs/>
          <w:iCs/>
        </w:rPr>
      </w:pPr>
      <w:r w:rsidRPr="00493DAD">
        <w:rPr>
          <w:bCs/>
          <w:iCs/>
        </w:rPr>
        <w:t xml:space="preserve">If these conditions are not met, the Agency will submit an information collection request to OMB for approval through the normal PRA process.  </w:t>
      </w:r>
    </w:p>
    <w:p w:rsidR="00486304" w:rsidRPr="00493DAD" w:rsidP="00834195" w14:paraId="5FC2E582" w14:textId="77777777">
      <w:pPr>
        <w:pStyle w:val="Default"/>
        <w:rPr>
          <w:bCs/>
          <w:iCs/>
        </w:rPr>
      </w:pPr>
    </w:p>
    <w:p w:rsidR="00486304" w:rsidRPr="00493DAD" w:rsidP="00834195" w14:paraId="52EB93DA" w14:textId="0BFA45BE">
      <w:pPr>
        <w:pStyle w:val="Default"/>
        <w:rPr>
          <w:bCs/>
          <w:iCs/>
        </w:rPr>
      </w:pPr>
      <w:r w:rsidRPr="00493DAD">
        <w:rPr>
          <w:bCs/>
          <w:iCs/>
        </w:rPr>
        <w:t xml:space="preserve">To obtain approval for a collection that meets the conditions of this generic clearance, a standardized form will be submitted to OMB along with supporting documentation (e.g., a copy of the comment card).  The submission will have automatic </w:t>
      </w:r>
      <w:r w:rsidRPr="00493DAD" w:rsidR="00B726E0">
        <w:rPr>
          <w:bCs/>
          <w:iCs/>
        </w:rPr>
        <w:t>approval unless</w:t>
      </w:r>
      <w:r w:rsidRPr="00493DAD">
        <w:rPr>
          <w:bCs/>
          <w:iCs/>
        </w:rPr>
        <w:t xml:space="preserve"> OMB identifies issues within 5 business days.</w:t>
      </w:r>
    </w:p>
    <w:p w:rsidR="00486304" w:rsidRPr="00493DAD" w:rsidP="00834195" w14:paraId="3293F40E" w14:textId="77777777">
      <w:pPr>
        <w:pStyle w:val="Default"/>
        <w:rPr>
          <w:bCs/>
          <w:iCs/>
        </w:rPr>
      </w:pPr>
    </w:p>
    <w:p w:rsidR="00486304" w:rsidRPr="00493DAD" w:rsidP="00834195" w14:paraId="7106791A" w14:textId="77777777">
      <w:pPr>
        <w:pStyle w:val="Default"/>
        <w:rPr>
          <w:bCs/>
          <w:iCs/>
        </w:rPr>
      </w:pPr>
      <w:r w:rsidRPr="00493DAD">
        <w:rPr>
          <w:bCs/>
          <w:iCs/>
        </w:rPr>
        <w:t>The types of collections that this generic clearance covers include, but are not limited to:</w:t>
      </w:r>
    </w:p>
    <w:p w:rsidR="004644DC" w:rsidRPr="00493DAD" w:rsidP="00834195" w14:paraId="41600925" w14:textId="77777777">
      <w:pPr>
        <w:pStyle w:val="Default"/>
        <w:numPr>
          <w:ilvl w:val="0"/>
          <w:numId w:val="29"/>
        </w:numPr>
        <w:rPr>
          <w:bCs/>
          <w:iCs/>
        </w:rPr>
      </w:pPr>
      <w:r w:rsidRPr="00493DAD">
        <w:rPr>
          <w:bCs/>
          <w:iCs/>
        </w:rPr>
        <w:t>Customer comment cards/complaint forms</w:t>
      </w:r>
    </w:p>
    <w:p w:rsidR="004644DC" w:rsidRPr="00493DAD" w:rsidP="00834195" w14:paraId="305B56A4" w14:textId="77777777">
      <w:pPr>
        <w:pStyle w:val="Default"/>
        <w:numPr>
          <w:ilvl w:val="0"/>
          <w:numId w:val="29"/>
        </w:numPr>
        <w:rPr>
          <w:bCs/>
          <w:iCs/>
        </w:rPr>
      </w:pPr>
      <w:r w:rsidRPr="00493DAD">
        <w:rPr>
          <w:bCs/>
          <w:iCs/>
        </w:rPr>
        <w:t>Small discussion groups</w:t>
      </w:r>
    </w:p>
    <w:p w:rsidR="00C807F3" w:rsidRPr="00493DAD" w:rsidP="00834195" w14:paraId="62C14C19" w14:textId="7A1738D6">
      <w:pPr>
        <w:pStyle w:val="Default"/>
        <w:numPr>
          <w:ilvl w:val="0"/>
          <w:numId w:val="29"/>
        </w:numPr>
        <w:rPr>
          <w:bCs/>
          <w:iCs/>
        </w:rPr>
        <w:sectPr w:rsidSect="00C807F3">
          <w:footerReference w:type="even" r:id="rId11"/>
          <w:footerReference w:type="default" r:id="rId12"/>
          <w:pgSz w:w="12240" w:h="15840" w:code="1"/>
          <w:pgMar w:top="1440" w:right="1440" w:bottom="1440" w:left="1440" w:header="720" w:footer="720" w:gutter="0"/>
          <w:cols w:space="720"/>
          <w:noEndnote/>
          <w:titlePg/>
        </w:sectPr>
      </w:pPr>
      <w:r w:rsidRPr="00493DAD">
        <w:rPr>
          <w:bCs/>
          <w:iCs/>
        </w:rPr>
        <w:t>Focus Groups of customers, potential customers, delivery partners, or other stakeholder</w:t>
      </w:r>
      <w:r w:rsidRPr="00493DAD" w:rsidR="00834195">
        <w:rPr>
          <w:bCs/>
          <w:iCs/>
        </w:rPr>
        <w:t>s</w:t>
      </w:r>
    </w:p>
    <w:p w:rsidR="005D4F08" w:rsidRPr="00493DAD" w:rsidP="00834195" w14:paraId="202981A5" w14:textId="77777777">
      <w:pPr>
        <w:pStyle w:val="Default"/>
        <w:numPr>
          <w:ilvl w:val="0"/>
          <w:numId w:val="29"/>
        </w:numPr>
        <w:rPr>
          <w:bCs/>
          <w:iCs/>
        </w:rPr>
      </w:pPr>
      <w:r w:rsidRPr="00493DAD">
        <w:rPr>
          <w:bCs/>
          <w:iCs/>
        </w:rPr>
        <w:t xml:space="preserve">Cognitive laboratory studies, such as those used to refine questions or assess usability of a </w:t>
      </w:r>
      <w:r w:rsidRPr="00493DAD">
        <w:rPr>
          <w:bCs/>
          <w:iCs/>
        </w:rPr>
        <w:t>website;</w:t>
      </w:r>
    </w:p>
    <w:p w:rsidR="005D4F08" w:rsidRPr="00493DAD" w:rsidP="00834195" w14:paraId="68D2BD52" w14:textId="77777777">
      <w:pPr>
        <w:pStyle w:val="Default"/>
        <w:numPr>
          <w:ilvl w:val="0"/>
          <w:numId w:val="29"/>
        </w:numPr>
        <w:rPr>
          <w:bCs/>
          <w:iCs/>
        </w:rPr>
      </w:pPr>
      <w:r w:rsidRPr="00493DAD">
        <w:rPr>
          <w:bCs/>
          <w:iCs/>
        </w:rPr>
        <w:t>Qualitative customer satisfaction surveys (e.g., post-transaction surveys; opt-out web surveys)</w:t>
      </w:r>
    </w:p>
    <w:p w:rsidR="00486304" w:rsidRPr="00493DAD" w:rsidP="00834195" w14:paraId="612EDA73" w14:textId="1641199A">
      <w:pPr>
        <w:pStyle w:val="Default"/>
        <w:numPr>
          <w:ilvl w:val="0"/>
          <w:numId w:val="29"/>
        </w:numPr>
        <w:rPr>
          <w:bCs/>
          <w:iCs/>
        </w:rPr>
      </w:pPr>
      <w:r w:rsidRPr="00493DAD">
        <w:rPr>
          <w:bCs/>
          <w:iCs/>
        </w:rPr>
        <w:t>In-person observation testing (e.g., website or software usability tests)</w:t>
      </w:r>
    </w:p>
    <w:p w:rsidR="00486304" w:rsidRPr="00493DAD" w:rsidP="00834195" w14:paraId="2E6C97A8" w14:textId="5D4F4806">
      <w:pPr>
        <w:pStyle w:val="Default"/>
        <w:rPr>
          <w:bCs/>
          <w:iCs/>
        </w:rPr>
      </w:pPr>
      <w:r w:rsidRPr="00493DAD">
        <w:rPr>
          <w:bCs/>
          <w:iCs/>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486304" w:rsidRPr="00493DAD" w:rsidP="00834195" w14:paraId="64F355EE" w14:textId="77777777">
      <w:pPr>
        <w:pStyle w:val="Default"/>
        <w:rPr>
          <w:bCs/>
          <w:iCs/>
        </w:rPr>
      </w:pPr>
    </w:p>
    <w:p w:rsidR="00EB5E96" w:rsidRPr="00493DAD" w:rsidP="00834195" w14:paraId="137BFE5F"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93DAD">
        <w:tab/>
      </w:r>
    </w:p>
    <w:p w:rsidR="00EB5E96" w:rsidRPr="00493DAD" w:rsidP="00834195" w14:paraId="16DA2C53" w14:textId="77777777">
      <w:pPr>
        <w:tabs>
          <w:tab w:val="left" w:pos="-720"/>
        </w:tabs>
        <w:suppressAutoHyphens/>
      </w:pPr>
    </w:p>
    <w:p w:rsidR="0015593C" w:rsidRPr="00493DAD" w:rsidP="00834195" w14:paraId="084C5DA0" w14:textId="68375D81">
      <w:pPr>
        <w:tabs>
          <w:tab w:val="left" w:pos="-720"/>
        </w:tabs>
        <w:suppressAutoHyphens/>
        <w:contextualSpacing/>
        <w:rPr>
          <w:color w:val="000000"/>
        </w:rPr>
      </w:pPr>
      <w:r w:rsidRPr="00493DAD">
        <w:rPr>
          <w:color w:val="000000"/>
        </w:rPr>
        <w:t>If appropriate, agencies will collect information electronically and/or use online collaboration tools to reduce burden.</w:t>
      </w:r>
      <w:r w:rsidRPr="00493DAD" w:rsidR="00625968">
        <w:rPr>
          <w:color w:val="000000"/>
        </w:rPr>
        <w:t xml:space="preserve"> Usability Testing will be conducted </w:t>
      </w:r>
      <w:r w:rsidRPr="00493DAD" w:rsidR="009164C4">
        <w:rPr>
          <w:color w:val="000000"/>
        </w:rPr>
        <w:t xml:space="preserve">and will be noted on all generic </w:t>
      </w:r>
      <w:r w:rsidRPr="00493DAD" w:rsidR="00986E11">
        <w:rPr>
          <w:color w:val="000000"/>
        </w:rPr>
        <w:t>information collections</w:t>
      </w:r>
      <w:r w:rsidRPr="00493DAD" w:rsidR="00A712B9">
        <w:rPr>
          <w:color w:val="000000"/>
        </w:rPr>
        <w:t xml:space="preserve"> upon submission to be added</w:t>
      </w:r>
      <w:r w:rsidRPr="00493DAD" w:rsidR="00DB08F7">
        <w:rPr>
          <w:color w:val="000000"/>
        </w:rPr>
        <w:t>.</w:t>
      </w:r>
      <w:r w:rsidRPr="00493DAD" w:rsidR="00E058E8">
        <w:rPr>
          <w:color w:val="000000"/>
        </w:rPr>
        <w:t xml:space="preserve"> All findings and the </w:t>
      </w:r>
      <w:r w:rsidRPr="00493DAD" w:rsidR="00CD0564">
        <w:rPr>
          <w:color w:val="000000"/>
        </w:rPr>
        <w:t>mitigations the findings will be noted.</w:t>
      </w:r>
    </w:p>
    <w:p w:rsidR="0087219D" w:rsidRPr="00493DAD" w:rsidP="00834195" w14:paraId="6EC0EAD5" w14:textId="77777777">
      <w:pPr>
        <w:tabs>
          <w:tab w:val="left" w:pos="-720"/>
        </w:tabs>
        <w:suppressAutoHyphens/>
        <w:contextualSpacing/>
      </w:pPr>
    </w:p>
    <w:p w:rsidR="00EB5E96" w:rsidRPr="00493DAD" w:rsidP="00834195" w14:paraId="74B08762"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4.  Describe efforts to identify duplication.   Show specifically why any similar information already available cannot be used or modified for use for the purposes described in Item 2 above. </w:t>
      </w:r>
    </w:p>
    <w:p w:rsidR="00EB5E96" w:rsidRPr="00493DAD" w:rsidP="00834195" w14:paraId="3346A6A6" w14:textId="77777777">
      <w:pPr>
        <w:tabs>
          <w:tab w:val="left" w:pos="-720"/>
        </w:tabs>
        <w:suppressAutoHyphens/>
      </w:pPr>
      <w:r w:rsidRPr="00493DAD">
        <w:fldChar w:fldCharType="begin"/>
      </w:r>
      <w:r w:rsidRPr="00493DAD">
        <w:instrText>ADVANCE \R 0.95</w:instrText>
      </w:r>
      <w:r w:rsidRPr="00493DAD">
        <w:fldChar w:fldCharType="end"/>
      </w:r>
    </w:p>
    <w:p w:rsidR="00AA3F82" w:rsidRPr="00493DAD" w:rsidP="00834195" w14:paraId="1DA65EDD" w14:textId="48904824">
      <w:pPr>
        <w:tabs>
          <w:tab w:val="left" w:pos="-720"/>
        </w:tabs>
        <w:suppressAutoHyphens/>
      </w:pPr>
      <w:r w:rsidRPr="00493DAD">
        <w:t>No similar data are gathered or maintained by the Agency or are available from other sources known to the Agency.</w:t>
      </w:r>
    </w:p>
    <w:p w:rsidR="00000B32" w:rsidRPr="00493DAD" w:rsidP="00834195" w14:paraId="622C6BF0" w14:textId="77777777">
      <w:pPr>
        <w:tabs>
          <w:tab w:val="left" w:pos="-720"/>
        </w:tabs>
        <w:suppressAutoHyphens/>
      </w:pPr>
    </w:p>
    <w:p w:rsidR="00EB5E96" w:rsidRPr="00493DAD" w:rsidP="00834195" w14:paraId="12920507"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5.  If the collection of information impacts small businesses or other small entities (Item 5 of OMB Form 83-I), describe any methods used to minimize.</w:t>
      </w:r>
      <w:r w:rsidRPr="00493DAD">
        <w:tab/>
      </w:r>
    </w:p>
    <w:p w:rsidR="00EB5E96" w:rsidRPr="00493DAD" w:rsidP="00834195" w14:paraId="06D78EA0" w14:textId="77777777">
      <w:pPr>
        <w:tabs>
          <w:tab w:val="left" w:pos="-720"/>
        </w:tabs>
        <w:suppressAutoHyphens/>
        <w:rPr>
          <w:spacing w:val="-3"/>
        </w:rPr>
      </w:pPr>
    </w:p>
    <w:p w:rsidR="00EB5E96" w:rsidRPr="00493DAD" w:rsidP="00834195" w14:paraId="5E13DE4C" w14:textId="7D638BA5">
      <w:pPr>
        <w:tabs>
          <w:tab w:val="left" w:pos="-720"/>
        </w:tabs>
        <w:suppressAutoHyphens/>
        <w:rPr>
          <w:spacing w:val="-3"/>
        </w:rPr>
      </w:pPr>
      <w:r w:rsidRPr="00493DAD">
        <w:rPr>
          <w:spacing w:val="-3"/>
        </w:rPr>
        <w:t xml:space="preserve">Small business or other small entities may be involved in these </w:t>
      </w:r>
      <w:r w:rsidRPr="00493DAD" w:rsidR="000C35EA">
        <w:rPr>
          <w:spacing w:val="-3"/>
        </w:rPr>
        <w:t>efforts,</w:t>
      </w:r>
      <w:r w:rsidRPr="00493DAD">
        <w:rPr>
          <w:spacing w:val="-3"/>
        </w:rPr>
        <w:t xml:space="preserve"> but the Agency will minimize the burden on them of information collections approved under this clearance by sampling, asking for readily available information, and using short, easy-to-complete information collection instruments.  </w:t>
      </w:r>
    </w:p>
    <w:p w:rsidR="00D14CC3" w:rsidRPr="00493DAD" w:rsidP="00834195" w14:paraId="1268D70F" w14:textId="77777777">
      <w:pPr>
        <w:tabs>
          <w:tab w:val="left" w:pos="-720"/>
        </w:tabs>
        <w:suppressAutoHyphens/>
        <w:rPr>
          <w:spacing w:val="-3"/>
        </w:rPr>
      </w:pPr>
    </w:p>
    <w:p w:rsidR="00EB5E96" w:rsidRPr="00493DAD" w:rsidP="00834195" w14:paraId="3B43F236"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6.  Describe the consequence to Federal/</w:t>
      </w:r>
      <w:r w:rsidRPr="00493DAD" w:rsidR="00460234">
        <w:t>DHS</w:t>
      </w:r>
      <w:r w:rsidRPr="00493DAD">
        <w:t xml:space="preserve"> program or policy activities if the collection of information is not conducted, or is conducted less frequently, as well as any technical or legal obstacles to reducing burden.</w:t>
      </w:r>
    </w:p>
    <w:p w:rsidR="00EB5E96" w:rsidRPr="00493DAD" w:rsidP="00834195" w14:paraId="38AFCAF9" w14:textId="77777777">
      <w:pPr>
        <w:tabs>
          <w:tab w:val="left" w:pos="-720"/>
        </w:tabs>
        <w:suppressAutoHyphens/>
        <w:rPr>
          <w:spacing w:val="-3"/>
        </w:rPr>
      </w:pPr>
    </w:p>
    <w:p w:rsidR="00AA3F82" w:rsidRPr="00493DAD" w:rsidP="00834195" w14:paraId="6DB53CCA" w14:textId="4ACE6608">
      <w:pPr>
        <w:tabs>
          <w:tab w:val="left" w:pos="-720"/>
        </w:tabs>
        <w:suppressAutoHyphens/>
        <w:rPr>
          <w:spacing w:val="-3"/>
        </w:rPr>
      </w:pPr>
      <w:r w:rsidRPr="00493DAD">
        <w:rPr>
          <w:spacing w:val="-3"/>
        </w:rPr>
        <w:t>Without these types of feedback, the Agency will not have timely information to adjust its services to meet customer needs.</w:t>
      </w:r>
    </w:p>
    <w:p w:rsidR="00185DDD" w:rsidRPr="00493DAD" w:rsidP="00834195" w14:paraId="6B2D2768" w14:textId="77777777">
      <w:pPr>
        <w:tabs>
          <w:tab w:val="left" w:pos="-720"/>
        </w:tabs>
        <w:suppressAutoHyphens/>
        <w:rPr>
          <w:spacing w:val="-3"/>
        </w:rPr>
      </w:pPr>
    </w:p>
    <w:p w:rsidR="00EB5E96" w:rsidRPr="00493DAD" w:rsidP="00834195" w14:paraId="5CEA0046"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7.  Explain any special circumstances that would cause an information collection to be conducted in a manner:</w:t>
      </w:r>
    </w:p>
    <w:p w:rsidR="00EB5E96" w:rsidRPr="00493DAD" w:rsidP="00834195" w14:paraId="1819770B" w14:textId="77777777">
      <w:pPr>
        <w:shd w:val="pct25" w:color="auto" w:fill="FFFFFF"/>
        <w:tabs>
          <w:tab w:val="left" w:pos="-720"/>
        </w:tabs>
        <w:suppressAutoHyphens/>
      </w:pPr>
    </w:p>
    <w:p w:rsidR="002B0649" w:rsidRPr="00493DAD" w:rsidP="00834195" w14:paraId="2C6D8C8F" w14:textId="6790EB28">
      <w:r w:rsidRPr="00493DAD">
        <w:fldChar w:fldCharType="begin"/>
      </w:r>
      <w:r w:rsidRPr="00493DAD">
        <w:instrText>ADVANCE \R 0.95</w:instrText>
      </w:r>
      <w:r w:rsidRPr="00493DAD">
        <w:fldChar w:fldCharType="end"/>
      </w:r>
      <w:r w:rsidRPr="00493DAD" w:rsidR="00BF4DCF">
        <w:t xml:space="preserve"> There are no special circumstances. The information collected will be voluntary and will not be used for statistical purposes.</w:t>
      </w:r>
    </w:p>
    <w:p w:rsidR="00AE41B7" w:rsidRPr="00493DAD" w:rsidP="00834195" w14:paraId="415A2725" w14:textId="77777777">
      <w:pPr>
        <w:tabs>
          <w:tab w:val="left" w:pos="-720"/>
        </w:tabs>
        <w:suppressAutoHyphens/>
      </w:pPr>
    </w:p>
    <w:p w:rsidR="00EB5E96" w:rsidRPr="00493DAD" w:rsidP="00834195" w14:paraId="3A9C89B1"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8.  Federal Register Notice: </w:t>
      </w:r>
    </w:p>
    <w:p w:rsidR="00EB5E96" w:rsidRPr="00493DAD" w:rsidP="00834195" w14:paraId="225B0E37" w14:textId="79EE2998">
      <w:pPr>
        <w:shd w:val="clear" w:color="auto" w:fill="C0C0C0"/>
        <w:suppressAutoHyphens/>
      </w:pPr>
      <w:r w:rsidRPr="00493DAD">
        <w:fldChar w:fldCharType="begin"/>
      </w:r>
      <w:r w:rsidRPr="00493DAD">
        <w:instrText>ADVANCE \R 0.95</w:instrText>
      </w:r>
      <w:r w:rsidRPr="00493DAD">
        <w:fldChar w:fldCharType="end"/>
      </w:r>
      <w:r w:rsidRPr="00493DAD">
        <w:fldChar w:fldCharType="begin"/>
      </w:r>
      <w:r w:rsidRPr="00493DAD">
        <w:instrText>ADVANCE \R 0.95</w:instrText>
      </w:r>
      <w:r w:rsidRPr="00493DAD">
        <w:fldChar w:fldCharType="end"/>
      </w:r>
      <w:r w:rsidRPr="00493DAD">
        <w:t>a.   Provide a copy and identify the date and page number of</w:t>
      </w:r>
      <w:r w:rsidRPr="00493DAD" w:rsidR="433EC6A3">
        <w:t xml:space="preserve"> the</w:t>
      </w:r>
      <w:r w:rsidRPr="00493DAD">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493DAD" w:rsidP="00834195" w14:paraId="1A3D0F54"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fldChar w:fldCharType="begin"/>
      </w:r>
      <w:r w:rsidRPr="00493DAD">
        <w:instrText>ADVANCE \R 0.95</w:instrText>
      </w:r>
      <w:r w:rsidRPr="00493DAD">
        <w:fldChar w:fldCharType="end"/>
      </w:r>
      <w:r w:rsidRPr="00493DAD">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493DAD" w:rsidP="00834195" w14:paraId="3381B799"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493DAD" w:rsidP="00834195" w14:paraId="126D3743" w14:textId="77777777">
      <w:pPr>
        <w:tabs>
          <w:tab w:val="left" w:pos="-720"/>
        </w:tabs>
        <w:suppressAutoHyphens/>
      </w:pPr>
      <w:r w:rsidRPr="00493DAD">
        <w:fldChar w:fldCharType="begin"/>
      </w:r>
      <w:r w:rsidRPr="00493DAD">
        <w:instrText>ADVANCE \R 0.95</w:instrText>
      </w:r>
      <w:r w:rsidRPr="00493DAD">
        <w:fldChar w:fldCharType="end"/>
      </w:r>
    </w:p>
    <w:p w:rsidR="00B01128" w:rsidRPr="00493DAD" w:rsidP="00834195" w14:paraId="65C0F000" w14:textId="7311564E">
      <w:pPr>
        <w:tabs>
          <w:tab w:val="left" w:pos="-720"/>
        </w:tabs>
        <w:suppressAutoHyphens/>
      </w:pPr>
      <w:r w:rsidRPr="00493DAD">
        <w:t xml:space="preserve">In accordance with 5 CFR 1320.8(d), a 60-day notice and 30-day notice for public comment was published in the Federal Register.  </w:t>
      </w:r>
    </w:p>
    <w:p w:rsidR="00B01128" w:rsidRPr="00493DAD" w:rsidP="00834195" w14:paraId="401B87DA" w14:textId="77777777">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RPr="00493DAD" w:rsidP="00834195" w14:paraId="02EDAE2E" w14:textId="77777777">
            <w:pPr>
              <w:tabs>
                <w:tab w:val="left" w:pos="-720"/>
              </w:tabs>
              <w:suppressAutoHyphens/>
            </w:pPr>
          </w:p>
        </w:tc>
        <w:tc>
          <w:tcPr>
            <w:tcW w:w="2700" w:type="dxa"/>
            <w:shd w:val="clear" w:color="auto" w:fill="BFBFBF"/>
          </w:tcPr>
          <w:p w:rsidR="00B67664" w:rsidRPr="00493DAD" w:rsidP="00834195" w14:paraId="733FCDF6" w14:textId="77777777">
            <w:pPr>
              <w:tabs>
                <w:tab w:val="left" w:pos="-720"/>
              </w:tabs>
              <w:suppressAutoHyphens/>
              <w:rPr>
                <w:b/>
              </w:rPr>
            </w:pPr>
            <w:r w:rsidRPr="00493DAD">
              <w:rPr>
                <w:b/>
              </w:rPr>
              <w:t>Date of Publication</w:t>
            </w:r>
          </w:p>
        </w:tc>
        <w:tc>
          <w:tcPr>
            <w:tcW w:w="1080" w:type="dxa"/>
            <w:shd w:val="clear" w:color="auto" w:fill="BFBFBF"/>
            <w:vAlign w:val="center"/>
          </w:tcPr>
          <w:p w:rsidR="00B67664" w:rsidRPr="00493DAD" w:rsidP="00834195" w14:paraId="71CD397F" w14:textId="77777777">
            <w:pPr>
              <w:tabs>
                <w:tab w:val="left" w:pos="-720"/>
              </w:tabs>
              <w:suppressAutoHyphens/>
              <w:rPr>
                <w:b/>
              </w:rPr>
            </w:pPr>
            <w:r w:rsidRPr="00493DAD">
              <w:rPr>
                <w:b/>
              </w:rPr>
              <w:t>Volume #</w:t>
            </w:r>
          </w:p>
        </w:tc>
        <w:tc>
          <w:tcPr>
            <w:tcW w:w="1080" w:type="dxa"/>
            <w:shd w:val="clear" w:color="auto" w:fill="BFBFBF"/>
            <w:vAlign w:val="center"/>
          </w:tcPr>
          <w:p w:rsidR="00B67664" w:rsidRPr="00493DAD" w:rsidP="00834195" w14:paraId="6923B9E4" w14:textId="77777777">
            <w:pPr>
              <w:tabs>
                <w:tab w:val="left" w:pos="-720"/>
              </w:tabs>
              <w:suppressAutoHyphens/>
              <w:rPr>
                <w:b/>
              </w:rPr>
            </w:pPr>
            <w:r w:rsidRPr="00493DAD">
              <w:rPr>
                <w:b/>
              </w:rPr>
              <w:t>Number #</w:t>
            </w:r>
          </w:p>
        </w:tc>
        <w:tc>
          <w:tcPr>
            <w:tcW w:w="900" w:type="dxa"/>
            <w:shd w:val="clear" w:color="auto" w:fill="BFBFBF"/>
            <w:vAlign w:val="center"/>
          </w:tcPr>
          <w:p w:rsidR="00B67664" w:rsidRPr="00493DAD" w:rsidP="00834195" w14:paraId="1A9F4A4E" w14:textId="77777777">
            <w:pPr>
              <w:tabs>
                <w:tab w:val="left" w:pos="-720"/>
              </w:tabs>
              <w:suppressAutoHyphens/>
              <w:rPr>
                <w:b/>
              </w:rPr>
            </w:pPr>
            <w:r w:rsidRPr="00493DAD">
              <w:rPr>
                <w:b/>
              </w:rPr>
              <w:t>Page #</w:t>
            </w:r>
          </w:p>
        </w:tc>
        <w:tc>
          <w:tcPr>
            <w:tcW w:w="1532" w:type="dxa"/>
            <w:shd w:val="clear" w:color="auto" w:fill="BFBFBF"/>
          </w:tcPr>
          <w:p w:rsidR="00B67664" w:rsidRPr="00493DAD" w:rsidP="00834195" w14:paraId="6BF24A15" w14:textId="77777777">
            <w:pPr>
              <w:tabs>
                <w:tab w:val="left" w:pos="-720"/>
              </w:tabs>
              <w:suppressAutoHyphens/>
              <w:rPr>
                <w:b/>
              </w:rPr>
            </w:pPr>
            <w:r w:rsidRPr="00493DAD">
              <w:rPr>
                <w:b/>
              </w:rPr>
              <w:t>Comments Addressed</w:t>
            </w:r>
          </w:p>
        </w:tc>
      </w:tr>
      <w:tr w14:paraId="196416DF" w14:textId="77777777" w:rsidTr="0022626A">
        <w:tblPrEx>
          <w:tblW w:w="0" w:type="auto"/>
          <w:tblLayout w:type="fixed"/>
          <w:tblLook w:val="04A0"/>
        </w:tblPrEx>
        <w:tc>
          <w:tcPr>
            <w:tcW w:w="2268" w:type="dxa"/>
            <w:vAlign w:val="center"/>
          </w:tcPr>
          <w:p w:rsidR="00B67664" w:rsidRPr="00493DAD" w:rsidP="00834195" w14:paraId="28758108" w14:textId="77777777">
            <w:pPr>
              <w:tabs>
                <w:tab w:val="left" w:pos="-720"/>
              </w:tabs>
              <w:suppressAutoHyphens/>
              <w:rPr>
                <w:i/>
              </w:rPr>
            </w:pPr>
            <w:r w:rsidRPr="00493DAD">
              <w:rPr>
                <w:i/>
              </w:rPr>
              <w:t>60</w:t>
            </w:r>
            <w:r w:rsidRPr="00493DAD" w:rsidR="00C860B7">
              <w:rPr>
                <w:i/>
              </w:rPr>
              <w:t>-</w:t>
            </w:r>
            <w:r w:rsidRPr="00493DAD">
              <w:rPr>
                <w:i/>
              </w:rPr>
              <w:t>Day Federal Register Notice:</w:t>
            </w:r>
          </w:p>
        </w:tc>
        <w:tc>
          <w:tcPr>
            <w:tcW w:w="2700" w:type="dxa"/>
            <w:vAlign w:val="center"/>
          </w:tcPr>
          <w:p w:rsidR="00B67664" w:rsidRPr="00493DAD" w:rsidP="00834195" w14:paraId="3EE3D417" w14:textId="4F9C1302">
            <w:pPr>
              <w:tabs>
                <w:tab w:val="left" w:pos="-720"/>
              </w:tabs>
              <w:suppressAutoHyphens/>
            </w:pPr>
            <w:r>
              <w:t xml:space="preserve">February 15, </w:t>
            </w:r>
            <w:r w:rsidR="00382DC1">
              <w:t>2024</w:t>
            </w:r>
            <w:r>
              <w:t xml:space="preserve"> </w:t>
            </w:r>
          </w:p>
        </w:tc>
        <w:tc>
          <w:tcPr>
            <w:tcW w:w="1080" w:type="dxa"/>
            <w:vAlign w:val="center"/>
          </w:tcPr>
          <w:p w:rsidR="00B67664" w:rsidRPr="00053E1F" w:rsidP="00834195" w14:paraId="454C5B6F" w14:textId="2E2D5596">
            <w:pPr>
              <w:tabs>
                <w:tab w:val="left" w:pos="-720"/>
              </w:tabs>
              <w:suppressAutoHyphens/>
            </w:pPr>
            <w:r w:rsidRPr="00053E1F">
              <w:t>8</w:t>
            </w:r>
            <w:r w:rsidR="00492F7B">
              <w:t>9</w:t>
            </w:r>
          </w:p>
        </w:tc>
        <w:tc>
          <w:tcPr>
            <w:tcW w:w="1080" w:type="dxa"/>
            <w:vAlign w:val="center"/>
          </w:tcPr>
          <w:p w:rsidR="00B67664" w:rsidRPr="00053E1F" w:rsidP="00834195" w14:paraId="1D5C8C71" w14:textId="06666ED1">
            <w:pPr>
              <w:tabs>
                <w:tab w:val="left" w:pos="-720"/>
              </w:tabs>
              <w:suppressAutoHyphens/>
            </w:pPr>
            <w:r w:rsidRPr="00053E1F">
              <w:t>32</w:t>
            </w:r>
          </w:p>
        </w:tc>
        <w:tc>
          <w:tcPr>
            <w:tcW w:w="900" w:type="dxa"/>
            <w:vAlign w:val="center"/>
          </w:tcPr>
          <w:p w:rsidR="00B67664" w:rsidRPr="00053E1F" w:rsidP="00834195" w14:paraId="028479BC" w14:textId="1614302A">
            <w:pPr>
              <w:tabs>
                <w:tab w:val="left" w:pos="-720"/>
              </w:tabs>
              <w:suppressAutoHyphens/>
            </w:pPr>
            <w:r w:rsidRPr="00053E1F">
              <w:t>11861-11860</w:t>
            </w:r>
          </w:p>
        </w:tc>
        <w:tc>
          <w:tcPr>
            <w:tcW w:w="1532" w:type="dxa"/>
            <w:vAlign w:val="center"/>
          </w:tcPr>
          <w:p w:rsidR="00B67664" w:rsidRPr="00053E1F" w:rsidP="00834195" w14:paraId="2F3EDAFE" w14:textId="156803B4">
            <w:pPr>
              <w:tabs>
                <w:tab w:val="left" w:pos="-720"/>
              </w:tabs>
              <w:suppressAutoHyphens/>
            </w:pPr>
            <w:r w:rsidRPr="00053E1F">
              <w:t>0</w:t>
            </w:r>
          </w:p>
        </w:tc>
      </w:tr>
      <w:tr w14:paraId="1AEC9597" w14:textId="77777777" w:rsidTr="0022626A">
        <w:tblPrEx>
          <w:tblW w:w="0" w:type="auto"/>
          <w:tblLayout w:type="fixed"/>
          <w:tblLook w:val="04A0"/>
        </w:tblPrEx>
        <w:tc>
          <w:tcPr>
            <w:tcW w:w="2268" w:type="dxa"/>
            <w:vAlign w:val="center"/>
          </w:tcPr>
          <w:p w:rsidR="00B67664" w:rsidRPr="00493DAD" w:rsidP="00834195" w14:paraId="2FCE3644" w14:textId="77777777">
            <w:pPr>
              <w:tabs>
                <w:tab w:val="left" w:pos="-720"/>
              </w:tabs>
              <w:suppressAutoHyphens/>
            </w:pPr>
            <w:r w:rsidRPr="00493DAD">
              <w:rPr>
                <w:i/>
              </w:rPr>
              <w:t>30-Day Federal Register Notice</w:t>
            </w:r>
          </w:p>
        </w:tc>
        <w:tc>
          <w:tcPr>
            <w:tcW w:w="2700" w:type="dxa"/>
            <w:vAlign w:val="center"/>
          </w:tcPr>
          <w:p w:rsidR="00B67664" w:rsidRPr="00493DAD" w:rsidP="00834195" w14:paraId="15048C99" w14:textId="637BBD30">
            <w:pPr>
              <w:tabs>
                <w:tab w:val="left" w:pos="-720"/>
              </w:tabs>
              <w:suppressAutoHyphens/>
            </w:pPr>
            <w:r>
              <w:t>May 23, 2024</w:t>
            </w:r>
          </w:p>
        </w:tc>
        <w:tc>
          <w:tcPr>
            <w:tcW w:w="1080" w:type="dxa"/>
            <w:vAlign w:val="center"/>
          </w:tcPr>
          <w:p w:rsidR="00B67664" w:rsidRPr="00631C64" w:rsidP="00834195" w14:paraId="6A927E67" w14:textId="491DD698">
            <w:pPr>
              <w:tabs>
                <w:tab w:val="left" w:pos="-720"/>
              </w:tabs>
              <w:suppressAutoHyphens/>
            </w:pPr>
            <w:r w:rsidRPr="00631C64">
              <w:t>89</w:t>
            </w:r>
          </w:p>
        </w:tc>
        <w:tc>
          <w:tcPr>
            <w:tcW w:w="1080" w:type="dxa"/>
            <w:vAlign w:val="center"/>
          </w:tcPr>
          <w:p w:rsidR="00B67664" w:rsidRPr="00631C64" w:rsidP="00834195" w14:paraId="110837CC" w14:textId="72392FFE">
            <w:pPr>
              <w:tabs>
                <w:tab w:val="left" w:pos="-720"/>
              </w:tabs>
              <w:suppressAutoHyphens/>
            </w:pPr>
            <w:r w:rsidRPr="00631C64">
              <w:t>101</w:t>
            </w:r>
          </w:p>
        </w:tc>
        <w:tc>
          <w:tcPr>
            <w:tcW w:w="900" w:type="dxa"/>
            <w:vAlign w:val="center"/>
          </w:tcPr>
          <w:p w:rsidR="00B67664" w:rsidRPr="00631C64" w:rsidP="00834195" w14:paraId="035142B0" w14:textId="5D05B0D4">
            <w:pPr>
              <w:tabs>
                <w:tab w:val="left" w:pos="-720"/>
              </w:tabs>
              <w:suppressAutoHyphens/>
            </w:pPr>
            <w:r w:rsidRPr="00631C64">
              <w:t>45671-45672</w:t>
            </w:r>
          </w:p>
        </w:tc>
        <w:tc>
          <w:tcPr>
            <w:tcW w:w="1532" w:type="dxa"/>
            <w:vAlign w:val="center"/>
          </w:tcPr>
          <w:p w:rsidR="00B67664" w:rsidRPr="00631C64" w:rsidP="00834195" w14:paraId="5F78088B" w14:textId="43B93674">
            <w:pPr>
              <w:tabs>
                <w:tab w:val="left" w:pos="-720"/>
              </w:tabs>
              <w:suppressAutoHyphens/>
            </w:pPr>
            <w:r w:rsidRPr="00631C64">
              <w:t>0</w:t>
            </w:r>
          </w:p>
        </w:tc>
      </w:tr>
    </w:tbl>
    <w:p w:rsidR="00B67664" w:rsidRPr="00493DAD" w:rsidP="00834195" w14:paraId="01338B37" w14:textId="77777777">
      <w:pPr>
        <w:tabs>
          <w:tab w:val="left" w:pos="-720"/>
        </w:tabs>
        <w:suppressAutoHyphens/>
      </w:pPr>
    </w:p>
    <w:p w:rsidR="00AA3F82" w:rsidRPr="00493DAD" w:rsidP="00834195" w14:paraId="317069CA" w14:textId="77777777">
      <w:pPr>
        <w:tabs>
          <w:tab w:val="left" w:pos="-720"/>
        </w:tabs>
        <w:suppressAutoHyphens/>
      </w:pPr>
    </w:p>
    <w:p w:rsidR="00CC2508" w:rsidRPr="00493DAD" w:rsidP="00834195" w14:paraId="409735B0" w14:textId="18893669">
      <w:pPr>
        <w:suppressAutoHyphens/>
      </w:pPr>
      <w:r w:rsidRPr="00493DAD">
        <w:t xml:space="preserve">A </w:t>
      </w:r>
      <w:r w:rsidRPr="00493DAD" w:rsidR="35223109">
        <w:t>60-day</w:t>
      </w:r>
      <w:r w:rsidRPr="00493DAD">
        <w:t xml:space="preserve"> notice for comments was published in the Federal Register on</w:t>
      </w:r>
      <w:r w:rsidRPr="00493DAD" w:rsidR="00FD3AB4">
        <w:t xml:space="preserve"> </w:t>
      </w:r>
      <w:r w:rsidR="00796717">
        <w:t>February 15, 2024</w:t>
      </w:r>
      <w:r w:rsidRPr="00493DAD">
        <w:t>.</w:t>
      </w:r>
      <w:r w:rsidR="00447D21">
        <w:t xml:space="preserve"> Zero comments were received.</w:t>
      </w:r>
    </w:p>
    <w:p w:rsidR="00CC2508" w:rsidRPr="00493DAD" w:rsidP="00834195" w14:paraId="03F374F9" w14:textId="77777777">
      <w:pPr>
        <w:tabs>
          <w:tab w:val="left" w:pos="-720"/>
        </w:tabs>
        <w:suppressAutoHyphens/>
      </w:pPr>
    </w:p>
    <w:p w:rsidR="00CC2508" w:rsidRPr="00493DAD" w:rsidP="00834195" w14:paraId="2DDB2FF4" w14:textId="6EDE9FCA">
      <w:pPr>
        <w:suppressAutoHyphens/>
      </w:pPr>
      <w:r w:rsidRPr="00493DAD">
        <w:t xml:space="preserve">A </w:t>
      </w:r>
      <w:r w:rsidRPr="00493DAD" w:rsidR="68435368">
        <w:t>30-day</w:t>
      </w:r>
      <w:r w:rsidRPr="00493DAD">
        <w:t xml:space="preserve"> notice for comments was publis</w:t>
      </w:r>
      <w:r w:rsidRPr="00493DAD" w:rsidR="0085645B">
        <w:t>hed in the Federal Register on</w:t>
      </w:r>
      <w:r w:rsidRPr="00493DAD" w:rsidR="00FD3AB4">
        <w:t xml:space="preserve"> </w:t>
      </w:r>
      <w:r w:rsidR="00631C64">
        <w:t>5/23/2024</w:t>
      </w:r>
      <w:r w:rsidRPr="00493DAD">
        <w:t xml:space="preserve">.  </w:t>
      </w:r>
    </w:p>
    <w:p w:rsidR="00CC2508" w:rsidRPr="00493DAD" w:rsidP="00834195" w14:paraId="4CCB5FA8" w14:textId="77777777">
      <w:pPr>
        <w:tabs>
          <w:tab w:val="left" w:pos="-720"/>
        </w:tabs>
        <w:suppressAutoHyphens/>
      </w:pPr>
    </w:p>
    <w:p w:rsidR="00EB5E96" w:rsidRPr="00493DAD" w:rsidP="00834195" w14:paraId="31219CD4"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9.  Explain any decision to provide any payment or gift to respondents, other than remuneration of contractors or grantees.</w:t>
      </w:r>
    </w:p>
    <w:p w:rsidR="00EB5E96" w:rsidRPr="00493DAD" w:rsidP="00834195" w14:paraId="718A40F6" w14:textId="77777777">
      <w:pPr>
        <w:tabs>
          <w:tab w:val="left" w:pos="-720"/>
        </w:tabs>
        <w:suppressAutoHyphens/>
      </w:pPr>
    </w:p>
    <w:p w:rsidR="00D84618" w:rsidRPr="00493DAD" w:rsidP="00834195" w14:paraId="1CF53AD5" w14:textId="77777777">
      <w:pPr>
        <w:tabs>
          <w:tab w:val="left" w:pos="-720"/>
        </w:tabs>
        <w:suppressAutoHyphens/>
        <w:contextualSpacing/>
      </w:pPr>
      <w:r w:rsidRPr="00493DAD">
        <w:t>The Agency will not provide payment or other forms of remuneration to respondents of its various forms of collecting feedback.  Focus groups and cognitive laboratory studies are the exceptions.</w:t>
      </w:r>
    </w:p>
    <w:p w:rsidR="00D84618" w:rsidRPr="00493DAD" w:rsidP="00834195" w14:paraId="06DEB714" w14:textId="77777777">
      <w:pPr>
        <w:tabs>
          <w:tab w:val="left" w:pos="-720"/>
        </w:tabs>
        <w:suppressAutoHyphens/>
        <w:contextualSpacing/>
      </w:pPr>
      <w:r w:rsidRPr="00493DAD">
        <w:t xml:space="preserve"> </w:t>
      </w:r>
    </w:p>
    <w:p w:rsidR="00EB5E96" w:rsidRPr="00493DAD" w:rsidP="00834195" w14:paraId="58C36867" w14:textId="1EE4C331">
      <w:pPr>
        <w:tabs>
          <w:tab w:val="left" w:pos="-720"/>
        </w:tabs>
        <w:suppressAutoHyphens/>
        <w:contextualSpacing/>
        <w:rPr>
          <w:spacing w:val="-3"/>
        </w:rPr>
      </w:pPr>
      <w:r w:rsidRPr="00493DAD">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w:t>
      </w:r>
      <w:r w:rsidRPr="00493DAD">
        <w:t>have to</w:t>
      </w:r>
      <w:r w:rsidRPr="00493DAD">
        <w:t xml:space="preserve"> travel to the agency or other facility to participate.  If such information collections include hard-to-reach groups and the agency plans to </w:t>
      </w:r>
      <w:r w:rsidRPr="00493DAD">
        <w:t xml:space="preserve">offer non-standard stipends, the Agency will provide OMB with additional justifications in the request for clearance of these specific </w:t>
      </w:r>
      <w:r w:rsidRPr="00493DAD" w:rsidR="00951F84">
        <w:t>activities.</w:t>
      </w:r>
    </w:p>
    <w:p w:rsidR="00A57406" w:rsidRPr="00493DAD" w:rsidP="00834195" w14:paraId="1C10D90F" w14:textId="77777777">
      <w:pPr>
        <w:tabs>
          <w:tab w:val="left" w:pos="-720"/>
        </w:tabs>
        <w:suppressAutoHyphens/>
        <w:contextualSpacing/>
      </w:pPr>
    </w:p>
    <w:p w:rsidR="00EB5E96" w:rsidRPr="00493DAD" w:rsidP="00834195" w14:paraId="5B892EDA"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10.  Describe any assurance of confidentiality provided to respondents and the basis for the assurance in statute, regulation, or agency policy.  </w:t>
      </w:r>
    </w:p>
    <w:p w:rsidR="00AA3F82" w:rsidRPr="00493DAD" w:rsidP="00834195" w14:paraId="7692A326" w14:textId="362EBEE7">
      <w:pPr>
        <w:tabs>
          <w:tab w:val="left" w:pos="-720"/>
        </w:tabs>
        <w:suppressAutoHyphens/>
        <w:rPr>
          <w:spacing w:val="-3"/>
        </w:rPr>
      </w:pPr>
      <w:r w:rsidRPr="00493DAD">
        <w:rPr>
          <w:spacing w:val="-3"/>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57406" w:rsidRPr="00493DAD" w:rsidP="00834195" w14:paraId="0186E627" w14:textId="77777777">
      <w:pPr>
        <w:pStyle w:val="Default"/>
      </w:pPr>
    </w:p>
    <w:p w:rsidR="00EB5E96" w:rsidRPr="00493DAD" w:rsidP="00834195" w14:paraId="7289D4B3" w14:textId="77777777">
      <w:pPr>
        <w:shd w:val="pct25" w:color="auto" w:fill="auto"/>
        <w:tabs>
          <w:tab w:val="left" w:pos="-720"/>
        </w:tabs>
        <w:suppressAutoHyphens/>
      </w:pPr>
      <w:r w:rsidRPr="00493DAD">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493DAD" w:rsidP="00834195" w14:paraId="2CB1C672" w14:textId="77777777">
      <w:pPr>
        <w:shd w:val="clear" w:color="auto" w:fill="FFFFFF"/>
        <w:tabs>
          <w:tab w:val="left" w:pos="-720"/>
        </w:tabs>
        <w:suppressAutoHyphens/>
      </w:pPr>
    </w:p>
    <w:p w:rsidR="00A57406" w:rsidRPr="00493DAD" w:rsidP="00834195" w14:paraId="3384B361" w14:textId="08D40881">
      <w:pPr>
        <w:shd w:val="clear" w:color="auto" w:fill="FFFFFF"/>
        <w:tabs>
          <w:tab w:val="left" w:pos="-720"/>
        </w:tabs>
        <w:suppressAutoHyphens/>
        <w:rPr>
          <w:spacing w:val="-3"/>
        </w:rPr>
      </w:pPr>
      <w:r w:rsidRPr="00493DAD">
        <w:rPr>
          <w:spacing w:val="-3"/>
        </w:rPr>
        <w:t>No questions will be asked that are of a personal or sensitive nature.</w:t>
      </w:r>
    </w:p>
    <w:p w:rsidR="00967EB2" w:rsidRPr="00493DAD" w:rsidP="00834195" w14:paraId="2546C2B0" w14:textId="77777777">
      <w:pPr>
        <w:shd w:val="clear" w:color="auto" w:fill="FFFFFF"/>
        <w:tabs>
          <w:tab w:val="left" w:pos="-720"/>
        </w:tabs>
        <w:suppressAutoHyphens/>
        <w:rPr>
          <w:spacing w:val="-3"/>
        </w:rPr>
      </w:pPr>
    </w:p>
    <w:p w:rsidR="00EB5E96" w:rsidRPr="00493DAD" w:rsidP="00834195" w14:paraId="5AEDC439" w14:textId="77777777">
      <w:pPr>
        <w:shd w:val="pct25" w:color="auto" w:fill="FFFFFF"/>
        <w:tabs>
          <w:tab w:val="left" w:pos="-720"/>
        </w:tabs>
        <w:suppressAutoHyphens/>
      </w:pPr>
      <w:r w:rsidRPr="00493DAD">
        <w:fldChar w:fldCharType="begin"/>
      </w:r>
      <w:r w:rsidRPr="00493DAD">
        <w:instrText>ADVANCE \R 0.95</w:instrText>
      </w:r>
      <w:r w:rsidRPr="00493DAD">
        <w:fldChar w:fldCharType="end"/>
      </w:r>
      <w:r w:rsidRPr="00493DAD">
        <w:fldChar w:fldCharType="begin"/>
      </w:r>
      <w:r w:rsidRPr="00493DAD">
        <w:instrText>ADVANCE \R 0.95</w:instrText>
      </w:r>
      <w:r w:rsidRPr="00493DAD">
        <w:fldChar w:fldCharType="end"/>
      </w:r>
      <w:r w:rsidRPr="00493DAD">
        <w:t>12. Provide estimates of the hour burden of the collection of information.  The statement should:</w:t>
      </w:r>
    </w:p>
    <w:p w:rsidR="00EB5E96" w:rsidRPr="00493DAD" w:rsidP="00834195" w14:paraId="6E8DA07C" w14:textId="77777777">
      <w:pPr>
        <w:tabs>
          <w:tab w:val="left" w:pos="-720"/>
        </w:tabs>
        <w:suppressAutoHyphens/>
      </w:pPr>
      <w:r w:rsidRPr="00493DAD">
        <w:fldChar w:fldCharType="begin"/>
      </w:r>
      <w:r w:rsidRPr="00493DAD">
        <w:instrText>ADVANCE \R 0.95</w:instrText>
      </w:r>
      <w:r w:rsidRPr="00493DAD">
        <w:fldChar w:fldCharType="end"/>
      </w:r>
    </w:p>
    <w:p w:rsidR="00EB5E96" w:rsidRPr="00493DAD" w:rsidP="00834195" w14:paraId="4A52B6D3" w14:textId="77777777">
      <w:pPr>
        <w:numPr>
          <w:ilvl w:val="0"/>
          <w:numId w:val="27"/>
        </w:numPr>
        <w:shd w:val="pct25" w:color="auto" w:fill="auto"/>
        <w:tabs>
          <w:tab w:val="left" w:pos="-720"/>
        </w:tabs>
        <w:suppressAutoHyphens/>
      </w:pPr>
      <w:r w:rsidRPr="00493DAD">
        <w:fldChar w:fldCharType="begin"/>
      </w:r>
      <w:r w:rsidRPr="00493DAD">
        <w:instrText>ADVANCE \R 0.95</w:instrText>
      </w:r>
      <w:r w:rsidRPr="00493DAD">
        <w:fldChar w:fldCharType="end"/>
      </w:r>
      <w:r w:rsidRPr="00493DAD">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RPr="00493DAD" w:rsidP="00834195" w14:paraId="623C8734" w14:textId="77777777">
      <w:pPr>
        <w:widowControl w:val="0"/>
        <w:tabs>
          <w:tab w:val="left" w:pos="720"/>
          <w:tab w:val="left" w:pos="1440"/>
        </w:tabs>
        <w:spacing w:before="120"/>
        <w:ind w:left="765"/>
        <w:contextualSpacing/>
      </w:pPr>
    </w:p>
    <w:p w:rsidR="00967EB2" w:rsidRPr="00493DAD" w:rsidP="00834195" w14:paraId="35DAC51C" w14:textId="6D5A7514">
      <w:pPr>
        <w:widowControl w:val="0"/>
        <w:tabs>
          <w:tab w:val="left" w:pos="720"/>
          <w:tab w:val="left" w:pos="1440"/>
        </w:tabs>
        <w:spacing w:before="120"/>
        <w:ind w:left="360"/>
        <w:contextualSpacing/>
      </w:pPr>
      <w:r w:rsidRPr="00493DAD">
        <w:t xml:space="preserve">A variety of instruments and platforms will be used to collect information from respondents. CISA estimates the total number of annual burden hours for this collection is </w:t>
      </w:r>
      <w:r w:rsidRPr="00493DAD">
        <w:t>12</w:t>
      </w:r>
      <w:r w:rsidRPr="00493DAD">
        <w:t>5,</w:t>
      </w:r>
      <w:r w:rsidRPr="00493DAD" w:rsidR="00993BD9">
        <w:t>180</w:t>
      </w:r>
      <w:r w:rsidRPr="00493DAD">
        <w:t xml:space="preserve">, based on the number of collections we expect to conduct over the requested period for this clearance. </w:t>
      </w:r>
    </w:p>
    <w:p w:rsidR="00A57406" w:rsidRPr="00493DAD" w:rsidP="00834195" w14:paraId="78FC29ED" w14:textId="4611D9BB">
      <w:pPr>
        <w:widowControl w:val="0"/>
        <w:tabs>
          <w:tab w:val="left" w:pos="720"/>
          <w:tab w:val="left" w:pos="1440"/>
        </w:tabs>
        <w:spacing w:before="120"/>
        <w:ind w:left="360"/>
        <w:contextualSpacing/>
      </w:pPr>
      <w:r w:rsidRPr="00493DAD">
        <w:t xml:space="preserve"> </w:t>
      </w:r>
    </w:p>
    <w:p w:rsidR="7C428014" w:rsidRPr="00493DAD" w:rsidP="7C428014" w14:paraId="7C11223B" w14:textId="6B7DE00C">
      <w:pPr>
        <w:widowControl w:val="0"/>
        <w:tabs>
          <w:tab w:val="left" w:pos="720"/>
          <w:tab w:val="left" w:pos="1440"/>
        </w:tabs>
        <w:spacing w:before="120"/>
        <w:ind w:left="360"/>
        <w:contextualSpacing/>
      </w:pPr>
    </w:p>
    <w:tbl>
      <w:tblPr>
        <w:tblW w:w="10838" w:type="dxa"/>
        <w:tblLook w:val="04A0"/>
      </w:tblPr>
      <w:tblGrid>
        <w:gridCol w:w="1524"/>
        <w:gridCol w:w="1529"/>
        <w:gridCol w:w="990"/>
        <w:gridCol w:w="1056"/>
        <w:gridCol w:w="1356"/>
        <w:gridCol w:w="1707"/>
        <w:gridCol w:w="2676"/>
      </w:tblGrid>
      <w:tr w14:paraId="31E8F85B" w14:textId="77777777" w:rsidTr="00493DAD">
        <w:tblPrEx>
          <w:tblW w:w="10838" w:type="dxa"/>
          <w:tblLook w:val="04A0"/>
        </w:tblPrEx>
        <w:trPr>
          <w:trHeight w:val="855"/>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83F" w:rsidRPr="00493DAD" w:rsidP="00834195" w14:paraId="3F6C55FD" w14:textId="77777777">
            <w:pPr>
              <w:rPr>
                <w:b/>
                <w:bCs/>
                <w:color w:val="000000"/>
              </w:rPr>
            </w:pPr>
            <w:r w:rsidRPr="00493DAD">
              <w:rPr>
                <w:b/>
                <w:bCs/>
                <w:color w:val="000000"/>
              </w:rPr>
              <w:t>Instrument</w:t>
            </w:r>
          </w:p>
        </w:tc>
        <w:tc>
          <w:tcPr>
            <w:tcW w:w="1529" w:type="dxa"/>
            <w:tcBorders>
              <w:top w:val="single" w:sz="4" w:space="0" w:color="auto"/>
              <w:left w:val="nil"/>
              <w:bottom w:val="single" w:sz="4" w:space="0" w:color="auto"/>
              <w:right w:val="single" w:sz="4" w:space="0" w:color="auto"/>
            </w:tcBorders>
            <w:shd w:val="clear" w:color="auto" w:fill="auto"/>
            <w:noWrap/>
            <w:vAlign w:val="center"/>
            <w:hideMark/>
          </w:tcPr>
          <w:p w:rsidR="0026283F" w:rsidRPr="00493DAD" w:rsidP="00834195" w14:paraId="3A2BAB6B" w14:textId="77777777">
            <w:pPr>
              <w:rPr>
                <w:b/>
                <w:bCs/>
                <w:color w:val="000000"/>
              </w:rPr>
            </w:pPr>
            <w:r w:rsidRPr="00493DAD">
              <w:rPr>
                <w:b/>
                <w:bCs/>
                <w:color w:val="000000"/>
              </w:rPr>
              <w:t>Respondents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6283F" w:rsidRPr="00493DAD" w:rsidP="00834195" w14:paraId="385BFFEA" w14:textId="77777777">
            <w:pPr>
              <w:rPr>
                <w:b/>
                <w:bCs/>
                <w:color w:val="000000"/>
              </w:rPr>
            </w:pPr>
            <w:r w:rsidRPr="00493DAD">
              <w:rPr>
                <w:b/>
                <w:bCs/>
                <w:color w:val="000000"/>
              </w:rPr>
              <w:t>Responses per Respondent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26283F" w:rsidRPr="00493DAD" w:rsidP="00834195" w14:paraId="3C7577E5" w14:textId="77777777">
            <w:pPr>
              <w:rPr>
                <w:b/>
                <w:bCs/>
                <w:color w:val="000000"/>
              </w:rPr>
            </w:pPr>
            <w:r w:rsidRPr="00493DAD">
              <w:rPr>
                <w:b/>
                <w:bCs/>
                <w:color w:val="000000"/>
              </w:rPr>
              <w:t>Burden per Response</w:t>
            </w:r>
            <w:r w:rsidRPr="00493DAD">
              <w:rPr>
                <w:b/>
                <w:bCs/>
                <w:color w:val="000000"/>
              </w:rPr>
              <w:br/>
              <w:t>(hours)</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26283F" w:rsidRPr="00493DAD" w:rsidP="00834195" w14:paraId="01855567" w14:textId="77777777">
            <w:pPr>
              <w:rPr>
                <w:b/>
                <w:bCs/>
                <w:color w:val="000000"/>
              </w:rPr>
            </w:pPr>
            <w:r w:rsidRPr="00493DAD">
              <w:rPr>
                <w:b/>
                <w:bCs/>
                <w:color w:val="000000"/>
              </w:rPr>
              <w:t>Total Burden (hours)</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26283F" w:rsidRPr="00493DAD" w:rsidP="00834195" w14:paraId="7329EF49" w14:textId="77777777">
            <w:pPr>
              <w:rPr>
                <w:b/>
                <w:bCs/>
                <w:color w:val="000000"/>
              </w:rPr>
            </w:pPr>
            <w:r w:rsidRPr="00493DAD">
              <w:rPr>
                <w:b/>
                <w:bCs/>
                <w:color w:val="000000"/>
              </w:rPr>
              <w:t>Loaded Compensation Rate</w:t>
            </w:r>
          </w:p>
        </w:tc>
        <w:tc>
          <w:tcPr>
            <w:tcW w:w="2676" w:type="dxa"/>
            <w:tcBorders>
              <w:top w:val="single" w:sz="4" w:space="0" w:color="auto"/>
              <w:left w:val="nil"/>
              <w:bottom w:val="single" w:sz="4" w:space="0" w:color="auto"/>
              <w:right w:val="single" w:sz="4" w:space="0" w:color="auto"/>
            </w:tcBorders>
            <w:shd w:val="clear" w:color="auto" w:fill="auto"/>
            <w:noWrap/>
            <w:vAlign w:val="center"/>
            <w:hideMark/>
          </w:tcPr>
          <w:p w:rsidR="0026283F" w:rsidRPr="00493DAD" w:rsidP="00834195" w14:paraId="2ACDBD6E" w14:textId="77777777">
            <w:pPr>
              <w:rPr>
                <w:b/>
                <w:bCs/>
                <w:color w:val="000000"/>
              </w:rPr>
            </w:pPr>
            <w:r w:rsidRPr="00493DAD">
              <w:rPr>
                <w:b/>
                <w:bCs/>
                <w:color w:val="000000"/>
              </w:rPr>
              <w:t>Cost</w:t>
            </w:r>
          </w:p>
        </w:tc>
      </w:tr>
      <w:tr w14:paraId="219FC8BD" w14:textId="77777777" w:rsidTr="00493DAD">
        <w:tblPrEx>
          <w:tblW w:w="10838" w:type="dxa"/>
          <w:tblLook w:val="04A0"/>
        </w:tblPrEx>
        <w:trPr>
          <w:trHeight w:val="1200"/>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4E2513" w:rsidRPr="00493DAD" w:rsidP="004E2513" w14:paraId="518C9B44" w14:textId="738E0F5A">
            <w:r w:rsidRPr="00493DAD">
              <w:t>Customer Satisfaction / Feedback Surveys</w:t>
            </w:r>
          </w:p>
        </w:tc>
        <w:tc>
          <w:tcPr>
            <w:tcW w:w="1529" w:type="dxa"/>
            <w:tcBorders>
              <w:top w:val="nil"/>
              <w:left w:val="nil"/>
              <w:bottom w:val="single" w:sz="4" w:space="0" w:color="auto"/>
              <w:right w:val="single" w:sz="4" w:space="0" w:color="auto"/>
            </w:tcBorders>
            <w:shd w:val="clear" w:color="auto" w:fill="auto"/>
            <w:vAlign w:val="center"/>
            <w:hideMark/>
          </w:tcPr>
          <w:p w:rsidR="004E2513" w:rsidRPr="00493DAD" w:rsidP="004E2513" w14:paraId="1A2D623D" w14:textId="04E13BB9">
            <w:r w:rsidRPr="00493DAD">
              <w:t>2,500,000</w:t>
            </w:r>
          </w:p>
        </w:tc>
        <w:tc>
          <w:tcPr>
            <w:tcW w:w="990" w:type="dxa"/>
            <w:tcBorders>
              <w:top w:val="nil"/>
              <w:left w:val="nil"/>
              <w:bottom w:val="single" w:sz="4" w:space="0" w:color="auto"/>
              <w:right w:val="single" w:sz="4" w:space="0" w:color="auto"/>
            </w:tcBorders>
            <w:shd w:val="clear" w:color="auto" w:fill="auto"/>
            <w:vAlign w:val="center"/>
            <w:hideMark/>
          </w:tcPr>
          <w:p w:rsidR="004E2513" w:rsidRPr="00493DAD" w:rsidP="004E2513" w14:paraId="5A1E6C2A" w14:textId="77777777">
            <w:r w:rsidRPr="00493DAD">
              <w:t>1</w:t>
            </w:r>
          </w:p>
        </w:tc>
        <w:tc>
          <w:tcPr>
            <w:tcW w:w="1056" w:type="dxa"/>
            <w:tcBorders>
              <w:top w:val="nil"/>
              <w:left w:val="nil"/>
              <w:bottom w:val="single" w:sz="4" w:space="0" w:color="auto"/>
              <w:right w:val="single" w:sz="4" w:space="0" w:color="auto"/>
            </w:tcBorders>
            <w:shd w:val="clear" w:color="auto" w:fill="auto"/>
            <w:vAlign w:val="center"/>
            <w:hideMark/>
          </w:tcPr>
          <w:p w:rsidR="004E2513" w:rsidRPr="00493DAD" w:rsidP="004E2513" w14:paraId="5C287553" w14:textId="5C223BF5">
            <w:r w:rsidRPr="00493DAD">
              <w:t xml:space="preserve">0.05 </w:t>
            </w:r>
            <w:r w:rsidRPr="00493DAD">
              <w:br/>
              <w:t>(3 minutes)</w:t>
            </w:r>
          </w:p>
        </w:tc>
        <w:tc>
          <w:tcPr>
            <w:tcW w:w="1356" w:type="dxa"/>
            <w:tcBorders>
              <w:top w:val="nil"/>
              <w:left w:val="nil"/>
              <w:bottom w:val="single" w:sz="4" w:space="0" w:color="auto"/>
              <w:right w:val="single" w:sz="4" w:space="0" w:color="auto"/>
            </w:tcBorders>
            <w:shd w:val="clear" w:color="auto" w:fill="auto"/>
            <w:vAlign w:val="center"/>
            <w:hideMark/>
          </w:tcPr>
          <w:p w:rsidR="004E2513" w:rsidRPr="00493DAD" w:rsidP="004E2513" w14:paraId="1729EAD7" w14:textId="5AD1B143">
            <w:r w:rsidRPr="00493DAD">
              <w:t>125,000</w:t>
            </w:r>
          </w:p>
        </w:tc>
        <w:tc>
          <w:tcPr>
            <w:tcW w:w="1707"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3E22ECFB" w14:textId="0D3BECAB">
            <w:r w:rsidRPr="00493DAD">
              <w:rPr>
                <w:color w:val="000000"/>
              </w:rPr>
              <w:t>$42.12</w:t>
            </w:r>
          </w:p>
        </w:tc>
        <w:tc>
          <w:tcPr>
            <w:tcW w:w="2676"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5CEA3FD5" w14:textId="5D56D601">
            <w:r w:rsidRPr="00493DAD">
              <w:rPr>
                <w:color w:val="000000"/>
              </w:rPr>
              <w:t xml:space="preserve">          5,265,562 </w:t>
            </w:r>
          </w:p>
        </w:tc>
      </w:tr>
      <w:tr w14:paraId="5A5863E6" w14:textId="77777777" w:rsidTr="00493DAD">
        <w:tblPrEx>
          <w:tblW w:w="10838" w:type="dxa"/>
          <w:tblLook w:val="04A0"/>
        </w:tblPrEx>
        <w:trPr>
          <w:trHeight w:val="900"/>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4E2513" w:rsidRPr="00493DAD" w:rsidP="004E2513" w14:paraId="09E4C5E4" w14:textId="77777777">
            <w:r w:rsidRPr="00493DAD">
              <w:t>Customer Comment Cards / Complaint</w:t>
            </w:r>
          </w:p>
        </w:tc>
        <w:tc>
          <w:tcPr>
            <w:tcW w:w="1529" w:type="dxa"/>
            <w:tcBorders>
              <w:top w:val="nil"/>
              <w:left w:val="nil"/>
              <w:bottom w:val="single" w:sz="4" w:space="0" w:color="auto"/>
              <w:right w:val="single" w:sz="4" w:space="0" w:color="auto"/>
            </w:tcBorders>
            <w:shd w:val="clear" w:color="auto" w:fill="auto"/>
            <w:vAlign w:val="center"/>
            <w:hideMark/>
          </w:tcPr>
          <w:p w:rsidR="004E2513" w:rsidRPr="00493DAD" w:rsidP="004E2513" w14:paraId="28887D64" w14:textId="77777777">
            <w:r w:rsidRPr="00493DAD">
              <w:t>500</w:t>
            </w:r>
          </w:p>
        </w:tc>
        <w:tc>
          <w:tcPr>
            <w:tcW w:w="990" w:type="dxa"/>
            <w:tcBorders>
              <w:top w:val="nil"/>
              <w:left w:val="nil"/>
              <w:bottom w:val="single" w:sz="4" w:space="0" w:color="auto"/>
              <w:right w:val="single" w:sz="4" w:space="0" w:color="auto"/>
            </w:tcBorders>
            <w:shd w:val="clear" w:color="auto" w:fill="auto"/>
            <w:vAlign w:val="center"/>
            <w:hideMark/>
          </w:tcPr>
          <w:p w:rsidR="004E2513" w:rsidRPr="00493DAD" w:rsidP="004E2513" w14:paraId="173F3CB3" w14:textId="77777777">
            <w:r w:rsidRPr="00493DAD">
              <w:t>1</w:t>
            </w:r>
          </w:p>
        </w:tc>
        <w:tc>
          <w:tcPr>
            <w:tcW w:w="1056" w:type="dxa"/>
            <w:tcBorders>
              <w:top w:val="nil"/>
              <w:left w:val="nil"/>
              <w:bottom w:val="single" w:sz="4" w:space="0" w:color="auto"/>
              <w:right w:val="single" w:sz="4" w:space="0" w:color="auto"/>
            </w:tcBorders>
            <w:shd w:val="clear" w:color="auto" w:fill="auto"/>
            <w:vAlign w:val="center"/>
            <w:hideMark/>
          </w:tcPr>
          <w:p w:rsidR="004E2513" w:rsidRPr="00493DAD" w:rsidP="004E2513" w14:paraId="70084A8F" w14:textId="675CC22C">
            <w:r w:rsidRPr="00493DAD">
              <w:t xml:space="preserve">0.1 </w:t>
            </w:r>
            <w:r w:rsidRPr="00493DAD">
              <w:br/>
              <w:t>(6 minutes)</w:t>
            </w:r>
          </w:p>
        </w:tc>
        <w:tc>
          <w:tcPr>
            <w:tcW w:w="1356" w:type="dxa"/>
            <w:tcBorders>
              <w:top w:val="nil"/>
              <w:left w:val="nil"/>
              <w:bottom w:val="single" w:sz="4" w:space="0" w:color="auto"/>
              <w:right w:val="single" w:sz="4" w:space="0" w:color="auto"/>
            </w:tcBorders>
            <w:shd w:val="clear" w:color="auto" w:fill="auto"/>
            <w:vAlign w:val="center"/>
            <w:hideMark/>
          </w:tcPr>
          <w:p w:rsidR="004E2513" w:rsidRPr="00493DAD" w:rsidP="004E2513" w14:paraId="09213E3F" w14:textId="6C91FBB5">
            <w:r w:rsidRPr="00493DAD">
              <w:t>50</w:t>
            </w:r>
          </w:p>
        </w:tc>
        <w:tc>
          <w:tcPr>
            <w:tcW w:w="1707"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5B5DB8BF" w14:textId="333E2D83">
            <w:r w:rsidRPr="00493DAD">
              <w:rPr>
                <w:color w:val="000000"/>
              </w:rPr>
              <w:t>$42.12</w:t>
            </w:r>
          </w:p>
        </w:tc>
        <w:tc>
          <w:tcPr>
            <w:tcW w:w="2676"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35856AA1" w14:textId="37E4E8B4">
            <w:r w:rsidRPr="00493DAD">
              <w:rPr>
                <w:color w:val="000000"/>
              </w:rPr>
              <w:t xml:space="preserve">                 2,106 </w:t>
            </w:r>
          </w:p>
        </w:tc>
      </w:tr>
      <w:tr w14:paraId="4ACB835D" w14:textId="77777777" w:rsidTr="00493DAD">
        <w:tblPrEx>
          <w:tblW w:w="10838" w:type="dxa"/>
          <w:tblLook w:val="04A0"/>
        </w:tblPrEx>
        <w:trPr>
          <w:trHeight w:val="600"/>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4E2513" w:rsidRPr="00493DAD" w:rsidP="004E2513" w14:paraId="0BFD5E5A" w14:textId="77777777">
            <w:r w:rsidRPr="00493DAD">
              <w:t>Self-Assessment Questionnaire</w:t>
            </w:r>
          </w:p>
        </w:tc>
        <w:tc>
          <w:tcPr>
            <w:tcW w:w="1529" w:type="dxa"/>
            <w:tcBorders>
              <w:top w:val="nil"/>
              <w:left w:val="nil"/>
              <w:bottom w:val="single" w:sz="4" w:space="0" w:color="auto"/>
              <w:right w:val="single" w:sz="4" w:space="0" w:color="auto"/>
            </w:tcBorders>
            <w:shd w:val="clear" w:color="auto" w:fill="auto"/>
            <w:vAlign w:val="center"/>
            <w:hideMark/>
          </w:tcPr>
          <w:p w:rsidR="004E2513" w:rsidRPr="00493DAD" w:rsidP="004E2513" w14:paraId="12195679" w14:textId="77777777">
            <w:r w:rsidRPr="00493DAD">
              <w:t>80</w:t>
            </w:r>
          </w:p>
        </w:tc>
        <w:tc>
          <w:tcPr>
            <w:tcW w:w="990" w:type="dxa"/>
            <w:tcBorders>
              <w:top w:val="nil"/>
              <w:left w:val="nil"/>
              <w:bottom w:val="single" w:sz="4" w:space="0" w:color="auto"/>
              <w:right w:val="single" w:sz="4" w:space="0" w:color="auto"/>
            </w:tcBorders>
            <w:shd w:val="clear" w:color="auto" w:fill="auto"/>
            <w:vAlign w:val="center"/>
            <w:hideMark/>
          </w:tcPr>
          <w:p w:rsidR="004E2513" w:rsidRPr="00493DAD" w:rsidP="004E2513" w14:paraId="71172723" w14:textId="77777777">
            <w:r w:rsidRPr="00493DAD">
              <w:t>1</w:t>
            </w:r>
          </w:p>
        </w:tc>
        <w:tc>
          <w:tcPr>
            <w:tcW w:w="1056" w:type="dxa"/>
            <w:tcBorders>
              <w:top w:val="nil"/>
              <w:left w:val="nil"/>
              <w:bottom w:val="single" w:sz="4" w:space="0" w:color="auto"/>
              <w:right w:val="single" w:sz="4" w:space="0" w:color="auto"/>
            </w:tcBorders>
            <w:shd w:val="clear" w:color="auto" w:fill="auto"/>
            <w:vAlign w:val="center"/>
            <w:hideMark/>
          </w:tcPr>
          <w:p w:rsidR="004E2513" w:rsidRPr="00493DAD" w:rsidP="004E2513" w14:paraId="204558FC" w14:textId="77777777">
            <w:r w:rsidRPr="00493DAD">
              <w:t xml:space="preserve">1 </w:t>
            </w:r>
            <w:r w:rsidRPr="00493DAD">
              <w:br/>
              <w:t>(60 minutes)</w:t>
            </w:r>
          </w:p>
        </w:tc>
        <w:tc>
          <w:tcPr>
            <w:tcW w:w="1356" w:type="dxa"/>
            <w:tcBorders>
              <w:top w:val="nil"/>
              <w:left w:val="nil"/>
              <w:bottom w:val="single" w:sz="4" w:space="0" w:color="auto"/>
              <w:right w:val="single" w:sz="4" w:space="0" w:color="auto"/>
            </w:tcBorders>
            <w:shd w:val="clear" w:color="auto" w:fill="auto"/>
            <w:vAlign w:val="center"/>
            <w:hideMark/>
          </w:tcPr>
          <w:p w:rsidR="004E2513" w:rsidRPr="00493DAD" w:rsidP="004E2513" w14:paraId="1F738B59" w14:textId="77777777">
            <w:r w:rsidRPr="00493DAD">
              <w:t>80</w:t>
            </w:r>
          </w:p>
        </w:tc>
        <w:tc>
          <w:tcPr>
            <w:tcW w:w="1707"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2EB599F8" w14:textId="5AED2319">
            <w:r w:rsidRPr="00493DAD">
              <w:rPr>
                <w:color w:val="000000"/>
              </w:rPr>
              <w:t>$42.12</w:t>
            </w:r>
          </w:p>
        </w:tc>
        <w:tc>
          <w:tcPr>
            <w:tcW w:w="2676"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07E08142" w14:textId="4B7E939F">
            <w:r w:rsidRPr="00493DAD">
              <w:rPr>
                <w:color w:val="000000"/>
              </w:rPr>
              <w:t xml:space="preserve">                 3,370 </w:t>
            </w:r>
          </w:p>
        </w:tc>
      </w:tr>
      <w:tr w14:paraId="1ACB8326" w14:textId="77777777" w:rsidTr="00493DAD">
        <w:tblPrEx>
          <w:tblW w:w="10838" w:type="dxa"/>
          <w:tblLook w:val="04A0"/>
        </w:tblPrEx>
        <w:trPr>
          <w:trHeight w:val="900"/>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4E2513" w:rsidRPr="00493DAD" w:rsidP="004E2513" w14:paraId="7C7B5E13" w14:textId="77777777">
            <w:r w:rsidRPr="00493DAD">
              <w:t>Small panel/discussion groups</w:t>
            </w:r>
          </w:p>
        </w:tc>
        <w:tc>
          <w:tcPr>
            <w:tcW w:w="1529" w:type="dxa"/>
            <w:tcBorders>
              <w:top w:val="nil"/>
              <w:left w:val="nil"/>
              <w:bottom w:val="single" w:sz="4" w:space="0" w:color="auto"/>
              <w:right w:val="single" w:sz="4" w:space="0" w:color="auto"/>
            </w:tcBorders>
            <w:shd w:val="clear" w:color="auto" w:fill="auto"/>
            <w:vAlign w:val="center"/>
            <w:hideMark/>
          </w:tcPr>
          <w:p w:rsidR="004E2513" w:rsidRPr="00493DAD" w:rsidP="004E2513" w14:paraId="23D4F032" w14:textId="77777777">
            <w:r w:rsidRPr="00493DAD">
              <w:t>50</w:t>
            </w:r>
          </w:p>
        </w:tc>
        <w:tc>
          <w:tcPr>
            <w:tcW w:w="990" w:type="dxa"/>
            <w:tcBorders>
              <w:top w:val="nil"/>
              <w:left w:val="nil"/>
              <w:bottom w:val="single" w:sz="4" w:space="0" w:color="auto"/>
              <w:right w:val="single" w:sz="4" w:space="0" w:color="auto"/>
            </w:tcBorders>
            <w:shd w:val="clear" w:color="auto" w:fill="auto"/>
            <w:vAlign w:val="center"/>
            <w:hideMark/>
          </w:tcPr>
          <w:p w:rsidR="004E2513" w:rsidRPr="00493DAD" w:rsidP="004E2513" w14:paraId="3B0F7A38" w14:textId="77777777">
            <w:r w:rsidRPr="00493DAD">
              <w:t>1</w:t>
            </w:r>
          </w:p>
        </w:tc>
        <w:tc>
          <w:tcPr>
            <w:tcW w:w="1056" w:type="dxa"/>
            <w:tcBorders>
              <w:top w:val="nil"/>
              <w:left w:val="nil"/>
              <w:bottom w:val="single" w:sz="4" w:space="0" w:color="auto"/>
              <w:right w:val="single" w:sz="4" w:space="0" w:color="auto"/>
            </w:tcBorders>
            <w:shd w:val="clear" w:color="auto" w:fill="auto"/>
            <w:vAlign w:val="center"/>
            <w:hideMark/>
          </w:tcPr>
          <w:p w:rsidR="004E2513" w:rsidRPr="00493DAD" w:rsidP="004E2513" w14:paraId="5BD077D4" w14:textId="77777777">
            <w:r w:rsidRPr="00493DAD">
              <w:t xml:space="preserve">1 </w:t>
            </w:r>
            <w:r w:rsidRPr="00493DAD">
              <w:br/>
              <w:t>(60 minutes)</w:t>
            </w:r>
          </w:p>
        </w:tc>
        <w:tc>
          <w:tcPr>
            <w:tcW w:w="1356" w:type="dxa"/>
            <w:tcBorders>
              <w:top w:val="nil"/>
              <w:left w:val="nil"/>
              <w:bottom w:val="single" w:sz="4" w:space="0" w:color="auto"/>
              <w:right w:val="single" w:sz="4" w:space="0" w:color="auto"/>
            </w:tcBorders>
            <w:shd w:val="clear" w:color="auto" w:fill="auto"/>
            <w:vAlign w:val="center"/>
            <w:hideMark/>
          </w:tcPr>
          <w:p w:rsidR="004E2513" w:rsidRPr="00493DAD" w:rsidP="004E2513" w14:paraId="6791F6C6" w14:textId="77777777">
            <w:r w:rsidRPr="00493DAD">
              <w:t>50</w:t>
            </w:r>
          </w:p>
        </w:tc>
        <w:tc>
          <w:tcPr>
            <w:tcW w:w="1707"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65B5064F" w14:textId="4D19001F">
            <w:r w:rsidRPr="00493DAD">
              <w:rPr>
                <w:color w:val="000000"/>
              </w:rPr>
              <w:t>$42.12</w:t>
            </w:r>
          </w:p>
        </w:tc>
        <w:tc>
          <w:tcPr>
            <w:tcW w:w="2676"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6CBFF29E" w14:textId="211B9069">
            <w:r w:rsidRPr="00493DAD">
              <w:rPr>
                <w:color w:val="000000"/>
              </w:rPr>
              <w:t xml:space="preserve">                 2,106 </w:t>
            </w:r>
          </w:p>
        </w:tc>
      </w:tr>
      <w:tr w14:paraId="05975765" w14:textId="77777777" w:rsidTr="00493DAD">
        <w:tblPrEx>
          <w:tblW w:w="10838" w:type="dxa"/>
          <w:tblLook w:val="04A0"/>
        </w:tblPrEx>
        <w:trPr>
          <w:trHeight w:val="300"/>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4E2513" w:rsidRPr="00493DAD" w:rsidP="004E2513" w14:paraId="0C730414" w14:textId="77777777">
            <w:r w:rsidRPr="00493DAD">
              <w:t>TOTAL</w:t>
            </w:r>
          </w:p>
        </w:tc>
        <w:tc>
          <w:tcPr>
            <w:tcW w:w="1529" w:type="dxa"/>
            <w:tcBorders>
              <w:top w:val="nil"/>
              <w:left w:val="nil"/>
              <w:bottom w:val="single" w:sz="4" w:space="0" w:color="auto"/>
              <w:right w:val="single" w:sz="4" w:space="0" w:color="auto"/>
            </w:tcBorders>
            <w:shd w:val="clear" w:color="auto" w:fill="auto"/>
            <w:vAlign w:val="center"/>
            <w:hideMark/>
          </w:tcPr>
          <w:p w:rsidR="004E2513" w:rsidRPr="00493DAD" w:rsidP="004E2513" w14:paraId="33701A61" w14:textId="67F7D61C">
            <w:r w:rsidRPr="00493DAD">
              <w:t>2,500,630</w:t>
            </w:r>
          </w:p>
        </w:tc>
        <w:tc>
          <w:tcPr>
            <w:tcW w:w="990" w:type="dxa"/>
            <w:tcBorders>
              <w:top w:val="nil"/>
              <w:left w:val="nil"/>
              <w:bottom w:val="single" w:sz="4" w:space="0" w:color="auto"/>
              <w:right w:val="single" w:sz="4" w:space="0" w:color="auto"/>
            </w:tcBorders>
            <w:shd w:val="clear" w:color="auto" w:fill="A6A6A6" w:themeFill="background1" w:themeFillShade="A6"/>
            <w:vAlign w:val="center"/>
            <w:hideMark/>
          </w:tcPr>
          <w:p w:rsidR="004E2513" w:rsidRPr="00493DAD" w:rsidP="004E2513" w14:paraId="6EB0CE08" w14:textId="77777777">
            <w:r w:rsidRPr="00493DAD">
              <w:t> </w:t>
            </w:r>
          </w:p>
        </w:tc>
        <w:tc>
          <w:tcPr>
            <w:tcW w:w="1056" w:type="dxa"/>
            <w:tcBorders>
              <w:top w:val="nil"/>
              <w:left w:val="nil"/>
              <w:bottom w:val="single" w:sz="4" w:space="0" w:color="auto"/>
              <w:right w:val="single" w:sz="4" w:space="0" w:color="auto"/>
            </w:tcBorders>
            <w:shd w:val="clear" w:color="auto" w:fill="A6A6A6" w:themeFill="background1" w:themeFillShade="A6"/>
            <w:vAlign w:val="center"/>
            <w:hideMark/>
          </w:tcPr>
          <w:p w:rsidR="004E2513" w:rsidRPr="00493DAD" w:rsidP="004E2513" w14:paraId="0FDCFE19" w14:textId="77777777">
            <w:r w:rsidRPr="00493DAD">
              <w:t> </w:t>
            </w:r>
          </w:p>
        </w:tc>
        <w:tc>
          <w:tcPr>
            <w:tcW w:w="1356" w:type="dxa"/>
            <w:tcBorders>
              <w:top w:val="nil"/>
              <w:left w:val="nil"/>
              <w:bottom w:val="single" w:sz="4" w:space="0" w:color="auto"/>
              <w:right w:val="single" w:sz="4" w:space="0" w:color="auto"/>
            </w:tcBorders>
            <w:shd w:val="clear" w:color="auto" w:fill="auto"/>
            <w:vAlign w:val="center"/>
            <w:hideMark/>
          </w:tcPr>
          <w:p w:rsidR="004E2513" w:rsidRPr="00493DAD" w:rsidP="004E2513" w14:paraId="2C0CBBDB" w14:textId="397FDB6B">
            <w:r w:rsidRPr="00493DAD">
              <w:t>125,180</w:t>
            </w:r>
          </w:p>
        </w:tc>
        <w:tc>
          <w:tcPr>
            <w:tcW w:w="1707" w:type="dxa"/>
            <w:tcBorders>
              <w:top w:val="nil"/>
              <w:left w:val="nil"/>
              <w:bottom w:val="single" w:sz="4" w:space="0" w:color="auto"/>
              <w:right w:val="single" w:sz="4" w:space="0" w:color="auto"/>
            </w:tcBorders>
            <w:shd w:val="clear" w:color="auto" w:fill="A6A6A6" w:themeFill="background1" w:themeFillShade="A6"/>
            <w:vAlign w:val="bottom"/>
            <w:hideMark/>
          </w:tcPr>
          <w:p w:rsidR="004E2513" w:rsidRPr="00493DAD" w:rsidP="004E2513" w14:paraId="7F8F91ED" w14:textId="79117873">
            <w:r w:rsidRPr="00493DAD">
              <w:rPr>
                <w:color w:val="000000"/>
              </w:rPr>
              <w:t>  </w:t>
            </w:r>
          </w:p>
        </w:tc>
        <w:tc>
          <w:tcPr>
            <w:tcW w:w="2676" w:type="dxa"/>
            <w:tcBorders>
              <w:top w:val="nil"/>
              <w:left w:val="nil"/>
              <w:bottom w:val="single" w:sz="4" w:space="0" w:color="auto"/>
              <w:right w:val="single" w:sz="4" w:space="0" w:color="auto"/>
            </w:tcBorders>
            <w:shd w:val="clear" w:color="auto" w:fill="auto"/>
            <w:noWrap/>
            <w:vAlign w:val="bottom"/>
            <w:hideMark/>
          </w:tcPr>
          <w:p w:rsidR="004E2513" w:rsidRPr="00493DAD" w:rsidP="004E2513" w14:paraId="41DE3B57" w14:textId="35B127D2">
            <w:r w:rsidRPr="00493DAD">
              <w:rPr>
                <w:color w:val="000000"/>
              </w:rPr>
              <w:t xml:space="preserve">          5,273,145 </w:t>
            </w:r>
          </w:p>
        </w:tc>
      </w:tr>
    </w:tbl>
    <w:p w:rsidR="00A57406" w:rsidRPr="00493DAD" w:rsidP="00834195" w14:paraId="6003CF54" w14:textId="77777777">
      <w:pPr>
        <w:widowControl w:val="0"/>
        <w:tabs>
          <w:tab w:val="left" w:pos="720"/>
          <w:tab w:val="left" w:pos="1440"/>
        </w:tabs>
        <w:spacing w:before="120"/>
        <w:contextualSpacing/>
      </w:pPr>
    </w:p>
    <w:p w:rsidR="346A701C" w:rsidRPr="00493DAD" w:rsidP="00834195" w14:paraId="2B3D467A" w14:textId="15FFE167">
      <w:pPr>
        <w:rPr>
          <w:sz w:val="20"/>
          <w:szCs w:val="20"/>
        </w:rPr>
      </w:pPr>
      <w:r w:rsidRPr="00493DAD">
        <w:rPr>
          <w:color w:val="000000" w:themeColor="text1"/>
        </w:rPr>
        <w:t xml:space="preserve">NOTES ON HOUR BURDEN: </w:t>
      </w:r>
      <w:r w:rsidRPr="00493DAD">
        <w:tab/>
      </w:r>
      <w:r w:rsidRPr="00493DAD">
        <w:br/>
      </w:r>
      <w:r w:rsidRPr="00493DAD">
        <w:rPr>
          <w:color w:val="000000" w:themeColor="text1"/>
          <w:sz w:val="20"/>
          <w:szCs w:val="20"/>
        </w:rPr>
        <w:t xml:space="preserve">*  The above Average Hourly Wage Rate is the </w:t>
      </w:r>
      <w:hyperlink r:id="rId13">
        <w:r w:rsidRPr="00053E1F">
          <w:rPr>
            <w:rStyle w:val="Hyperlink"/>
            <w:i/>
            <w:iCs/>
            <w:sz w:val="20"/>
            <w:szCs w:val="20"/>
          </w:rPr>
          <w:t>May 2022 Bureau of Labor Statistics</w:t>
        </w:r>
      </w:hyperlink>
      <w:r w:rsidRPr="00493DAD">
        <w:rPr>
          <w:i/>
          <w:iCs/>
          <w:color w:val="000000" w:themeColor="text1"/>
          <w:sz w:val="20"/>
          <w:szCs w:val="20"/>
        </w:rPr>
        <w:t xml:space="preserve"> average wage for “All Occupations” of $</w:t>
      </w:r>
      <w:r w:rsidRPr="00493DAD" w:rsidR="00D93A2C">
        <w:rPr>
          <w:i/>
          <w:iCs/>
          <w:color w:val="000000" w:themeColor="text1"/>
          <w:sz w:val="20"/>
          <w:szCs w:val="20"/>
        </w:rPr>
        <w:t>29.76</w:t>
      </w:r>
      <w:r w:rsidRPr="00493DAD">
        <w:rPr>
          <w:i/>
          <w:iCs/>
          <w:color w:val="000000" w:themeColor="text1"/>
          <w:sz w:val="20"/>
          <w:szCs w:val="20"/>
        </w:rPr>
        <w:t xml:space="preserve"> times the wage rate benefit multiplier of 1.4</w:t>
      </w:r>
      <w:r w:rsidRPr="00493DAD" w:rsidR="2C23A5F4">
        <w:rPr>
          <w:i/>
          <w:iCs/>
          <w:color w:val="000000" w:themeColor="text1"/>
          <w:sz w:val="20"/>
          <w:szCs w:val="20"/>
        </w:rPr>
        <w:t>1</w:t>
      </w:r>
      <w:r w:rsidRPr="00493DAD" w:rsidR="004E2513">
        <w:rPr>
          <w:i/>
          <w:iCs/>
          <w:color w:val="000000" w:themeColor="text1"/>
          <w:sz w:val="20"/>
          <w:szCs w:val="20"/>
        </w:rPr>
        <w:t>55</w:t>
      </w:r>
      <w:r>
        <w:rPr>
          <w:rStyle w:val="FootnoteReference"/>
          <w:i/>
          <w:iCs/>
          <w:color w:val="000000" w:themeColor="text1"/>
          <w:sz w:val="20"/>
          <w:szCs w:val="20"/>
        </w:rPr>
        <w:footnoteReference w:id="3"/>
      </w:r>
      <w:r w:rsidRPr="00493DAD">
        <w:rPr>
          <w:i/>
          <w:iCs/>
          <w:color w:val="000000" w:themeColor="text1"/>
          <w:sz w:val="20"/>
          <w:szCs w:val="20"/>
        </w:rPr>
        <w:t xml:space="preserve"> (to account for fringe benefits) equaling $</w:t>
      </w:r>
      <w:r w:rsidRPr="00493DAD" w:rsidR="0012195D">
        <w:rPr>
          <w:i/>
          <w:iCs/>
          <w:color w:val="000000" w:themeColor="text1"/>
          <w:sz w:val="20"/>
          <w:szCs w:val="20"/>
        </w:rPr>
        <w:t>42.12</w:t>
      </w:r>
      <w:r w:rsidRPr="00493DAD">
        <w:rPr>
          <w:i/>
          <w:iCs/>
          <w:color w:val="000000" w:themeColor="text1"/>
          <w:sz w:val="20"/>
          <w:szCs w:val="20"/>
        </w:rPr>
        <w:t>.  The selection of “All Occupations” (for example) was chosen as the expected respondents for this collection could be expected to be from any occupation.</w:t>
      </w:r>
    </w:p>
    <w:p w:rsidR="00B128D9" w:rsidRPr="00493DAD" w:rsidP="00834195" w14:paraId="3473D65F" w14:textId="77777777">
      <w:pPr>
        <w:widowControl w:val="0"/>
        <w:tabs>
          <w:tab w:val="left" w:pos="720"/>
          <w:tab w:val="left" w:pos="1440"/>
        </w:tabs>
        <w:spacing w:before="120"/>
        <w:ind w:left="765"/>
        <w:contextualSpacing/>
      </w:pPr>
    </w:p>
    <w:p w:rsidR="00FE5661" w:rsidRPr="00493DAD" w:rsidP="00834195" w14:paraId="543DD3DD"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13.   Provide an estimate of the total annual cost burden to respondents or record</w:t>
      </w:r>
      <w:r w:rsidRPr="00493DAD" w:rsidR="00D93841">
        <w:t xml:space="preserve"> </w:t>
      </w:r>
      <w:r w:rsidRPr="00493DAD">
        <w:t>keepers resulting from the collection of information.  (Do not include the cost of any hour burden shown in Items 12 and 14.)</w:t>
      </w:r>
    </w:p>
    <w:p w:rsidR="00FE5661" w:rsidRPr="00493DAD" w:rsidP="00834195" w14:paraId="62F597DB" w14:textId="77777777">
      <w:pPr>
        <w:tabs>
          <w:tab w:val="left" w:pos="-720"/>
        </w:tabs>
        <w:suppressAutoHyphens/>
        <w:contextualSpacing/>
      </w:pPr>
    </w:p>
    <w:p w:rsidR="00FE5661" w:rsidRPr="00493DAD" w:rsidP="00834195" w14:paraId="02CF8CD8" w14:textId="7A9F5528">
      <w:pPr>
        <w:tabs>
          <w:tab w:val="left" w:pos="-720"/>
        </w:tabs>
        <w:suppressAutoHyphens/>
        <w:contextualSpacing/>
      </w:pPr>
      <w:r w:rsidRPr="00493DAD">
        <w:rPr>
          <w:spacing w:val="-3"/>
        </w:rPr>
        <w:t>No Cost</w:t>
      </w:r>
      <w:r w:rsidRPr="00493DAD" w:rsidR="00BA4E95">
        <w:rPr>
          <w:spacing w:val="-3"/>
        </w:rPr>
        <w:t>s are anticipated</w:t>
      </w:r>
      <w:r w:rsidRPr="00493DAD" w:rsidR="003A580F">
        <w:rPr>
          <w:spacing w:val="-3"/>
        </w:rPr>
        <w:t>.</w:t>
      </w:r>
    </w:p>
    <w:p w:rsidR="00FE5661" w:rsidRPr="00493DAD" w:rsidP="00834195" w14:paraId="6F5AFD9A" w14:textId="77777777">
      <w:pPr>
        <w:tabs>
          <w:tab w:val="left" w:pos="-720"/>
        </w:tabs>
        <w:suppressAutoHyphens/>
        <w:contextualSpacing/>
      </w:pPr>
    </w:p>
    <w:p w:rsidR="00EB5E96" w:rsidRPr="00493DAD" w:rsidP="00834195" w14:paraId="2EEF9409" w14:textId="7387F43C">
      <w:pPr>
        <w:suppressAutoHyphens/>
      </w:pPr>
      <w:r w:rsidRPr="00493DAD">
        <w:t xml:space="preserve">14.  Provide estimates of annualized cost to the Federal Government.  </w:t>
      </w:r>
      <w:r w:rsidRPr="00493DAD"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493DAD">
        <w:t xml:space="preserve">You may also aggregate cost estimates for Items 12, 13, and 14 in a single table.  </w:t>
      </w:r>
    </w:p>
    <w:p w:rsidR="00EB5E96" w:rsidRPr="00493DAD" w:rsidP="00834195" w14:paraId="380EE401" w14:textId="77777777">
      <w:pPr>
        <w:suppressAutoHyphens/>
      </w:pPr>
      <w:r w:rsidRPr="00493DAD">
        <w:fldChar w:fldCharType="begin"/>
      </w:r>
      <w:r w:rsidRPr="00493DAD">
        <w:instrText>ADVANCE \R 0.95</w:instrText>
      </w:r>
      <w:r w:rsidRPr="00493DAD">
        <w:fldChar w:fldCharType="end"/>
      </w:r>
    </w:p>
    <w:p w:rsidR="00333D1E" w:rsidRPr="00493DAD" w:rsidP="00834195" w14:paraId="77C4C3BC" w14:textId="5AAE4F7E">
      <w:pPr>
        <w:suppressAutoHyphens/>
      </w:pPr>
      <w:r w:rsidRPr="00493DAD">
        <w:rPr>
          <w:spacing w:val="-3"/>
        </w:rPr>
        <w:t xml:space="preserve">The anticipated cost to the Federal Government is approximately $ 200,000 annually.  These costs are comprised </w:t>
      </w:r>
      <w:r w:rsidRPr="00493DAD">
        <w:rPr>
          <w:spacing w:val="-3"/>
        </w:rPr>
        <w:t>of:</w:t>
      </w:r>
      <w:r w:rsidRPr="00493DAD">
        <w:rPr>
          <w:spacing w:val="-3"/>
        </w:rPr>
        <w:t xml:space="preserve">  contractor payments, printing, postage, staffing salaries, equipment maintenance, focus group incentives.  (Explanation of incentives:  participants are incentivized based on the amount of time required for full participation in the research. Part of the agreement made with panelists at the time of recruitment is that they will receive small monetary incentives or account credits for completing research. Account credits may be redeemed for products and services of the panelist’s choice, or in some cases may be redeemed in the form of charitable donations to the philanthropy of the panelist’s choice.)</w:t>
      </w:r>
    </w:p>
    <w:p w:rsidR="36D8B24C" w:rsidRPr="00493DAD" w:rsidP="00834195" w14:paraId="3519E88A" w14:textId="61AC66F7"/>
    <w:p w:rsidR="00EB5E96" w:rsidRPr="00493DAD" w:rsidP="00834195" w14:paraId="6141C989"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15.  Explain the reasons for any program changes or adjustments reported in Items 13 or 14 of the OMB Form 83-I.  Changes in hour burden, i.e., program changes or adjustments made to annual reporting and recordkeeping </w:t>
      </w:r>
      <w:r w:rsidRPr="00493DAD">
        <w:rPr>
          <w:b/>
        </w:rPr>
        <w:t>hour</w:t>
      </w:r>
      <w:r w:rsidRPr="00493DAD">
        <w:t xml:space="preserve"> and </w:t>
      </w:r>
      <w:r w:rsidRPr="00493DAD">
        <w:rPr>
          <w:b/>
        </w:rPr>
        <w:t>cost</w:t>
      </w:r>
      <w:r w:rsidRPr="00493DAD">
        <w:t xml:space="preserve"> burden.  A program change is the result of </w:t>
      </w:r>
      <w:r w:rsidRPr="00493DAD">
        <w:t xml:space="preserve">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493DAD" w:rsidP="00834195" w14:paraId="33DD84A8" w14:textId="77777777">
      <w:pPr>
        <w:tabs>
          <w:tab w:val="left" w:pos="-720"/>
        </w:tabs>
        <w:suppressAutoHyphens/>
        <w:rPr>
          <w:highlight w:val="yellow"/>
        </w:rPr>
      </w:pPr>
      <w:r w:rsidRPr="00493DAD">
        <w:rPr>
          <w:highlight w:val="yellow"/>
        </w:rPr>
        <w:fldChar w:fldCharType="begin"/>
      </w:r>
      <w:r w:rsidRPr="00493DAD">
        <w:rPr>
          <w:highlight w:val="yellow"/>
        </w:rPr>
        <w:instrText>ADVANCE \R 0.95</w:instrText>
      </w:r>
      <w:r w:rsidRPr="00493DAD">
        <w:rPr>
          <w:highlight w:val="yellow"/>
        </w:rPr>
        <w:fldChar w:fldCharType="end"/>
      </w:r>
    </w:p>
    <w:p w:rsidR="00A57406" w:rsidRPr="00493DAD" w:rsidP="00834195" w14:paraId="25A40919" w14:textId="6C23AAD5">
      <w:pPr>
        <w:tabs>
          <w:tab w:val="left" w:pos="-720"/>
        </w:tabs>
        <w:suppressAutoHyphens/>
        <w:rPr>
          <w:spacing w:val="-3"/>
        </w:rPr>
      </w:pPr>
      <w:r w:rsidRPr="00493DAD">
        <w:rPr>
          <w:spacing w:val="-3"/>
        </w:rPr>
        <w:t xml:space="preserve">There are no changes to the scope of the generic clearance.  The burden calculations were updated </w:t>
      </w:r>
      <w:r w:rsidRPr="00493DAD" w:rsidR="006E416F">
        <w:rPr>
          <w:spacing w:val="-3"/>
        </w:rPr>
        <w:t xml:space="preserve">to account for changes in </w:t>
      </w:r>
      <w:r w:rsidRPr="00493DAD" w:rsidR="00D05E4C">
        <w:rPr>
          <w:spacing w:val="-3"/>
        </w:rPr>
        <w:t>loaded compensation rates</w:t>
      </w:r>
      <w:r w:rsidRPr="00493DAD">
        <w:rPr>
          <w:spacing w:val="-3"/>
        </w:rPr>
        <w:t>.</w:t>
      </w:r>
    </w:p>
    <w:p w:rsidR="00070F11" w:rsidRPr="00493DAD" w:rsidP="00834195" w14:paraId="4324171F" w14:textId="77777777">
      <w:pPr>
        <w:tabs>
          <w:tab w:val="left" w:pos="-720"/>
        </w:tabs>
        <w:suppressAutoHyphens/>
        <w:rPr>
          <w:spacing w:val="-3"/>
        </w:rPr>
      </w:pPr>
    </w:p>
    <w:p w:rsidR="00EB5E96" w:rsidRPr="00493DAD" w:rsidP="00834195" w14:paraId="4B519A5E"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493DAD" w:rsidP="00834195" w14:paraId="149BE177" w14:textId="77777777">
      <w:pPr>
        <w:suppressAutoHyphens/>
      </w:pPr>
      <w:r w:rsidRPr="00493DAD">
        <w:fldChar w:fldCharType="begin"/>
      </w:r>
      <w:r w:rsidRPr="00493DAD">
        <w:instrText>ADVANCE \R 0.95</w:instrText>
      </w:r>
      <w:r w:rsidRPr="00493DAD">
        <w:fldChar w:fldCharType="end"/>
      </w:r>
    </w:p>
    <w:p w:rsidR="002B3F4B" w:rsidRPr="00493DAD" w:rsidP="00834195" w14:paraId="54840BDC" w14:textId="2CF23D47">
      <w:pPr>
        <w:suppressAutoHyphens/>
        <w:rPr>
          <w:spacing w:val="-3"/>
        </w:rPr>
      </w:pPr>
      <w:r w:rsidRPr="00493DAD">
        <w:rPr>
          <w:spacing w:val="-3"/>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2B3F4B" w:rsidRPr="00493DAD" w:rsidP="00834195" w14:paraId="68C7CA77" w14:textId="77777777">
      <w:pPr>
        <w:suppressAutoHyphens/>
        <w:rPr>
          <w:spacing w:val="-3"/>
        </w:rPr>
      </w:pPr>
    </w:p>
    <w:p w:rsidR="00EB5E96" w:rsidRPr="00493DAD" w:rsidP="00834195" w14:paraId="0E371C20" w14:textId="5DB94C0A">
      <w:pPr>
        <w:suppressAutoHyphens/>
        <w:rPr>
          <w:spacing w:val="-3"/>
        </w:rPr>
      </w:pPr>
      <w:r w:rsidRPr="00493DAD">
        <w:rPr>
          <w:spacing w:val="-3"/>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r w:rsidRPr="00493DAD" w:rsidR="00A57406">
        <w:rPr>
          <w:spacing w:val="-3"/>
        </w:rPr>
        <w:t>.</w:t>
      </w:r>
    </w:p>
    <w:p w:rsidR="00A57406" w:rsidRPr="00493DAD" w:rsidP="00834195" w14:paraId="7DCDFE34" w14:textId="629E1BA8">
      <w:pPr>
        <w:suppressAutoHyphens/>
        <w:rPr>
          <w:spacing w:val="-3"/>
        </w:rPr>
      </w:pPr>
    </w:p>
    <w:p w:rsidR="00EB5E96" w:rsidRPr="00493DAD" w:rsidP="00834195" w14:paraId="733EB5AA"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17.  If seeking approval to not display the expiration date for OMB approval of the information collection, explain reasons that display would be inappropriate.</w:t>
      </w:r>
    </w:p>
    <w:p w:rsidR="00EB5E96" w:rsidRPr="00493DAD" w:rsidP="00834195" w14:paraId="47CC23E2" w14:textId="77777777">
      <w:pPr>
        <w:tabs>
          <w:tab w:val="left" w:pos="-720"/>
        </w:tabs>
        <w:suppressAutoHyphens/>
      </w:pPr>
      <w:r w:rsidRPr="00493DAD">
        <w:fldChar w:fldCharType="begin"/>
      </w:r>
      <w:r w:rsidRPr="00493DAD">
        <w:instrText>ADVANCE \R 0.95</w:instrText>
      </w:r>
      <w:r w:rsidRPr="00493DAD">
        <w:fldChar w:fldCharType="end"/>
      </w:r>
    </w:p>
    <w:p w:rsidR="00A57406" w:rsidRPr="00493DAD" w:rsidP="00834195" w14:paraId="51D78A65" w14:textId="748D5AD1">
      <w:r w:rsidRPr="00493DAD">
        <w:t>We are requesting no exemption.</w:t>
      </w:r>
    </w:p>
    <w:p w:rsidR="00DF0921" w:rsidRPr="00493DAD" w:rsidP="00834195" w14:paraId="0E898892" w14:textId="77777777">
      <w:pPr>
        <w:rPr>
          <w:spacing w:val="-3"/>
        </w:rPr>
      </w:pPr>
    </w:p>
    <w:p w:rsidR="0077056F" w:rsidRPr="00493DAD" w:rsidP="00834195" w14:paraId="62727DFE" w14:textId="77777777">
      <w:pPr>
        <w:shd w:val="pct25" w:color="auto" w:fill="auto"/>
        <w:tabs>
          <w:tab w:val="left" w:pos="-720"/>
        </w:tabs>
        <w:suppressAutoHyphens/>
      </w:pPr>
      <w:r w:rsidRPr="00493DAD">
        <w:fldChar w:fldCharType="begin"/>
      </w:r>
      <w:r w:rsidRPr="00493DAD">
        <w:instrText>ADVANCE \R 0.95</w:instrText>
      </w:r>
      <w:r w:rsidRPr="00493DAD">
        <w:fldChar w:fldCharType="end"/>
      </w:r>
      <w:r w:rsidRPr="00493DAD">
        <w:t>18.  Explain each exception to the certification statement identified in Item 19 “Certification for Paperwork Reduction Act Submissions,” of OMB Form 83-I.</w:t>
      </w:r>
    </w:p>
    <w:p w:rsidR="0077056F" w:rsidRPr="00493DAD" w:rsidP="00834195" w14:paraId="5D585DD3" w14:textId="77777777">
      <w:pPr>
        <w:tabs>
          <w:tab w:val="left" w:pos="-720"/>
        </w:tabs>
        <w:suppressAutoHyphens/>
      </w:pPr>
    </w:p>
    <w:p w:rsidR="0077056F" w:rsidRPr="00493DAD" w:rsidP="00834195" w14:paraId="02825E03" w14:textId="3B7C5B9D">
      <w:r w:rsidRPr="00493DAD">
        <w:t>These activities comply with the requirements in 5 CFR 1320.9.</w:t>
      </w:r>
    </w:p>
    <w:sectPr w:rsidSect="00834195">
      <w:footerReference w:type="default" r:id="rId14"/>
      <w:footerReference w:type="first" r:id="rId15"/>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3F2C1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70C">
      <w:rPr>
        <w:rStyle w:val="PageNumber"/>
        <w:noProof/>
      </w:rPr>
      <w:t>4</w:t>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C807F3" w:rsidRPr="00211C9E" w:rsidP="00C807F3" w14:paraId="77D71665" w14:textId="77777777">
    <w:pPr>
      <w:pStyle w:val="paragraph"/>
      <w:spacing w:before="0" w:beforeAutospacing="0" w:after="0" w:afterAutospacing="0"/>
      <w:textAlignment w:val="baseline"/>
    </w:pPr>
    <w:r w:rsidRPr="00211C9E">
      <w:rPr>
        <w:rStyle w:val="normaltextrun"/>
      </w:rPr>
      <w:t>_______________________</w:t>
    </w:r>
    <w:r w:rsidRPr="00211C9E">
      <w:rPr>
        <w:rStyle w:val="eop"/>
      </w:rPr>
      <w:t> </w:t>
    </w:r>
  </w:p>
  <w:p w:rsidR="00834195" w:rsidP="00C807F3" w14:paraId="44C713B3" w14:textId="77777777">
    <w:pPr>
      <w:pStyle w:val="paragraph"/>
      <w:spacing w:before="0" w:beforeAutospacing="0" w:after="0" w:afterAutospacing="0"/>
      <w:jc w:val="both"/>
      <w:textAlignment w:val="baseline"/>
      <w:rPr>
        <w:rStyle w:val="normaltextrun"/>
        <w:sz w:val="20"/>
        <w:szCs w:val="20"/>
      </w:rPr>
    </w:pPr>
    <w:hyperlink r:id="rId1" w:anchor="_ftnref1" w:tgtFrame="_blank" w:history="1">
      <w:r w:rsidRPr="002D7BEA" w:rsidR="00C807F3">
        <w:rPr>
          <w:rStyle w:val="normaltextrun"/>
          <w:color w:val="0000FF"/>
          <w:sz w:val="20"/>
          <w:szCs w:val="20"/>
          <w:u w:val="single"/>
          <w:vertAlign w:val="superscript"/>
        </w:rPr>
        <w:t>[1]</w:t>
      </w:r>
    </w:hyperlink>
    <w:r w:rsidRPr="002D7BEA" w:rsidR="00C807F3">
      <w:rPr>
        <w:rStyle w:val="normaltextrun"/>
        <w:sz w:val="20"/>
        <w:szCs w:val="20"/>
      </w:rPr>
      <w:t xml:space="preserve"> As defined in OMB and agency Information Quality Guidelines, “influential” means </w:t>
    </w:r>
    <w:r w:rsidRPr="002D7BEA" w:rsidR="00C807F3">
      <w:rPr>
        <w:rStyle w:val="normaltextrun"/>
        <w:sz w:val="20"/>
        <w:szCs w:val="20"/>
      </w:rPr>
      <w:t>that</w:t>
    </w:r>
  </w:p>
  <w:p w:rsidR="00834195" w:rsidP="00C807F3" w14:paraId="448097FC" w14:textId="77777777">
    <w:pPr>
      <w:pStyle w:val="paragraph"/>
      <w:spacing w:before="0" w:beforeAutospacing="0" w:after="0" w:afterAutospacing="0"/>
      <w:jc w:val="both"/>
      <w:textAlignment w:val="baseline"/>
      <w:rPr>
        <w:rStyle w:val="normaltextrun"/>
        <w:sz w:val="20"/>
        <w:szCs w:val="20"/>
      </w:rPr>
    </w:pPr>
    <w:r w:rsidRPr="002D7BEA">
      <w:rPr>
        <w:rStyle w:val="normaltextrun"/>
        <w:sz w:val="20"/>
        <w:szCs w:val="20"/>
      </w:rPr>
      <w:t xml:space="preserve"> “</w:t>
    </w:r>
    <w:r w:rsidRPr="002D7BEA">
      <w:rPr>
        <w:rStyle w:val="normaltextrun"/>
        <w:sz w:val="20"/>
        <w:szCs w:val="20"/>
      </w:rPr>
      <w:t>an</w:t>
    </w:r>
    <w:r w:rsidRPr="002D7BEA">
      <w:rPr>
        <w:rStyle w:val="normaltextrun"/>
        <w:sz w:val="20"/>
        <w:szCs w:val="20"/>
      </w:rPr>
      <w:t xml:space="preserve"> agency can reasonably determine that dissemination of the information will have or </w:t>
    </w:r>
  </w:p>
  <w:p w:rsidR="00834195" w:rsidP="00C807F3" w14:paraId="5A92FE64" w14:textId="77777777">
    <w:pPr>
      <w:pStyle w:val="paragraph"/>
      <w:spacing w:before="0" w:beforeAutospacing="0" w:after="0" w:afterAutospacing="0"/>
      <w:jc w:val="both"/>
      <w:textAlignment w:val="baseline"/>
      <w:rPr>
        <w:rStyle w:val="normaltextrun"/>
        <w:sz w:val="20"/>
        <w:szCs w:val="20"/>
      </w:rPr>
    </w:pPr>
    <w:r w:rsidRPr="002D7BEA">
      <w:rPr>
        <w:rStyle w:val="normaltextrun"/>
        <w:sz w:val="20"/>
        <w:szCs w:val="20"/>
      </w:rPr>
      <w:t xml:space="preserve">does have a clear and substantial impact on important public policies or important </w:t>
    </w:r>
    <w:r w:rsidRPr="002D7BEA">
      <w:rPr>
        <w:rStyle w:val="normaltextrun"/>
        <w:sz w:val="20"/>
        <w:szCs w:val="20"/>
      </w:rPr>
      <w:t>private</w:t>
    </w:r>
    <w:r w:rsidRPr="002D7BEA">
      <w:rPr>
        <w:rStyle w:val="normaltextrun"/>
        <w:sz w:val="20"/>
        <w:szCs w:val="20"/>
      </w:rPr>
      <w:t xml:space="preserve"> </w:t>
    </w:r>
  </w:p>
  <w:p w:rsidR="001A199D" w:rsidRPr="00834195" w:rsidP="00834195" w14:paraId="60CC98EF" w14:textId="0154A19D">
    <w:pPr>
      <w:pStyle w:val="paragraph"/>
      <w:spacing w:before="0" w:beforeAutospacing="0" w:after="0" w:afterAutospacing="0"/>
      <w:jc w:val="both"/>
      <w:textAlignment w:val="baseline"/>
      <w:rPr>
        <w:sz w:val="20"/>
        <w:szCs w:val="20"/>
      </w:rPr>
    </w:pPr>
    <w:r w:rsidRPr="002D7BEA">
      <w:rPr>
        <w:rStyle w:val="normaltextrun"/>
        <w:sz w:val="20"/>
        <w:szCs w:val="20"/>
      </w:rPr>
      <w:t>sector decisions.”</w:t>
    </w:r>
    <w:r w:rsidRPr="002D7BEA">
      <w:rPr>
        <w:rStyle w:val="eop"/>
        <w:sz w:val="20"/>
        <w:szCs w:val="2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7F3" w:rsidP="00DB0532" w14:paraId="7861CF1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07F3" w:rsidRPr="00834195" w:rsidP="00834195" w14:paraId="642EBE96" w14:textId="77777777">
    <w:pPr>
      <w:pStyle w:val="paragraph"/>
      <w:spacing w:before="0" w:beforeAutospacing="0" w:after="0" w:afterAutospacing="0"/>
      <w:textAlignment w:val="baseline"/>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195" w:rsidP="00834195" w14:paraId="0DFACBAB" w14:textId="0C7A7698">
    <w:pPr>
      <w:pStyle w:val="Footer"/>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4D4" w14:paraId="40B7F0BA" w14:textId="77777777">
      <w:r>
        <w:separator/>
      </w:r>
    </w:p>
  </w:footnote>
  <w:footnote w:type="continuationSeparator" w:id="1">
    <w:p w:rsidR="009C14D4" w14:paraId="311BB144" w14:textId="77777777">
      <w:r>
        <w:continuationSeparator/>
      </w:r>
    </w:p>
  </w:footnote>
  <w:footnote w:type="continuationNotice" w:id="2">
    <w:p w:rsidR="009C14D4" w14:paraId="6BB254D3" w14:textId="77777777"/>
  </w:footnote>
  <w:footnote w:id="3">
    <w:p w:rsidR="004663BF" w:rsidRPr="00493DAD" w:rsidP="00493DAD" w14:paraId="635E8FAC" w14:textId="3F38188D">
      <w:pPr>
        <w:jc w:val="both"/>
        <w:rPr>
          <w:color w:val="000000"/>
        </w:rPr>
      </w:pPr>
      <w:r w:rsidRPr="00493DAD">
        <w:rPr>
          <w:rStyle w:val="FootnoteReference"/>
          <w:sz w:val="20"/>
          <w:szCs w:val="20"/>
        </w:rPr>
        <w:footnoteRef/>
      </w:r>
      <w:r w:rsidRPr="00493DAD">
        <w:rPr>
          <w:sz w:val="20"/>
          <w:szCs w:val="20"/>
        </w:rPr>
        <w:t xml:space="preserve"> Load factor calculated </w:t>
      </w:r>
      <w:r w:rsidRPr="00493DAD" w:rsidR="00752A8F">
        <w:rPr>
          <w:sz w:val="20"/>
          <w:szCs w:val="20"/>
        </w:rPr>
        <w:t xml:space="preserve">based on the Employer Cost for </w:t>
      </w:r>
      <w:r w:rsidRPr="0006480F" w:rsidR="0006480F">
        <w:rPr>
          <w:sz w:val="20"/>
          <w:szCs w:val="20"/>
        </w:rPr>
        <w:t>Employee</w:t>
      </w:r>
      <w:r w:rsidRPr="00493DAD" w:rsidR="00752A8F">
        <w:rPr>
          <w:sz w:val="20"/>
          <w:szCs w:val="20"/>
        </w:rPr>
        <w:t xml:space="preserve"> Compensation, released on </w:t>
      </w:r>
      <w:r w:rsidRPr="0006480F" w:rsidR="0006480F">
        <w:rPr>
          <w:sz w:val="20"/>
          <w:szCs w:val="20"/>
        </w:rPr>
        <w:t>D</w:t>
      </w:r>
      <w:r w:rsidR="0006480F">
        <w:rPr>
          <w:sz w:val="20"/>
          <w:szCs w:val="20"/>
        </w:rPr>
        <w:t>ec</w:t>
      </w:r>
      <w:r w:rsidRPr="0006480F" w:rsidR="0006480F">
        <w:rPr>
          <w:sz w:val="20"/>
          <w:szCs w:val="20"/>
        </w:rPr>
        <w:t>ember</w:t>
      </w:r>
      <w:r w:rsidRPr="00493DAD" w:rsidR="00163466">
        <w:rPr>
          <w:sz w:val="20"/>
          <w:szCs w:val="20"/>
        </w:rPr>
        <w:t xml:space="preserve"> 15, 2023 (</w:t>
      </w:r>
      <w:hyperlink r:id="rId1" w:history="1">
        <w:r w:rsidRPr="00493DAD" w:rsidR="00163466">
          <w:rPr>
            <w:rStyle w:val="Hyperlink"/>
            <w:sz w:val="20"/>
            <w:szCs w:val="20"/>
          </w:rPr>
          <w:t>Employer Costs for Employee Compensation News Release - 2023 Q03 Results (bls.gov)</w:t>
        </w:r>
      </w:hyperlink>
      <w:r w:rsidRPr="00493DAD" w:rsidR="00163466">
        <w:rPr>
          <w:sz w:val="20"/>
          <w:szCs w:val="20"/>
        </w:rPr>
        <w:t>)</w:t>
      </w:r>
      <w:r w:rsidRPr="00493DAD" w:rsidR="00FB410C">
        <w:rPr>
          <w:sz w:val="20"/>
          <w:szCs w:val="20"/>
        </w:rPr>
        <w:t xml:space="preserve">, </w:t>
      </w:r>
      <w:r w:rsidRPr="00493DAD" w:rsidR="00FB410C">
        <w:rPr>
          <w:color w:val="000000"/>
          <w:sz w:val="20"/>
          <w:szCs w:val="20"/>
        </w:rPr>
        <w:t xml:space="preserve">Table 4. Employer Cost for Employee Compensation for Private Industry Workers by Occupational and </w:t>
      </w:r>
      <w:r w:rsidRPr="0006480F" w:rsidR="0006480F">
        <w:rPr>
          <w:color w:val="000000"/>
          <w:sz w:val="20"/>
          <w:szCs w:val="20"/>
        </w:rPr>
        <w:t>Industry</w:t>
      </w:r>
      <w:r w:rsidRPr="00493DAD" w:rsidR="00FB410C">
        <w:rPr>
          <w:color w:val="000000"/>
          <w:sz w:val="20"/>
          <w:szCs w:val="20"/>
        </w:rPr>
        <w:t xml:space="preserve"> Group, all private workers. </w:t>
      </w:r>
      <w:r w:rsidRPr="00493DAD" w:rsidR="00783D4C">
        <w:rPr>
          <w:color w:val="000000"/>
          <w:sz w:val="20"/>
          <w:szCs w:val="20"/>
        </w:rPr>
        <w:t xml:space="preserve"> Load Factor (1.4155) =</w:t>
      </w:r>
      <w:r w:rsidRPr="00493DAD" w:rsidR="00FB410C">
        <w:rPr>
          <w:color w:val="000000"/>
          <w:sz w:val="20"/>
          <w:szCs w:val="20"/>
        </w:rPr>
        <w:t xml:space="preserve"> </w:t>
      </w:r>
      <w:r w:rsidRPr="00493DAD" w:rsidR="00783D4C">
        <w:rPr>
          <w:color w:val="000000"/>
          <w:sz w:val="20"/>
          <w:szCs w:val="20"/>
        </w:rPr>
        <w:t>Total Compensation ($41.53) / Wages and Salaries (</w:t>
      </w:r>
      <w:r w:rsidRPr="00493DAD" w:rsidR="0006480F">
        <w:rPr>
          <w:color w:val="000000"/>
          <w:sz w:val="20"/>
          <w:szCs w:val="20"/>
        </w:rPr>
        <w:t>$29.34).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2D24F9"/>
    <w:multiLevelType w:val="hybridMultilevel"/>
    <w:tmpl w:val="333AB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4">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767244FE"/>
    <w:multiLevelType w:val="hybridMultilevel"/>
    <w:tmpl w:val="2A0A4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525600820">
    <w:abstractNumId w:val="6"/>
  </w:num>
  <w:num w:numId="2" w16cid:durableId="687024030">
    <w:abstractNumId w:val="20"/>
  </w:num>
  <w:num w:numId="3" w16cid:durableId="1495611232">
    <w:abstractNumId w:val="23"/>
  </w:num>
  <w:num w:numId="4" w16cid:durableId="1012797869">
    <w:abstractNumId w:val="12"/>
  </w:num>
  <w:num w:numId="5" w16cid:durableId="108202661">
    <w:abstractNumId w:val="15"/>
  </w:num>
  <w:num w:numId="6" w16cid:durableId="1645088807">
    <w:abstractNumId w:val="21"/>
  </w:num>
  <w:num w:numId="7" w16cid:durableId="64693869">
    <w:abstractNumId w:val="22"/>
  </w:num>
  <w:num w:numId="8" w16cid:durableId="1742874714">
    <w:abstractNumId w:val="17"/>
  </w:num>
  <w:num w:numId="9" w16cid:durableId="1688294134">
    <w:abstractNumId w:val="8"/>
  </w:num>
  <w:num w:numId="10" w16cid:durableId="1273823733">
    <w:abstractNumId w:val="26"/>
  </w:num>
  <w:num w:numId="11" w16cid:durableId="768235645">
    <w:abstractNumId w:val="14"/>
  </w:num>
  <w:num w:numId="12" w16cid:durableId="1587767928">
    <w:abstractNumId w:val="7"/>
  </w:num>
  <w:num w:numId="13" w16cid:durableId="1180048044">
    <w:abstractNumId w:val="28"/>
  </w:num>
  <w:num w:numId="14" w16cid:durableId="1911847303">
    <w:abstractNumId w:val="5"/>
  </w:num>
  <w:num w:numId="15" w16cid:durableId="9380377">
    <w:abstractNumId w:val="16"/>
  </w:num>
  <w:num w:numId="16" w16cid:durableId="658076434">
    <w:abstractNumId w:val="10"/>
  </w:num>
  <w:num w:numId="17" w16cid:durableId="890270356">
    <w:abstractNumId w:val="25"/>
  </w:num>
  <w:num w:numId="18" w16cid:durableId="54606434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838082340">
    <w:abstractNumId w:val="19"/>
  </w:num>
  <w:num w:numId="20" w16cid:durableId="2066637618">
    <w:abstractNumId w:val="24"/>
  </w:num>
  <w:num w:numId="21" w16cid:durableId="45298815">
    <w:abstractNumId w:val="18"/>
  </w:num>
  <w:num w:numId="22" w16cid:durableId="19092687">
    <w:abstractNumId w:val="13"/>
  </w:num>
  <w:num w:numId="23" w16cid:durableId="735707990">
    <w:abstractNumId w:val="3"/>
  </w:num>
  <w:num w:numId="24" w16cid:durableId="768811374">
    <w:abstractNumId w:val="2"/>
  </w:num>
  <w:num w:numId="25" w16cid:durableId="1777674261">
    <w:abstractNumId w:val="1"/>
  </w:num>
  <w:num w:numId="26" w16cid:durableId="1155072583">
    <w:abstractNumId w:val="4"/>
  </w:num>
  <w:num w:numId="27" w16cid:durableId="156263359">
    <w:abstractNumId w:val="9"/>
  </w:num>
  <w:num w:numId="28" w16cid:durableId="1965849878">
    <w:abstractNumId w:val="27"/>
  </w:num>
  <w:num w:numId="29" w16cid:durableId="1123383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0B32"/>
    <w:rsid w:val="00007D6C"/>
    <w:rsid w:val="0001216F"/>
    <w:rsid w:val="00012FBC"/>
    <w:rsid w:val="00025805"/>
    <w:rsid w:val="000319C5"/>
    <w:rsid w:val="00031ED5"/>
    <w:rsid w:val="000335C8"/>
    <w:rsid w:val="00042924"/>
    <w:rsid w:val="00046AE5"/>
    <w:rsid w:val="00047173"/>
    <w:rsid w:val="00051FDA"/>
    <w:rsid w:val="00053802"/>
    <w:rsid w:val="00053E1F"/>
    <w:rsid w:val="0006480F"/>
    <w:rsid w:val="000667AD"/>
    <w:rsid w:val="00070F11"/>
    <w:rsid w:val="00076EF2"/>
    <w:rsid w:val="00087424"/>
    <w:rsid w:val="0009313B"/>
    <w:rsid w:val="000963AA"/>
    <w:rsid w:val="000A4358"/>
    <w:rsid w:val="000A4447"/>
    <w:rsid w:val="000A6FC5"/>
    <w:rsid w:val="000B399B"/>
    <w:rsid w:val="000C35EA"/>
    <w:rsid w:val="000C4293"/>
    <w:rsid w:val="000C584E"/>
    <w:rsid w:val="000D0877"/>
    <w:rsid w:val="000D26F2"/>
    <w:rsid w:val="000E7B5C"/>
    <w:rsid w:val="000F20F6"/>
    <w:rsid w:val="0010054B"/>
    <w:rsid w:val="001137C6"/>
    <w:rsid w:val="0012195D"/>
    <w:rsid w:val="001305EB"/>
    <w:rsid w:val="001335DE"/>
    <w:rsid w:val="00134135"/>
    <w:rsid w:val="001408DE"/>
    <w:rsid w:val="00141549"/>
    <w:rsid w:val="00141C5C"/>
    <w:rsid w:val="0015593C"/>
    <w:rsid w:val="00163466"/>
    <w:rsid w:val="00185DDD"/>
    <w:rsid w:val="00191158"/>
    <w:rsid w:val="00194A62"/>
    <w:rsid w:val="00197B49"/>
    <w:rsid w:val="001A199D"/>
    <w:rsid w:val="001A2C95"/>
    <w:rsid w:val="001A32FD"/>
    <w:rsid w:val="001B2714"/>
    <w:rsid w:val="001B6DF0"/>
    <w:rsid w:val="001C18B1"/>
    <w:rsid w:val="001C4B22"/>
    <w:rsid w:val="001C4CC1"/>
    <w:rsid w:val="001E25FC"/>
    <w:rsid w:val="001F652F"/>
    <w:rsid w:val="002030D4"/>
    <w:rsid w:val="00203848"/>
    <w:rsid w:val="00205739"/>
    <w:rsid w:val="00211C9E"/>
    <w:rsid w:val="00222489"/>
    <w:rsid w:val="0022399E"/>
    <w:rsid w:val="0022626A"/>
    <w:rsid w:val="00232278"/>
    <w:rsid w:val="00235123"/>
    <w:rsid w:val="002366B4"/>
    <w:rsid w:val="00237711"/>
    <w:rsid w:val="002451D9"/>
    <w:rsid w:val="00251725"/>
    <w:rsid w:val="00252E0E"/>
    <w:rsid w:val="00256810"/>
    <w:rsid w:val="002578EC"/>
    <w:rsid w:val="0026283F"/>
    <w:rsid w:val="00264251"/>
    <w:rsid w:val="00264743"/>
    <w:rsid w:val="00265E2C"/>
    <w:rsid w:val="0026788F"/>
    <w:rsid w:val="00272C84"/>
    <w:rsid w:val="00272CF0"/>
    <w:rsid w:val="002840AB"/>
    <w:rsid w:val="0029007F"/>
    <w:rsid w:val="002900C5"/>
    <w:rsid w:val="00290AAB"/>
    <w:rsid w:val="00292D20"/>
    <w:rsid w:val="00297C37"/>
    <w:rsid w:val="002A7031"/>
    <w:rsid w:val="002B0649"/>
    <w:rsid w:val="002B3F4B"/>
    <w:rsid w:val="002B4BF6"/>
    <w:rsid w:val="002B70CC"/>
    <w:rsid w:val="002C05B0"/>
    <w:rsid w:val="002D6219"/>
    <w:rsid w:val="002D65E3"/>
    <w:rsid w:val="002D7BEA"/>
    <w:rsid w:val="002F105D"/>
    <w:rsid w:val="002F2A01"/>
    <w:rsid w:val="002F2BC7"/>
    <w:rsid w:val="002F49E0"/>
    <w:rsid w:val="002F5FDA"/>
    <w:rsid w:val="00300148"/>
    <w:rsid w:val="00320E95"/>
    <w:rsid w:val="00323CBE"/>
    <w:rsid w:val="00333D1E"/>
    <w:rsid w:val="00341049"/>
    <w:rsid w:val="0034148A"/>
    <w:rsid w:val="00350700"/>
    <w:rsid w:val="00360B5A"/>
    <w:rsid w:val="00364EE8"/>
    <w:rsid w:val="0037322A"/>
    <w:rsid w:val="00377D10"/>
    <w:rsid w:val="00381F93"/>
    <w:rsid w:val="0038293F"/>
    <w:rsid w:val="00382DC1"/>
    <w:rsid w:val="00383A50"/>
    <w:rsid w:val="0039325E"/>
    <w:rsid w:val="00394081"/>
    <w:rsid w:val="003A221C"/>
    <w:rsid w:val="003A3B94"/>
    <w:rsid w:val="003A4655"/>
    <w:rsid w:val="003A580F"/>
    <w:rsid w:val="003B1574"/>
    <w:rsid w:val="003B5E20"/>
    <w:rsid w:val="003B68FA"/>
    <w:rsid w:val="003B6BC6"/>
    <w:rsid w:val="003C4DEC"/>
    <w:rsid w:val="003D26B8"/>
    <w:rsid w:val="003D2D93"/>
    <w:rsid w:val="003D64C9"/>
    <w:rsid w:val="003E0D23"/>
    <w:rsid w:val="003E2CC1"/>
    <w:rsid w:val="003E4418"/>
    <w:rsid w:val="003E6DD8"/>
    <w:rsid w:val="003F056D"/>
    <w:rsid w:val="003F0E07"/>
    <w:rsid w:val="003F2C89"/>
    <w:rsid w:val="003F3F6D"/>
    <w:rsid w:val="00405F8C"/>
    <w:rsid w:val="004076BD"/>
    <w:rsid w:val="00413E8E"/>
    <w:rsid w:val="00447C3A"/>
    <w:rsid w:val="00447D21"/>
    <w:rsid w:val="00460234"/>
    <w:rsid w:val="00462C47"/>
    <w:rsid w:val="004644DC"/>
    <w:rsid w:val="004663BF"/>
    <w:rsid w:val="00482F9B"/>
    <w:rsid w:val="00486304"/>
    <w:rsid w:val="00492F7B"/>
    <w:rsid w:val="00493DAD"/>
    <w:rsid w:val="00496B57"/>
    <w:rsid w:val="00497D70"/>
    <w:rsid w:val="004A0DE6"/>
    <w:rsid w:val="004A42B4"/>
    <w:rsid w:val="004A5AE1"/>
    <w:rsid w:val="004B62D9"/>
    <w:rsid w:val="004C21F8"/>
    <w:rsid w:val="004C5DDB"/>
    <w:rsid w:val="004C73D5"/>
    <w:rsid w:val="004E2513"/>
    <w:rsid w:val="004F19C6"/>
    <w:rsid w:val="00502D04"/>
    <w:rsid w:val="00503C69"/>
    <w:rsid w:val="00507A4E"/>
    <w:rsid w:val="0051005D"/>
    <w:rsid w:val="00513942"/>
    <w:rsid w:val="005202D4"/>
    <w:rsid w:val="005416F5"/>
    <w:rsid w:val="005420D3"/>
    <w:rsid w:val="00546CE1"/>
    <w:rsid w:val="00550B78"/>
    <w:rsid w:val="00573B59"/>
    <w:rsid w:val="005776D2"/>
    <w:rsid w:val="00580711"/>
    <w:rsid w:val="005817B5"/>
    <w:rsid w:val="00582F4C"/>
    <w:rsid w:val="00590524"/>
    <w:rsid w:val="005924FE"/>
    <w:rsid w:val="00596A43"/>
    <w:rsid w:val="005A0C14"/>
    <w:rsid w:val="005A30A6"/>
    <w:rsid w:val="005C3DCA"/>
    <w:rsid w:val="005C472E"/>
    <w:rsid w:val="005C6616"/>
    <w:rsid w:val="005C7058"/>
    <w:rsid w:val="005D0717"/>
    <w:rsid w:val="005D0E97"/>
    <w:rsid w:val="005D4F08"/>
    <w:rsid w:val="005D6EC2"/>
    <w:rsid w:val="005D7769"/>
    <w:rsid w:val="005D781B"/>
    <w:rsid w:val="005E5F0E"/>
    <w:rsid w:val="00603D41"/>
    <w:rsid w:val="006145D1"/>
    <w:rsid w:val="00615DFD"/>
    <w:rsid w:val="00625391"/>
    <w:rsid w:val="00625968"/>
    <w:rsid w:val="00631C64"/>
    <w:rsid w:val="00636364"/>
    <w:rsid w:val="00647F47"/>
    <w:rsid w:val="00654C9F"/>
    <w:rsid w:val="00657687"/>
    <w:rsid w:val="006651B2"/>
    <w:rsid w:val="00670988"/>
    <w:rsid w:val="006749D4"/>
    <w:rsid w:val="0068258B"/>
    <w:rsid w:val="006A0B1C"/>
    <w:rsid w:val="006A7FF1"/>
    <w:rsid w:val="006B4994"/>
    <w:rsid w:val="006B56B1"/>
    <w:rsid w:val="006C295B"/>
    <w:rsid w:val="006D0E62"/>
    <w:rsid w:val="006D5CCE"/>
    <w:rsid w:val="006D5EB7"/>
    <w:rsid w:val="006D785E"/>
    <w:rsid w:val="006E32D9"/>
    <w:rsid w:val="006E416F"/>
    <w:rsid w:val="006E4F17"/>
    <w:rsid w:val="00712A0B"/>
    <w:rsid w:val="007277A8"/>
    <w:rsid w:val="007341CD"/>
    <w:rsid w:val="00741B83"/>
    <w:rsid w:val="00742F2D"/>
    <w:rsid w:val="007443F3"/>
    <w:rsid w:val="00752A8F"/>
    <w:rsid w:val="00752D76"/>
    <w:rsid w:val="00756F27"/>
    <w:rsid w:val="0075772E"/>
    <w:rsid w:val="00760399"/>
    <w:rsid w:val="00762809"/>
    <w:rsid w:val="00766655"/>
    <w:rsid w:val="0077056F"/>
    <w:rsid w:val="00775631"/>
    <w:rsid w:val="00783D4C"/>
    <w:rsid w:val="00784B44"/>
    <w:rsid w:val="00785A9A"/>
    <w:rsid w:val="00796717"/>
    <w:rsid w:val="007967F0"/>
    <w:rsid w:val="00796AB1"/>
    <w:rsid w:val="007A66B5"/>
    <w:rsid w:val="007B5D9D"/>
    <w:rsid w:val="007C0E87"/>
    <w:rsid w:val="007C3B0D"/>
    <w:rsid w:val="007D0399"/>
    <w:rsid w:val="007D48DD"/>
    <w:rsid w:val="007D6212"/>
    <w:rsid w:val="007E19F3"/>
    <w:rsid w:val="007F61EC"/>
    <w:rsid w:val="007F79EE"/>
    <w:rsid w:val="00802034"/>
    <w:rsid w:val="00804556"/>
    <w:rsid w:val="008071D6"/>
    <w:rsid w:val="00834195"/>
    <w:rsid w:val="008350A1"/>
    <w:rsid w:val="00835B42"/>
    <w:rsid w:val="00837A56"/>
    <w:rsid w:val="00840338"/>
    <w:rsid w:val="008419A6"/>
    <w:rsid w:val="0084685B"/>
    <w:rsid w:val="008500FB"/>
    <w:rsid w:val="00851BF1"/>
    <w:rsid w:val="0085645B"/>
    <w:rsid w:val="00856B49"/>
    <w:rsid w:val="008571DF"/>
    <w:rsid w:val="008719E8"/>
    <w:rsid w:val="0087219D"/>
    <w:rsid w:val="008724DE"/>
    <w:rsid w:val="00875586"/>
    <w:rsid w:val="00877753"/>
    <w:rsid w:val="008804CB"/>
    <w:rsid w:val="00887178"/>
    <w:rsid w:val="008924F0"/>
    <w:rsid w:val="0089711A"/>
    <w:rsid w:val="008A165F"/>
    <w:rsid w:val="008A221D"/>
    <w:rsid w:val="008A698A"/>
    <w:rsid w:val="008B38A9"/>
    <w:rsid w:val="008B4728"/>
    <w:rsid w:val="008B6F0E"/>
    <w:rsid w:val="008B7403"/>
    <w:rsid w:val="008B7F2B"/>
    <w:rsid w:val="008C27C3"/>
    <w:rsid w:val="008C293E"/>
    <w:rsid w:val="008D5A33"/>
    <w:rsid w:val="008D61ED"/>
    <w:rsid w:val="008D744F"/>
    <w:rsid w:val="008E2061"/>
    <w:rsid w:val="008E3E99"/>
    <w:rsid w:val="008E4152"/>
    <w:rsid w:val="008F2F44"/>
    <w:rsid w:val="008F31BC"/>
    <w:rsid w:val="008F5FC2"/>
    <w:rsid w:val="00913A27"/>
    <w:rsid w:val="009164C4"/>
    <w:rsid w:val="0091750F"/>
    <w:rsid w:val="00917BAF"/>
    <w:rsid w:val="009224A1"/>
    <w:rsid w:val="00924C84"/>
    <w:rsid w:val="0093542A"/>
    <w:rsid w:val="009361D5"/>
    <w:rsid w:val="00942617"/>
    <w:rsid w:val="0094389A"/>
    <w:rsid w:val="00944494"/>
    <w:rsid w:val="00945106"/>
    <w:rsid w:val="00946B58"/>
    <w:rsid w:val="009501B2"/>
    <w:rsid w:val="00951F84"/>
    <w:rsid w:val="009539A8"/>
    <w:rsid w:val="00954901"/>
    <w:rsid w:val="00961FD6"/>
    <w:rsid w:val="0096453F"/>
    <w:rsid w:val="0096736F"/>
    <w:rsid w:val="00967EB2"/>
    <w:rsid w:val="00971400"/>
    <w:rsid w:val="0097514C"/>
    <w:rsid w:val="00986E11"/>
    <w:rsid w:val="00987EC2"/>
    <w:rsid w:val="00993095"/>
    <w:rsid w:val="00993801"/>
    <w:rsid w:val="00993BD9"/>
    <w:rsid w:val="00993F06"/>
    <w:rsid w:val="00995211"/>
    <w:rsid w:val="009A7B24"/>
    <w:rsid w:val="009B0AF8"/>
    <w:rsid w:val="009B4A68"/>
    <w:rsid w:val="009C14D4"/>
    <w:rsid w:val="009C4719"/>
    <w:rsid w:val="009D0EDC"/>
    <w:rsid w:val="009F06EB"/>
    <w:rsid w:val="009F25F0"/>
    <w:rsid w:val="009F5E5D"/>
    <w:rsid w:val="00A00007"/>
    <w:rsid w:val="00A0781B"/>
    <w:rsid w:val="00A158E0"/>
    <w:rsid w:val="00A2037D"/>
    <w:rsid w:val="00A2488A"/>
    <w:rsid w:val="00A42A18"/>
    <w:rsid w:val="00A42E47"/>
    <w:rsid w:val="00A476E8"/>
    <w:rsid w:val="00A57406"/>
    <w:rsid w:val="00A712B9"/>
    <w:rsid w:val="00A75AF7"/>
    <w:rsid w:val="00A85317"/>
    <w:rsid w:val="00A8613B"/>
    <w:rsid w:val="00AA09F9"/>
    <w:rsid w:val="00AA3F82"/>
    <w:rsid w:val="00AA6813"/>
    <w:rsid w:val="00AC215C"/>
    <w:rsid w:val="00AC2315"/>
    <w:rsid w:val="00AD45BF"/>
    <w:rsid w:val="00AE0D1F"/>
    <w:rsid w:val="00AE2606"/>
    <w:rsid w:val="00AE41B7"/>
    <w:rsid w:val="00AF1369"/>
    <w:rsid w:val="00AF4918"/>
    <w:rsid w:val="00AF71FB"/>
    <w:rsid w:val="00B01128"/>
    <w:rsid w:val="00B02152"/>
    <w:rsid w:val="00B109D4"/>
    <w:rsid w:val="00B128D9"/>
    <w:rsid w:val="00B139CF"/>
    <w:rsid w:val="00B17D05"/>
    <w:rsid w:val="00B23792"/>
    <w:rsid w:val="00B24910"/>
    <w:rsid w:val="00B31B75"/>
    <w:rsid w:val="00B35A9A"/>
    <w:rsid w:val="00B410FE"/>
    <w:rsid w:val="00B51142"/>
    <w:rsid w:val="00B57157"/>
    <w:rsid w:val="00B67664"/>
    <w:rsid w:val="00B726E0"/>
    <w:rsid w:val="00B755CF"/>
    <w:rsid w:val="00B83D4C"/>
    <w:rsid w:val="00B91395"/>
    <w:rsid w:val="00B94147"/>
    <w:rsid w:val="00BA11D1"/>
    <w:rsid w:val="00BA1948"/>
    <w:rsid w:val="00BA2768"/>
    <w:rsid w:val="00BA4E95"/>
    <w:rsid w:val="00BB00EE"/>
    <w:rsid w:val="00BB5DC8"/>
    <w:rsid w:val="00BC0228"/>
    <w:rsid w:val="00BC37FD"/>
    <w:rsid w:val="00BC4542"/>
    <w:rsid w:val="00BD1AE6"/>
    <w:rsid w:val="00BD43E0"/>
    <w:rsid w:val="00BE3542"/>
    <w:rsid w:val="00BE387A"/>
    <w:rsid w:val="00BE4B9B"/>
    <w:rsid w:val="00BF1853"/>
    <w:rsid w:val="00BF4DCF"/>
    <w:rsid w:val="00C03389"/>
    <w:rsid w:val="00C10ACB"/>
    <w:rsid w:val="00C234A4"/>
    <w:rsid w:val="00C27817"/>
    <w:rsid w:val="00C3419E"/>
    <w:rsid w:val="00C40A7F"/>
    <w:rsid w:val="00C443A2"/>
    <w:rsid w:val="00C458E1"/>
    <w:rsid w:val="00C520DC"/>
    <w:rsid w:val="00C6068E"/>
    <w:rsid w:val="00C7356F"/>
    <w:rsid w:val="00C75797"/>
    <w:rsid w:val="00C77539"/>
    <w:rsid w:val="00C77C49"/>
    <w:rsid w:val="00C807F3"/>
    <w:rsid w:val="00C860B7"/>
    <w:rsid w:val="00CA3099"/>
    <w:rsid w:val="00CA51E1"/>
    <w:rsid w:val="00CA670C"/>
    <w:rsid w:val="00CA7AF8"/>
    <w:rsid w:val="00CB5356"/>
    <w:rsid w:val="00CB6507"/>
    <w:rsid w:val="00CC096F"/>
    <w:rsid w:val="00CC2508"/>
    <w:rsid w:val="00CD0564"/>
    <w:rsid w:val="00CD2DFE"/>
    <w:rsid w:val="00CD466A"/>
    <w:rsid w:val="00CE3D0D"/>
    <w:rsid w:val="00CE45F2"/>
    <w:rsid w:val="00CF45CF"/>
    <w:rsid w:val="00D04C05"/>
    <w:rsid w:val="00D05E4C"/>
    <w:rsid w:val="00D14CC3"/>
    <w:rsid w:val="00D17613"/>
    <w:rsid w:val="00D219B0"/>
    <w:rsid w:val="00D24E50"/>
    <w:rsid w:val="00D253AC"/>
    <w:rsid w:val="00D27628"/>
    <w:rsid w:val="00D3411B"/>
    <w:rsid w:val="00D363AB"/>
    <w:rsid w:val="00D41B76"/>
    <w:rsid w:val="00D450C8"/>
    <w:rsid w:val="00D5640C"/>
    <w:rsid w:val="00D6268A"/>
    <w:rsid w:val="00D73BBC"/>
    <w:rsid w:val="00D74AB2"/>
    <w:rsid w:val="00D81FC0"/>
    <w:rsid w:val="00D84618"/>
    <w:rsid w:val="00D93841"/>
    <w:rsid w:val="00D93A2C"/>
    <w:rsid w:val="00D94254"/>
    <w:rsid w:val="00DA0968"/>
    <w:rsid w:val="00DB0392"/>
    <w:rsid w:val="00DB0532"/>
    <w:rsid w:val="00DB08F7"/>
    <w:rsid w:val="00DB6BCE"/>
    <w:rsid w:val="00DB6F30"/>
    <w:rsid w:val="00DC6E79"/>
    <w:rsid w:val="00DD300E"/>
    <w:rsid w:val="00DD6682"/>
    <w:rsid w:val="00DE10DB"/>
    <w:rsid w:val="00DF0921"/>
    <w:rsid w:val="00E058E8"/>
    <w:rsid w:val="00E12104"/>
    <w:rsid w:val="00E151DA"/>
    <w:rsid w:val="00E17198"/>
    <w:rsid w:val="00E2481E"/>
    <w:rsid w:val="00E27947"/>
    <w:rsid w:val="00E476EF"/>
    <w:rsid w:val="00E534D7"/>
    <w:rsid w:val="00E56E74"/>
    <w:rsid w:val="00E64CD8"/>
    <w:rsid w:val="00E654E0"/>
    <w:rsid w:val="00E70205"/>
    <w:rsid w:val="00E77073"/>
    <w:rsid w:val="00E821B9"/>
    <w:rsid w:val="00E82B06"/>
    <w:rsid w:val="00EB5E96"/>
    <w:rsid w:val="00EC2392"/>
    <w:rsid w:val="00EE29AA"/>
    <w:rsid w:val="00EE5272"/>
    <w:rsid w:val="00EF73D7"/>
    <w:rsid w:val="00F049F5"/>
    <w:rsid w:val="00F320FD"/>
    <w:rsid w:val="00F33B1A"/>
    <w:rsid w:val="00F37F32"/>
    <w:rsid w:val="00F40834"/>
    <w:rsid w:val="00F415B7"/>
    <w:rsid w:val="00F4411A"/>
    <w:rsid w:val="00F55C02"/>
    <w:rsid w:val="00F7152E"/>
    <w:rsid w:val="00F71680"/>
    <w:rsid w:val="00F72C2C"/>
    <w:rsid w:val="00F750A3"/>
    <w:rsid w:val="00F861A5"/>
    <w:rsid w:val="00F92107"/>
    <w:rsid w:val="00F930EE"/>
    <w:rsid w:val="00FA32E9"/>
    <w:rsid w:val="00FB410C"/>
    <w:rsid w:val="00FC7086"/>
    <w:rsid w:val="00FD2846"/>
    <w:rsid w:val="00FD3AB4"/>
    <w:rsid w:val="00FE5661"/>
    <w:rsid w:val="00FE5940"/>
    <w:rsid w:val="00FF02DE"/>
    <w:rsid w:val="00FF1073"/>
    <w:rsid w:val="00FF39AE"/>
    <w:rsid w:val="00FF5DDF"/>
    <w:rsid w:val="04925AF8"/>
    <w:rsid w:val="058C5139"/>
    <w:rsid w:val="0EE24804"/>
    <w:rsid w:val="0F0D9161"/>
    <w:rsid w:val="12A125EE"/>
    <w:rsid w:val="14B6BD94"/>
    <w:rsid w:val="1648260E"/>
    <w:rsid w:val="1699FD73"/>
    <w:rsid w:val="19BAABC2"/>
    <w:rsid w:val="19F60561"/>
    <w:rsid w:val="1C7B8135"/>
    <w:rsid w:val="1DBEEFB1"/>
    <w:rsid w:val="1F0864E8"/>
    <w:rsid w:val="1F9FC231"/>
    <w:rsid w:val="201EF263"/>
    <w:rsid w:val="229D2E38"/>
    <w:rsid w:val="22F14995"/>
    <w:rsid w:val="23519FD6"/>
    <w:rsid w:val="255C61AA"/>
    <w:rsid w:val="268C710C"/>
    <w:rsid w:val="27BBCF53"/>
    <w:rsid w:val="286C539E"/>
    <w:rsid w:val="2C23A5F4"/>
    <w:rsid w:val="2D9EA45E"/>
    <w:rsid w:val="2DD529EA"/>
    <w:rsid w:val="2F061DD8"/>
    <w:rsid w:val="330D0C28"/>
    <w:rsid w:val="346A701C"/>
    <w:rsid w:val="34AE98C9"/>
    <w:rsid w:val="34B3F6C0"/>
    <w:rsid w:val="35223109"/>
    <w:rsid w:val="35A5AA14"/>
    <w:rsid w:val="36D8B24C"/>
    <w:rsid w:val="36FFC215"/>
    <w:rsid w:val="37417A75"/>
    <w:rsid w:val="3973A28C"/>
    <w:rsid w:val="3B4BA265"/>
    <w:rsid w:val="3CF48EF4"/>
    <w:rsid w:val="433EC6A3"/>
    <w:rsid w:val="48C7D9D3"/>
    <w:rsid w:val="49748028"/>
    <w:rsid w:val="4A2E645E"/>
    <w:rsid w:val="4E150A14"/>
    <w:rsid w:val="51D0AA44"/>
    <w:rsid w:val="5333331C"/>
    <w:rsid w:val="55B831D3"/>
    <w:rsid w:val="58275F18"/>
    <w:rsid w:val="59F8A03D"/>
    <w:rsid w:val="5A811B74"/>
    <w:rsid w:val="5ACCAC77"/>
    <w:rsid w:val="5DEFC2E7"/>
    <w:rsid w:val="5EF72DDA"/>
    <w:rsid w:val="626E7CB6"/>
    <w:rsid w:val="640A4D17"/>
    <w:rsid w:val="66477F61"/>
    <w:rsid w:val="67B95627"/>
    <w:rsid w:val="68435368"/>
    <w:rsid w:val="6975673A"/>
    <w:rsid w:val="6BF47649"/>
    <w:rsid w:val="6C4C8EDB"/>
    <w:rsid w:val="6DB4B586"/>
    <w:rsid w:val="6F57CB7C"/>
    <w:rsid w:val="6FD8A901"/>
    <w:rsid w:val="711F8EE1"/>
    <w:rsid w:val="72F61A00"/>
    <w:rsid w:val="73EDC7D3"/>
    <w:rsid w:val="73F1813F"/>
    <w:rsid w:val="753B7D29"/>
    <w:rsid w:val="781AC116"/>
    <w:rsid w:val="78B2E724"/>
    <w:rsid w:val="78BDAD2F"/>
    <w:rsid w:val="790ADF52"/>
    <w:rsid w:val="7AA6AFB3"/>
    <w:rsid w:val="7C428014"/>
    <w:rsid w:val="7F289B07"/>
    <w:rsid w:val="7F350921"/>
    <w:rsid w:val="7F584FF3"/>
    <w:rsid w:val="7F7CFABE"/>
    <w:rsid w:val="7FA4BB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D4C1F97F-0518-4447-8095-C814BEFD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iPriority w:val="99"/>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paragraph" w:customStyle="1" w:styleId="paragraph">
    <w:name w:val="paragraph"/>
    <w:basedOn w:val="Normal"/>
    <w:rsid w:val="00F71680"/>
    <w:pPr>
      <w:spacing w:before="100" w:beforeAutospacing="1" w:after="100" w:afterAutospacing="1"/>
    </w:pPr>
  </w:style>
  <w:style w:type="character" w:customStyle="1" w:styleId="normaltextrun">
    <w:name w:val="normaltextrun"/>
    <w:basedOn w:val="DefaultParagraphFont"/>
    <w:rsid w:val="00F71680"/>
  </w:style>
  <w:style w:type="character" w:customStyle="1" w:styleId="eop">
    <w:name w:val="eop"/>
    <w:basedOn w:val="DefaultParagraphFont"/>
    <w:rsid w:val="00F71680"/>
  </w:style>
  <w:style w:type="character" w:styleId="FollowedHyperlink">
    <w:name w:val="FollowedHyperlink"/>
    <w:basedOn w:val="DefaultParagraphFont"/>
    <w:rsid w:val="00A86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bc-word-edit.officeapps.live.com/we/wordeditorframe.aspx?ui=en%2DUS&amp;rs=en%2DUS&amp;wopisrc=https%3A%2F%2Fusdhs.sharepoint.com%2Fsites%2FCISA_OCIO_Intranet%2FPRA_PROD%2F_vti_bin%2Fwopi.ashx%2Ffiles%2Fa899a67eb9424b1c985ad23a85a8a312&amp;wdenableroaming=1&amp;mscc=1&amp;hid=40B2C1A0-4072-3000-BBF0-6A6D54956289&amp;wdorigin=ItemsView&amp;wdhostclicktime=1688072564170&amp;jsapi=1&amp;jsapiver=v1&amp;newsession=1&amp;corrid=d7e6070c-e489-42a1-8514-807b65cd5bcb&amp;usid=d7e6070c-e489-42a1-8514-807b65cd5bcb&amp;sftc=1&amp;cac=1&amp;mtf=1&amp;sfp=1&amp;instantedit=1&amp;wopicomplete=1&amp;wdredirectionreason=Unified_SingleFlush&amp;rct=Normal&amp;ctp=LeastProtected"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www.bls.gov/oes/current/oes_nat.htm"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hyperlink" Target="https://gbc-word-edit.officeapps.live.com/we/wordeditorframe.aspx?ui=en%2DUS&amp;rs=en%2DUS&amp;wopisrc=https%3A%2F%2Fusdhs.sharepoint.com%2Fsites%2FCISA_OCIO_Intranet%2FPRA_PROD%2F_vti_bin%2Fwopi.ashx%2Ffiles%2Fa899a67eb9424b1c985ad23a85a8a312&amp;wdenableroaming=1&amp;mscc=1&amp;hid=40B2C1A0-4072-3000-BBF0-6A6D54956289&amp;wdorigin=ItemsView&amp;wdhostclicktime=1688072564170&amp;jsapi=1&amp;jsapiver=v1&amp;newsession=1&amp;corrid=d7e6070c-e489-42a1-8514-807b65cd5bcb&amp;usid=d7e6070c-e489-42a1-8514-807b65cd5bcb&amp;sftc=1&amp;cac=1&amp;mtf=1&amp;sfp=1&amp;instantedit=1&amp;wopicomplete=1&amp;wdredirectionreason=Unified_SingleFlush&amp;rct=Normal&amp;ctp=LeastProtect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520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PRA-OCIO-00001918</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TaxCatchAll xmlns="bb9c4385-f00e-424a-8666-326e0b072e9d" xsi:nil="true"/>
    <lcf76f155ced4ddcb4097134ff3c332f xmlns="35ed0374-b151-4ae4-94a0-04f0fe2616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30c188d57bff83b15c41d2ed11280563">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3773d46740d6c013088732f666b53705"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2.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35ed0374-b151-4ae4-94a0-04f0fe261645"/>
    <ds:schemaRef ds:uri="bb9c4385-f00e-424a-8666-326e0b072e9d"/>
  </ds:schemaRefs>
</ds:datastoreItem>
</file>

<file path=customXml/itemProps3.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4.xml><?xml version="1.0" encoding="utf-8"?>
<ds:datastoreItem xmlns:ds="http://schemas.openxmlformats.org/officeDocument/2006/customXml" ds:itemID="{4C91F27C-1556-4A3F-8936-B93C9C8DF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793D00-62E4-45B7-8F16-2CBE9030AE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2669</Words>
  <Characters>16547</Characters>
  <Application>Microsoft Office Word</Application>
  <DocSecurity>0</DocSecurity>
  <Lines>137</Lines>
  <Paragraphs>38</Paragraphs>
  <ScaleCrop>false</ScaleCrop>
  <Company>FEMA</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104</cp:revision>
  <cp:lastPrinted>2014-02-10T22:56:00Z</cp:lastPrinted>
  <dcterms:created xsi:type="dcterms:W3CDTF">2022-11-02T13:51:00Z</dcterms:created>
  <dcterms:modified xsi:type="dcterms:W3CDTF">2024-05-23T13:15:00Z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0x0101009471D1F9F56563478D31D8EF70E6A94E</vt:lpwstr>
  </property>
  <property fmtid="{D5CDD505-2E9C-101B-9397-08002B2CF9AE}" pid="7" name="Document Type">
    <vt:lpwstr>ICR Forms &amp; Templates</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a2eef23d-2e95-4428-9a3c-2526d95b164a_ActionId">
    <vt:lpwstr>7d023c0b-3d0d-42bb-a7fa-174207722881</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2022-02-28T18:52:21Z</vt:lpwstr>
  </property>
  <property fmtid="{D5CDD505-2E9C-101B-9397-08002B2CF9AE}" pid="16" name="MSIP_Label_a2eef23d-2e95-4428-9a3c-2526d95b164a_SiteId">
    <vt:lpwstr>3ccde76c-946d-4a12-bb7a-fc9d0842354a</vt:lpwstr>
  </property>
  <property fmtid="{D5CDD505-2E9C-101B-9397-08002B2CF9AE}" pid="17" name="OCCApprovalLink">
    <vt:lpwstr>, </vt:lpwstr>
  </property>
  <property fmtid="{D5CDD505-2E9C-101B-9397-08002B2CF9AE}" pid="18" name="OCCRegulatoryApprovalLink">
    <vt:lpwstr>, </vt:lpwstr>
  </property>
  <property fmtid="{D5CDD505-2E9C-101B-9397-08002B2CF9AE}" pid="19" name="OCCRegulatoryResubmitLink">
    <vt:lpwstr>, </vt:lpwstr>
  </property>
  <property fmtid="{D5CDD505-2E9C-101B-9397-08002B2CF9AE}" pid="20" name="OCCResubmitLink">
    <vt:lpwstr>, </vt:lpwstr>
  </property>
  <property fmtid="{D5CDD505-2E9C-101B-9397-08002B2CF9AE}" pid="21" name="OCEApprovalLink">
    <vt:lpwstr>, </vt:lpwstr>
  </property>
  <property fmtid="{D5CDD505-2E9C-101B-9397-08002B2CF9AE}" pid="22" name="OCEResubmitLink">
    <vt:lpwstr>, </vt:lpwstr>
  </property>
  <property fmtid="{D5CDD505-2E9C-101B-9397-08002B2CF9AE}" pid="23" name="OCIOApprovalLink">
    <vt:lpwstr>, </vt:lpwstr>
  </property>
  <property fmtid="{D5CDD505-2E9C-101B-9397-08002B2CF9AE}" pid="24" name="OCIOResubmitLink">
    <vt:lpwstr>, </vt:lpwstr>
  </property>
  <property fmtid="{D5CDD505-2E9C-101B-9397-08002B2CF9AE}" pid="25" name="OCPOApprovalLink">
    <vt:lpwstr>, </vt:lpwstr>
  </property>
  <property fmtid="{D5CDD505-2E9C-101B-9397-08002B2CF9AE}" pid="26" name="OCPOResubmitLink">
    <vt:lpwstr>, </vt:lpwstr>
  </property>
  <property fmtid="{D5CDD505-2E9C-101B-9397-08002B2CF9AE}" pid="27" name="_dlc_DocId">
    <vt:lpwstr>5YJZXJV6V4SC-902-312</vt:lpwstr>
  </property>
  <property fmtid="{D5CDD505-2E9C-101B-9397-08002B2CF9AE}" pid="28" name="_dlc_DocIdItemGuid">
    <vt:lpwstr>3e86c814-91a3-41ee-b2a6-675f3a60a67c</vt:lpwstr>
  </property>
  <property fmtid="{D5CDD505-2E9C-101B-9397-08002B2CF9AE}" pid="29" name="_dlc_DocIdUrl">
    <vt:lpwstr>http://sptapp.dhs.gov/ESTT/CIO_PRA/_layouts/DocIdRedir.aspx?ID=5YJZXJV6V4SC-902-312, 5YJZXJV6V4SC-902-312</vt:lpwstr>
  </property>
  <property fmtid="{D5CDD505-2E9C-101B-9397-08002B2CF9AE}" pid="30" name="_ExtendedDescription">
    <vt:lpwstr/>
  </property>
</Properties>
</file>