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5E714A" w:rsidP="00F06866" w:rsidRDefault="00F06866" w14:paraId="29D185B0"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2455B">
        <w:rPr>
          <w:sz w:val="28"/>
        </w:rPr>
        <w:t>16</w:t>
      </w:r>
      <w:r w:rsidR="000E15CD">
        <w:rPr>
          <w:sz w:val="28"/>
        </w:rPr>
        <w:t>70</w:t>
      </w:r>
      <w:r>
        <w:rPr>
          <w:sz w:val="28"/>
        </w:rPr>
        <w:t>-</w:t>
      </w:r>
      <w:r w:rsidR="00E2455B">
        <w:rPr>
          <w:sz w:val="28"/>
        </w:rPr>
        <w:t>00</w:t>
      </w:r>
      <w:r w:rsidR="000E15CD">
        <w:rPr>
          <w:sz w:val="28"/>
        </w:rPr>
        <w:t>27</w:t>
      </w:r>
      <w:r>
        <w:rPr>
          <w:sz w:val="28"/>
        </w:rPr>
        <w:t>)</w:t>
      </w:r>
    </w:p>
    <w:p w:rsidR="005E714A" w:rsidRDefault="007655AF" w14:paraId="660269BB" w14:textId="77777777">
      <w:r>
        <w:rPr>
          <w:b/>
          <w:noProof/>
        </w:rPr>
        <mc:AlternateContent>
          <mc:Choice Requires="wps">
            <w:drawing>
              <wp:anchor distT="4294967295" distB="4294967295" distL="114300" distR="114300" simplePos="0" relativeHeight="251657728" behindDoc="0" locked="0" layoutInCell="0" allowOverlap="1" wp14:editId="59D1B2FC" wp14:anchorId="55EF566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5pt" from="0,0" to="468pt,0" w14:anchorId="2A072B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w:pict>
          </mc:Fallback>
        </mc:AlternateContent>
      </w:r>
      <w:r w:rsidRPr="00434E33" w:rsidR="005E714A">
        <w:rPr>
          <w:b/>
        </w:rPr>
        <w:t>TITLE OF INFORMATION COLLECTION:</w:t>
      </w:r>
      <w:r w:rsidR="005E714A">
        <w:t xml:space="preserve">  </w:t>
      </w:r>
    </w:p>
    <w:p w:rsidR="002B5674" w:rsidRDefault="00D01DC1" w14:paraId="059F1F00" w14:textId="4B07772E">
      <w:r>
        <w:t xml:space="preserve">Secure Tomorrow Series Participant Feedback </w:t>
      </w:r>
      <w:r w:rsidR="0083345D">
        <w:t>Questionnaire</w:t>
      </w:r>
    </w:p>
    <w:p w:rsidR="002B5674" w:rsidRDefault="002B5674" w14:paraId="44750456" w14:textId="77777777"/>
    <w:p w:rsidR="00C8488C" w:rsidP="008926F9" w:rsidRDefault="00F15956" w14:paraId="58344011" w14:textId="77777777">
      <w:pPr>
        <w:rPr>
          <w:b/>
        </w:rPr>
      </w:pPr>
      <w:r>
        <w:rPr>
          <w:b/>
        </w:rPr>
        <w:t>PURPOSE</w:t>
      </w:r>
      <w:r w:rsidRPr="009239AA">
        <w:rPr>
          <w:b/>
        </w:rPr>
        <w:t>:</w:t>
      </w:r>
      <w:r w:rsidRPr="009239AA" w:rsidR="00C14CC4">
        <w:rPr>
          <w:b/>
        </w:rPr>
        <w:t xml:space="preserve">  </w:t>
      </w:r>
    </w:p>
    <w:p w:rsidR="0083345D" w:rsidP="00D01DC1" w:rsidRDefault="00D01DC1" w14:paraId="09A66DCA" w14:textId="53468E4A">
      <w:pPr>
        <w:pStyle w:val="CommentText"/>
        <w:rPr>
          <w:bCs/>
          <w:sz w:val="24"/>
          <w:szCs w:val="24"/>
        </w:rPr>
      </w:pPr>
      <w:bookmarkStart w:name="_Hlk97033856" w:id="0"/>
      <w:r w:rsidRPr="00D01DC1">
        <w:rPr>
          <w:bCs/>
          <w:sz w:val="24"/>
          <w:szCs w:val="24"/>
        </w:rPr>
        <w:t xml:space="preserve">The Cybersecurity and Infrastructure Security Agency’s Secure Tomorrow Series is a strategic foresight capability that examines emerging and evolving risks that could significantly affect our nation’s critical infrastructure in the next 5 to 20 years. </w:t>
      </w:r>
      <w:bookmarkEnd w:id="0"/>
      <w:r w:rsidRPr="00D01DC1">
        <w:rPr>
          <w:bCs/>
          <w:sz w:val="24"/>
          <w:szCs w:val="24"/>
        </w:rPr>
        <w:t xml:space="preserve">Secure Tomorrow Series strives to build a more resilient and secure future by bringing together groups of subject matter experts, thought leaders, and other stakeholders from diverse backgrounds to think proactively about future risks. </w:t>
      </w:r>
      <w:r>
        <w:rPr>
          <w:bCs/>
          <w:sz w:val="24"/>
          <w:szCs w:val="24"/>
        </w:rPr>
        <w:t xml:space="preserve">Toward this end, the Secure Tomorrow Series team conducts </w:t>
      </w:r>
      <w:r w:rsidR="000F4B7D">
        <w:rPr>
          <w:bCs/>
          <w:sz w:val="24"/>
          <w:szCs w:val="24"/>
        </w:rPr>
        <w:t>several</w:t>
      </w:r>
      <w:r>
        <w:rPr>
          <w:bCs/>
          <w:sz w:val="24"/>
          <w:szCs w:val="24"/>
        </w:rPr>
        <w:t xml:space="preserve"> participant activities, including an annual </w:t>
      </w:r>
      <w:r w:rsidR="004D17EA">
        <w:rPr>
          <w:bCs/>
          <w:sz w:val="24"/>
          <w:szCs w:val="24"/>
        </w:rPr>
        <w:t>“</w:t>
      </w:r>
      <w:r>
        <w:rPr>
          <w:bCs/>
          <w:sz w:val="24"/>
          <w:szCs w:val="24"/>
        </w:rPr>
        <w:t>scenarios workshop</w:t>
      </w:r>
      <w:r w:rsidR="004D17EA">
        <w:rPr>
          <w:bCs/>
          <w:sz w:val="24"/>
          <w:szCs w:val="24"/>
        </w:rPr>
        <w:t>”</w:t>
      </w:r>
      <w:r>
        <w:rPr>
          <w:bCs/>
          <w:sz w:val="24"/>
          <w:szCs w:val="24"/>
        </w:rPr>
        <w:t xml:space="preserve"> that serves as the capstone activity for each Secure Tomorrow Series cycle</w:t>
      </w:r>
      <w:r w:rsidR="000F4B7D">
        <w:rPr>
          <w:bCs/>
          <w:sz w:val="24"/>
          <w:szCs w:val="24"/>
        </w:rPr>
        <w:t xml:space="preserve"> of performance</w:t>
      </w:r>
      <w:r w:rsidR="004D17EA">
        <w:rPr>
          <w:bCs/>
          <w:sz w:val="24"/>
          <w:szCs w:val="24"/>
        </w:rPr>
        <w:t>.</w:t>
      </w:r>
      <w:r>
        <w:rPr>
          <w:bCs/>
          <w:sz w:val="24"/>
          <w:szCs w:val="24"/>
        </w:rPr>
        <w:t xml:space="preserve"> </w:t>
      </w:r>
    </w:p>
    <w:p w:rsidR="0083345D" w:rsidP="00D01DC1" w:rsidRDefault="0083345D" w14:paraId="1E5446E4" w14:textId="77777777">
      <w:pPr>
        <w:pStyle w:val="CommentText"/>
        <w:rPr>
          <w:bCs/>
          <w:sz w:val="24"/>
          <w:szCs w:val="24"/>
        </w:rPr>
      </w:pPr>
    </w:p>
    <w:p w:rsidR="00D01DC1" w:rsidP="00D01DC1" w:rsidRDefault="000F4B7D" w14:paraId="06B66EDD" w14:textId="28351010">
      <w:pPr>
        <w:pStyle w:val="CommentText"/>
        <w:rPr>
          <w:bCs/>
          <w:sz w:val="24"/>
          <w:szCs w:val="24"/>
        </w:rPr>
      </w:pPr>
      <w:r>
        <w:rPr>
          <w:bCs/>
          <w:sz w:val="24"/>
          <w:szCs w:val="24"/>
        </w:rPr>
        <w:t xml:space="preserve">To ensure that </w:t>
      </w:r>
      <w:r w:rsidR="004D17EA">
        <w:rPr>
          <w:bCs/>
          <w:sz w:val="24"/>
          <w:szCs w:val="24"/>
        </w:rPr>
        <w:t>participant activities</w:t>
      </w:r>
      <w:r>
        <w:rPr>
          <w:bCs/>
          <w:sz w:val="24"/>
          <w:szCs w:val="24"/>
        </w:rPr>
        <w:t xml:space="preserve"> </w:t>
      </w:r>
      <w:r w:rsidR="004D17EA">
        <w:rPr>
          <w:bCs/>
          <w:sz w:val="24"/>
          <w:szCs w:val="24"/>
        </w:rPr>
        <w:t xml:space="preserve">are </w:t>
      </w:r>
      <w:r>
        <w:rPr>
          <w:bCs/>
          <w:sz w:val="24"/>
          <w:szCs w:val="24"/>
        </w:rPr>
        <w:t xml:space="preserve">effective, relevant, and timely, the Secure Tomorrow Series team would like to obtain feedback from participants using a brief, optional </w:t>
      </w:r>
      <w:r w:rsidR="0083345D">
        <w:rPr>
          <w:bCs/>
          <w:sz w:val="24"/>
          <w:szCs w:val="24"/>
        </w:rPr>
        <w:t>questionnaire</w:t>
      </w:r>
      <w:r>
        <w:rPr>
          <w:bCs/>
          <w:sz w:val="24"/>
          <w:szCs w:val="24"/>
        </w:rPr>
        <w:t xml:space="preserve">. </w:t>
      </w:r>
      <w:r w:rsidR="0083345D">
        <w:rPr>
          <w:bCs/>
          <w:sz w:val="24"/>
          <w:szCs w:val="24"/>
        </w:rPr>
        <w:t>The Secure Tomorrow Series Participant Feedback Questionnaire, previously referred to as the “Cybersecurity and Infrastructure Security Agency (CISA) Stakeholder Feedback Survey</w:t>
      </w:r>
      <w:r w:rsidR="009757FC">
        <w:rPr>
          <w:bCs/>
          <w:sz w:val="24"/>
          <w:szCs w:val="24"/>
        </w:rPr>
        <w:t>,</w:t>
      </w:r>
      <w:r w:rsidR="0083345D">
        <w:rPr>
          <w:bCs/>
          <w:sz w:val="24"/>
          <w:szCs w:val="24"/>
        </w:rPr>
        <w:t>” was previously approved under 1670-0027.</w:t>
      </w:r>
    </w:p>
    <w:p w:rsidR="000F4B7D" w:rsidP="00D01DC1" w:rsidRDefault="000F4B7D" w14:paraId="4B8EBAF2" w14:textId="3DA6BE11">
      <w:pPr>
        <w:pStyle w:val="CommentText"/>
        <w:rPr>
          <w:bCs/>
          <w:sz w:val="24"/>
          <w:szCs w:val="24"/>
        </w:rPr>
      </w:pPr>
    </w:p>
    <w:p w:rsidR="000F4B7D" w:rsidP="00D01DC1" w:rsidRDefault="000F4B7D" w14:paraId="40D65816" w14:textId="1B179310">
      <w:pPr>
        <w:pStyle w:val="CommentText"/>
        <w:rPr>
          <w:bCs/>
          <w:sz w:val="24"/>
          <w:szCs w:val="24"/>
        </w:rPr>
      </w:pPr>
      <w:r>
        <w:rPr>
          <w:bCs/>
          <w:sz w:val="24"/>
          <w:szCs w:val="24"/>
        </w:rPr>
        <w:t xml:space="preserve">The Secure Tomorrow Series team will conduct basic tabulation and qualitative analysis on the aggregate data and develop a summary briefing that will be provided to the National Risk Management Center managers and leadership </w:t>
      </w:r>
      <w:r w:rsidR="009422D6">
        <w:rPr>
          <w:bCs/>
          <w:sz w:val="24"/>
          <w:szCs w:val="24"/>
        </w:rPr>
        <w:t xml:space="preserve">to assist in finding opportunities for recognition or improvement. </w:t>
      </w:r>
    </w:p>
    <w:p w:rsidR="009422D6" w:rsidP="00D01DC1" w:rsidRDefault="009422D6" w14:paraId="7110031A" w14:textId="0E53F250">
      <w:pPr>
        <w:pStyle w:val="CommentText"/>
        <w:rPr>
          <w:bCs/>
          <w:sz w:val="24"/>
          <w:szCs w:val="24"/>
        </w:rPr>
      </w:pPr>
    </w:p>
    <w:p w:rsidR="009422D6" w:rsidP="00D01DC1" w:rsidRDefault="009422D6" w14:paraId="45838FE6" w14:textId="70BF99A9">
      <w:pPr>
        <w:pStyle w:val="CommentText"/>
        <w:rPr>
          <w:bCs/>
          <w:sz w:val="24"/>
          <w:szCs w:val="24"/>
        </w:rPr>
      </w:pPr>
      <w:r>
        <w:rPr>
          <w:bCs/>
          <w:sz w:val="24"/>
          <w:szCs w:val="24"/>
        </w:rPr>
        <w:t xml:space="preserve">The purpose of the Secure Tomorrow Series Participant Feedback </w:t>
      </w:r>
      <w:r w:rsidR="009757FC">
        <w:rPr>
          <w:bCs/>
          <w:sz w:val="24"/>
          <w:szCs w:val="24"/>
        </w:rPr>
        <w:t>Questionnaire</w:t>
      </w:r>
      <w:r>
        <w:rPr>
          <w:bCs/>
          <w:sz w:val="24"/>
          <w:szCs w:val="24"/>
        </w:rPr>
        <w:t xml:space="preserve"> is to gauge the level of satisfaction that participants have regarding the quality and effectiveness of </w:t>
      </w:r>
      <w:r w:rsidR="009757FC">
        <w:rPr>
          <w:bCs/>
          <w:sz w:val="24"/>
          <w:szCs w:val="24"/>
        </w:rPr>
        <w:t>Secure Tomorrow Series–hosted activities</w:t>
      </w:r>
      <w:r>
        <w:rPr>
          <w:bCs/>
          <w:sz w:val="24"/>
          <w:szCs w:val="24"/>
        </w:rPr>
        <w:t xml:space="preserve">. </w:t>
      </w:r>
      <w:r w:rsidR="00653701">
        <w:rPr>
          <w:bCs/>
          <w:sz w:val="24"/>
          <w:szCs w:val="24"/>
        </w:rPr>
        <w:t>The survey questionnaire will be emailed as a fillable PDF form to participants following completion of the activity.</w:t>
      </w:r>
    </w:p>
    <w:p w:rsidR="00C8488C" w:rsidP="00434E33" w:rsidRDefault="00C8488C" w14:paraId="4DB9517F" w14:textId="77777777">
      <w:pPr>
        <w:pStyle w:val="Header"/>
        <w:tabs>
          <w:tab w:val="clear" w:pos="4320"/>
          <w:tab w:val="clear" w:pos="8640"/>
        </w:tabs>
        <w:rPr>
          <w:b/>
        </w:rPr>
      </w:pPr>
    </w:p>
    <w:p w:rsidR="00E26329" w:rsidP="006F7E24" w:rsidRDefault="00434E33" w14:paraId="59784190" w14:textId="77777777">
      <w:pPr>
        <w:pStyle w:val="Header"/>
        <w:tabs>
          <w:tab w:val="clear" w:pos="4320"/>
          <w:tab w:val="clear" w:pos="8640"/>
        </w:tabs>
      </w:pPr>
      <w:r w:rsidRPr="00434E33">
        <w:rPr>
          <w:b/>
        </w:rPr>
        <w:t>DESCRIPTION OF RESPONDENTS</w:t>
      </w:r>
      <w:r>
        <w:t xml:space="preserve">: </w:t>
      </w:r>
    </w:p>
    <w:p w:rsidR="002B5674" w:rsidP="006F7E24" w:rsidRDefault="0083345D" w14:paraId="757815A3" w14:textId="6BCA74C5">
      <w:pPr>
        <w:pStyle w:val="Header"/>
        <w:tabs>
          <w:tab w:val="clear" w:pos="4320"/>
          <w:tab w:val="clear" w:pos="8640"/>
        </w:tabs>
      </w:pPr>
      <w:r w:rsidRPr="0083345D">
        <w:t xml:space="preserve">Respondents to this instrument </w:t>
      </w:r>
      <w:r>
        <w:t xml:space="preserve">will </w:t>
      </w:r>
      <w:r w:rsidR="004D17EA">
        <w:t>include industry, academic, nongovernmental organization, and other non-federal government stakeholders who attend Secure Tomorrow Series activities</w:t>
      </w:r>
      <w:r w:rsidR="00B23FBB">
        <w:t xml:space="preserve"> hosted by the National Risk Management Center</w:t>
      </w:r>
      <w:r w:rsidR="004D17EA">
        <w:t xml:space="preserve">. </w:t>
      </w:r>
      <w:r w:rsidR="00B23FBB">
        <w:t xml:space="preserve">All individuals participating in an activity will be voluntarily asked to complete the questionnaire upon completion of the activity. </w:t>
      </w:r>
    </w:p>
    <w:p w:rsidR="002B5674" w:rsidP="006F7E24" w:rsidRDefault="002B5674" w14:paraId="1AE316BD" w14:textId="77777777">
      <w:pPr>
        <w:pStyle w:val="Header"/>
        <w:tabs>
          <w:tab w:val="clear" w:pos="4320"/>
          <w:tab w:val="clear" w:pos="8640"/>
        </w:tabs>
        <w:rPr>
          <w:b/>
        </w:rPr>
      </w:pPr>
    </w:p>
    <w:p w:rsidRPr="00F06866" w:rsidR="00F06866" w:rsidRDefault="00F06866" w14:paraId="3D22877E" w14:textId="77777777">
      <w:pPr>
        <w:rPr>
          <w:b/>
        </w:rPr>
      </w:pPr>
      <w:r>
        <w:rPr>
          <w:b/>
        </w:rPr>
        <w:t>TYPE OF COLLECTION:</w:t>
      </w:r>
      <w:r w:rsidRPr="00F06866">
        <w:t xml:space="preserve"> (Check one)</w:t>
      </w:r>
    </w:p>
    <w:p w:rsidRPr="00434E33" w:rsidR="00441434" w:rsidP="0096108F" w:rsidRDefault="00441434" w14:paraId="70B4B5FA" w14:textId="77777777">
      <w:pPr>
        <w:pStyle w:val="BodyTextIndent"/>
        <w:tabs>
          <w:tab w:val="left" w:pos="360"/>
        </w:tabs>
        <w:ind w:left="0"/>
        <w:rPr>
          <w:bCs/>
          <w:sz w:val="16"/>
          <w:szCs w:val="16"/>
        </w:rPr>
      </w:pPr>
    </w:p>
    <w:p w:rsidRPr="00F06866" w:rsidR="00F06866" w:rsidP="0096108F" w:rsidRDefault="0096108F" w14:paraId="5FB6236A" w14:textId="7E08699B">
      <w:pPr>
        <w:pStyle w:val="BodyTextIndent"/>
        <w:tabs>
          <w:tab w:val="left" w:pos="360"/>
        </w:tabs>
        <w:ind w:left="0"/>
        <w:rPr>
          <w:bCs/>
          <w:sz w:val="24"/>
        </w:rPr>
      </w:pP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t>[</w:t>
      </w:r>
      <w:r w:rsidR="00B23FBB">
        <w:rPr>
          <w:bCs/>
          <w:sz w:val="24"/>
        </w:rPr>
        <w:t>X</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6979936A" w14:textId="77777777">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Pr="00F06866" w:rsidR="00F06866" w:rsidP="0096108F" w:rsidRDefault="00935ADA" w14:paraId="781937A6" w14:textId="77777777">
      <w:pPr>
        <w:pStyle w:val="BodyTextIndent"/>
        <w:tabs>
          <w:tab w:val="left" w:pos="360"/>
        </w:tabs>
        <w:ind w:left="0"/>
        <w:rPr>
          <w:bCs/>
          <w:sz w:val="24"/>
        </w:rPr>
      </w:pPr>
      <w:r>
        <w:rPr>
          <w:bCs/>
          <w:sz w:val="24"/>
        </w:rPr>
        <w:t>[</w:t>
      </w:r>
      <w:r w:rsidR="00294F2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r w:rsidR="00F06866">
        <w:rPr>
          <w:bCs/>
          <w:sz w:val="24"/>
          <w:u w:val="single"/>
        </w:rPr>
        <w:tab/>
      </w:r>
      <w:r w:rsidR="00F06866">
        <w:rPr>
          <w:bCs/>
          <w:sz w:val="24"/>
          <w:u w:val="single"/>
        </w:rPr>
        <w:tab/>
      </w:r>
    </w:p>
    <w:p w:rsidR="00434E33" w:rsidRDefault="00434E33" w14:paraId="7A78DBF4" w14:textId="77777777">
      <w:pPr>
        <w:pStyle w:val="Header"/>
        <w:tabs>
          <w:tab w:val="clear" w:pos="4320"/>
          <w:tab w:val="clear" w:pos="8640"/>
        </w:tabs>
      </w:pPr>
    </w:p>
    <w:p w:rsidR="00CA2650" w:rsidRDefault="00441434" w14:paraId="099B1B33" w14:textId="77777777">
      <w:pPr>
        <w:rPr>
          <w:b/>
        </w:rPr>
      </w:pPr>
      <w:r>
        <w:rPr>
          <w:b/>
        </w:rPr>
        <w:t>C</w:t>
      </w:r>
      <w:r w:rsidR="009C13B9">
        <w:rPr>
          <w:b/>
        </w:rPr>
        <w:t>ERTIFICATION:</w:t>
      </w:r>
    </w:p>
    <w:p w:rsidR="00441434" w:rsidRDefault="00441434" w14:paraId="1E6F3B3C" w14:textId="77777777">
      <w:pPr>
        <w:rPr>
          <w:sz w:val="16"/>
          <w:szCs w:val="16"/>
        </w:rPr>
      </w:pPr>
    </w:p>
    <w:p w:rsidRPr="009C13B9" w:rsidR="008101A5" w:rsidP="008101A5" w:rsidRDefault="008101A5" w14:paraId="2C40401E" w14:textId="77777777">
      <w:r>
        <w:t xml:space="preserve">I certify the following to be true: </w:t>
      </w:r>
    </w:p>
    <w:p w:rsidR="008101A5" w:rsidP="008101A5" w:rsidRDefault="008101A5" w14:paraId="37E89824" w14:textId="77777777">
      <w:pPr>
        <w:pStyle w:val="ListParagraph"/>
        <w:numPr>
          <w:ilvl w:val="0"/>
          <w:numId w:val="14"/>
        </w:numPr>
      </w:pPr>
      <w:r>
        <w:t>The collection is voluntary.</w:t>
      </w:r>
      <w:r w:rsidRPr="00C14CC4">
        <w:t xml:space="preserve"> </w:t>
      </w:r>
    </w:p>
    <w:p w:rsidR="008101A5" w:rsidP="008101A5" w:rsidRDefault="008101A5" w14:paraId="71215D5D"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2807B325" w14:textId="77777777">
      <w:pPr>
        <w:pStyle w:val="ListParagraph"/>
        <w:numPr>
          <w:ilvl w:val="0"/>
          <w:numId w:val="14"/>
        </w:numPr>
      </w:pPr>
      <w:r>
        <w:lastRenderedPageBreak/>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4A705DBE"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53C930E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68667A9D"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3E7AD1AC" w14:textId="77777777"/>
    <w:p w:rsidR="009C13B9" w:rsidP="009C13B9" w:rsidRDefault="009C13B9" w14:paraId="08CA77E6" w14:textId="77777777">
      <w:r>
        <w:t>Name:</w:t>
      </w:r>
      <w:r w:rsidR="008926F9">
        <w:t xml:space="preserve"> </w:t>
      </w:r>
    </w:p>
    <w:p w:rsidR="002B5674" w:rsidP="009C13B9" w:rsidRDefault="00976ADB" w14:paraId="5A665FCF" w14:textId="39008BE4">
      <w:r>
        <w:t>Leigh Blackburn and Erin Walsh</w:t>
      </w:r>
    </w:p>
    <w:p w:rsidR="002B5674" w:rsidP="009C13B9" w:rsidRDefault="002B5674" w14:paraId="24767D50" w14:textId="77777777"/>
    <w:p w:rsidR="002B5674" w:rsidP="009C13B9" w:rsidRDefault="002B5674" w14:paraId="70B23C3A" w14:textId="77777777"/>
    <w:p w:rsidR="007872F4" w:rsidP="009C13B9" w:rsidRDefault="007872F4" w14:paraId="00BD78EE" w14:textId="77777777"/>
    <w:p w:rsidR="009C13B9" w:rsidP="009C13B9" w:rsidRDefault="009C13B9" w14:paraId="7FD4FFAC" w14:textId="77777777">
      <w:r>
        <w:t>To assist review, please provide answers to the following question:</w:t>
      </w:r>
    </w:p>
    <w:p w:rsidR="009C13B9" w:rsidP="009C13B9" w:rsidRDefault="009C13B9" w14:paraId="2961790D" w14:textId="77777777">
      <w:pPr>
        <w:pStyle w:val="ListParagraph"/>
        <w:ind w:left="360"/>
      </w:pPr>
    </w:p>
    <w:p w:rsidRPr="00C86E91" w:rsidR="009C13B9" w:rsidP="00C86E91" w:rsidRDefault="00C86E91" w14:paraId="1B6DA7A4" w14:textId="77777777">
      <w:pPr>
        <w:rPr>
          <w:b/>
        </w:rPr>
      </w:pPr>
      <w:r w:rsidRPr="00C86E91">
        <w:rPr>
          <w:b/>
        </w:rPr>
        <w:t>Personally Identifiable Information:</w:t>
      </w:r>
    </w:p>
    <w:p w:rsidR="00C86E91" w:rsidP="00C86E91" w:rsidRDefault="009C13B9" w14:paraId="58C4EFBB" w14:textId="351BE3DF">
      <w:pPr>
        <w:pStyle w:val="ListParagraph"/>
        <w:numPr>
          <w:ilvl w:val="0"/>
          <w:numId w:val="18"/>
        </w:numPr>
      </w:pPr>
      <w:r>
        <w:t>Is</w:t>
      </w:r>
      <w:r w:rsidR="00237B48">
        <w:t xml:space="preserve"> personally identifiable information (PII) collected</w:t>
      </w:r>
      <w:r>
        <w:t xml:space="preserve">?  </w:t>
      </w:r>
      <w:r w:rsidR="009239AA">
        <w:t>[</w:t>
      </w:r>
      <w:r w:rsidR="007872F4">
        <w:t xml:space="preserve"> </w:t>
      </w:r>
      <w:r w:rsidR="00C33672">
        <w:t>] Yes  [</w:t>
      </w:r>
      <w:r w:rsidR="00976ADB">
        <w:t>X</w:t>
      </w:r>
      <w:r w:rsidR="009239AA">
        <w:t xml:space="preserve">]  No </w:t>
      </w:r>
    </w:p>
    <w:p w:rsidR="00C86E91" w:rsidP="00C86E91" w:rsidRDefault="009C13B9" w14:paraId="162DB8C5" w14:textId="0A01B1E4">
      <w:pPr>
        <w:pStyle w:val="ListParagraph"/>
        <w:numPr>
          <w:ilvl w:val="0"/>
          <w:numId w:val="18"/>
        </w:numPr>
      </w:pPr>
      <w:r>
        <w:t xml:space="preserve">If </w:t>
      </w:r>
      <w:r w:rsidR="007872F4">
        <w:t>y</w:t>
      </w:r>
      <w:r w:rsidR="009239AA">
        <w:t>es,</w:t>
      </w:r>
      <w:r>
        <w:t xml:space="preserve"> </w:t>
      </w:r>
      <w:r w:rsidR="009239AA">
        <w:t>is the information that will be collected included in records that are subject to the Privacy Act of 1974?   [</w:t>
      </w:r>
      <w:r w:rsidR="0046224E">
        <w:t xml:space="preserve"> </w:t>
      </w:r>
      <w:r w:rsidR="009239AA">
        <w:t>] Yes [</w:t>
      </w:r>
      <w:r w:rsidR="00976ADB">
        <w:t>X</w:t>
      </w:r>
      <w:r w:rsidR="009239AA">
        <w:t>] No</w:t>
      </w:r>
      <w:r w:rsidR="00C86E91">
        <w:t xml:space="preserve">   </w:t>
      </w:r>
    </w:p>
    <w:p w:rsidR="00C86E91" w:rsidP="00C86E91" w:rsidRDefault="00C86E91" w14:paraId="73161D41" w14:textId="7E121D10">
      <w:pPr>
        <w:pStyle w:val="ListParagraph"/>
        <w:numPr>
          <w:ilvl w:val="0"/>
          <w:numId w:val="18"/>
        </w:numPr>
      </w:pPr>
      <w:r>
        <w:t>If Applicable, has a System or Rec</w:t>
      </w:r>
      <w:r w:rsidR="006E11A6">
        <w:t xml:space="preserve">ords Notice been published?  [ </w:t>
      </w:r>
      <w:r w:rsidR="00C33672">
        <w:t>] Yes  [</w:t>
      </w:r>
      <w:r w:rsidR="00976ADB">
        <w:t>X</w:t>
      </w:r>
      <w:r>
        <w:t>] No</w:t>
      </w:r>
    </w:p>
    <w:p w:rsidR="008926F9" w:rsidP="00C86E91" w:rsidRDefault="008926F9" w14:paraId="326D2F97" w14:textId="77777777">
      <w:pPr>
        <w:pStyle w:val="ListParagraph"/>
        <w:ind w:left="0"/>
        <w:rPr>
          <w:b/>
        </w:rPr>
      </w:pPr>
    </w:p>
    <w:p w:rsidRPr="00C86E91" w:rsidR="00C86E91" w:rsidP="00C86E91" w:rsidRDefault="00CB1078" w14:paraId="21C779C4" w14:textId="77777777">
      <w:pPr>
        <w:pStyle w:val="ListParagraph"/>
        <w:ind w:left="0"/>
        <w:rPr>
          <w:b/>
        </w:rPr>
      </w:pPr>
      <w:r>
        <w:rPr>
          <w:b/>
        </w:rPr>
        <w:t>Gifts or Payments</w:t>
      </w:r>
      <w:r w:rsidR="00C86E91">
        <w:rPr>
          <w:b/>
        </w:rPr>
        <w:t>:</w:t>
      </w:r>
    </w:p>
    <w:p w:rsidR="00C86E91" w:rsidP="00C86E91" w:rsidRDefault="00C86E91" w14:paraId="7C9719BC" w14:textId="17F1F995">
      <w:r>
        <w:t>Is an incentive (e.g., money or reimbursement of expenses, token of appreciation) provided to participants?  [  ] Yes [</w:t>
      </w:r>
      <w:r w:rsidR="00976ADB">
        <w:t>X</w:t>
      </w:r>
      <w:r>
        <w:t xml:space="preserve">] No  </w:t>
      </w:r>
    </w:p>
    <w:p w:rsidR="004D6E14" w:rsidRDefault="004D6E14" w14:paraId="4BC330B7" w14:textId="77777777">
      <w:pPr>
        <w:rPr>
          <w:b/>
        </w:rPr>
      </w:pPr>
    </w:p>
    <w:p w:rsidR="005E714A" w:rsidP="00C86E91" w:rsidRDefault="005E714A" w14:paraId="1A30BA38" w14:textId="77777777">
      <w:pPr>
        <w:rPr>
          <w:i/>
        </w:rPr>
      </w:pPr>
      <w:r>
        <w:rPr>
          <w:b/>
        </w:rPr>
        <w:t>BURDEN HOUR</w:t>
      </w:r>
      <w:r w:rsidR="00441434">
        <w:rPr>
          <w:b/>
        </w:rPr>
        <w:t>S</w:t>
      </w:r>
      <w:r>
        <w:t xml:space="preserve"> </w:t>
      </w:r>
    </w:p>
    <w:p w:rsidRPr="006832D9" w:rsidR="006832D9" w:rsidP="00F3170F" w:rsidRDefault="006832D9" w14:paraId="5A64B2BC" w14:textId="77777777">
      <w:pPr>
        <w:keepNext/>
        <w:keepLines/>
        <w:rPr>
          <w:b/>
        </w:rPr>
      </w:pPr>
    </w:p>
    <w:tbl>
      <w:tblPr>
        <w:tblStyle w:val="TableGrid"/>
        <w:tblW w:w="11501" w:type="dxa"/>
        <w:tblInd w:w="-905" w:type="dxa"/>
        <w:tblLayout w:type="fixed"/>
        <w:tblLook w:val="01E0" w:firstRow="1" w:lastRow="1" w:firstColumn="1" w:lastColumn="1" w:noHBand="0" w:noVBand="0"/>
      </w:tblPr>
      <w:tblGrid>
        <w:gridCol w:w="2430"/>
        <w:gridCol w:w="1530"/>
        <w:gridCol w:w="1710"/>
        <w:gridCol w:w="1350"/>
        <w:gridCol w:w="1530"/>
        <w:gridCol w:w="1530"/>
        <w:gridCol w:w="1421"/>
      </w:tblGrid>
      <w:tr w:rsidR="0099064B" w:rsidTr="003974C6" w14:paraId="5F887E49" w14:textId="3CE15808">
        <w:trPr>
          <w:trHeight w:val="348"/>
        </w:trPr>
        <w:tc>
          <w:tcPr>
            <w:tcW w:w="2430" w:type="dxa"/>
          </w:tcPr>
          <w:p w:rsidRPr="00F6240A" w:rsidR="0099064B" w:rsidP="00C8488C" w:rsidRDefault="0099064B" w14:paraId="6429BF92" w14:textId="77777777">
            <w:pPr>
              <w:rPr>
                <w:b/>
              </w:rPr>
            </w:pPr>
            <w:r>
              <w:rPr>
                <w:b/>
              </w:rPr>
              <w:t xml:space="preserve">Category of Respondent </w:t>
            </w:r>
          </w:p>
        </w:tc>
        <w:tc>
          <w:tcPr>
            <w:tcW w:w="1530" w:type="dxa"/>
          </w:tcPr>
          <w:p w:rsidRPr="00F6240A" w:rsidR="0099064B" w:rsidP="00843796" w:rsidRDefault="0099064B" w14:paraId="30A725BF" w14:textId="77777777">
            <w:pPr>
              <w:rPr>
                <w:b/>
              </w:rPr>
            </w:pPr>
            <w:r w:rsidRPr="00F6240A">
              <w:rPr>
                <w:b/>
              </w:rPr>
              <w:t>N</w:t>
            </w:r>
            <w:r>
              <w:rPr>
                <w:b/>
              </w:rPr>
              <w:t>o.</w:t>
            </w:r>
            <w:r w:rsidRPr="00F6240A">
              <w:rPr>
                <w:b/>
              </w:rPr>
              <w:t xml:space="preserve"> of Respondents</w:t>
            </w:r>
          </w:p>
        </w:tc>
        <w:tc>
          <w:tcPr>
            <w:tcW w:w="1710" w:type="dxa"/>
          </w:tcPr>
          <w:p w:rsidRPr="00F6240A" w:rsidR="0099064B" w:rsidP="00843796" w:rsidRDefault="0099064B" w14:paraId="376D4081" w14:textId="5DE996C4">
            <w:pPr>
              <w:rPr>
                <w:b/>
              </w:rPr>
            </w:pPr>
            <w:r>
              <w:rPr>
                <w:b/>
              </w:rPr>
              <w:t>No. of Responses per Respondent</w:t>
            </w:r>
          </w:p>
        </w:tc>
        <w:tc>
          <w:tcPr>
            <w:tcW w:w="1350" w:type="dxa"/>
          </w:tcPr>
          <w:p w:rsidRPr="00F6240A" w:rsidR="0099064B" w:rsidP="00843796" w:rsidRDefault="0099064B" w14:paraId="7DC0ACF7" w14:textId="35C9B5C9">
            <w:pPr>
              <w:rPr>
                <w:b/>
              </w:rPr>
            </w:pPr>
            <w:r>
              <w:rPr>
                <w:b/>
              </w:rPr>
              <w:t>No. of Responses</w:t>
            </w:r>
          </w:p>
        </w:tc>
        <w:tc>
          <w:tcPr>
            <w:tcW w:w="1530" w:type="dxa"/>
          </w:tcPr>
          <w:p w:rsidRPr="00F6240A" w:rsidR="0099064B" w:rsidP="00843796" w:rsidRDefault="0099064B" w14:paraId="175FE4D5" w14:textId="55BAE3C4">
            <w:pPr>
              <w:rPr>
                <w:b/>
              </w:rPr>
            </w:pPr>
            <w:r w:rsidRPr="00F6240A">
              <w:rPr>
                <w:b/>
              </w:rPr>
              <w:t>Participation Time</w:t>
            </w:r>
          </w:p>
        </w:tc>
        <w:tc>
          <w:tcPr>
            <w:tcW w:w="1530" w:type="dxa"/>
          </w:tcPr>
          <w:p w:rsidRPr="00F6240A" w:rsidR="0099064B" w:rsidP="00843796" w:rsidRDefault="0099064B" w14:paraId="54DA8E0D" w14:textId="77777777">
            <w:pPr>
              <w:rPr>
                <w:b/>
              </w:rPr>
            </w:pPr>
            <w:r w:rsidRPr="00F6240A">
              <w:rPr>
                <w:b/>
              </w:rPr>
              <w:t>Burden</w:t>
            </w:r>
          </w:p>
        </w:tc>
        <w:tc>
          <w:tcPr>
            <w:tcW w:w="1421" w:type="dxa"/>
          </w:tcPr>
          <w:p w:rsidRPr="00F6240A" w:rsidR="0099064B" w:rsidP="00843796" w:rsidRDefault="0099064B" w14:paraId="2BFB0100" w14:textId="31A81D04">
            <w:pPr>
              <w:rPr>
                <w:b/>
              </w:rPr>
            </w:pPr>
            <w:r w:rsidRPr="00B02BB5">
              <w:rPr>
                <w:b/>
                <w:szCs w:val="22"/>
              </w:rPr>
              <w:t>Annual Burden Cost</w:t>
            </w:r>
            <w:r w:rsidR="00A45B87">
              <w:rPr>
                <w:rStyle w:val="FootnoteReference"/>
                <w:b/>
                <w:szCs w:val="22"/>
              </w:rPr>
              <w:footnoteReference w:id="1"/>
            </w:r>
          </w:p>
        </w:tc>
      </w:tr>
      <w:tr w:rsidR="0099064B" w:rsidTr="003974C6" w14:paraId="28ADA7B4" w14:textId="57622B86">
        <w:trPr>
          <w:trHeight w:val="348"/>
        </w:trPr>
        <w:tc>
          <w:tcPr>
            <w:tcW w:w="2430" w:type="dxa"/>
          </w:tcPr>
          <w:p w:rsidR="0099064B" w:rsidP="00843796" w:rsidRDefault="00976ADB" w14:paraId="12619023" w14:textId="5E7F9402">
            <w:r>
              <w:t>Secure Tomorrow Series Activity Participant</w:t>
            </w:r>
          </w:p>
        </w:tc>
        <w:tc>
          <w:tcPr>
            <w:tcW w:w="1530" w:type="dxa"/>
          </w:tcPr>
          <w:p w:rsidR="0099064B" w:rsidP="00843796" w:rsidRDefault="00976ADB" w14:paraId="43E34B7B" w14:textId="21DDDEF1">
            <w:r>
              <w:t>100</w:t>
            </w:r>
          </w:p>
        </w:tc>
        <w:tc>
          <w:tcPr>
            <w:tcW w:w="1710" w:type="dxa"/>
          </w:tcPr>
          <w:p w:rsidR="0099064B" w:rsidP="00843796" w:rsidRDefault="00976ADB" w14:paraId="27525C7B" w14:textId="2CAD11F4">
            <w:r>
              <w:t>1</w:t>
            </w:r>
          </w:p>
        </w:tc>
        <w:tc>
          <w:tcPr>
            <w:tcW w:w="1350" w:type="dxa"/>
          </w:tcPr>
          <w:p w:rsidR="0099064B" w:rsidP="00843796" w:rsidRDefault="003974C6" w14:paraId="3A04EF12" w14:textId="61091724">
            <w:r>
              <w:t>100</w:t>
            </w:r>
          </w:p>
        </w:tc>
        <w:tc>
          <w:tcPr>
            <w:tcW w:w="1530" w:type="dxa"/>
          </w:tcPr>
          <w:p w:rsidR="0099064B" w:rsidP="00843796" w:rsidRDefault="003974C6" w14:paraId="01D39371" w14:textId="30F3DD72">
            <w:r>
              <w:t xml:space="preserve">0.05 hours </w:t>
            </w:r>
            <w:r>
              <w:br/>
              <w:t>(3 minutes)</w:t>
            </w:r>
          </w:p>
        </w:tc>
        <w:tc>
          <w:tcPr>
            <w:tcW w:w="1530" w:type="dxa"/>
          </w:tcPr>
          <w:p w:rsidR="0099064B" w:rsidP="00843796" w:rsidRDefault="003974C6" w14:paraId="2CCBFCCA" w14:textId="61C085CD">
            <w:r>
              <w:t>5 hours/year</w:t>
            </w:r>
          </w:p>
        </w:tc>
        <w:tc>
          <w:tcPr>
            <w:tcW w:w="1421" w:type="dxa"/>
          </w:tcPr>
          <w:p w:rsidR="0099064B" w:rsidP="00576A3D" w:rsidRDefault="00576A3D" w14:paraId="6C2C9B4E" w14:textId="54A092C6">
            <w:pPr>
              <w:jc w:val="center"/>
            </w:pPr>
            <w:r>
              <w:t>$196.25</w:t>
            </w:r>
          </w:p>
        </w:tc>
      </w:tr>
      <w:tr w:rsidR="0099064B" w:rsidTr="003974C6" w14:paraId="1C667EE1" w14:textId="011A4C41">
        <w:trPr>
          <w:trHeight w:val="366"/>
        </w:trPr>
        <w:tc>
          <w:tcPr>
            <w:tcW w:w="2430" w:type="dxa"/>
          </w:tcPr>
          <w:p w:rsidRPr="00F6240A" w:rsidR="0099064B" w:rsidP="00843796" w:rsidRDefault="0099064B" w14:paraId="5A5705D4" w14:textId="77777777">
            <w:pPr>
              <w:rPr>
                <w:b/>
              </w:rPr>
            </w:pPr>
            <w:r>
              <w:rPr>
                <w:b/>
              </w:rPr>
              <w:t>Totals</w:t>
            </w:r>
          </w:p>
        </w:tc>
        <w:tc>
          <w:tcPr>
            <w:tcW w:w="1530" w:type="dxa"/>
          </w:tcPr>
          <w:p w:rsidRPr="00F6240A" w:rsidR="0099064B" w:rsidP="00843796" w:rsidRDefault="003974C6" w14:paraId="5787801D" w14:textId="6B3447FC">
            <w:pPr>
              <w:rPr>
                <w:b/>
              </w:rPr>
            </w:pPr>
            <w:r>
              <w:rPr>
                <w:b/>
              </w:rPr>
              <w:t>100</w:t>
            </w:r>
          </w:p>
        </w:tc>
        <w:tc>
          <w:tcPr>
            <w:tcW w:w="1710" w:type="dxa"/>
          </w:tcPr>
          <w:p w:rsidR="0099064B" w:rsidP="00843796" w:rsidRDefault="003974C6" w14:paraId="0E5FD9E4" w14:textId="4FBA6F0E">
            <w:r>
              <w:t>1</w:t>
            </w:r>
          </w:p>
        </w:tc>
        <w:tc>
          <w:tcPr>
            <w:tcW w:w="1350" w:type="dxa"/>
          </w:tcPr>
          <w:p w:rsidR="0099064B" w:rsidP="00843796" w:rsidRDefault="003974C6" w14:paraId="0CB23A5C" w14:textId="597F7F94">
            <w:r>
              <w:t>100</w:t>
            </w:r>
          </w:p>
        </w:tc>
        <w:tc>
          <w:tcPr>
            <w:tcW w:w="1530" w:type="dxa"/>
          </w:tcPr>
          <w:p w:rsidR="0099064B" w:rsidP="00843796" w:rsidRDefault="0099064B" w14:paraId="044ABA2C" w14:textId="276C9C3B"/>
        </w:tc>
        <w:tc>
          <w:tcPr>
            <w:tcW w:w="1530" w:type="dxa"/>
          </w:tcPr>
          <w:p w:rsidRPr="00F6240A" w:rsidR="0099064B" w:rsidP="00843796" w:rsidRDefault="003974C6" w14:paraId="41D4D119" w14:textId="325297EA">
            <w:pPr>
              <w:rPr>
                <w:b/>
              </w:rPr>
            </w:pPr>
            <w:r>
              <w:rPr>
                <w:b/>
              </w:rPr>
              <w:t>5 hours/year</w:t>
            </w:r>
          </w:p>
        </w:tc>
        <w:tc>
          <w:tcPr>
            <w:tcW w:w="1421" w:type="dxa"/>
          </w:tcPr>
          <w:p w:rsidRPr="00F6240A" w:rsidR="0099064B" w:rsidP="00576A3D" w:rsidRDefault="00576A3D" w14:paraId="68EBFAF4" w14:textId="3BF44307">
            <w:pPr>
              <w:jc w:val="center"/>
              <w:rPr>
                <w:b/>
              </w:rPr>
            </w:pPr>
            <w:r>
              <w:rPr>
                <w:b/>
              </w:rPr>
              <w:t>$196.25</w:t>
            </w:r>
          </w:p>
        </w:tc>
      </w:tr>
    </w:tbl>
    <w:p w:rsidR="00441434" w:rsidP="00F3170F" w:rsidRDefault="00441434" w14:paraId="5C6C0D72" w14:textId="77777777"/>
    <w:p w:rsidR="005E714A" w:rsidRDefault="001C39F7" w14:paraId="384CC626" w14:textId="197BD1D2">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bookmarkStart w:name="_Hlk97067199" w:id="1"/>
      <w:r w:rsidR="00C86E91">
        <w:t>The estimated annual cos</w:t>
      </w:r>
      <w:r w:rsidR="007872F4">
        <w:t xml:space="preserve">t to the Federal government is </w:t>
      </w:r>
      <w:r w:rsidRPr="00D038C5" w:rsidR="00D038C5">
        <w:rPr>
          <w:u w:val="single"/>
        </w:rPr>
        <w:t>$1,830.40</w:t>
      </w:r>
      <w:r w:rsidRPr="00D038C5" w:rsidR="00D038C5">
        <w:t>.</w:t>
      </w:r>
    </w:p>
    <w:p w:rsidR="00576A3D" w:rsidRDefault="00576A3D" w14:paraId="687DD93C" w14:textId="3F03B926">
      <w:pPr>
        <w:rPr>
          <w:u w:val="single"/>
        </w:rPr>
      </w:pPr>
    </w:p>
    <w:p w:rsidRPr="00576A3D" w:rsidR="00576A3D" w:rsidP="00576A3D" w:rsidRDefault="00576A3D" w14:paraId="12C02C7F" w14:textId="77E30939">
      <w:pPr>
        <w:rPr>
          <w:bCs/>
        </w:rPr>
      </w:pPr>
      <w:r w:rsidRPr="00576A3D">
        <w:rPr>
          <w:bCs/>
        </w:rPr>
        <w:t xml:space="preserve">It is estimated that </w:t>
      </w:r>
      <w:r w:rsidR="00362DD6">
        <w:rPr>
          <w:bCs/>
        </w:rPr>
        <w:t xml:space="preserve">the equivalent of </w:t>
      </w:r>
      <w:r w:rsidR="000D5A0C">
        <w:rPr>
          <w:bCs/>
        </w:rPr>
        <w:t>one</w:t>
      </w:r>
      <w:r w:rsidRPr="00576A3D">
        <w:rPr>
          <w:bCs/>
        </w:rPr>
        <w:t xml:space="preserve"> </w:t>
      </w:r>
      <w:r w:rsidR="000D5A0C">
        <w:rPr>
          <w:bCs/>
        </w:rPr>
        <w:t>staff member</w:t>
      </w:r>
      <w:r w:rsidRPr="00576A3D">
        <w:rPr>
          <w:bCs/>
        </w:rPr>
        <w:t xml:space="preserve"> at a GS level 1</w:t>
      </w:r>
      <w:r w:rsidR="00825233">
        <w:rPr>
          <w:bCs/>
        </w:rPr>
        <w:t>4</w:t>
      </w:r>
      <w:r w:rsidRPr="00576A3D">
        <w:rPr>
          <w:bCs/>
        </w:rPr>
        <w:t>, Step 1 will spending approximately 1% of their time (2080 annual working hours x 1% = 20</w:t>
      </w:r>
      <w:r w:rsidR="00825233">
        <w:rPr>
          <w:bCs/>
        </w:rPr>
        <w:t>.</w:t>
      </w:r>
      <w:r w:rsidRPr="00576A3D">
        <w:rPr>
          <w:bCs/>
        </w:rPr>
        <w:t xml:space="preserve">8 hours) annually to review, analyze, and assimilate </w:t>
      </w:r>
      <w:r w:rsidR="005F3EF5">
        <w:rPr>
          <w:bCs/>
        </w:rPr>
        <w:t>questionnaire</w:t>
      </w:r>
      <w:r w:rsidRPr="00576A3D">
        <w:rPr>
          <w:bCs/>
        </w:rPr>
        <w:t xml:space="preserve"> responses.</w:t>
      </w:r>
    </w:p>
    <w:p w:rsidRPr="00576A3D" w:rsidR="00576A3D" w:rsidP="00576A3D" w:rsidRDefault="00576A3D" w14:paraId="7177BC55" w14:textId="520E1973">
      <w:pPr>
        <w:rPr>
          <w:bCs/>
        </w:rPr>
      </w:pPr>
    </w:p>
    <w:p w:rsidRPr="00576A3D" w:rsidR="00576A3D" w:rsidP="00576A3D" w:rsidRDefault="00576A3D" w14:paraId="1980EB90" w14:textId="7BD2067D">
      <w:pPr>
        <w:rPr>
          <w:bCs/>
        </w:rPr>
      </w:pPr>
      <w:r w:rsidRPr="00576A3D">
        <w:rPr>
          <w:bCs/>
        </w:rPr>
        <w:lastRenderedPageBreak/>
        <w:t>Using the FY</w:t>
      </w:r>
      <w:r w:rsidR="00825233">
        <w:rPr>
          <w:bCs/>
        </w:rPr>
        <w:t>22</w:t>
      </w:r>
      <w:r w:rsidRPr="00576A3D">
        <w:rPr>
          <w:bCs/>
        </w:rPr>
        <w:t xml:space="preserve"> (Washington-Baltimore-</w:t>
      </w:r>
      <w:r w:rsidR="00825233">
        <w:rPr>
          <w:bCs/>
        </w:rPr>
        <w:t>Arlington</w:t>
      </w:r>
      <w:r w:rsidRPr="00576A3D">
        <w:rPr>
          <w:bCs/>
        </w:rPr>
        <w:t xml:space="preserve">) </w:t>
      </w:r>
      <w:hyperlink w:history="1" r:id="rId8">
        <w:r w:rsidRPr="00D038C5">
          <w:rPr>
            <w:rStyle w:val="Hyperlink"/>
            <w:bCs/>
          </w:rPr>
          <w:t>GS pay scale</w:t>
        </w:r>
      </w:hyperlink>
      <w:r w:rsidRPr="00576A3D">
        <w:rPr>
          <w:bCs/>
        </w:rPr>
        <w:t>, the fully-loaded wage rate for a GS1</w:t>
      </w:r>
      <w:r w:rsidR="00D038C5">
        <w:rPr>
          <w:bCs/>
        </w:rPr>
        <w:t>4</w:t>
      </w:r>
      <w:r w:rsidRPr="00576A3D">
        <w:rPr>
          <w:bCs/>
        </w:rPr>
        <w:t>, Step 1 is $88.</w:t>
      </w:r>
      <w:r w:rsidR="00D038C5">
        <w:rPr>
          <w:bCs/>
        </w:rPr>
        <w:t>00</w:t>
      </w:r>
      <w:r w:rsidR="00937FB3">
        <w:rPr>
          <w:bCs/>
        </w:rPr>
        <w:t>/hr</w:t>
      </w:r>
      <w:r w:rsidRPr="00576A3D">
        <w:rPr>
          <w:bCs/>
        </w:rPr>
        <w:t xml:space="preserve"> ($1</w:t>
      </w:r>
      <w:r w:rsidR="008E5D8D">
        <w:rPr>
          <w:bCs/>
        </w:rPr>
        <w:t>26</w:t>
      </w:r>
      <w:r w:rsidRPr="00576A3D">
        <w:rPr>
          <w:bCs/>
        </w:rPr>
        <w:t>,</w:t>
      </w:r>
      <w:r w:rsidR="008E5D8D">
        <w:rPr>
          <w:bCs/>
        </w:rPr>
        <w:t>233</w:t>
      </w:r>
      <w:r w:rsidRPr="00576A3D">
        <w:rPr>
          <w:bCs/>
        </w:rPr>
        <w:t xml:space="preserve"> annual salary/2080 </w:t>
      </w:r>
      <w:r w:rsidR="00D038C5">
        <w:rPr>
          <w:bCs/>
        </w:rPr>
        <w:t xml:space="preserve">hours </w:t>
      </w:r>
      <w:r w:rsidRPr="00576A3D">
        <w:rPr>
          <w:bCs/>
        </w:rPr>
        <w:t>= $6</w:t>
      </w:r>
      <w:r w:rsidR="008E5D8D">
        <w:rPr>
          <w:bCs/>
        </w:rPr>
        <w:t>0</w:t>
      </w:r>
      <w:r w:rsidRPr="00576A3D">
        <w:rPr>
          <w:bCs/>
        </w:rPr>
        <w:t>.</w:t>
      </w:r>
      <w:r w:rsidR="008E5D8D">
        <w:rPr>
          <w:bCs/>
        </w:rPr>
        <w:t>69</w:t>
      </w:r>
      <w:r w:rsidR="00D038C5">
        <w:rPr>
          <w:bCs/>
        </w:rPr>
        <w:t>/hr</w:t>
      </w:r>
      <w:r w:rsidRPr="00576A3D">
        <w:rPr>
          <w:bCs/>
        </w:rPr>
        <w:t xml:space="preserve"> base wage rate x 1.4</w:t>
      </w:r>
      <w:r w:rsidR="008E5D8D">
        <w:rPr>
          <w:bCs/>
        </w:rPr>
        <w:t>5</w:t>
      </w:r>
      <w:r w:rsidRPr="00576A3D">
        <w:rPr>
          <w:bCs/>
        </w:rPr>
        <w:t xml:space="preserve"> benefit multiplier = $</w:t>
      </w:r>
      <w:r w:rsidR="00D038C5">
        <w:rPr>
          <w:bCs/>
        </w:rPr>
        <w:t>88.00/hr</w:t>
      </w:r>
      <w:r w:rsidRPr="00576A3D">
        <w:rPr>
          <w:bCs/>
        </w:rPr>
        <w:t xml:space="preserve"> fully-loaded wage rate).</w:t>
      </w:r>
    </w:p>
    <w:p w:rsidRPr="00576A3D" w:rsidR="00576A3D" w:rsidP="00576A3D" w:rsidRDefault="00576A3D" w14:paraId="01D9AF56" w14:textId="77777777">
      <w:pPr>
        <w:rPr>
          <w:bCs/>
        </w:rPr>
      </w:pPr>
    </w:p>
    <w:p w:rsidRPr="00576A3D" w:rsidR="00576A3D" w:rsidP="00576A3D" w:rsidRDefault="00576A3D" w14:paraId="0CE2C54B" w14:textId="14638DDC">
      <w:pPr>
        <w:rPr>
          <w:bCs/>
        </w:rPr>
      </w:pPr>
      <w:r w:rsidRPr="00576A3D">
        <w:rPr>
          <w:bCs/>
        </w:rPr>
        <w:t>The annual government cost is estimated to be $1</w:t>
      </w:r>
      <w:r w:rsidR="00D038C5">
        <w:rPr>
          <w:bCs/>
        </w:rPr>
        <w:t>,830.40</w:t>
      </w:r>
      <w:r w:rsidRPr="00576A3D">
        <w:rPr>
          <w:bCs/>
        </w:rPr>
        <w:t xml:space="preserve"> (20</w:t>
      </w:r>
      <w:r w:rsidR="00D038C5">
        <w:rPr>
          <w:bCs/>
        </w:rPr>
        <w:t>.</w:t>
      </w:r>
      <w:r w:rsidRPr="00576A3D">
        <w:rPr>
          <w:bCs/>
        </w:rPr>
        <w:t>8 hours annually x $88.</w:t>
      </w:r>
      <w:r w:rsidR="00D038C5">
        <w:rPr>
          <w:bCs/>
        </w:rPr>
        <w:t>00</w:t>
      </w:r>
      <w:r w:rsidRPr="00576A3D">
        <w:rPr>
          <w:bCs/>
        </w:rPr>
        <w:t xml:space="preserve"> = $</w:t>
      </w:r>
      <w:r w:rsidR="00D038C5">
        <w:rPr>
          <w:bCs/>
        </w:rPr>
        <w:t>1,830.40</w:t>
      </w:r>
      <w:r w:rsidRPr="00576A3D">
        <w:rPr>
          <w:bCs/>
        </w:rPr>
        <w:t>).</w:t>
      </w:r>
    </w:p>
    <w:bookmarkEnd w:id="1"/>
    <w:p w:rsidR="00ED6492" w:rsidRDefault="00ED6492" w14:paraId="745A83AE" w14:textId="77777777">
      <w:pPr>
        <w:rPr>
          <w:b/>
          <w:bCs/>
          <w:u w:val="single"/>
        </w:rPr>
      </w:pPr>
    </w:p>
    <w:p w:rsidR="00894C78" w:rsidP="00F06866" w:rsidRDefault="00894C78" w14:paraId="6C9B02E7" w14:textId="61B17383">
      <w:pPr>
        <w:rPr>
          <w:b/>
          <w:bCs/>
          <w:u w:val="single"/>
        </w:rPr>
      </w:pPr>
      <w:r>
        <w:rPr>
          <w:b/>
          <w:bCs/>
          <w:u w:val="single"/>
        </w:rPr>
        <w:t xml:space="preserve">STATISTICAL </w:t>
      </w:r>
      <w:r w:rsidRPr="00894C78">
        <w:rPr>
          <w:b/>
          <w:bCs/>
          <w:u w:val="single"/>
        </w:rPr>
        <w:t>M</w:t>
      </w:r>
      <w:r>
        <w:rPr>
          <w:b/>
          <w:bCs/>
          <w:u w:val="single"/>
        </w:rPr>
        <w:t>ETHOD:</w:t>
      </w:r>
    </w:p>
    <w:p w:rsidR="00894C78" w:rsidP="00F06866" w:rsidRDefault="00894C78" w14:paraId="11CB465E" w14:textId="77777777">
      <w:pPr>
        <w:rPr>
          <w:b/>
          <w:bCs/>
          <w:u w:val="single"/>
        </w:rPr>
      </w:pPr>
    </w:p>
    <w:p w:rsidR="0069403B" w:rsidP="00F06866" w:rsidRDefault="00ED6492" w14:paraId="4F7AAF48" w14:textId="77777777">
      <w:pPr>
        <w:rPr>
          <w:b/>
        </w:rPr>
      </w:pPr>
      <w:r>
        <w:rPr>
          <w:b/>
          <w:bCs/>
          <w:u w:val="single"/>
        </w:rPr>
        <w:t xml:space="preserve">If you are conducting a focus group, survey, or plan to employ statistical methods, </w:t>
      </w:r>
      <w:r w:rsidR="007872F4">
        <w:rPr>
          <w:b/>
          <w:bCs/>
          <w:u w:val="single"/>
        </w:rPr>
        <w:t>please provide</w:t>
      </w:r>
      <w:r w:rsidR="0069403B">
        <w:rPr>
          <w:b/>
          <w:bCs/>
          <w:u w:val="single"/>
        </w:rPr>
        <w:t xml:space="preserve"> answers to the following questions:</w:t>
      </w:r>
    </w:p>
    <w:p w:rsidR="0069403B" w:rsidP="00F06866" w:rsidRDefault="0069403B" w14:paraId="30A34DC6" w14:textId="77777777">
      <w:pPr>
        <w:rPr>
          <w:b/>
        </w:rPr>
      </w:pPr>
    </w:p>
    <w:p w:rsidR="00F06866" w:rsidP="00F06866" w:rsidRDefault="00636621" w14:paraId="03EB7EFF" w14:textId="77777777">
      <w:pPr>
        <w:rPr>
          <w:b/>
        </w:rPr>
      </w:pPr>
      <w:r>
        <w:rPr>
          <w:b/>
        </w:rPr>
        <w:t>The</w:t>
      </w:r>
      <w:r w:rsidR="0069403B">
        <w:rPr>
          <w:b/>
        </w:rPr>
        <w:t xml:space="preserve"> select</w:t>
      </w:r>
      <w:r>
        <w:rPr>
          <w:b/>
        </w:rPr>
        <w:t>ion of your targeted respondents</w:t>
      </w:r>
    </w:p>
    <w:p w:rsidR="0069403B" w:rsidP="0069403B" w:rsidRDefault="0069403B" w14:paraId="7C73BCD9" w14:textId="321DB116">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3672">
        <w:t>[</w:t>
      </w:r>
      <w:r w:rsidR="00576A3D">
        <w:t>X</w:t>
      </w:r>
      <w:r>
        <w:t>] Yes</w:t>
      </w:r>
      <w:r>
        <w:tab/>
        <w:t>[</w:t>
      </w:r>
      <w:r w:rsidR="00853409">
        <w:t xml:space="preserve"> </w:t>
      </w:r>
      <w:r>
        <w:t>] No</w:t>
      </w:r>
    </w:p>
    <w:p w:rsidR="00636621" w:rsidP="00636621" w:rsidRDefault="00636621" w14:paraId="7F20C438" w14:textId="77777777">
      <w:pPr>
        <w:pStyle w:val="ListParagraph"/>
      </w:pPr>
    </w:p>
    <w:p w:rsidR="00636621" w:rsidP="001B0AAA" w:rsidRDefault="00636621" w14:paraId="27148E0F" w14:textId="77777777">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rsidRDefault="00A403BB" w14:paraId="5A9A96B6" w14:textId="77777777">
      <w:pPr>
        <w:pStyle w:val="ListParagraph"/>
      </w:pPr>
    </w:p>
    <w:p w:rsidRPr="00C33672" w:rsidR="00C33672" w:rsidP="00C33672" w:rsidRDefault="00C33672" w14:paraId="7794A5F8" w14:textId="77777777">
      <w:pPr>
        <w:rPr>
          <w:b/>
        </w:rPr>
      </w:pPr>
      <w:r w:rsidRPr="00C33672">
        <w:rPr>
          <w:b/>
        </w:rPr>
        <w:t>Recipients are determined by standard distribution lists</w:t>
      </w:r>
      <w:r>
        <w:rPr>
          <w:b/>
        </w:rPr>
        <w:t xml:space="preserve"> dependent upon product type</w:t>
      </w:r>
      <w:r w:rsidRPr="00C33672">
        <w:rPr>
          <w:b/>
        </w:rPr>
        <w:t xml:space="preserve">. </w:t>
      </w:r>
    </w:p>
    <w:p w:rsidR="00C33672" w:rsidP="00C33672" w:rsidRDefault="00C33672" w14:paraId="1CB023D7" w14:textId="77777777"/>
    <w:p w:rsidR="00A403BB" w:rsidP="00A403BB" w:rsidRDefault="007872F4" w14:paraId="2C5BB59D" w14:textId="77777777">
      <w:pPr>
        <w:rPr>
          <w:b/>
        </w:rPr>
      </w:pPr>
      <w:r>
        <w:rPr>
          <w:b/>
        </w:rPr>
        <w:t>A</w:t>
      </w:r>
      <w:r w:rsidR="00A403BB">
        <w:rPr>
          <w:b/>
        </w:rPr>
        <w:t>dministration of the Instrument</w:t>
      </w:r>
    </w:p>
    <w:p w:rsidR="00A403BB" w:rsidP="00A403BB" w:rsidRDefault="001B0AAA" w14:paraId="55531EF3" w14:textId="77777777">
      <w:pPr>
        <w:pStyle w:val="ListParagraph"/>
        <w:numPr>
          <w:ilvl w:val="0"/>
          <w:numId w:val="17"/>
        </w:numPr>
      </w:pPr>
      <w:r>
        <w:t>H</w:t>
      </w:r>
      <w:r w:rsidR="00A403BB">
        <w:t>ow will you collect the information? (Check all that apply)</w:t>
      </w:r>
    </w:p>
    <w:p w:rsidR="001B0AAA" w:rsidP="001B0AAA" w:rsidRDefault="00A403BB" w14:paraId="70D74517" w14:textId="10E99C65">
      <w:pPr>
        <w:ind w:left="720"/>
      </w:pPr>
      <w:r w:rsidRPr="00653701">
        <w:t xml:space="preserve">[ </w:t>
      </w:r>
      <w:r w:rsidRPr="00653701" w:rsidR="001B0AAA">
        <w:t xml:space="preserve"> </w:t>
      </w:r>
      <w:r w:rsidRPr="00653701">
        <w:t>] Web-based</w:t>
      </w:r>
      <w:r w:rsidRPr="00653701" w:rsidR="001B0AAA">
        <w:t xml:space="preserve"> or other forms of Social Media</w:t>
      </w:r>
      <w:r w:rsidR="001B0AAA">
        <w:t xml:space="preserve"> </w:t>
      </w:r>
    </w:p>
    <w:p w:rsidR="001B0AAA" w:rsidP="001B0AAA" w:rsidRDefault="00A403BB" w14:paraId="0D826404" w14:textId="77777777">
      <w:pPr>
        <w:ind w:left="720"/>
      </w:pPr>
      <w:r>
        <w:t xml:space="preserve">[ </w:t>
      </w:r>
      <w:r w:rsidR="001B0AAA">
        <w:t xml:space="preserve"> </w:t>
      </w:r>
      <w:r>
        <w:t>] Telephone</w:t>
      </w:r>
      <w:r>
        <w:tab/>
      </w:r>
    </w:p>
    <w:p w:rsidR="001B0AAA" w:rsidP="001B0AAA" w:rsidRDefault="00A403BB" w14:paraId="5E43AD37" w14:textId="0867CB29">
      <w:pPr>
        <w:ind w:left="720"/>
      </w:pPr>
      <w:r>
        <w:t>[</w:t>
      </w:r>
      <w:r w:rsidR="00653701">
        <w:t xml:space="preserve">  </w:t>
      </w:r>
      <w:r>
        <w:t>] In-person</w:t>
      </w:r>
      <w:r>
        <w:tab/>
      </w:r>
    </w:p>
    <w:p w:rsidR="001B0AAA" w:rsidP="001B0AAA" w:rsidRDefault="00A403BB" w14:paraId="655906EC" w14:textId="77777777">
      <w:pPr>
        <w:ind w:left="720"/>
      </w:pPr>
      <w:r>
        <w:t xml:space="preserve">[ </w:t>
      </w:r>
      <w:r w:rsidR="001B0AAA">
        <w:t xml:space="preserve"> </w:t>
      </w:r>
      <w:r>
        <w:t>] Mail</w:t>
      </w:r>
      <w:r w:rsidR="001B0AAA">
        <w:t xml:space="preserve"> </w:t>
      </w:r>
    </w:p>
    <w:p w:rsidR="001B0AAA" w:rsidP="001B0AAA" w:rsidRDefault="007872F4" w14:paraId="236B73D0" w14:textId="57C95385">
      <w:pPr>
        <w:ind w:left="720"/>
      </w:pPr>
      <w:r w:rsidRPr="00653701">
        <w:t>[</w:t>
      </w:r>
      <w:r w:rsidRPr="00653701" w:rsidR="00576A3D">
        <w:t xml:space="preserve"> X </w:t>
      </w:r>
      <w:r w:rsidRPr="00653701">
        <w:t>] Other (email response)</w:t>
      </w:r>
    </w:p>
    <w:p w:rsidR="00C33672" w:rsidP="001B0AAA" w:rsidRDefault="00077E83" w14:paraId="6C46B180" w14:textId="45781848">
      <w:pPr>
        <w:ind w:left="720"/>
      </w:pPr>
      <w:r>
        <w:t>An electronic f</w:t>
      </w:r>
      <w:r w:rsidR="00653701">
        <w:t>illable PDF form will be emailed to participants following completion of the Secure Tomorrow Series activity.</w:t>
      </w:r>
      <w:r w:rsidR="00CD4A54">
        <w:t xml:space="preserve"> </w:t>
      </w:r>
      <w:r w:rsidR="004716D8">
        <w:t>Completed questionnaire responses</w:t>
      </w:r>
      <w:r w:rsidRPr="00CD4A54" w:rsidR="00CD4A54">
        <w:t xml:space="preserve"> will be separated from e-mail addresses and saved in a manner that will not reveal information about the submitter.</w:t>
      </w:r>
    </w:p>
    <w:p w:rsidR="00653701" w:rsidP="001B0AAA" w:rsidRDefault="00653701" w14:paraId="1CEDE748" w14:textId="77777777">
      <w:pPr>
        <w:ind w:left="720"/>
      </w:pPr>
    </w:p>
    <w:p w:rsidR="00F24CFC" w:rsidP="00F24CFC" w:rsidRDefault="00F24CFC" w14:paraId="6F146B84" w14:textId="56C2AC26">
      <w:pPr>
        <w:pStyle w:val="ListParagraph"/>
        <w:numPr>
          <w:ilvl w:val="0"/>
          <w:numId w:val="17"/>
        </w:numPr>
      </w:pPr>
      <w:r>
        <w:t xml:space="preserve">Will interviewers or facilitators be used?  [ </w:t>
      </w:r>
      <w:r w:rsidR="00576A3D">
        <w:t>X</w:t>
      </w:r>
      <w:r>
        <w:t xml:space="preserve"> ] Yes</w:t>
      </w:r>
      <w:r w:rsidR="00576A3D">
        <w:t xml:space="preserve">, for </w:t>
      </w:r>
      <w:r w:rsidR="004716D8">
        <w:t xml:space="preserve">email </w:t>
      </w:r>
      <w:r w:rsidR="00576A3D">
        <w:t>distribution</w:t>
      </w:r>
      <w:r w:rsidR="004716D8">
        <w:t xml:space="preserve"> of questionnaire</w:t>
      </w:r>
      <w:r>
        <w:t xml:space="preserve"> [] No</w:t>
      </w:r>
    </w:p>
    <w:p w:rsidR="00F24CFC" w:rsidP="00F24CFC" w:rsidRDefault="00F24CFC" w14:paraId="7D6D9612" w14:textId="77777777">
      <w:pPr>
        <w:pStyle w:val="ListParagraph"/>
        <w:ind w:left="360"/>
      </w:pPr>
      <w:r>
        <w:t xml:space="preserve"> </w:t>
      </w:r>
    </w:p>
    <w:p w:rsidRPr="00F24CFC" w:rsidR="0024521E" w:rsidP="0024521E" w:rsidRDefault="00F24CFC" w14:paraId="702318C3" w14:textId="77777777">
      <w:pPr>
        <w:rPr>
          <w:b/>
        </w:rPr>
      </w:pPr>
      <w:r w:rsidRPr="00F24CFC">
        <w:rPr>
          <w:b/>
        </w:rPr>
        <w:t>Please make sure that all instruments, instructions, and scripts are submitted with the request.</w:t>
      </w:r>
    </w:p>
    <w:p w:rsidR="007872F4" w:rsidP="00F24CFC" w:rsidRDefault="007872F4" w14:paraId="0D79E428" w14:textId="77777777">
      <w:pPr>
        <w:pStyle w:val="Heading2"/>
        <w:tabs>
          <w:tab w:val="left" w:pos="900"/>
        </w:tabs>
        <w:ind w:right="-180"/>
        <w:rPr>
          <w:sz w:val="28"/>
        </w:rPr>
      </w:pPr>
    </w:p>
    <w:p w:rsidR="002B5674" w:rsidRDefault="002B5674" w14:paraId="18329AFD" w14:textId="77777777">
      <w:pPr>
        <w:rPr>
          <w:b/>
          <w:bCs/>
          <w:sz w:val="28"/>
        </w:rPr>
      </w:pPr>
      <w:r>
        <w:rPr>
          <w:sz w:val="28"/>
        </w:rPr>
        <w:br w:type="page"/>
      </w:r>
    </w:p>
    <w:p w:rsidR="00F24CFC" w:rsidP="00F24CFC" w:rsidRDefault="00F24CFC" w14:paraId="6870A82F" w14:textId="77777777">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rsidRDefault="00F24CFC" w14:paraId="44F10FD4" w14:textId="77777777">
      <w:pPr>
        <w:rPr>
          <w:b/>
        </w:rPr>
      </w:pPr>
    </w:p>
    <w:p w:rsidR="00F24CFC" w:rsidP="00F24CFC" w:rsidRDefault="007655AF" w14:paraId="6EF92269" w14:textId="77777777">
      <w:pPr>
        <w:rPr>
          <w:b/>
        </w:rPr>
      </w:pPr>
      <w:r>
        <w:rPr>
          <w:b/>
          <w:noProof/>
        </w:rPr>
        <mc:AlternateContent>
          <mc:Choice Requires="wps">
            <w:drawing>
              <wp:anchor distT="4294967295" distB="4294967295" distL="114300" distR="114300" simplePos="0" relativeHeight="251660288" behindDoc="0" locked="0" layoutInCell="0" allowOverlap="1" wp14:editId="2500A573" wp14:anchorId="5CCC4F07">
                <wp:simplePos x="0" y="0"/>
                <wp:positionH relativeFrom="column">
                  <wp:posOffset>0</wp:posOffset>
                </wp:positionH>
                <wp:positionV relativeFrom="paragraph">
                  <wp:posOffset>-1</wp:posOffset>
                </wp:positionV>
                <wp:extent cx="5943600" cy="0"/>
                <wp:effectExtent l="0" t="0" r="19050"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1.5pt" from="0,0" to="468pt,0" w14:anchorId="0AF92C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w:pict>
          </mc:Fallback>
        </mc:AlternateContent>
      </w:r>
    </w:p>
    <w:p w:rsidRPr="008F50D4" w:rsidR="00F24CFC" w:rsidP="00F24CFC" w:rsidRDefault="00F24CFC" w14:paraId="66AA13A6" w14:textId="77777777">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Pr="008F50D4" w:rsidR="00F24CFC" w:rsidP="00F24CFC" w:rsidRDefault="00F24CFC" w14:paraId="25C0AABD" w14:textId="77777777"/>
    <w:p w:rsidRPr="008F50D4" w:rsidR="00F24CFC" w:rsidP="00F24CFC" w:rsidRDefault="00F24CFC" w14:paraId="6B62C98F" w14:textId="77777777">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Pr="008F50D4" w:rsidR="00F24CFC" w:rsidP="00F24CFC" w:rsidRDefault="00F24CFC" w14:paraId="47DB55EE" w14:textId="77777777">
      <w:pPr>
        <w:pStyle w:val="Header"/>
        <w:tabs>
          <w:tab w:val="clear" w:pos="4320"/>
          <w:tab w:val="clear" w:pos="8640"/>
        </w:tabs>
        <w:rPr>
          <w:b/>
        </w:rPr>
      </w:pPr>
    </w:p>
    <w:p w:rsidRPr="008F50D4" w:rsidR="00F24CFC" w:rsidP="00F24CFC" w:rsidRDefault="00F24CFC" w14:paraId="447C635A" w14:textId="77777777">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Pr="008F50D4" w:rsidR="00F24CFC" w:rsidP="00F24CFC" w:rsidRDefault="00F24CFC" w14:paraId="72FC5001" w14:textId="77777777">
      <w:pPr>
        <w:rPr>
          <w:b/>
        </w:rPr>
      </w:pPr>
    </w:p>
    <w:p w:rsidRPr="008F50D4" w:rsidR="00F24CFC" w:rsidP="00F24CFC" w:rsidRDefault="00F24CFC" w14:paraId="54962E2C" w14:textId="77777777">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Pr="008F50D4" w:rsidR="00F24CFC" w:rsidP="00F24CFC" w:rsidRDefault="00F24CFC" w14:paraId="207638E9" w14:textId="77777777">
      <w:pPr>
        <w:pStyle w:val="BodyTextIndent"/>
        <w:tabs>
          <w:tab w:val="left" w:pos="360"/>
        </w:tabs>
        <w:ind w:left="0"/>
        <w:rPr>
          <w:bCs/>
          <w:sz w:val="24"/>
          <w:szCs w:val="24"/>
        </w:rPr>
      </w:pPr>
    </w:p>
    <w:p w:rsidRPr="008F50D4" w:rsidR="00F24CFC" w:rsidP="00F24CFC" w:rsidRDefault="00F24CFC" w14:paraId="7271FDD6" w14:textId="77777777">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rsidRDefault="00F24CFC" w14:paraId="1A23E79E" w14:textId="77777777">
      <w:pPr>
        <w:rPr>
          <w:sz w:val="16"/>
          <w:szCs w:val="16"/>
        </w:rPr>
      </w:pPr>
    </w:p>
    <w:p w:rsidR="00F24CFC" w:rsidP="00F24CFC" w:rsidRDefault="00F24CFC" w14:paraId="6E794906" w14:textId="77777777">
      <w:r w:rsidRPr="00C86E91">
        <w:rPr>
          <w:b/>
        </w:rPr>
        <w:t>Personally Identifiable Information:</w:t>
      </w:r>
      <w:r w:rsidR="008F50D4">
        <w:rPr>
          <w:b/>
        </w:rPr>
        <w:t xml:space="preserve">  </w:t>
      </w:r>
      <w:r w:rsidR="008F50D4">
        <w:t xml:space="preserve">Provide answers to the questions.  </w:t>
      </w:r>
    </w:p>
    <w:p w:rsidRPr="008F50D4" w:rsidR="008F50D4" w:rsidP="00F24CFC" w:rsidRDefault="008F50D4" w14:paraId="3DF366F6" w14:textId="77777777"/>
    <w:p w:rsidRPr="008F50D4" w:rsidR="00F24CFC" w:rsidP="008F50D4" w:rsidRDefault="00CB1078" w14:paraId="3DC1C7E7" w14:textId="77777777">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Pr="008F50D4" w:rsidR="008F50D4">
        <w:t xml:space="preserve">please </w:t>
      </w:r>
      <w:r w:rsidRPr="008F50D4" w:rsidR="00F24CFC">
        <w:t>describe</w:t>
      </w:r>
      <w:r w:rsidR="008F50D4">
        <w:t xml:space="preserve"> the incentive</w:t>
      </w:r>
      <w:r w:rsidRPr="008F50D4" w:rsidR="00F24CFC">
        <w:t xml:space="preserve"> and provide a justification for the amount.</w:t>
      </w:r>
    </w:p>
    <w:p w:rsidR="00F24CFC" w:rsidP="00F24CFC" w:rsidRDefault="00F24CFC" w14:paraId="4E1ECF45" w14:textId="77777777">
      <w:pPr>
        <w:rPr>
          <w:b/>
        </w:rPr>
      </w:pPr>
    </w:p>
    <w:p w:rsidR="008F50D4" w:rsidP="00F24CFC" w:rsidRDefault="00F24CFC" w14:paraId="0F02688E" w14:textId="77777777">
      <w:pPr>
        <w:rPr>
          <w:b/>
        </w:rPr>
      </w:pPr>
      <w:r>
        <w:rPr>
          <w:b/>
        </w:rPr>
        <w:t>BURDEN HOURS</w:t>
      </w:r>
      <w:r w:rsidR="008F50D4">
        <w:rPr>
          <w:b/>
        </w:rPr>
        <w:t>:</w:t>
      </w:r>
    </w:p>
    <w:p w:rsidR="008F50D4" w:rsidP="00F24CFC" w:rsidRDefault="008F50D4" w14:paraId="6A71C4EF" w14:textId="77777777">
      <w:r>
        <w:rPr>
          <w:b/>
        </w:rPr>
        <w:t xml:space="preserve">Category of Respondents:  </w:t>
      </w:r>
      <w:r>
        <w:t>Identify who you expect the respondents to be in terms of the following categories: (1) Individuals or Households;</w:t>
      </w:r>
      <w:r w:rsidR="00C33672">
        <w:t xml:space="preserve"> </w:t>
      </w:r>
      <w:r>
        <w:t xml:space="preserve">(2) Private Sector; (3) State, local, or tribal governments; or (4) Federal Government.  Only one type of respondent can be selected. </w:t>
      </w:r>
    </w:p>
    <w:p w:rsidR="008F50D4" w:rsidP="00F24CFC" w:rsidRDefault="008F50D4" w14:paraId="299CEB41" w14:textId="77777777">
      <w:r w:rsidRPr="008F50D4">
        <w:rPr>
          <w:b/>
        </w:rPr>
        <w:t>No</w:t>
      </w:r>
      <w:r>
        <w:rPr>
          <w:b/>
        </w:rPr>
        <w:t>.</w:t>
      </w:r>
      <w:r w:rsidRPr="008F50D4">
        <w:rPr>
          <w:b/>
        </w:rPr>
        <w:t xml:space="preserve"> of Respondents:</w:t>
      </w:r>
      <w:r>
        <w:t xml:space="preserve">  Provide an estimate of the Number of respondents.</w:t>
      </w:r>
    </w:p>
    <w:p w:rsidR="008F50D4" w:rsidP="00F24CFC" w:rsidRDefault="008F50D4" w14:paraId="03F9DBB5" w14:textId="77777777">
      <w:r>
        <w:rPr>
          <w:b/>
        </w:rPr>
        <w:t xml:space="preserve">Participation Time:  </w:t>
      </w:r>
      <w:r>
        <w:t>Provide an estimate of the amount of time required for a respondent to participate (e.g. fill out a survey or participate in a focus group)</w:t>
      </w:r>
    </w:p>
    <w:p w:rsidRPr="008F50D4" w:rsidR="00F24CFC" w:rsidP="00F24CFC" w:rsidRDefault="008F50D4" w14:paraId="236E5FFC" w14:textId="77777777">
      <w:r w:rsidRPr="008F50D4">
        <w:rPr>
          <w:b/>
        </w:rPr>
        <w:t>Burden:</w:t>
      </w:r>
      <w:r>
        <w:t xml:space="preserve">  Provide the </w:t>
      </w:r>
      <w:r w:rsidRPr="008F50D4" w:rsidR="00F24CFC">
        <w:t>Annual burden hours:  Multiply the Number of responses and the participation time and</w:t>
      </w:r>
      <w:r>
        <w:t xml:space="preserve"> </w:t>
      </w:r>
      <w:r w:rsidR="003F1C5B">
        <w:t>divide by 60.</w:t>
      </w:r>
    </w:p>
    <w:p w:rsidRPr="006832D9" w:rsidR="00F24CFC" w:rsidP="00F24CFC" w:rsidRDefault="00F24CFC" w14:paraId="5C6506FC" w14:textId="77777777">
      <w:pPr>
        <w:keepNext/>
        <w:keepLines/>
        <w:rPr>
          <w:b/>
        </w:rPr>
      </w:pPr>
    </w:p>
    <w:p w:rsidR="00F24CFC" w:rsidP="00F24CFC" w:rsidRDefault="00F24CFC" w14:paraId="2AC9D37B" w14:textId="77777777">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rsidRDefault="00F24CFC" w14:paraId="1BC2D8AC" w14:textId="77777777">
      <w:pPr>
        <w:rPr>
          <w:b/>
          <w:bCs/>
          <w:u w:val="single"/>
        </w:rPr>
      </w:pPr>
    </w:p>
    <w:p w:rsidR="00F24CFC" w:rsidP="00F24CFC" w:rsidRDefault="00F24CFC" w14:paraId="1CFF00CC" w14:textId="77777777">
      <w:pPr>
        <w:rPr>
          <w:b/>
        </w:rPr>
      </w:pPr>
      <w:r>
        <w:rPr>
          <w:b/>
          <w:bCs/>
          <w:u w:val="single"/>
        </w:rPr>
        <w:t>If you are conducting a focus group, survey, or plan to employ statistical methods, please  provide answers to the following questions:</w:t>
      </w:r>
    </w:p>
    <w:p w:rsidR="00F24CFC" w:rsidP="00F24CFC" w:rsidRDefault="00F24CFC" w14:paraId="7DCE626E" w14:textId="77777777">
      <w:pPr>
        <w:rPr>
          <w:b/>
        </w:rPr>
      </w:pPr>
    </w:p>
    <w:p w:rsidR="00F24CFC" w:rsidP="00F24CFC" w:rsidRDefault="00F24CFC" w14:paraId="71A30B5F" w14:textId="77777777">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rsidRDefault="00F24CFC" w14:paraId="16F82DA1" w14:textId="77777777">
      <w:pPr>
        <w:rPr>
          <w:b/>
        </w:rPr>
      </w:pPr>
    </w:p>
    <w:p w:rsidRPr="003F1C5B" w:rsidR="00F24CFC" w:rsidP="00F24CFC" w:rsidRDefault="00F24CFC" w14:paraId="49FB458A" w14:textId="77777777">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rsidRDefault="00F24CFC" w14:paraId="47A7A6FC" w14:textId="77777777">
      <w:pPr>
        <w:pStyle w:val="ListParagraph"/>
        <w:ind w:left="360"/>
      </w:pPr>
    </w:p>
    <w:p w:rsidRPr="00F24CFC" w:rsidR="00F24CFC" w:rsidP="00F24CFC" w:rsidRDefault="00F24CFC" w14:paraId="05BDE1F3" w14:textId="77777777">
      <w:pPr>
        <w:rPr>
          <w:b/>
        </w:rPr>
      </w:pPr>
      <w:r w:rsidRPr="00F24CFC">
        <w:rPr>
          <w:b/>
        </w:rPr>
        <w:t>Please make sure that all instruments, instructions, and scripts are submitted with the request.</w:t>
      </w:r>
    </w:p>
    <w:p w:rsidR="005E714A" w:rsidP="00F24CFC" w:rsidRDefault="005E714A" w14:paraId="6091D6EE" w14:textId="77777777">
      <w:pPr>
        <w:tabs>
          <w:tab w:val="left" w:pos="5670"/>
        </w:tabs>
        <w:suppressAutoHyphens/>
      </w:pPr>
    </w:p>
    <w:sectPr w:rsidR="005E714A"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32A66" w14:textId="77777777" w:rsidR="001C0A6F" w:rsidRDefault="001C0A6F">
      <w:r>
        <w:separator/>
      </w:r>
    </w:p>
  </w:endnote>
  <w:endnote w:type="continuationSeparator" w:id="0">
    <w:p w14:paraId="5549F11E" w14:textId="77777777" w:rsidR="001C0A6F" w:rsidRDefault="001C0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A54EE0" w14:textId="77777777" w:rsidR="008F50D4" w:rsidRDefault="0053096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52DD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BD7187" w14:textId="77777777" w:rsidR="001C0A6F" w:rsidRDefault="001C0A6F">
      <w:r>
        <w:separator/>
      </w:r>
    </w:p>
  </w:footnote>
  <w:footnote w:type="continuationSeparator" w:id="0">
    <w:p w14:paraId="72A7853B" w14:textId="77777777" w:rsidR="001C0A6F" w:rsidRDefault="001C0A6F">
      <w:r>
        <w:continuationSeparator/>
      </w:r>
    </w:p>
  </w:footnote>
  <w:footnote w:id="1">
    <w:p w14:paraId="196DE73D" w14:textId="32080553" w:rsidR="00A45B87" w:rsidRDefault="00A45B87">
      <w:pPr>
        <w:pStyle w:val="FootnoteText"/>
      </w:pPr>
      <w:r>
        <w:rPr>
          <w:rStyle w:val="FootnoteReference"/>
        </w:rPr>
        <w:footnoteRef/>
      </w:r>
      <w:r>
        <w:t xml:space="preserve"> </w:t>
      </w:r>
      <w:r w:rsidRPr="00A45B87">
        <w:t xml:space="preserve">The above Average Hourly Wage Rate is the </w:t>
      </w:r>
      <w:hyperlink r:id="rId1" w:anchor="00-0000" w:history="1">
        <w:r w:rsidRPr="00576A3D">
          <w:rPr>
            <w:rStyle w:val="Hyperlink"/>
          </w:rPr>
          <w:t>May 2020 U.S. Bureau of Labor Statistics</w:t>
        </w:r>
      </w:hyperlink>
      <w:r w:rsidRPr="00A45B87">
        <w:t xml:space="preserve"> average wage for “All Occupations” of $27.07 </w:t>
      </w:r>
      <w:r w:rsidR="00576A3D">
        <w:t xml:space="preserve">per hour </w:t>
      </w:r>
      <w:r w:rsidRPr="00A45B87">
        <w:t>times the wage rate benefit multiplier of 1.4</w:t>
      </w:r>
      <w:r w:rsidR="00576A3D">
        <w:t>5</w:t>
      </w:r>
      <w:r w:rsidRPr="00A45B87">
        <w:t xml:space="preserve"> (to account for fringe benefits) equaling $3</w:t>
      </w:r>
      <w:r w:rsidR="00576A3D">
        <w:t>9</w:t>
      </w:r>
      <w:r w:rsidRPr="00A45B87">
        <w:t>.</w:t>
      </w:r>
      <w:r w:rsidR="00576A3D">
        <w:t>25 per hour</w:t>
      </w:r>
      <w:r w:rsidRPr="00A45B87">
        <w:t>. The selection of “All Occupations” was chosen as the expected respondents for this collection could be expected to be from any occupation. The benefits multiplier is estimated by dividing total compensation of $3</w:t>
      </w:r>
      <w:r w:rsidR="00576A3D">
        <w:t>9</w:t>
      </w:r>
      <w:r w:rsidRPr="00A45B87">
        <w:t>.</w:t>
      </w:r>
      <w:r w:rsidR="00576A3D">
        <w:t>55</w:t>
      </w:r>
      <w:r w:rsidRPr="00A45B87">
        <w:t xml:space="preserve"> by salaries and wages of $</w:t>
      </w:r>
      <w:r w:rsidR="00576A3D">
        <w:t>27</w:t>
      </w:r>
      <w:r w:rsidRPr="00A45B87">
        <w:t>.</w:t>
      </w:r>
      <w:r w:rsidR="00576A3D">
        <w:t>35</w:t>
      </w:r>
      <w:r w:rsidRPr="00A45B87">
        <w:t>, based on Employer Cost for Employee Compensation, June 2020 data, released September 202</w:t>
      </w:r>
      <w:r w:rsidR="00576A3D">
        <w:t>1</w:t>
      </w:r>
      <w:r w:rsidRPr="00A45B87">
        <w:t xml:space="preserve">. </w:t>
      </w:r>
      <w:hyperlink r:id="rId2" w:history="1">
        <w:r w:rsidR="00576A3D" w:rsidRPr="00576A3D">
          <w:rPr>
            <w:rStyle w:val="Hyperlink"/>
          </w:rPr>
          <w:t>https://www.bls.gov/news.release/ecec.t01.htm</w:t>
        </w:r>
      </w:hyperlink>
      <w:r w:rsidRPr="00A45B8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2EB359" w14:textId="77777777" w:rsidR="00BA2105" w:rsidRDefault="00BA21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D2B6B51"/>
    <w:multiLevelType w:val="hybridMultilevel"/>
    <w:tmpl w:val="3CDC2686"/>
    <w:lvl w:ilvl="0" w:tplc="9362A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431EF"/>
    <w:multiLevelType w:val="hybridMultilevel"/>
    <w:tmpl w:val="CDE2DC6A"/>
    <w:lvl w:ilvl="0" w:tplc="5658C4F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23A57"/>
    <w:rsid w:val="00034069"/>
    <w:rsid w:val="000424DB"/>
    <w:rsid w:val="00047A64"/>
    <w:rsid w:val="00067329"/>
    <w:rsid w:val="00077E83"/>
    <w:rsid w:val="000B2838"/>
    <w:rsid w:val="000C69C4"/>
    <w:rsid w:val="000D44CA"/>
    <w:rsid w:val="000D5A0C"/>
    <w:rsid w:val="000E15CD"/>
    <w:rsid w:val="000E200B"/>
    <w:rsid w:val="000F4B7D"/>
    <w:rsid w:val="000F68BE"/>
    <w:rsid w:val="0012133A"/>
    <w:rsid w:val="00186546"/>
    <w:rsid w:val="001927A4"/>
    <w:rsid w:val="00194AC6"/>
    <w:rsid w:val="00195A66"/>
    <w:rsid w:val="001A23B0"/>
    <w:rsid w:val="001A25CC"/>
    <w:rsid w:val="001B0AAA"/>
    <w:rsid w:val="001C07AB"/>
    <w:rsid w:val="001C0A6F"/>
    <w:rsid w:val="001C39F7"/>
    <w:rsid w:val="00230875"/>
    <w:rsid w:val="00237B48"/>
    <w:rsid w:val="0024521E"/>
    <w:rsid w:val="00263C3D"/>
    <w:rsid w:val="00274D0B"/>
    <w:rsid w:val="00294F2D"/>
    <w:rsid w:val="002B3C95"/>
    <w:rsid w:val="002B5674"/>
    <w:rsid w:val="002D0B92"/>
    <w:rsid w:val="002F57A7"/>
    <w:rsid w:val="00362DD6"/>
    <w:rsid w:val="00371E91"/>
    <w:rsid w:val="003974C6"/>
    <w:rsid w:val="003A3F46"/>
    <w:rsid w:val="003A74E1"/>
    <w:rsid w:val="003D5BBE"/>
    <w:rsid w:val="003E068E"/>
    <w:rsid w:val="003E3C61"/>
    <w:rsid w:val="003E4163"/>
    <w:rsid w:val="003F1C5B"/>
    <w:rsid w:val="00434E33"/>
    <w:rsid w:val="00441434"/>
    <w:rsid w:val="0045264C"/>
    <w:rsid w:val="00452DD4"/>
    <w:rsid w:val="004559A8"/>
    <w:rsid w:val="0046224E"/>
    <w:rsid w:val="004716D8"/>
    <w:rsid w:val="00485213"/>
    <w:rsid w:val="004876EC"/>
    <w:rsid w:val="004D17EA"/>
    <w:rsid w:val="004D6E14"/>
    <w:rsid w:val="005009B0"/>
    <w:rsid w:val="0053096D"/>
    <w:rsid w:val="00576A3D"/>
    <w:rsid w:val="00585CCC"/>
    <w:rsid w:val="005A1006"/>
    <w:rsid w:val="005C4310"/>
    <w:rsid w:val="005E714A"/>
    <w:rsid w:val="005F3EF5"/>
    <w:rsid w:val="006140A0"/>
    <w:rsid w:val="006147DB"/>
    <w:rsid w:val="00636621"/>
    <w:rsid w:val="00642B49"/>
    <w:rsid w:val="00653701"/>
    <w:rsid w:val="00677EBE"/>
    <w:rsid w:val="006832D9"/>
    <w:rsid w:val="0069403B"/>
    <w:rsid w:val="006C7A11"/>
    <w:rsid w:val="006D7997"/>
    <w:rsid w:val="006E11A6"/>
    <w:rsid w:val="006F3DDE"/>
    <w:rsid w:val="006F7E24"/>
    <w:rsid w:val="00704678"/>
    <w:rsid w:val="00723B62"/>
    <w:rsid w:val="007425E7"/>
    <w:rsid w:val="007636CB"/>
    <w:rsid w:val="007655AF"/>
    <w:rsid w:val="007872F4"/>
    <w:rsid w:val="007B3363"/>
    <w:rsid w:val="007C640F"/>
    <w:rsid w:val="007D21C9"/>
    <w:rsid w:val="007E7504"/>
    <w:rsid w:val="00802607"/>
    <w:rsid w:val="00807D2D"/>
    <w:rsid w:val="008101A5"/>
    <w:rsid w:val="00822664"/>
    <w:rsid w:val="00825233"/>
    <w:rsid w:val="0083345D"/>
    <w:rsid w:val="00843796"/>
    <w:rsid w:val="00853409"/>
    <w:rsid w:val="008926F9"/>
    <w:rsid w:val="00894C78"/>
    <w:rsid w:val="00895229"/>
    <w:rsid w:val="008E5D8D"/>
    <w:rsid w:val="008F0203"/>
    <w:rsid w:val="008F50D4"/>
    <w:rsid w:val="009239AA"/>
    <w:rsid w:val="00935ADA"/>
    <w:rsid w:val="00937FB3"/>
    <w:rsid w:val="009422D6"/>
    <w:rsid w:val="00946B6C"/>
    <w:rsid w:val="00955A71"/>
    <w:rsid w:val="0096108F"/>
    <w:rsid w:val="009757FC"/>
    <w:rsid w:val="00976ADB"/>
    <w:rsid w:val="0099064B"/>
    <w:rsid w:val="00997B13"/>
    <w:rsid w:val="009B4481"/>
    <w:rsid w:val="009C13B9"/>
    <w:rsid w:val="009D01A2"/>
    <w:rsid w:val="009F5923"/>
    <w:rsid w:val="00A02B55"/>
    <w:rsid w:val="00A403BB"/>
    <w:rsid w:val="00A45B87"/>
    <w:rsid w:val="00A674DF"/>
    <w:rsid w:val="00A83AA6"/>
    <w:rsid w:val="00AE1809"/>
    <w:rsid w:val="00B23FBB"/>
    <w:rsid w:val="00B55702"/>
    <w:rsid w:val="00B74342"/>
    <w:rsid w:val="00B80D76"/>
    <w:rsid w:val="00B834E6"/>
    <w:rsid w:val="00BA2105"/>
    <w:rsid w:val="00BA7E06"/>
    <w:rsid w:val="00BB43B5"/>
    <w:rsid w:val="00BB6219"/>
    <w:rsid w:val="00BD290F"/>
    <w:rsid w:val="00BE0001"/>
    <w:rsid w:val="00C14CC4"/>
    <w:rsid w:val="00C33672"/>
    <w:rsid w:val="00C33C52"/>
    <w:rsid w:val="00C40D8B"/>
    <w:rsid w:val="00C563AC"/>
    <w:rsid w:val="00C8407A"/>
    <w:rsid w:val="00C8488C"/>
    <w:rsid w:val="00C86E91"/>
    <w:rsid w:val="00CA2650"/>
    <w:rsid w:val="00CA4C1D"/>
    <w:rsid w:val="00CB1078"/>
    <w:rsid w:val="00CC6FAF"/>
    <w:rsid w:val="00CD4A54"/>
    <w:rsid w:val="00D01DC1"/>
    <w:rsid w:val="00D038C5"/>
    <w:rsid w:val="00D24698"/>
    <w:rsid w:val="00D6383F"/>
    <w:rsid w:val="00D934E6"/>
    <w:rsid w:val="00DB59D0"/>
    <w:rsid w:val="00DB7F5C"/>
    <w:rsid w:val="00DC33D3"/>
    <w:rsid w:val="00E2455B"/>
    <w:rsid w:val="00E26329"/>
    <w:rsid w:val="00E40B50"/>
    <w:rsid w:val="00E50293"/>
    <w:rsid w:val="00E65FFC"/>
    <w:rsid w:val="00E80951"/>
    <w:rsid w:val="00E86CC6"/>
    <w:rsid w:val="00EB56B3"/>
    <w:rsid w:val="00ED6492"/>
    <w:rsid w:val="00EE70FE"/>
    <w:rsid w:val="00EF2095"/>
    <w:rsid w:val="00F06866"/>
    <w:rsid w:val="00F15956"/>
    <w:rsid w:val="00F24CFC"/>
    <w:rsid w:val="00F24D59"/>
    <w:rsid w:val="00F3170F"/>
    <w:rsid w:val="00F976B0"/>
    <w:rsid w:val="00FA6DE7"/>
    <w:rsid w:val="00FB3245"/>
    <w:rsid w:val="00FB664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53B322"/>
  <w15:docId w15:val="{4EC8A078-11E2-46A8-A386-588B5EB6CC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9064B"/>
    <w:rPr>
      <w:sz w:val="24"/>
      <w:szCs w:val="24"/>
    </w:rPr>
  </w:style>
  <w:style w:type="character" w:styleId="Hyperlink">
    <w:name w:val="Hyperlink"/>
    <w:rsid w:val="00452DD4"/>
    <w:rPr>
      <w:color w:val="0000FF"/>
      <w:u w:val="single"/>
    </w:rPr>
  </w:style>
  <w:style w:type="character" w:styleId="FollowedHyperlink">
    <w:name w:val="FollowedHyperlink"/>
    <w:basedOn w:val="DefaultParagraphFont"/>
    <w:semiHidden/>
    <w:unhideWhenUsed/>
    <w:rsid w:val="003974C6"/>
    <w:rPr>
      <w:color w:val="800080" w:themeColor="followedHyperlink"/>
      <w:u w:val="single"/>
    </w:rPr>
  </w:style>
  <w:style w:type="paragraph" w:styleId="FootnoteText">
    <w:name w:val="footnote text"/>
    <w:basedOn w:val="Normal"/>
    <w:link w:val="FootnoteTextChar"/>
    <w:semiHidden/>
    <w:unhideWhenUsed/>
    <w:rsid w:val="00A45B87"/>
    <w:rPr>
      <w:sz w:val="20"/>
      <w:szCs w:val="20"/>
    </w:rPr>
  </w:style>
  <w:style w:type="character" w:customStyle="1" w:styleId="FootnoteTextChar">
    <w:name w:val="Footnote Text Char"/>
    <w:basedOn w:val="DefaultParagraphFont"/>
    <w:link w:val="FootnoteText"/>
    <w:semiHidden/>
    <w:rsid w:val="00A45B87"/>
  </w:style>
  <w:style w:type="character" w:styleId="FootnoteReference">
    <w:name w:val="footnote reference"/>
    <w:basedOn w:val="DefaultParagraphFont"/>
    <w:semiHidden/>
    <w:unhideWhenUsed/>
    <w:rsid w:val="00A45B87"/>
    <w:rPr>
      <w:vertAlign w:val="superscript"/>
    </w:rPr>
  </w:style>
  <w:style w:type="character" w:styleId="UnresolvedMention">
    <w:name w:val="Unresolved Mention"/>
    <w:basedOn w:val="DefaultParagraphFont"/>
    <w:uiPriority w:val="99"/>
    <w:semiHidden/>
    <w:unhideWhenUsed/>
    <w:rsid w:val="00576A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53086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salary-tables/pdf/2022/DCB.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ecec.t01.htm"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8348D6-604D-4CB0-9609-EDED071C6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1341</Words>
  <Characters>7647</Characters>
  <Application>Microsoft Office Word</Application>
  <DocSecurity>4</DocSecurity>
  <Lines>63</Lines>
  <Paragraphs>17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DOCUMENTATION FOR THE GENERIC CLEARANCE</vt:lpstr>
      <vt:lpstr>    Request for Approval under the “Generic Clearance for the Collection of Routine </vt:lpstr>
      <vt:lpstr>    </vt:lpstr>
      <vt:lpstr>    Instructions for completing Request for Approval under the “Generic Clearance fo</vt:lpstr>
    </vt:vector>
  </TitlesOfParts>
  <Company>ssa</Company>
  <LinksUpToDate>false</LinksUpToDate>
  <CharactersWithSpaces>8971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Marcantoni, Susan (She/Her)</cp:lastModifiedBy>
  <cp:revision>2</cp:revision>
  <cp:lastPrinted>2013-02-25T15:58:00Z</cp:lastPrinted>
  <dcterms:created xsi:type="dcterms:W3CDTF">2022-07-15T20:18:00Z</dcterms:created>
  <dcterms:modified xsi:type="dcterms:W3CDTF">2022-07-15T20:18:00Z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