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E2145B" w:rsidP="00024F75" w14:paraId="64280E56" w14:textId="5D7A6699">
      <w:pPr>
        <w:tabs>
          <w:tab w:val="left" w:pos="0"/>
        </w:tabs>
        <w:suppressAutoHyphens/>
        <w:jc w:val="center"/>
        <w:rPr>
          <w:rFonts w:asciiTheme="minorHAnsi" w:hAnsiTheme="minorHAnsi" w:cstheme="minorHAnsi"/>
          <w:bCs/>
          <w:szCs w:val="24"/>
        </w:rPr>
      </w:pPr>
      <w:r w:rsidRPr="00E2145B">
        <w:rPr>
          <w:rFonts w:asciiTheme="minorHAnsi" w:hAnsiTheme="minorHAnsi" w:cstheme="minorHAnsi"/>
          <w:bCs/>
          <w:szCs w:val="24"/>
        </w:rPr>
        <w:t>Student Assistance General Provision – Subpart I – Immigration Status Confirmation</w:t>
      </w:r>
    </w:p>
    <w:p w:rsidR="00024F75" w:rsidRPr="00AD381B" w:rsidP="00AD381B" w14:paraId="3BBEE9CD"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024F75" w:rsidRPr="00BA1015" w:rsidP="00024F75" w14:paraId="54A19F8D" w14:textId="3A2B4C12">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This request is for approval of an extension of the reporting requirements currently in the Student Assistance General Provisions, 34 CFR 668, Subpart I.  This subpart governs the Immigration-Status Confirmation, as authorized by section 484(g) of the Higher Education Act of 1965, as amended (HEA) (20 U.S.C. 1091).  The regulations may be reviewed at </w:t>
      </w:r>
      <w:hyperlink r:id="rId9" w:history="1">
        <w:r w:rsidRPr="00BA1015">
          <w:rPr>
            <w:rStyle w:val="Hyperlink"/>
            <w:rFonts w:asciiTheme="minorHAnsi" w:hAnsiTheme="minorHAnsi" w:cstheme="minorHAnsi"/>
            <w:szCs w:val="24"/>
          </w:rPr>
          <w:t>34 CFR 668, Subpart I</w:t>
        </w:r>
      </w:hyperlink>
      <w:r w:rsidRPr="00BA1015">
        <w:rPr>
          <w:rFonts w:asciiTheme="minorHAnsi" w:hAnsiTheme="minorHAnsi" w:cstheme="minorHAnsi"/>
          <w:szCs w:val="24"/>
        </w:rPr>
        <w:t xml:space="preserve">.  The regulations are necessary to determine eligibility to receive program benefits and to prevent fraud and abuse of program funds.  This collection updates the usage by individuals and schools.  </w:t>
      </w:r>
      <w:r w:rsidR="00BC1A25">
        <w:rPr>
          <w:rFonts w:asciiTheme="minorHAnsi" w:hAnsiTheme="minorHAnsi" w:cstheme="minorHAnsi"/>
          <w:szCs w:val="24"/>
        </w:rPr>
        <w:t>There is no change to the regulatory language.</w:t>
      </w:r>
    </w:p>
    <w:p w:rsidR="00024F75" w:rsidRPr="00BA1015" w:rsidP="00024F75" w14:paraId="5772B6A5" w14:textId="77777777">
      <w:pPr>
        <w:tabs>
          <w:tab w:val="left" w:pos="0"/>
        </w:tabs>
        <w:suppressAutoHyphens/>
        <w:ind w:left="720"/>
        <w:rPr>
          <w:rFonts w:asciiTheme="minorHAnsi" w:hAnsiTheme="minorHAnsi" w:cstheme="minorHAnsi"/>
          <w:szCs w:val="24"/>
        </w:rPr>
      </w:pPr>
    </w:p>
    <w:p w:rsidR="00024F75" w:rsidRPr="00BA1015" w:rsidP="00024F75" w14:paraId="66D5AA49" w14:textId="77777777">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The regulations in §668.133 provide when an institution must require a student to produce documentation that supports their status as an eligible noncitizen as provided by the U.S. Department of Homeland Security’s (DHS) office of U.S. Citizenship and Immigration Services (USCIS) and when it must request DHS  confirmation of such eligibility. This is required if the student’s Title IV output document indicates that confirmation is needed or when confirmation is provided by DHS-USCIS but the institution has conflicting information about the student’s status.</w:t>
      </w:r>
    </w:p>
    <w:p w:rsidR="00024F75" w:rsidRPr="00BA1015" w:rsidP="00024F75" w14:paraId="2DF2A443" w14:textId="77777777">
      <w:pPr>
        <w:tabs>
          <w:tab w:val="left" w:pos="0"/>
        </w:tabs>
        <w:suppressAutoHyphens/>
        <w:ind w:left="720"/>
        <w:rPr>
          <w:rFonts w:asciiTheme="minorHAnsi" w:hAnsiTheme="minorHAnsi" w:cstheme="minorHAnsi"/>
          <w:szCs w:val="24"/>
        </w:rPr>
      </w:pPr>
    </w:p>
    <w:p w:rsidR="00024F75" w:rsidRPr="00BA1015" w:rsidP="00024F75" w14:paraId="50946DD7" w14:textId="77777777">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The regulations in §668.134 require an institution to have written policies and procedures for requesting proof from students and getting confirmation of eligibility for Title IV funds.  The regulations also specify that the institution provide in writing to each student required to undergo secondary confirmation a clear explanation of the documents that must be submitted for eligibility confirmation as well as a clear explanation of the student’s responsibilities including deadlines and consequences of failing to complete the required actions.</w:t>
      </w:r>
      <w:r w:rsidRPr="00BA1015">
        <w:rPr>
          <w:rFonts w:asciiTheme="minorHAnsi" w:hAnsiTheme="minorHAnsi" w:cstheme="minorHAnsi"/>
          <w:szCs w:val="24"/>
        </w:rPr>
        <w:t xml:space="preserve"> </w:t>
      </w:r>
    </w:p>
    <w:p w:rsidR="00024F75" w:rsidRPr="00BA1015" w:rsidP="00024F75" w14:paraId="6946A03A" w14:textId="77777777">
      <w:pPr>
        <w:tabs>
          <w:tab w:val="left" w:pos="0"/>
        </w:tabs>
        <w:suppressAutoHyphens/>
        <w:ind w:left="720"/>
        <w:rPr>
          <w:rFonts w:asciiTheme="minorHAnsi" w:hAnsiTheme="minorHAnsi" w:cstheme="minorHAnsi"/>
          <w:szCs w:val="24"/>
        </w:rPr>
      </w:pPr>
    </w:p>
    <w:p w:rsidR="00024F75" w:rsidRPr="00E96173" w:rsidP="00024F75" w14:paraId="557DCA14" w14:textId="77777777">
      <w:pPr>
        <w:tabs>
          <w:tab w:val="left" w:pos="0"/>
        </w:tabs>
        <w:suppressAutoHyphens/>
        <w:ind w:left="720"/>
        <w:rPr>
          <w:rFonts w:asciiTheme="minorHAnsi" w:hAnsiTheme="minorHAnsi" w:cstheme="minorHAnsi"/>
          <w:szCs w:val="24"/>
        </w:rPr>
      </w:pPr>
      <w:r w:rsidRPr="00BA1015">
        <w:rPr>
          <w:rFonts w:asciiTheme="minorHAnsi" w:hAnsiTheme="minorHAnsi" w:cstheme="minorHAnsi"/>
          <w:szCs w:val="24"/>
        </w:rPr>
        <w:t xml:space="preserve">The regulations in §668.135 require an institution to have procedures for completing the confirmation of eligibility for Title IV funds for eligible noncitizens that did not have their eligibility determined through the automated confirmation process.  The procedures </w:t>
      </w:r>
      <w:r w:rsidRPr="00E96173">
        <w:rPr>
          <w:rFonts w:asciiTheme="minorHAnsi" w:hAnsiTheme="minorHAnsi" w:cstheme="minorHAnsi"/>
          <w:szCs w:val="24"/>
        </w:rPr>
        <w:t xml:space="preserve">regulation discusses the confirmation including the completion of the form and copying of documents submitted to DHS-USCIS.  </w:t>
      </w:r>
    </w:p>
    <w:p w:rsidR="00024F75" w:rsidRPr="00E96173" w:rsidP="00024F75" w14:paraId="55BE4884" w14:textId="77777777">
      <w:pPr>
        <w:tabs>
          <w:tab w:val="left" w:pos="0"/>
        </w:tabs>
        <w:suppressAutoHyphens/>
        <w:ind w:left="720"/>
        <w:rPr>
          <w:rFonts w:asciiTheme="minorHAnsi" w:hAnsiTheme="minorHAnsi" w:cstheme="minorHAnsi"/>
          <w:szCs w:val="24"/>
        </w:rPr>
      </w:pPr>
    </w:p>
    <w:p w:rsidR="00024F75" w:rsidRPr="00E96173" w:rsidP="00024F75" w14:paraId="7FF0D554" w14:textId="77777777">
      <w:pPr>
        <w:tabs>
          <w:tab w:val="left" w:pos="0"/>
        </w:tabs>
        <w:suppressAutoHyphens/>
        <w:ind w:left="720"/>
        <w:rPr>
          <w:rFonts w:asciiTheme="minorHAnsi" w:hAnsiTheme="minorHAnsi" w:cstheme="minorHAnsi"/>
          <w:szCs w:val="24"/>
        </w:rPr>
      </w:pPr>
      <w:r w:rsidRPr="00E96173">
        <w:rPr>
          <w:rFonts w:asciiTheme="minorHAnsi" w:hAnsiTheme="minorHAnsi" w:cstheme="minorHAnsi"/>
          <w:szCs w:val="24"/>
        </w:rPr>
        <w:t xml:space="preserve">The burden estimate here is limited to the effort of the institution for copying the supporting documents to be submitted with the confirmation, providing an explanation of required documents and timelines, and reviewing of the secondary confirmation procedures.  </w:t>
      </w:r>
    </w:p>
    <w:p w:rsidR="00024F75" w:rsidRPr="00E96173" w:rsidP="00024F75" w14:paraId="5534EE80" w14:textId="77777777">
      <w:pPr>
        <w:pStyle w:val="NormalWeb"/>
        <w:shd w:val="clear" w:color="auto" w:fill="FFFFFF"/>
        <w:spacing w:before="240" w:beforeAutospacing="0" w:after="240" w:afterAutospacing="0"/>
        <w:ind w:left="720"/>
        <w:rPr>
          <w:rFonts w:asciiTheme="minorHAnsi" w:hAnsiTheme="minorHAnsi" w:cstheme="minorHAnsi"/>
          <w:color w:val="000000"/>
          <w:shd w:val="clear" w:color="auto" w:fill="FFFFFF"/>
        </w:rPr>
      </w:pPr>
      <w:r w:rsidRPr="00E96173">
        <w:rPr>
          <w:rFonts w:asciiTheme="minorHAnsi" w:hAnsiTheme="minorHAnsi" w:cstheme="minorHAnsi"/>
        </w:rPr>
        <w:t xml:space="preserve">While the regulations refer to a secondary confirmation process and completion of the paper G-845 form these processes are no longer in use.  DHS/USCIS replaced the paper secondary confirmation method with a fully electronic process, Systematic for Alien Verification for Entitlements (SAVE) system and the use of the Third Step Verification Process.  </w:t>
      </w:r>
      <w:r w:rsidRPr="00E96173">
        <w:rPr>
          <w:rFonts w:asciiTheme="minorHAnsi" w:hAnsiTheme="minorHAnsi" w:cstheme="minorHAnsi"/>
          <w:color w:val="000000"/>
          <w:shd w:val="clear" w:color="auto" w:fill="FFFFFF"/>
        </w:rPr>
        <w:t xml:space="preserve">In April 2018, Federal Student Aid (FSA) transitioned from the DHS-USCIS paper Form G-845 (for third step verification) to an electronic process via DHS’ SAVE system.  </w:t>
      </w: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24F75" w:rsidRPr="00E96173" w:rsidP="00024F75" w14:paraId="0AF4302E"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Requiring institutions to have processes for the collection and confirmation of this student information enables the Secretary to determine if a noncitizen applicant for Title IV, HEA benefits is an eligible student as defined in section 484(a)(5) of the HEA.  The ability to make this determination reduces the potential for fraud and abuse in the Title IV, HEA programs caused by ineligible aliens receiving Federal student financial assistance.  By reducing the potential for fraud and abuse, the Secretary is better able to safeguard Federal student financial aid dollars for the intended purpose of providing educational opportunities to eligible students.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024F75" w:rsidP="00024F75" w14:paraId="75C1D5E1"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The Secretary uses an automated data matching system in conjunction with DHS-USCIS to electronically confirm the eligible noncitizen status of a noncitizen applicant for Title IV, HEA benefits.  The data matching system is operated in full compliance with the Computer Matching and Privacy Protection Act of 1988 (CMPPA), as amended, in order to prevent fraud and abuse.  As required by the CMPPA, applicants who are not confirmed as eligible noncitizens through the data matching system (DHS Primary) are not presumed to be ineligible and are instead, subject to a secondary automated confirmation process through DHS-USCIS (DHS Secondary Confirmation).  In those limited cases where confirmation is not achieved after those automated confirmation processes, the noncitizen applicant is subject to a manual Third Step Verification process requiring the institution to request written confirmation from DHS-USCIS.  </w:t>
      </w:r>
    </w:p>
    <w:p w:rsidR="00024F75" w:rsidRPr="00E96173" w:rsidP="00024F75" w14:paraId="2836FF77" w14:textId="77777777">
      <w:pPr>
        <w:tabs>
          <w:tab w:val="left" w:pos="-720"/>
        </w:tabs>
        <w:suppressAutoHyphens/>
        <w:ind w:left="720"/>
        <w:rPr>
          <w:rFonts w:asciiTheme="minorHAnsi" w:hAnsiTheme="minorHAnsi" w:cstheme="minorHAnsi"/>
          <w:szCs w:val="24"/>
        </w:rPr>
      </w:pPr>
    </w:p>
    <w:p w:rsidR="005F4E11" w:rsidP="00024F75" w14:paraId="50B84318" w14:textId="19BE3AC0">
      <w:pPr>
        <w:pStyle w:val="ListParagraph"/>
        <w:tabs>
          <w:tab w:val="left" w:pos="-720"/>
        </w:tabs>
        <w:suppressAutoHyphens/>
        <w:contextualSpacing w:val="0"/>
        <w:rPr>
          <w:rFonts w:asciiTheme="minorHAnsi" w:hAnsiTheme="minorHAnsi" w:cstheme="minorHAnsi"/>
          <w:szCs w:val="24"/>
        </w:rPr>
      </w:pPr>
      <w:r w:rsidRPr="00E96173">
        <w:rPr>
          <w:rFonts w:asciiTheme="minorHAnsi" w:hAnsiTheme="minorHAnsi" w:cstheme="minorHAnsi"/>
          <w:color w:val="000000"/>
          <w:szCs w:val="24"/>
        </w:rPr>
        <w:t>F</w:t>
      </w:r>
      <w:r w:rsidRPr="00E96173">
        <w:rPr>
          <w:rFonts w:asciiTheme="minorHAnsi" w:hAnsiTheme="minorHAnsi" w:cstheme="minorHAnsi"/>
          <w:color w:val="000000"/>
        </w:rPr>
        <w:t>inancial aid administrator</w:t>
      </w:r>
      <w:r w:rsidRPr="00E96173">
        <w:rPr>
          <w:rFonts w:asciiTheme="minorHAnsi" w:hAnsiTheme="minorHAnsi" w:cstheme="minorHAnsi"/>
          <w:color w:val="000000"/>
          <w:szCs w:val="24"/>
        </w:rPr>
        <w:t xml:space="preserve">s can log on to the SAVE system and submit third step DHS Verification requests for eligible noncitizen students with minimal data entry. </w:t>
      </w:r>
      <w:r>
        <w:rPr>
          <w:rFonts w:asciiTheme="minorHAnsi" w:hAnsiTheme="minorHAnsi" w:cstheme="minorHAnsi"/>
          <w:color w:val="000000"/>
          <w:szCs w:val="24"/>
        </w:rPr>
        <w:t xml:space="preserve"> </w:t>
      </w:r>
      <w:r w:rsidRPr="00E96173">
        <w:rPr>
          <w:rFonts w:asciiTheme="minorHAnsi" w:hAnsiTheme="minorHAnsi" w:cstheme="minorHAnsi"/>
          <w:color w:val="000000"/>
          <w:szCs w:val="24"/>
        </w:rPr>
        <w:t>FAAs can upload the student-provided immigration document(s) to the student’s record and then submit the verification request</w:t>
      </w:r>
      <w:r w:rsidRPr="00E96173">
        <w:rPr>
          <w:rFonts w:asciiTheme="minorHAnsi" w:hAnsiTheme="minorHAnsi" w:cstheme="minorHAnsi"/>
          <w:color w:val="000000"/>
        </w:rPr>
        <w:t xml:space="preserve"> and S</w:t>
      </w:r>
      <w:r w:rsidRPr="00E96173">
        <w:rPr>
          <w:rFonts w:asciiTheme="minorHAnsi" w:hAnsiTheme="minorHAnsi" w:cstheme="minorHAnsi"/>
          <w:color w:val="000000"/>
          <w:szCs w:val="24"/>
        </w:rPr>
        <w:t>AVE will provide the student’s immigration status response through</w:t>
      </w:r>
      <w:r w:rsidRPr="00E96173">
        <w:rPr>
          <w:rFonts w:asciiTheme="minorHAnsi" w:hAnsiTheme="minorHAnsi" w:cstheme="minorHAnsi"/>
          <w:color w:val="000000"/>
        </w:rPr>
        <w:t xml:space="preserve"> the</w:t>
      </w:r>
      <w:r w:rsidRPr="00E96173">
        <w:rPr>
          <w:rFonts w:asciiTheme="minorHAnsi" w:hAnsiTheme="minorHAnsi" w:cstheme="minorHAnsi"/>
          <w:color w:val="000000"/>
          <w:szCs w:val="24"/>
        </w:rPr>
        <w:t xml:space="preserve"> SAVE</w:t>
      </w:r>
      <w:r w:rsidRPr="00E96173">
        <w:rPr>
          <w:rFonts w:asciiTheme="minorHAnsi" w:hAnsiTheme="minorHAnsi" w:cstheme="minorHAnsi"/>
          <w:color w:val="000000"/>
        </w:rPr>
        <w:t xml:space="preserve"> system. </w:t>
      </w:r>
      <w:r w:rsidR="007B6E78">
        <w:rPr>
          <w:rFonts w:asciiTheme="minorHAnsi" w:hAnsiTheme="minorHAnsi" w:cstheme="minorHAnsi"/>
          <w:color w:val="000000"/>
        </w:rPr>
        <w:t>T</w:t>
      </w:r>
      <w:r w:rsidRPr="00E96173">
        <w:rPr>
          <w:rFonts w:asciiTheme="minorHAnsi" w:hAnsiTheme="minorHAnsi" w:cstheme="minorHAnsi"/>
          <w:szCs w:val="24"/>
        </w:rPr>
        <w:t xml:space="preserve">he </w:t>
      </w:r>
      <w:r w:rsidRPr="00E96173">
        <w:rPr>
          <w:rFonts w:asciiTheme="minorHAnsi" w:hAnsiTheme="minorHAnsi" w:cstheme="minorHAnsi"/>
          <w:szCs w:val="24"/>
        </w:rPr>
        <w:t>elements</w:t>
      </w:r>
      <w:r w:rsidRPr="00E96173">
        <w:rPr>
          <w:rFonts w:asciiTheme="minorHAnsi" w:hAnsiTheme="minorHAnsi" w:cstheme="minorHAnsi"/>
          <w:szCs w:val="24"/>
        </w:rPr>
        <w:t xml:space="preserve"> of this additional process constitutes the information collection for which we are requesting continued approval.</w:t>
      </w:r>
    </w:p>
    <w:p w:rsidR="00024F75" w:rsidP="00024F75" w14:paraId="0F465E29"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024F75" w:rsidRPr="00E96173" w:rsidP="00024F75" w14:paraId="1C80C639"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is no duplication of records or similar information already available for use by institutions.</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24F75" w:rsidRPr="00E96173" w:rsidP="00024F75" w14:paraId="33F3190B"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 xml:space="preserve">The </w:t>
      </w:r>
      <w:r>
        <w:rPr>
          <w:rFonts w:asciiTheme="minorHAnsi" w:hAnsiTheme="minorHAnsi" w:cstheme="minorHAnsi"/>
          <w:szCs w:val="24"/>
        </w:rPr>
        <w:t xml:space="preserve">use of electronic systems minimize the burden of this </w:t>
      </w:r>
      <w:r w:rsidRPr="00E96173">
        <w:rPr>
          <w:rFonts w:asciiTheme="minorHAnsi" w:hAnsiTheme="minorHAnsi" w:cstheme="minorHAnsi"/>
          <w:szCs w:val="24"/>
        </w:rPr>
        <w:t>information collect</w:t>
      </w:r>
      <w:r>
        <w:rPr>
          <w:rFonts w:asciiTheme="minorHAnsi" w:hAnsiTheme="minorHAnsi" w:cstheme="minorHAnsi"/>
          <w:szCs w:val="24"/>
        </w:rPr>
        <w:t>ion</w:t>
      </w:r>
      <w:r w:rsidRPr="00E96173">
        <w:rPr>
          <w:rFonts w:asciiTheme="minorHAnsi" w:hAnsiTheme="minorHAnsi" w:cstheme="minorHAnsi"/>
          <w:szCs w:val="24"/>
        </w:rPr>
        <w:t xml:space="preserve"> </w:t>
      </w:r>
      <w:r>
        <w:rPr>
          <w:rFonts w:asciiTheme="minorHAnsi" w:hAnsiTheme="minorHAnsi" w:cstheme="minorHAnsi"/>
          <w:szCs w:val="24"/>
        </w:rPr>
        <w:t>on</w:t>
      </w:r>
      <w:r w:rsidRPr="00E96173">
        <w:rPr>
          <w:rFonts w:asciiTheme="minorHAnsi" w:hAnsiTheme="minorHAnsi" w:cstheme="minorHAnsi"/>
          <w:szCs w:val="24"/>
        </w:rPr>
        <w:t xml:space="preserve"> small business entities.</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24F75" w:rsidRPr="00E96173" w:rsidP="00024F75" w14:paraId="22EEC3D8"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If this information is not collected or is collected less frequently, the potential for fraud and abuse increases.  Also, section 484(g)(1) of the HEA provides that the Secretary will verify applicant claims of U.S. citizenship or eligible noncitizen status prior to awarding grants, loans, or work assistance.</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024F75" w:rsidRPr="00E96173" w:rsidP="00024F75" w14:paraId="32E05B4C"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Under 34 CFR 668.135, an institution that receives immigration status documents from a student with a status that was not confirmed using the ED/DHS-USCIS automated process is required to request written confirmation from DHS-USCIS within 10 business days.</w:t>
      </w:r>
    </w:p>
    <w:p w:rsidR="00024F75" w:rsidRPr="00E96173" w:rsidP="00024F75" w14:paraId="641B4601" w14:textId="77777777">
      <w:pPr>
        <w:tabs>
          <w:tab w:val="left" w:pos="-720"/>
        </w:tabs>
        <w:suppressAutoHyphens/>
        <w:ind w:left="720"/>
        <w:rPr>
          <w:rFonts w:asciiTheme="minorHAnsi" w:hAnsiTheme="minorHAnsi" w:cstheme="minorHAnsi"/>
          <w:szCs w:val="24"/>
        </w:rPr>
      </w:pPr>
    </w:p>
    <w:p w:rsidR="00024F75" w:rsidRPr="00E96173" w:rsidP="00024F75" w14:paraId="05597493"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No institution is required to complete more than the original SAVE request and one copy of any DHS-USCIS immigration status document(s).</w:t>
      </w:r>
    </w:p>
    <w:p w:rsidR="00024F75" w:rsidRPr="00E96173" w:rsidP="00024F75" w14:paraId="53D9E792" w14:textId="77777777">
      <w:pPr>
        <w:tabs>
          <w:tab w:val="left" w:pos="-720"/>
        </w:tabs>
        <w:suppressAutoHyphens/>
        <w:ind w:left="720"/>
        <w:rPr>
          <w:rFonts w:asciiTheme="minorHAnsi" w:hAnsiTheme="minorHAnsi" w:cstheme="minorHAnsi"/>
          <w:szCs w:val="24"/>
        </w:rPr>
      </w:pPr>
    </w:p>
    <w:p w:rsidR="00024F75" w:rsidRPr="00E96173" w:rsidP="00024F75" w14:paraId="6995A068"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No institution is required to retain immigration status records for more than three years after the end of the award year for which the Title IV, HEA aid was awarded and disbursed.</w:t>
      </w:r>
    </w:p>
    <w:p w:rsidR="00024F75" w:rsidRPr="00E96173" w:rsidP="00024F75" w14:paraId="2C37A3DA" w14:textId="77777777">
      <w:pPr>
        <w:tabs>
          <w:tab w:val="left" w:pos="-720"/>
        </w:tabs>
        <w:suppressAutoHyphens/>
        <w:ind w:left="720"/>
        <w:rPr>
          <w:rFonts w:asciiTheme="minorHAnsi" w:hAnsiTheme="minorHAnsi" w:cstheme="minorHAnsi"/>
          <w:szCs w:val="24"/>
        </w:rPr>
      </w:pPr>
    </w:p>
    <w:p w:rsidR="00024F75" w:rsidRPr="00E96173" w:rsidP="00024F75" w14:paraId="6D95B583"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include a statistical survey or use of a statistical data classification.</w:t>
      </w:r>
    </w:p>
    <w:p w:rsidR="00024F75" w:rsidRPr="00E96173" w:rsidP="00024F75" w14:paraId="23616232" w14:textId="77777777">
      <w:pPr>
        <w:tabs>
          <w:tab w:val="left" w:pos="-720"/>
        </w:tabs>
        <w:suppressAutoHyphens/>
        <w:ind w:left="720"/>
        <w:rPr>
          <w:rFonts w:asciiTheme="minorHAnsi" w:hAnsiTheme="minorHAnsi" w:cstheme="minorHAnsi"/>
          <w:szCs w:val="24"/>
        </w:rPr>
      </w:pPr>
    </w:p>
    <w:p w:rsidR="00024F75" w:rsidRPr="00E96173" w:rsidP="00024F75" w14:paraId="6A00D886"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include a pledge of confidentiality that is not supported by authority established in statute or regulation, is not supported by disclosure and date security policies consistent with the pledge, or which impedes sharing of data with other agencies.</w:t>
      </w:r>
    </w:p>
    <w:p w:rsidR="00024F75" w:rsidRPr="00E96173" w:rsidP="00024F75" w14:paraId="3D7F8E02" w14:textId="77777777">
      <w:pPr>
        <w:tabs>
          <w:tab w:val="left" w:pos="-720"/>
        </w:tabs>
        <w:suppressAutoHyphens/>
        <w:ind w:left="720"/>
        <w:rPr>
          <w:rFonts w:asciiTheme="minorHAnsi" w:hAnsiTheme="minorHAnsi" w:cstheme="minorHAnsi"/>
          <w:szCs w:val="24"/>
        </w:rPr>
      </w:pPr>
    </w:p>
    <w:p w:rsidR="00024F75" w:rsidRPr="00E96173" w:rsidP="00024F75" w14:paraId="6177A9D5"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information collection does not require respondents to submit proprietary trade secrets or other confidential information.</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w:t>
      </w:r>
      <w:r w:rsidRPr="00AD381B">
        <w:rPr>
          <w:rFonts w:ascii="Times New Roman" w:hAnsi="Times New Roman"/>
          <w:b/>
          <w:szCs w:val="24"/>
        </w:rPr>
        <w:t>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C1216F" w:rsidP="00024F75" w14:paraId="40D389D9" w14:textId="77777777">
      <w:pPr>
        <w:ind w:left="720"/>
        <w:rPr>
          <w:rFonts w:asciiTheme="minorHAnsi" w:hAnsiTheme="minorHAnsi" w:cstheme="minorHAnsi"/>
          <w:szCs w:val="24"/>
        </w:rPr>
      </w:pPr>
      <w:r w:rsidRPr="00E96173">
        <w:rPr>
          <w:rFonts w:asciiTheme="minorHAnsi" w:hAnsiTheme="minorHAnsi" w:cstheme="minorHAnsi"/>
          <w:szCs w:val="24"/>
        </w:rPr>
        <w:t xml:space="preserve">Consultations with DHS-USCIS are conducted as needed – these consultations are useful in addressing interagency processing problems and in discussing how new technologies can be employed to perform these functions more efficiently.  </w:t>
      </w:r>
    </w:p>
    <w:p w:rsidR="00C1216F" w:rsidP="00024F75" w14:paraId="7EE2B9E3" w14:textId="77777777">
      <w:pPr>
        <w:ind w:left="720"/>
        <w:rPr>
          <w:rFonts w:asciiTheme="minorHAnsi" w:hAnsiTheme="minorHAnsi" w:cstheme="minorHAnsi"/>
          <w:szCs w:val="24"/>
        </w:rPr>
      </w:pPr>
    </w:p>
    <w:p w:rsidR="00C1216F" w:rsidP="00024F75" w14:paraId="7EDE4D47" w14:textId="39C3C680">
      <w:pPr>
        <w:ind w:left="720"/>
        <w:rPr>
          <w:rFonts w:asciiTheme="minorHAnsi" w:hAnsiTheme="minorHAnsi" w:cstheme="minorHAnsi"/>
          <w:szCs w:val="24"/>
        </w:rPr>
      </w:pPr>
      <w:r>
        <w:rPr>
          <w:rFonts w:asciiTheme="minorHAnsi" w:hAnsiTheme="minorHAnsi" w:cstheme="minorHAnsi"/>
          <w:szCs w:val="24"/>
        </w:rPr>
        <w:t xml:space="preserve">On February 15, 2024 a notice was published in the Federal Register (Vol. 89, FR 11824) inviting public comment on this information collection.  The comment period expired on April 15, 2024 without any public comment.  No changes have been made to the information in this collection.  </w:t>
      </w:r>
    </w:p>
    <w:p w:rsidR="00C1216F" w:rsidP="00024F75" w14:paraId="21286DF0" w14:textId="77777777">
      <w:pPr>
        <w:ind w:left="720"/>
        <w:rPr>
          <w:rFonts w:asciiTheme="minorHAnsi" w:hAnsiTheme="minorHAnsi" w:cstheme="minorHAnsi"/>
          <w:szCs w:val="24"/>
        </w:rPr>
      </w:pPr>
    </w:p>
    <w:p w:rsidR="00024F75" w:rsidRPr="00E96173" w:rsidP="00024F75" w14:paraId="6BFB8BAD" w14:textId="2C12893A">
      <w:pPr>
        <w:ind w:left="720"/>
        <w:rPr>
          <w:rFonts w:asciiTheme="minorHAnsi" w:hAnsiTheme="minorHAnsi" w:cstheme="minorHAnsi"/>
          <w:szCs w:val="24"/>
        </w:rPr>
      </w:pPr>
      <w:r w:rsidRPr="00E96173">
        <w:rPr>
          <w:rFonts w:asciiTheme="minorHAnsi" w:hAnsiTheme="minorHAnsi" w:cstheme="minorHAnsi"/>
          <w:szCs w:val="24"/>
        </w:rPr>
        <w:t>The Department is</w:t>
      </w:r>
      <w:r w:rsidR="00C1216F">
        <w:rPr>
          <w:rFonts w:asciiTheme="minorHAnsi" w:hAnsiTheme="minorHAnsi" w:cstheme="minorHAnsi"/>
          <w:szCs w:val="24"/>
        </w:rPr>
        <w:t xml:space="preserve"> now</w:t>
      </w:r>
      <w:r w:rsidRPr="00E96173">
        <w:rPr>
          <w:rFonts w:asciiTheme="minorHAnsi" w:hAnsiTheme="minorHAnsi" w:cstheme="minorHAnsi"/>
          <w:szCs w:val="24"/>
        </w:rPr>
        <w:t xml:space="preserve"> request</w:t>
      </w:r>
      <w:r w:rsidR="00C1216F">
        <w:rPr>
          <w:rFonts w:asciiTheme="minorHAnsi" w:hAnsiTheme="minorHAnsi" w:cstheme="minorHAnsi"/>
          <w:szCs w:val="24"/>
        </w:rPr>
        <w:t>ing</w:t>
      </w:r>
      <w:r w:rsidRPr="00E96173">
        <w:rPr>
          <w:rFonts w:asciiTheme="minorHAnsi" w:hAnsiTheme="minorHAnsi" w:cstheme="minorHAnsi"/>
          <w:szCs w:val="24"/>
        </w:rPr>
        <w:t xml:space="preserve"> </w:t>
      </w:r>
      <w:r w:rsidR="00C1216F">
        <w:rPr>
          <w:rFonts w:asciiTheme="minorHAnsi" w:hAnsiTheme="minorHAnsi" w:cstheme="minorHAnsi"/>
          <w:szCs w:val="24"/>
        </w:rPr>
        <w:t>a 3</w:t>
      </w:r>
      <w:r w:rsidRPr="00E96173">
        <w:rPr>
          <w:rFonts w:asciiTheme="minorHAnsi" w:hAnsiTheme="minorHAnsi" w:cstheme="minorHAnsi"/>
          <w:szCs w:val="24"/>
        </w:rPr>
        <w:t>0-day comment period</w:t>
      </w:r>
      <w:r w:rsidR="00C1216F">
        <w:rPr>
          <w:rFonts w:asciiTheme="minorHAnsi" w:hAnsiTheme="minorHAnsi" w:cstheme="minorHAnsi"/>
          <w:szCs w:val="24"/>
        </w:rPr>
        <w:t xml:space="preserve"> be published in the Federal </w:t>
      </w:r>
      <w:r w:rsidR="00C1216F">
        <w:rPr>
          <w:rFonts w:asciiTheme="minorHAnsi" w:hAnsiTheme="minorHAnsi" w:cstheme="minorHAnsi"/>
          <w:szCs w:val="24"/>
        </w:rPr>
        <w:t>Regiser</w:t>
      </w:r>
      <w:r w:rsidRPr="00E96173">
        <w:rPr>
          <w:rFonts w:asciiTheme="minorHAnsi" w:hAnsiTheme="minorHAnsi" w:cstheme="minorHAnsi"/>
          <w:szCs w:val="24"/>
        </w:rPr>
        <w: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1B74B3" w:rsidRPr="00E96173" w:rsidP="001B74B3" w14:paraId="027B85FB"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is no payment or gift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1B74B3" w:rsidRPr="00E96173" w:rsidP="001B74B3" w14:paraId="69BC6834"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These requirements do not prescribe any assurance of confidentiality to institutions except as required under the provisions of the CMPPA.</w:t>
      </w:r>
    </w:p>
    <w:p w:rsidR="007C700A" w:rsidRPr="005F4E11" w:rsidP="005F4E11" w14:paraId="7A4EA0F0" w14:textId="0643951F">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1B74B3" w:rsidRPr="00E96173" w:rsidP="001B74B3" w14:paraId="659F8029"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These regulations do not include any questions of a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1B74B3" w:rsidRPr="00E96173" w:rsidP="00C1216F" w14:paraId="36CBFA84" w14:textId="4F7D3473">
      <w:pPr>
        <w:ind w:left="720"/>
        <w:rPr>
          <w:rFonts w:asciiTheme="minorHAnsi" w:hAnsiTheme="minorHAnsi" w:cstheme="minorHAnsi"/>
          <w:szCs w:val="24"/>
        </w:rPr>
      </w:pPr>
      <w:r w:rsidRPr="00E96173">
        <w:rPr>
          <w:rFonts w:asciiTheme="minorHAnsi" w:hAnsiTheme="minorHAnsi" w:cstheme="minorHAnsi"/>
          <w:szCs w:val="24"/>
          <w:u w:val="single"/>
        </w:rPr>
        <w:t>Total Current Inventory</w:t>
      </w:r>
      <w:r w:rsidRPr="00E96173">
        <w:rPr>
          <w:rFonts w:asciiTheme="minorHAnsi" w:hAnsiTheme="minorHAnsi" w:cstheme="minorHAnsi"/>
          <w:szCs w:val="24"/>
        </w:rPr>
        <w:t>:</w:t>
      </w:r>
    </w:p>
    <w:p w:rsidR="00C905A9" w:rsidRPr="00E96173" w:rsidP="00C905A9" w14:paraId="79AE1769" w14:textId="175BAF20">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 of Respondents</w:t>
      </w:r>
      <w:r w:rsidRPr="00E96173">
        <w:rPr>
          <w:rFonts w:asciiTheme="minorHAnsi" w:hAnsiTheme="minorHAnsi" w:cstheme="minorHAnsi"/>
          <w:szCs w:val="24"/>
        </w:rPr>
        <w:tab/>
        <w:t># of Responses</w:t>
      </w:r>
      <w:r w:rsidRPr="00E96173">
        <w:rPr>
          <w:rFonts w:asciiTheme="minorHAnsi" w:hAnsiTheme="minorHAnsi" w:cstheme="minorHAnsi"/>
          <w:szCs w:val="24"/>
        </w:rPr>
        <w:tab/>
        <w:t>Burden Hours</w:t>
      </w:r>
    </w:p>
    <w:p w:rsidR="00C905A9" w:rsidRPr="00E96173" w:rsidP="00C905A9" w14:paraId="26C51A92" w14:textId="29F5CE7C">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t xml:space="preserve">        46,089</w:t>
      </w:r>
      <w:r w:rsidRPr="00E96173">
        <w:rPr>
          <w:rFonts w:asciiTheme="minorHAnsi" w:hAnsiTheme="minorHAnsi" w:cstheme="minorHAnsi"/>
          <w:szCs w:val="24"/>
        </w:rPr>
        <w:tab/>
      </w:r>
      <w:r w:rsidRPr="00E96173">
        <w:rPr>
          <w:rFonts w:asciiTheme="minorHAnsi" w:hAnsiTheme="minorHAnsi" w:cstheme="minorHAnsi"/>
          <w:szCs w:val="24"/>
        </w:rPr>
        <w:tab/>
      </w:r>
      <w:r w:rsidR="00BC1A25">
        <w:rPr>
          <w:rFonts w:asciiTheme="minorHAnsi" w:hAnsiTheme="minorHAnsi" w:cstheme="minorHAnsi"/>
          <w:szCs w:val="24"/>
        </w:rPr>
        <w:t xml:space="preserve">          </w:t>
      </w:r>
      <w:r w:rsidRPr="00E96173">
        <w:rPr>
          <w:rFonts w:asciiTheme="minorHAnsi" w:hAnsiTheme="minorHAnsi" w:cstheme="minorHAnsi"/>
          <w:szCs w:val="24"/>
        </w:rPr>
        <w:t>81,572</w:t>
      </w:r>
      <w:r w:rsidRPr="00E96173">
        <w:rPr>
          <w:rFonts w:asciiTheme="minorHAnsi" w:hAnsiTheme="minorHAnsi" w:cstheme="minorHAnsi"/>
          <w:szCs w:val="24"/>
        </w:rPr>
        <w:tab/>
      </w:r>
      <w:r w:rsidR="00BC1A25">
        <w:rPr>
          <w:rFonts w:asciiTheme="minorHAnsi" w:hAnsiTheme="minorHAnsi" w:cstheme="minorHAnsi"/>
          <w:szCs w:val="24"/>
        </w:rPr>
        <w:tab/>
        <w:t xml:space="preserve">         </w:t>
      </w:r>
      <w:r w:rsidRPr="00E96173">
        <w:rPr>
          <w:rFonts w:asciiTheme="minorHAnsi" w:hAnsiTheme="minorHAnsi" w:cstheme="minorHAnsi"/>
          <w:szCs w:val="24"/>
        </w:rPr>
        <w:t xml:space="preserve">10,197   </w:t>
      </w:r>
    </w:p>
    <w:p w:rsidR="001B74B3" w:rsidRPr="00E96173" w:rsidP="00C905A9" w14:paraId="6EEAAA80" w14:textId="72991D97">
      <w:pPr>
        <w:suppressAutoHyphens/>
        <w:ind w:left="360"/>
        <w:rPr>
          <w:rFonts w:asciiTheme="minorHAnsi" w:hAnsiTheme="minorHAnsi" w:cstheme="minorHAnsi"/>
          <w:szCs w:val="24"/>
        </w:rPr>
      </w:pPr>
    </w:p>
    <w:p w:rsidR="001B74B3" w:rsidRPr="00E96173" w:rsidP="001B74B3" w14:paraId="3B9BDA99" w14:textId="77777777">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u w:val="single"/>
        </w:rPr>
        <w:t>Revised Inventory</w:t>
      </w:r>
      <w:r w:rsidRPr="00E96173">
        <w:rPr>
          <w:rFonts w:asciiTheme="minorHAnsi" w:hAnsiTheme="minorHAnsi" w:cstheme="minorHAnsi"/>
          <w:szCs w:val="24"/>
        </w:rPr>
        <w:t>:</w:t>
      </w:r>
    </w:p>
    <w:p w:rsidR="001B74B3" w:rsidRPr="00E96173" w:rsidP="001B74B3" w14:paraId="651E0136" w14:textId="77777777">
      <w:pPr>
        <w:tabs>
          <w:tab w:val="left" w:pos="-720"/>
        </w:tabs>
        <w:suppressAutoHyphens/>
        <w:ind w:left="720"/>
        <w:rPr>
          <w:rFonts w:asciiTheme="minorHAnsi" w:hAnsiTheme="minorHAnsi" w:cstheme="minorHAnsi"/>
        </w:rPr>
      </w:pPr>
    </w:p>
    <w:p w:rsidR="001B74B3" w:rsidRPr="00E96173" w:rsidP="001B74B3" w14:paraId="4B216875" w14:textId="78FA7ED2">
      <w:pPr>
        <w:ind w:left="720"/>
        <w:rPr>
          <w:rFonts w:asciiTheme="minorHAnsi" w:hAnsiTheme="minorHAnsi" w:cstheme="minorHAnsi"/>
          <w:szCs w:val="24"/>
        </w:rPr>
      </w:pPr>
      <w:r w:rsidRPr="00E96173">
        <w:rPr>
          <w:rFonts w:asciiTheme="minorHAnsi" w:hAnsiTheme="minorHAnsi" w:cstheme="minorHAnsi"/>
          <w:szCs w:val="24"/>
        </w:rPr>
        <w:t xml:space="preserve">Of the </w:t>
      </w:r>
      <w:r w:rsidR="00F91697">
        <w:rPr>
          <w:rFonts w:asciiTheme="minorHAnsi" w:hAnsiTheme="minorHAnsi" w:cstheme="minorHAnsi"/>
          <w:szCs w:val="24"/>
        </w:rPr>
        <w:t>590,318</w:t>
      </w:r>
      <w:r w:rsidRPr="00E96173">
        <w:rPr>
          <w:rFonts w:asciiTheme="minorHAnsi" w:hAnsiTheme="minorHAnsi" w:cstheme="minorHAnsi"/>
          <w:szCs w:val="24"/>
        </w:rPr>
        <w:t xml:space="preserve"> applications from noncitizen applicants processed in the </w:t>
      </w:r>
      <w:r w:rsidRPr="00F91697">
        <w:rPr>
          <w:rFonts w:asciiTheme="minorHAnsi" w:hAnsiTheme="minorHAnsi" w:cstheme="minorHAnsi"/>
          <w:szCs w:val="24"/>
        </w:rPr>
        <w:t>20</w:t>
      </w:r>
      <w:r w:rsidRPr="00F91697" w:rsidR="00F91697">
        <w:rPr>
          <w:rFonts w:asciiTheme="minorHAnsi" w:hAnsiTheme="minorHAnsi" w:cstheme="minorHAnsi"/>
          <w:szCs w:val="24"/>
        </w:rPr>
        <w:t>22</w:t>
      </w:r>
      <w:r w:rsidRPr="00F91697">
        <w:rPr>
          <w:rFonts w:asciiTheme="minorHAnsi" w:hAnsiTheme="minorHAnsi" w:cstheme="minorHAnsi"/>
          <w:szCs w:val="24"/>
        </w:rPr>
        <w:t>-20</w:t>
      </w:r>
      <w:r w:rsidR="00F91697">
        <w:rPr>
          <w:rFonts w:asciiTheme="minorHAnsi" w:hAnsiTheme="minorHAnsi" w:cstheme="minorHAnsi"/>
          <w:szCs w:val="24"/>
        </w:rPr>
        <w:t>23</w:t>
      </w:r>
      <w:r w:rsidRPr="00E96173">
        <w:rPr>
          <w:rFonts w:asciiTheme="minorHAnsi" w:hAnsiTheme="minorHAnsi" w:cstheme="minorHAnsi"/>
          <w:szCs w:val="24"/>
        </w:rPr>
        <w:t xml:space="preserve"> award year, </w:t>
      </w:r>
      <w:r w:rsidR="00F91697">
        <w:rPr>
          <w:rFonts w:asciiTheme="minorHAnsi" w:hAnsiTheme="minorHAnsi" w:cstheme="minorHAnsi"/>
          <w:szCs w:val="24"/>
        </w:rPr>
        <w:t>87,926</w:t>
      </w:r>
      <w:r w:rsidRPr="00E96173">
        <w:rPr>
          <w:rFonts w:asciiTheme="minorHAnsi" w:hAnsiTheme="minorHAnsi" w:cstheme="minorHAnsi"/>
          <w:szCs w:val="24"/>
        </w:rPr>
        <w:t xml:space="preserve"> were not confirmed using the automatic primary confirmation and required additional information to confirm Title IV eligibility. </w:t>
      </w:r>
      <w:r w:rsidR="00F91697">
        <w:rPr>
          <w:rFonts w:asciiTheme="minorHAnsi" w:hAnsiTheme="minorHAnsi" w:cstheme="minorHAnsi"/>
          <w:szCs w:val="24"/>
        </w:rPr>
        <w:t>9,019</w:t>
      </w:r>
      <w:r w:rsidRPr="00E96173">
        <w:rPr>
          <w:rFonts w:asciiTheme="minorHAnsi" w:hAnsiTheme="minorHAnsi" w:cstheme="minorHAnsi"/>
          <w:szCs w:val="24"/>
        </w:rPr>
        <w:t xml:space="preserve"> were approved through automatic secondary confirmation.  Of the </w:t>
      </w:r>
      <w:r w:rsidR="00F91697">
        <w:rPr>
          <w:rFonts w:asciiTheme="minorHAnsi" w:hAnsiTheme="minorHAnsi" w:cstheme="minorHAnsi"/>
          <w:szCs w:val="24"/>
        </w:rPr>
        <w:t>87,926</w:t>
      </w:r>
      <w:r w:rsidRPr="00E96173">
        <w:rPr>
          <w:rFonts w:asciiTheme="minorHAnsi" w:hAnsiTheme="minorHAnsi" w:cstheme="minorHAnsi"/>
          <w:szCs w:val="24"/>
        </w:rPr>
        <w:t xml:space="preserve"> applications that were not confirmed using the automatic primary or automatic secondary confirmations, </w:t>
      </w:r>
      <w:r w:rsidR="00F91697">
        <w:rPr>
          <w:rFonts w:asciiTheme="minorHAnsi" w:hAnsiTheme="minorHAnsi" w:cstheme="minorHAnsi"/>
          <w:szCs w:val="24"/>
        </w:rPr>
        <w:t>78,907</w:t>
      </w:r>
      <w:r w:rsidRPr="00E96173">
        <w:rPr>
          <w:rFonts w:asciiTheme="minorHAnsi" w:hAnsiTheme="minorHAnsi" w:cstheme="minorHAnsi"/>
          <w:szCs w:val="24"/>
        </w:rPr>
        <w:t xml:space="preserve"> would require the financial aid administrator to send a third step verification request through the DHS-SAVE system for confirmation of eligibility. </w:t>
      </w:r>
      <w:r>
        <w:rPr>
          <w:rFonts w:asciiTheme="minorHAnsi" w:hAnsiTheme="minorHAnsi" w:cstheme="minorHAnsi"/>
          <w:szCs w:val="24"/>
        </w:rPr>
        <w:t xml:space="preserve"> </w:t>
      </w:r>
      <w:r w:rsidRPr="00E96173">
        <w:rPr>
          <w:rFonts w:asciiTheme="minorHAnsi" w:hAnsiTheme="minorHAnsi" w:cstheme="minorHAnsi"/>
          <w:szCs w:val="24"/>
        </w:rPr>
        <w:t xml:space="preserve">The </w:t>
      </w:r>
      <w:r w:rsidR="00F91697">
        <w:rPr>
          <w:rFonts w:asciiTheme="minorHAnsi" w:hAnsiTheme="minorHAnsi" w:cstheme="minorHAnsi"/>
          <w:szCs w:val="24"/>
        </w:rPr>
        <w:t>78,907</w:t>
      </w:r>
      <w:r w:rsidRPr="00E96173">
        <w:rPr>
          <w:rFonts w:asciiTheme="minorHAnsi" w:hAnsiTheme="minorHAnsi" w:cstheme="minorHAnsi"/>
          <w:szCs w:val="24"/>
        </w:rPr>
        <w:t xml:space="preserve"> are reduced by </w:t>
      </w:r>
      <w:r w:rsidRPr="00F91697">
        <w:rPr>
          <w:rFonts w:asciiTheme="minorHAnsi" w:hAnsiTheme="minorHAnsi" w:cstheme="minorHAnsi"/>
          <w:szCs w:val="24"/>
        </w:rPr>
        <w:t xml:space="preserve">25% to </w:t>
      </w:r>
      <w:r w:rsidR="00F91697">
        <w:rPr>
          <w:rFonts w:asciiTheme="minorHAnsi" w:hAnsiTheme="minorHAnsi" w:cstheme="minorHAnsi"/>
          <w:szCs w:val="24"/>
        </w:rPr>
        <w:t>59,180</w:t>
      </w:r>
      <w:r w:rsidRPr="00E96173">
        <w:rPr>
          <w:rFonts w:asciiTheme="minorHAnsi" w:hAnsiTheme="minorHAnsi" w:cstheme="minorHAnsi"/>
          <w:szCs w:val="24"/>
        </w:rPr>
        <w:t>, as an estimated number of students who will begin enrollment and therefore utilize the Title IV programs.</w:t>
      </w:r>
    </w:p>
    <w:p w:rsidR="001B74B3" w:rsidRPr="00E96173" w:rsidP="001B74B3" w14:paraId="5BB1234C" w14:textId="77777777">
      <w:pPr>
        <w:ind w:left="720"/>
        <w:rPr>
          <w:rFonts w:asciiTheme="minorHAnsi" w:hAnsiTheme="minorHAnsi" w:cstheme="minorHAnsi"/>
          <w:szCs w:val="24"/>
        </w:rPr>
      </w:pPr>
    </w:p>
    <w:p w:rsidR="001B74B3" w:rsidRPr="00E96173" w:rsidP="001B74B3" w14:paraId="35A40FCC" w14:textId="634911DE">
      <w:pPr>
        <w:ind w:left="720"/>
        <w:rPr>
          <w:rFonts w:asciiTheme="minorHAnsi" w:hAnsiTheme="minorHAnsi" w:cstheme="minorHAnsi"/>
          <w:szCs w:val="24"/>
        </w:rPr>
      </w:pPr>
      <w:r w:rsidRPr="00E96173">
        <w:rPr>
          <w:rFonts w:asciiTheme="minorHAnsi" w:hAnsiTheme="minorHAnsi" w:cstheme="minorHAnsi"/>
          <w:szCs w:val="24"/>
        </w:rPr>
        <w:t xml:space="preserve">The </w:t>
      </w:r>
      <w:r w:rsidRPr="00F91697">
        <w:rPr>
          <w:rFonts w:asciiTheme="minorHAnsi" w:hAnsiTheme="minorHAnsi" w:cstheme="minorHAnsi"/>
          <w:szCs w:val="24"/>
        </w:rPr>
        <w:t xml:space="preserve">25% or </w:t>
      </w:r>
      <w:r w:rsidR="00F91697">
        <w:rPr>
          <w:rFonts w:asciiTheme="minorHAnsi" w:hAnsiTheme="minorHAnsi" w:cstheme="minorHAnsi"/>
          <w:szCs w:val="24"/>
        </w:rPr>
        <w:t>19,727</w:t>
      </w:r>
      <w:r w:rsidRPr="00E96173">
        <w:rPr>
          <w:rFonts w:asciiTheme="minorHAnsi" w:hAnsiTheme="minorHAnsi" w:cstheme="minorHAnsi"/>
          <w:szCs w:val="24"/>
        </w:rPr>
        <w:t xml:space="preserve"> estimated Title IV eligible applicants who either dropped out of the application process or were not subject to manual secondary confirmation because of the regulatory provisions in 34 CFR 668.133(b) that exempts respondents from this requirement if such confirmation was successfully used to confirm a student’s eligible noncitizen status in the previous award year.  </w:t>
      </w:r>
    </w:p>
    <w:p w:rsidR="001B74B3" w:rsidRPr="00E96173" w:rsidP="001B74B3" w14:paraId="71FEE23E" w14:textId="77777777">
      <w:pPr>
        <w:tabs>
          <w:tab w:val="left" w:pos="0"/>
        </w:tabs>
        <w:suppressAutoHyphens/>
        <w:ind w:left="720"/>
        <w:rPr>
          <w:rFonts w:ascii="Times New Roman" w:hAnsi="Times New Roman"/>
          <w:szCs w:val="24"/>
        </w:rPr>
      </w:pPr>
    </w:p>
    <w:p w:rsidR="001B74B3" w:rsidRPr="00D90B40" w:rsidP="001B74B3" w14:paraId="59EB3AFE" w14:textId="77777777">
      <w:pPr>
        <w:tabs>
          <w:tab w:val="left" w:pos="-720"/>
        </w:tabs>
        <w:suppressAutoHyphens/>
        <w:ind w:left="720"/>
        <w:rPr>
          <w:rFonts w:asciiTheme="minorHAnsi" w:hAnsiTheme="minorHAnsi" w:cstheme="minorHAnsi"/>
          <w:szCs w:val="24"/>
          <w:u w:val="single"/>
        </w:rPr>
      </w:pPr>
      <w:r w:rsidRPr="00D90B40">
        <w:rPr>
          <w:rFonts w:asciiTheme="minorHAnsi" w:hAnsiTheme="minorHAnsi" w:cstheme="minorHAnsi"/>
          <w:szCs w:val="24"/>
          <w:u w:val="single"/>
        </w:rPr>
        <w:t>Difference from previous to proposed new inventory</w:t>
      </w:r>
    </w:p>
    <w:p w:rsidR="001B74B3" w:rsidRPr="00E96173" w:rsidP="001B74B3" w14:paraId="3043143E" w14:textId="70AB841D">
      <w:pPr>
        <w:suppressAutoHyphens/>
        <w:ind w:left="720"/>
        <w:rPr>
          <w:rFonts w:asciiTheme="minorHAnsi" w:hAnsiTheme="minorHAnsi" w:cstheme="minorHAnsi"/>
          <w:szCs w:val="24"/>
        </w:rPr>
      </w:pPr>
      <w:r w:rsidRPr="00E96173">
        <w:rPr>
          <w:rFonts w:asciiTheme="minorHAnsi" w:hAnsiTheme="minorHAnsi" w:cstheme="minorHAnsi"/>
          <w:szCs w:val="24"/>
        </w:rPr>
        <w:tab/>
        <w:t># of Respondents</w:t>
      </w:r>
      <w:r w:rsidRPr="00E96173">
        <w:rPr>
          <w:rFonts w:asciiTheme="minorHAnsi" w:hAnsiTheme="minorHAnsi" w:cstheme="minorHAnsi"/>
          <w:szCs w:val="24"/>
        </w:rPr>
        <w:tab/>
        <w:t># of Responses</w:t>
      </w:r>
      <w:r w:rsidRPr="00E96173">
        <w:rPr>
          <w:rFonts w:asciiTheme="minorHAnsi" w:hAnsiTheme="minorHAnsi" w:cstheme="minorHAnsi"/>
          <w:szCs w:val="24"/>
        </w:rPr>
        <w:tab/>
        <w:t>Burden Hours</w:t>
      </w:r>
    </w:p>
    <w:p w:rsidR="001B74B3" w:rsidRPr="00E96173" w:rsidP="001B74B3" w14:paraId="186C4C91" w14:textId="6E064962">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ab/>
        <w:t xml:space="preserve">          </w:t>
      </w:r>
      <w:r w:rsidR="00D90B40">
        <w:rPr>
          <w:rFonts w:asciiTheme="minorHAnsi" w:hAnsiTheme="minorHAnsi" w:cstheme="minorHAnsi"/>
          <w:szCs w:val="24"/>
        </w:rPr>
        <w:t>+18,394</w:t>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00D90B40">
        <w:rPr>
          <w:rFonts w:asciiTheme="minorHAnsi" w:hAnsiTheme="minorHAnsi" w:cstheme="minorHAnsi"/>
          <w:szCs w:val="24"/>
        </w:rPr>
        <w:t>+36,788</w:t>
      </w:r>
      <w:r w:rsidRPr="00E96173">
        <w:rPr>
          <w:rFonts w:asciiTheme="minorHAnsi" w:hAnsiTheme="minorHAnsi" w:cstheme="minorHAnsi"/>
          <w:szCs w:val="24"/>
        </w:rPr>
        <w:tab/>
      </w:r>
      <w:r w:rsidRPr="00E96173">
        <w:rPr>
          <w:rFonts w:asciiTheme="minorHAnsi" w:hAnsiTheme="minorHAnsi" w:cstheme="minorHAnsi"/>
          <w:szCs w:val="24"/>
        </w:rPr>
        <w:tab/>
      </w:r>
      <w:r w:rsidR="00D90B40">
        <w:rPr>
          <w:rFonts w:asciiTheme="minorHAnsi" w:hAnsiTheme="minorHAnsi" w:cstheme="minorHAnsi"/>
          <w:szCs w:val="24"/>
        </w:rPr>
        <w:t xml:space="preserve">  </w:t>
      </w:r>
      <w:r w:rsidRPr="00E96173">
        <w:rPr>
          <w:rFonts w:asciiTheme="minorHAnsi" w:hAnsiTheme="minorHAnsi" w:cstheme="minorHAnsi"/>
          <w:szCs w:val="24"/>
        </w:rPr>
        <w:t xml:space="preserve">  </w:t>
      </w:r>
      <w:r w:rsidR="00D90B40">
        <w:rPr>
          <w:rFonts w:asciiTheme="minorHAnsi" w:hAnsiTheme="minorHAnsi" w:cstheme="minorHAnsi"/>
          <w:szCs w:val="24"/>
        </w:rPr>
        <w:t>+4,597</w:t>
      </w:r>
    </w:p>
    <w:p w:rsidR="001B74B3" w:rsidP="00756FD3" w14:paraId="09F40867" w14:textId="77777777">
      <w:pPr>
        <w:pStyle w:val="Caption"/>
        <w:jc w:val="center"/>
        <w:rPr>
          <w:rFonts w:ascii="Times New Roman" w:hAnsi="Times New Roman"/>
          <w:color w:val="000000" w:themeColor="text1"/>
          <w:sz w:val="24"/>
          <w:szCs w:val="24"/>
        </w:rPr>
      </w:pPr>
    </w:p>
    <w:p w:rsidR="00ED7195" w:rsidP="00756FD3" w14:paraId="64280E96" w14:textId="70BFD24F">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810" w:type="dxa"/>
        <w:tblLayout w:type="fixed"/>
        <w:tblLook w:val="0020"/>
      </w:tblPr>
      <w:tblGrid>
        <w:gridCol w:w="2340"/>
        <w:gridCol w:w="1275"/>
        <w:gridCol w:w="1080"/>
        <w:gridCol w:w="1335"/>
        <w:gridCol w:w="900"/>
        <w:gridCol w:w="1530"/>
        <w:gridCol w:w="1350"/>
      </w:tblGrid>
      <w:tr w14:paraId="30194A75" w14:textId="77777777" w:rsidTr="00C1216F">
        <w:tblPrEx>
          <w:tblW w:w="9810" w:type="dxa"/>
          <w:tblLayout w:type="fixed"/>
          <w:tblLook w:val="0020"/>
        </w:tblPrEx>
        <w:trPr>
          <w:tblHeader/>
        </w:trPr>
        <w:tc>
          <w:tcPr>
            <w:tcW w:w="2340" w:type="dxa"/>
          </w:tcPr>
          <w:p w:rsidR="009C37AF" w:rsidRPr="007F6104" w:rsidP="00824710"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824710"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824710"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824710"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824710"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824710"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RPr="007F6104" w:rsidP="00824710"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C1216F">
        <w:tblPrEx>
          <w:tblW w:w="9810" w:type="dxa"/>
          <w:tblLayout w:type="fixed"/>
          <w:tblLook w:val="0020"/>
        </w:tblPrEx>
        <w:tc>
          <w:tcPr>
            <w:tcW w:w="2340"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824710" w:rsidP="00824710" w14:paraId="55A5A72E" w14:textId="70F58806">
            <w:pPr>
              <w:jc w:val="right"/>
              <w:rPr>
                <w:rFonts w:ascii="Times New Roman" w:hAnsi="Times New Roman"/>
                <w:szCs w:val="24"/>
              </w:rPr>
            </w:pPr>
            <w:r w:rsidRPr="00824710">
              <w:rPr>
                <w:rFonts w:asciiTheme="minorHAnsi" w:hAnsiTheme="minorHAnsi" w:cstheme="minorHAnsi"/>
                <w:szCs w:val="24"/>
              </w:rPr>
              <w:t>59,180</w:t>
            </w:r>
          </w:p>
        </w:tc>
        <w:tc>
          <w:tcPr>
            <w:tcW w:w="1080" w:type="dxa"/>
          </w:tcPr>
          <w:p w:rsidR="009C37AF" w:rsidRPr="00824710" w:rsidP="00824710" w14:paraId="4F0B7217" w14:textId="538519D4">
            <w:pPr>
              <w:jc w:val="right"/>
              <w:rPr>
                <w:rFonts w:ascii="Times New Roman" w:hAnsi="Times New Roman"/>
                <w:szCs w:val="24"/>
              </w:rPr>
            </w:pPr>
            <w:r w:rsidRPr="00824710">
              <w:rPr>
                <w:rFonts w:asciiTheme="minorHAnsi" w:hAnsiTheme="minorHAnsi" w:cstheme="minorHAnsi"/>
                <w:szCs w:val="24"/>
              </w:rPr>
              <w:t>59,180</w:t>
            </w:r>
          </w:p>
        </w:tc>
        <w:tc>
          <w:tcPr>
            <w:tcW w:w="1335" w:type="dxa"/>
          </w:tcPr>
          <w:p w:rsidR="009C37AF" w:rsidRPr="00824710" w:rsidP="005D28E6" w14:paraId="0524C928" w14:textId="6160F09F">
            <w:pPr>
              <w:jc w:val="center"/>
              <w:rPr>
                <w:rFonts w:ascii="Times New Roman" w:hAnsi="Times New Roman"/>
                <w:szCs w:val="24"/>
              </w:rPr>
            </w:pPr>
            <w:r w:rsidRPr="00824710">
              <w:rPr>
                <w:rFonts w:asciiTheme="minorHAnsi" w:hAnsiTheme="minorHAnsi" w:cstheme="minorHAnsi"/>
                <w:szCs w:val="24"/>
              </w:rPr>
              <w:t>.08 hours</w:t>
            </w:r>
          </w:p>
        </w:tc>
        <w:tc>
          <w:tcPr>
            <w:tcW w:w="900" w:type="dxa"/>
          </w:tcPr>
          <w:p w:rsidR="009C37AF" w:rsidRPr="00824710" w:rsidP="00824710" w14:paraId="6F45AD1D" w14:textId="109458C3">
            <w:pPr>
              <w:jc w:val="right"/>
              <w:rPr>
                <w:rFonts w:ascii="Times New Roman" w:hAnsi="Times New Roman"/>
                <w:szCs w:val="24"/>
              </w:rPr>
            </w:pPr>
            <w:r w:rsidRPr="00824710">
              <w:rPr>
                <w:rFonts w:asciiTheme="minorHAnsi" w:hAnsiTheme="minorHAnsi" w:cstheme="minorHAnsi"/>
                <w:szCs w:val="24"/>
              </w:rPr>
              <w:t>4,734</w:t>
            </w:r>
          </w:p>
        </w:tc>
        <w:tc>
          <w:tcPr>
            <w:tcW w:w="1530" w:type="dxa"/>
          </w:tcPr>
          <w:p w:rsidR="009C37AF" w:rsidRPr="00F47293" w:rsidP="00824710" w14:paraId="5F0F2A78" w14:textId="1AD1D0F8">
            <w:pPr>
              <w:jc w:val="right"/>
              <w:rPr>
                <w:rFonts w:asciiTheme="minorHAnsi" w:hAnsiTheme="minorHAnsi" w:cstheme="minorHAnsi"/>
                <w:szCs w:val="24"/>
              </w:rPr>
            </w:pPr>
            <w:r w:rsidRPr="00F47293">
              <w:rPr>
                <w:rFonts w:asciiTheme="minorHAnsi" w:hAnsiTheme="minorHAnsi" w:cstheme="minorHAnsi"/>
                <w:szCs w:val="24"/>
              </w:rPr>
              <w:t>$22.26</w:t>
            </w:r>
          </w:p>
        </w:tc>
        <w:tc>
          <w:tcPr>
            <w:tcW w:w="1350" w:type="dxa"/>
          </w:tcPr>
          <w:p w:rsidR="009C37AF" w:rsidRPr="00F47293" w:rsidP="00824710" w14:paraId="63DD1E06" w14:textId="5B9D9039">
            <w:pPr>
              <w:jc w:val="right"/>
              <w:rPr>
                <w:rFonts w:asciiTheme="minorHAnsi" w:hAnsiTheme="minorHAnsi" w:cstheme="minorHAnsi"/>
                <w:szCs w:val="24"/>
              </w:rPr>
            </w:pPr>
            <w:r>
              <w:rPr>
                <w:rFonts w:asciiTheme="minorHAnsi" w:hAnsiTheme="minorHAnsi" w:cstheme="minorHAnsi"/>
                <w:szCs w:val="24"/>
              </w:rPr>
              <w:t>$105,379</w:t>
            </w:r>
          </w:p>
        </w:tc>
      </w:tr>
      <w:tr w14:paraId="0E729D89" w14:textId="77777777" w:rsidTr="00C1216F">
        <w:tblPrEx>
          <w:tblW w:w="9810" w:type="dxa"/>
          <w:tblLayout w:type="fixed"/>
          <w:tblLook w:val="0020"/>
        </w:tblPrEx>
        <w:tc>
          <w:tcPr>
            <w:tcW w:w="2340"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824710" w:rsidP="00824710" w14:paraId="2DD92A89" w14:textId="637F7FF0">
            <w:pPr>
              <w:jc w:val="right"/>
              <w:rPr>
                <w:rFonts w:ascii="Times New Roman" w:hAnsi="Times New Roman"/>
                <w:szCs w:val="24"/>
              </w:rPr>
            </w:pPr>
            <w:r w:rsidRPr="00824710">
              <w:rPr>
                <w:rFonts w:asciiTheme="minorHAnsi" w:hAnsiTheme="minorHAnsi" w:cstheme="minorHAnsi"/>
                <w:szCs w:val="24"/>
              </w:rPr>
              <w:t>1,748</w:t>
            </w:r>
          </w:p>
        </w:tc>
        <w:tc>
          <w:tcPr>
            <w:tcW w:w="1080" w:type="dxa"/>
          </w:tcPr>
          <w:p w:rsidR="009C37AF" w:rsidRPr="00824710" w:rsidP="00824710" w14:paraId="7F418FD3" w14:textId="674DEBB9">
            <w:pPr>
              <w:jc w:val="right"/>
              <w:rPr>
                <w:rFonts w:ascii="Times New Roman" w:hAnsi="Times New Roman"/>
                <w:szCs w:val="24"/>
              </w:rPr>
            </w:pPr>
            <w:r w:rsidRPr="00824710">
              <w:rPr>
                <w:rFonts w:asciiTheme="minorHAnsi" w:hAnsiTheme="minorHAnsi" w:cstheme="minorHAnsi"/>
                <w:szCs w:val="24"/>
              </w:rPr>
              <w:t>19,529</w:t>
            </w:r>
          </w:p>
        </w:tc>
        <w:tc>
          <w:tcPr>
            <w:tcW w:w="1335" w:type="dxa"/>
          </w:tcPr>
          <w:p w:rsidR="009C37AF" w:rsidRPr="00824710" w:rsidP="005D28E6" w14:paraId="11378B7D" w14:textId="1153D6AD">
            <w:pPr>
              <w:jc w:val="center"/>
              <w:rPr>
                <w:rFonts w:ascii="Times New Roman" w:hAnsi="Times New Roman"/>
                <w:szCs w:val="24"/>
              </w:rPr>
            </w:pPr>
            <w:r w:rsidRPr="00824710">
              <w:rPr>
                <w:rFonts w:asciiTheme="minorHAnsi" w:hAnsiTheme="minorHAnsi" w:cstheme="minorHAnsi"/>
                <w:szCs w:val="24"/>
              </w:rPr>
              <w:t>.17 hours</w:t>
            </w:r>
          </w:p>
        </w:tc>
        <w:tc>
          <w:tcPr>
            <w:tcW w:w="900" w:type="dxa"/>
          </w:tcPr>
          <w:p w:rsidR="009C37AF" w:rsidRPr="00824710" w:rsidP="00824710" w14:paraId="1AEEFB60" w14:textId="72CBCC19">
            <w:pPr>
              <w:pStyle w:val="EndnoteText"/>
              <w:tabs>
                <w:tab w:val="clear" w:pos="-720"/>
              </w:tabs>
              <w:suppressAutoHyphens w:val="0"/>
              <w:jc w:val="right"/>
              <w:rPr>
                <w:rFonts w:ascii="Times New Roman" w:hAnsi="Times New Roman"/>
                <w:szCs w:val="24"/>
              </w:rPr>
            </w:pPr>
            <w:r w:rsidRPr="00824710">
              <w:rPr>
                <w:rFonts w:asciiTheme="minorHAnsi" w:hAnsiTheme="minorHAnsi" w:cstheme="minorHAnsi"/>
                <w:szCs w:val="24"/>
              </w:rPr>
              <w:t>3,320</w:t>
            </w:r>
          </w:p>
        </w:tc>
        <w:tc>
          <w:tcPr>
            <w:tcW w:w="1530" w:type="dxa"/>
          </w:tcPr>
          <w:p w:rsidR="009C37AF" w:rsidRPr="00F47293" w:rsidP="00824710" w14:paraId="5D2E57DB" w14:textId="2AF2BAF6">
            <w:pPr>
              <w:jc w:val="right"/>
              <w:rPr>
                <w:rFonts w:asciiTheme="minorHAnsi" w:hAnsiTheme="minorHAnsi" w:cstheme="minorHAnsi"/>
                <w:szCs w:val="24"/>
              </w:rPr>
            </w:pPr>
            <w:r>
              <w:rPr>
                <w:rFonts w:asciiTheme="minorHAnsi" w:hAnsiTheme="minorHAnsi" w:cstheme="minorHAnsi"/>
              </w:rPr>
              <w:t>$48.05</w:t>
            </w:r>
          </w:p>
        </w:tc>
        <w:tc>
          <w:tcPr>
            <w:tcW w:w="1350" w:type="dxa"/>
          </w:tcPr>
          <w:p w:rsidR="009C37AF" w:rsidRPr="00F47293" w:rsidP="00824710" w14:paraId="55ED5F6C" w14:textId="24573C62">
            <w:pPr>
              <w:jc w:val="right"/>
              <w:rPr>
                <w:rFonts w:asciiTheme="minorHAnsi" w:hAnsiTheme="minorHAnsi" w:cstheme="minorHAnsi"/>
                <w:szCs w:val="24"/>
              </w:rPr>
            </w:pPr>
            <w:r>
              <w:rPr>
                <w:rFonts w:asciiTheme="minorHAnsi" w:hAnsiTheme="minorHAnsi" w:cstheme="minorHAnsi"/>
                <w:szCs w:val="24"/>
              </w:rPr>
              <w:t>$159,526</w:t>
            </w:r>
          </w:p>
        </w:tc>
      </w:tr>
      <w:tr w14:paraId="3613CD1F" w14:textId="77777777" w:rsidTr="00C1216F">
        <w:tblPrEx>
          <w:tblW w:w="9810" w:type="dxa"/>
          <w:tblLayout w:type="fixed"/>
          <w:tblLook w:val="0020"/>
        </w:tblPrEx>
        <w:tc>
          <w:tcPr>
            <w:tcW w:w="2340"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824710" w:rsidP="00824710" w14:paraId="5E785442" w14:textId="76C759E9">
            <w:pPr>
              <w:jc w:val="right"/>
              <w:rPr>
                <w:rFonts w:ascii="Times New Roman" w:hAnsi="Times New Roman"/>
                <w:szCs w:val="24"/>
              </w:rPr>
            </w:pPr>
            <w:r w:rsidRPr="00824710">
              <w:rPr>
                <w:rFonts w:asciiTheme="minorHAnsi" w:hAnsiTheme="minorHAnsi" w:cstheme="minorHAnsi"/>
                <w:szCs w:val="24"/>
              </w:rPr>
              <w:t>1,700</w:t>
            </w:r>
          </w:p>
        </w:tc>
        <w:tc>
          <w:tcPr>
            <w:tcW w:w="1080" w:type="dxa"/>
          </w:tcPr>
          <w:p w:rsidR="009C37AF" w:rsidRPr="00824710" w:rsidP="00824710" w14:paraId="49455BBE" w14:textId="537912AB">
            <w:pPr>
              <w:jc w:val="right"/>
              <w:rPr>
                <w:rFonts w:ascii="Times New Roman" w:hAnsi="Times New Roman"/>
                <w:szCs w:val="24"/>
              </w:rPr>
            </w:pPr>
            <w:r w:rsidRPr="00824710">
              <w:rPr>
                <w:rFonts w:asciiTheme="minorHAnsi" w:hAnsiTheme="minorHAnsi" w:cstheme="minorHAnsi"/>
                <w:szCs w:val="24"/>
              </w:rPr>
              <w:t>18,938</w:t>
            </w:r>
          </w:p>
        </w:tc>
        <w:tc>
          <w:tcPr>
            <w:tcW w:w="1335" w:type="dxa"/>
          </w:tcPr>
          <w:p w:rsidR="009C37AF" w:rsidRPr="00824710" w:rsidP="005D28E6" w14:paraId="04DD53DB" w14:textId="5DA273FD">
            <w:pPr>
              <w:jc w:val="center"/>
              <w:rPr>
                <w:rFonts w:ascii="Times New Roman" w:hAnsi="Times New Roman"/>
                <w:szCs w:val="24"/>
              </w:rPr>
            </w:pPr>
            <w:r w:rsidRPr="00824710">
              <w:rPr>
                <w:rFonts w:asciiTheme="minorHAnsi" w:hAnsiTheme="minorHAnsi" w:cstheme="minorHAnsi"/>
                <w:szCs w:val="24"/>
              </w:rPr>
              <w:t>.17 hours</w:t>
            </w:r>
          </w:p>
        </w:tc>
        <w:tc>
          <w:tcPr>
            <w:tcW w:w="900" w:type="dxa"/>
          </w:tcPr>
          <w:p w:rsidR="009C37AF" w:rsidRPr="00824710" w:rsidP="00824710" w14:paraId="39E6A524" w14:textId="6E81AA37">
            <w:pPr>
              <w:pStyle w:val="EndnoteText"/>
              <w:tabs>
                <w:tab w:val="clear" w:pos="-720"/>
              </w:tabs>
              <w:suppressAutoHyphens w:val="0"/>
              <w:jc w:val="right"/>
              <w:rPr>
                <w:rFonts w:ascii="Times New Roman" w:hAnsi="Times New Roman"/>
                <w:szCs w:val="24"/>
              </w:rPr>
            </w:pPr>
            <w:r w:rsidRPr="00824710">
              <w:rPr>
                <w:rFonts w:asciiTheme="minorHAnsi" w:hAnsiTheme="minorHAnsi" w:cstheme="minorHAnsi"/>
                <w:szCs w:val="24"/>
              </w:rPr>
              <w:t>3,219</w:t>
            </w:r>
          </w:p>
        </w:tc>
        <w:tc>
          <w:tcPr>
            <w:tcW w:w="1530" w:type="dxa"/>
          </w:tcPr>
          <w:p w:rsidR="009C37AF" w:rsidRPr="00F47293" w:rsidP="00824710" w14:paraId="605A32D6" w14:textId="3CFB2996">
            <w:pPr>
              <w:jc w:val="right"/>
              <w:rPr>
                <w:rFonts w:asciiTheme="minorHAnsi" w:hAnsiTheme="minorHAnsi" w:cstheme="minorHAnsi"/>
                <w:szCs w:val="24"/>
              </w:rPr>
            </w:pPr>
            <w:r>
              <w:rPr>
                <w:rFonts w:asciiTheme="minorHAnsi" w:hAnsiTheme="minorHAnsi" w:cstheme="minorHAnsi"/>
              </w:rPr>
              <w:t>$48.05</w:t>
            </w:r>
          </w:p>
        </w:tc>
        <w:tc>
          <w:tcPr>
            <w:tcW w:w="1350" w:type="dxa"/>
          </w:tcPr>
          <w:p w:rsidR="009C37AF" w:rsidRPr="00F47293" w:rsidP="00824710" w14:paraId="7F5D36FF" w14:textId="063FFFFB">
            <w:pPr>
              <w:jc w:val="right"/>
              <w:rPr>
                <w:rFonts w:asciiTheme="minorHAnsi" w:hAnsiTheme="minorHAnsi" w:cstheme="minorHAnsi"/>
                <w:szCs w:val="24"/>
              </w:rPr>
            </w:pPr>
            <w:r>
              <w:rPr>
                <w:rFonts w:asciiTheme="minorHAnsi" w:hAnsiTheme="minorHAnsi" w:cstheme="minorHAnsi"/>
                <w:szCs w:val="24"/>
              </w:rPr>
              <w:t>$154,673</w:t>
            </w:r>
          </w:p>
        </w:tc>
      </w:tr>
      <w:tr w14:paraId="17134648" w14:textId="77777777" w:rsidTr="00C1216F">
        <w:tblPrEx>
          <w:tblW w:w="9810" w:type="dxa"/>
          <w:tblLayout w:type="fixed"/>
          <w:tblLook w:val="0020"/>
        </w:tblPrEx>
        <w:tc>
          <w:tcPr>
            <w:tcW w:w="2340"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824710" w:rsidP="00824710" w14:paraId="44D0EC38" w14:textId="2D6CAC72">
            <w:pPr>
              <w:jc w:val="right"/>
              <w:rPr>
                <w:rFonts w:ascii="Times New Roman" w:hAnsi="Times New Roman"/>
                <w:szCs w:val="24"/>
              </w:rPr>
            </w:pPr>
            <w:r w:rsidRPr="00824710">
              <w:rPr>
                <w:rFonts w:asciiTheme="minorHAnsi" w:hAnsiTheme="minorHAnsi" w:cstheme="minorHAnsi"/>
                <w:szCs w:val="24"/>
              </w:rPr>
              <w:t>1,855</w:t>
            </w:r>
          </w:p>
        </w:tc>
        <w:tc>
          <w:tcPr>
            <w:tcW w:w="1080" w:type="dxa"/>
          </w:tcPr>
          <w:p w:rsidR="009C37AF" w:rsidRPr="00824710" w:rsidP="00824710" w14:paraId="1E02F8B0" w14:textId="37761EE4">
            <w:pPr>
              <w:jc w:val="right"/>
              <w:rPr>
                <w:rFonts w:ascii="Times New Roman" w:hAnsi="Times New Roman"/>
                <w:szCs w:val="24"/>
              </w:rPr>
            </w:pPr>
            <w:r w:rsidRPr="00824710">
              <w:rPr>
                <w:rFonts w:asciiTheme="minorHAnsi" w:hAnsiTheme="minorHAnsi" w:cstheme="minorHAnsi"/>
                <w:szCs w:val="24"/>
              </w:rPr>
              <w:t>20,713</w:t>
            </w:r>
          </w:p>
        </w:tc>
        <w:tc>
          <w:tcPr>
            <w:tcW w:w="1335" w:type="dxa"/>
          </w:tcPr>
          <w:p w:rsidR="009C37AF" w:rsidRPr="00824710" w:rsidP="005D28E6" w14:paraId="730B3154" w14:textId="117F8645">
            <w:pPr>
              <w:rPr>
                <w:rFonts w:ascii="Times New Roman" w:hAnsi="Times New Roman"/>
                <w:szCs w:val="24"/>
              </w:rPr>
            </w:pPr>
            <w:r w:rsidRPr="00824710">
              <w:rPr>
                <w:rFonts w:asciiTheme="minorHAnsi" w:hAnsiTheme="minorHAnsi" w:cstheme="minorHAnsi"/>
                <w:szCs w:val="24"/>
              </w:rPr>
              <w:t>.17 hours</w:t>
            </w:r>
          </w:p>
        </w:tc>
        <w:tc>
          <w:tcPr>
            <w:tcW w:w="900" w:type="dxa"/>
          </w:tcPr>
          <w:p w:rsidR="009C37AF" w:rsidRPr="00824710" w:rsidP="00824710" w14:paraId="0F7068F7" w14:textId="059B4CFB">
            <w:pPr>
              <w:jc w:val="right"/>
              <w:rPr>
                <w:rFonts w:ascii="Times New Roman" w:hAnsi="Times New Roman"/>
                <w:szCs w:val="24"/>
              </w:rPr>
            </w:pPr>
            <w:r w:rsidRPr="00824710">
              <w:rPr>
                <w:rFonts w:asciiTheme="minorHAnsi" w:hAnsiTheme="minorHAnsi" w:cstheme="minorHAnsi"/>
                <w:szCs w:val="24"/>
              </w:rPr>
              <w:t>3,521</w:t>
            </w:r>
          </w:p>
        </w:tc>
        <w:tc>
          <w:tcPr>
            <w:tcW w:w="1530" w:type="dxa"/>
          </w:tcPr>
          <w:p w:rsidR="009C37AF" w:rsidRPr="00F47293" w:rsidP="00824710" w14:paraId="66779289" w14:textId="0A773E81">
            <w:pPr>
              <w:jc w:val="right"/>
              <w:rPr>
                <w:rFonts w:asciiTheme="minorHAnsi" w:hAnsiTheme="minorHAnsi" w:cstheme="minorHAnsi"/>
                <w:szCs w:val="24"/>
              </w:rPr>
            </w:pPr>
            <w:r>
              <w:rPr>
                <w:rFonts w:asciiTheme="minorHAnsi" w:hAnsiTheme="minorHAnsi" w:cstheme="minorHAnsi"/>
              </w:rPr>
              <w:t>$48.05</w:t>
            </w:r>
          </w:p>
        </w:tc>
        <w:tc>
          <w:tcPr>
            <w:tcW w:w="1350" w:type="dxa"/>
          </w:tcPr>
          <w:p w:rsidR="009C37AF" w:rsidRPr="00F47293" w:rsidP="00824710" w14:paraId="143D8490" w14:textId="4F742CF7">
            <w:pPr>
              <w:jc w:val="right"/>
              <w:rPr>
                <w:rFonts w:asciiTheme="minorHAnsi" w:hAnsiTheme="minorHAnsi" w:cstheme="minorHAnsi"/>
                <w:szCs w:val="24"/>
              </w:rPr>
            </w:pPr>
            <w:r>
              <w:rPr>
                <w:rFonts w:asciiTheme="minorHAnsi" w:hAnsiTheme="minorHAnsi" w:cstheme="minorHAnsi"/>
                <w:szCs w:val="24"/>
              </w:rPr>
              <w:t>$169,184</w:t>
            </w:r>
          </w:p>
        </w:tc>
      </w:tr>
      <w:tr w14:paraId="3DEE77D3" w14:textId="77777777" w:rsidTr="00C1216F">
        <w:tblPrEx>
          <w:tblW w:w="9810" w:type="dxa"/>
          <w:tblLayout w:type="fixed"/>
          <w:tblLook w:val="0020"/>
        </w:tblPrEx>
        <w:tc>
          <w:tcPr>
            <w:tcW w:w="2340"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824710" w:rsidP="00824710" w14:paraId="224C2C47" w14:textId="02484FC1">
            <w:pPr>
              <w:jc w:val="right"/>
              <w:rPr>
                <w:rFonts w:ascii="Times New Roman" w:hAnsi="Times New Roman"/>
                <w:szCs w:val="24"/>
              </w:rPr>
            </w:pPr>
            <w:r w:rsidRPr="00824710">
              <w:rPr>
                <w:rFonts w:asciiTheme="minorHAnsi" w:hAnsiTheme="minorHAnsi" w:cstheme="minorHAnsi"/>
                <w:szCs w:val="24"/>
              </w:rPr>
              <w:t>64,483</w:t>
            </w:r>
          </w:p>
        </w:tc>
        <w:tc>
          <w:tcPr>
            <w:tcW w:w="1080" w:type="dxa"/>
          </w:tcPr>
          <w:p w:rsidR="009C37AF" w:rsidRPr="00824710" w:rsidP="00824710" w14:paraId="5F4B54EA" w14:textId="27A348BC">
            <w:pPr>
              <w:jc w:val="right"/>
              <w:rPr>
                <w:rFonts w:ascii="Times New Roman" w:hAnsi="Times New Roman"/>
                <w:szCs w:val="24"/>
              </w:rPr>
            </w:pPr>
            <w:r w:rsidRPr="00824710">
              <w:rPr>
                <w:rFonts w:asciiTheme="minorHAnsi" w:hAnsiTheme="minorHAnsi" w:cstheme="minorHAnsi"/>
                <w:szCs w:val="24"/>
              </w:rPr>
              <w:t>118,360</w:t>
            </w:r>
          </w:p>
        </w:tc>
        <w:tc>
          <w:tcPr>
            <w:tcW w:w="1335" w:type="dxa"/>
          </w:tcPr>
          <w:p w:rsidR="009C37AF" w:rsidRPr="00824710" w:rsidP="005D28E6" w14:paraId="68058CE4" w14:textId="77777777">
            <w:pPr>
              <w:rPr>
                <w:rFonts w:ascii="Times New Roman" w:hAnsi="Times New Roman"/>
                <w:szCs w:val="24"/>
              </w:rPr>
            </w:pPr>
          </w:p>
        </w:tc>
        <w:tc>
          <w:tcPr>
            <w:tcW w:w="900" w:type="dxa"/>
          </w:tcPr>
          <w:p w:rsidR="009C37AF" w:rsidRPr="00824710" w:rsidP="00824710" w14:paraId="37FAF8A5" w14:textId="1E47A184">
            <w:pPr>
              <w:jc w:val="right"/>
              <w:rPr>
                <w:rFonts w:ascii="Times New Roman" w:hAnsi="Times New Roman"/>
                <w:szCs w:val="24"/>
              </w:rPr>
            </w:pPr>
            <w:r w:rsidRPr="00824710">
              <w:rPr>
                <w:rFonts w:asciiTheme="minorHAnsi" w:hAnsiTheme="minorHAnsi" w:cstheme="minorHAnsi"/>
                <w:szCs w:val="24"/>
              </w:rPr>
              <w:t>14,794</w:t>
            </w:r>
          </w:p>
        </w:tc>
        <w:tc>
          <w:tcPr>
            <w:tcW w:w="1530" w:type="dxa"/>
          </w:tcPr>
          <w:p w:rsidR="009C37AF" w:rsidRPr="00F47293" w:rsidP="00824710" w14:paraId="3221A869" w14:textId="77777777">
            <w:pPr>
              <w:jc w:val="right"/>
              <w:rPr>
                <w:rFonts w:asciiTheme="minorHAnsi" w:hAnsiTheme="minorHAnsi" w:cstheme="minorHAnsi"/>
                <w:szCs w:val="24"/>
              </w:rPr>
            </w:pPr>
          </w:p>
        </w:tc>
        <w:tc>
          <w:tcPr>
            <w:tcW w:w="1350" w:type="dxa"/>
          </w:tcPr>
          <w:p w:rsidR="009C37AF" w:rsidRPr="00F47293" w:rsidP="00824710" w14:paraId="50468F26" w14:textId="2FAB405D">
            <w:pPr>
              <w:jc w:val="right"/>
              <w:rPr>
                <w:rFonts w:asciiTheme="minorHAnsi" w:hAnsiTheme="minorHAnsi" w:cstheme="minorHAnsi"/>
                <w:szCs w:val="24"/>
              </w:rPr>
            </w:pPr>
            <w:r>
              <w:rPr>
                <w:rFonts w:asciiTheme="minorHAnsi" w:hAnsiTheme="minorHAnsi" w:cstheme="minorHAnsi"/>
                <w:szCs w:val="24"/>
              </w:rPr>
              <w:t>$588,762</w:t>
            </w:r>
          </w:p>
        </w:tc>
      </w:tr>
    </w:tbl>
    <w:p w:rsidR="00C1216F" w:rsidP="00F47293" w14:paraId="5C987E56" w14:textId="77777777">
      <w:pPr>
        <w:pStyle w:val="ListParagraph"/>
        <w:tabs>
          <w:tab w:val="left" w:pos="-720"/>
        </w:tabs>
        <w:suppressAutoHyphens/>
        <w:ind w:left="0" w:right="-864"/>
        <w:rPr>
          <w:rFonts w:asciiTheme="minorHAnsi" w:hAnsiTheme="minorHAnsi" w:cstheme="minorHAnsi"/>
        </w:rPr>
      </w:pPr>
      <w:bookmarkStart w:id="0" w:name="_Hlk118704198"/>
    </w:p>
    <w:p w:rsidR="00F47293" w:rsidP="00F47293" w14:paraId="62D7FEF0" w14:textId="092B48E7">
      <w:pPr>
        <w:pStyle w:val="ListParagraph"/>
        <w:tabs>
          <w:tab w:val="left" w:pos="-720"/>
        </w:tabs>
        <w:suppressAutoHyphens/>
        <w:ind w:left="0" w:right="-864"/>
        <w:rPr>
          <w:rFonts w:asciiTheme="minorHAnsi" w:hAnsiTheme="minorHAnsi" w:cstheme="minorHAnsi"/>
        </w:rPr>
      </w:pPr>
      <w:r>
        <w:rPr>
          <w:rFonts w:asciiTheme="minorHAnsi" w:hAnsiTheme="minorHAnsi" w:cstheme="minorHAnsi"/>
        </w:rPr>
        <w:t xml:space="preserve">For individuals we have used the median hourly wage for all occupations, $22.26 per hour according to BLS. </w:t>
      </w:r>
      <w:hyperlink r:id="rId11"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0"/>
    <w:p w:rsidR="00F47293" w:rsidP="00F47293" w14:paraId="135C159B" w14:textId="77777777">
      <w:pPr>
        <w:pStyle w:val="ListParagraph"/>
        <w:tabs>
          <w:tab w:val="left" w:pos="-720"/>
        </w:tabs>
        <w:suppressAutoHyphens/>
        <w:ind w:left="-864" w:right="-864"/>
        <w:rPr>
          <w:rFonts w:asciiTheme="minorHAnsi" w:hAnsiTheme="minorHAnsi" w:cstheme="minorHAnsi"/>
        </w:rPr>
      </w:pPr>
    </w:p>
    <w:p w:rsidR="00F47293" w:rsidP="00F47293" w14:paraId="4EB59BAC" w14:textId="77777777">
      <w:pPr>
        <w:pStyle w:val="ListParagraph"/>
        <w:tabs>
          <w:tab w:val="left" w:pos="-720"/>
        </w:tabs>
        <w:suppressAutoHyphens/>
        <w:ind w:left="0" w:right="-864"/>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$48.05 per hour according to BLS. </w:t>
      </w:r>
      <w:hyperlink r:id="rId12"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1B74B3" w:rsidRPr="00E96173" w:rsidP="009E0001" w14:paraId="39B46D01" w14:textId="4163B846">
      <w:pPr>
        <w:tabs>
          <w:tab w:val="left" w:pos="-720"/>
        </w:tabs>
        <w:suppressAutoHyphens/>
        <w:rPr>
          <w:rFonts w:asciiTheme="minorHAnsi" w:hAnsiTheme="minorHAnsi" w:cstheme="minorHAnsi"/>
          <w:szCs w:val="24"/>
        </w:rPr>
      </w:pPr>
      <w:r w:rsidRPr="00ED7195">
        <w:rPr>
          <w:rFonts w:ascii="Times New Roman" w:hAnsi="Times New Roman"/>
          <w:b/>
          <w:szCs w:val="24"/>
        </w:rPr>
        <w:tab/>
      </w:r>
      <w:r w:rsidRPr="009E0001">
        <w:rPr>
          <w:rFonts w:ascii="Times New Roman" w:hAnsi="Times New Roman"/>
          <w:b/>
          <w:bCs/>
          <w:szCs w:val="24"/>
        </w:rPr>
        <w:t>Total Annualized Capital/Startup Cost:</w:t>
      </w:r>
      <w:r w:rsidRPr="00E96173">
        <w:rPr>
          <w:rFonts w:ascii="Times New Roman" w:hAnsi="Times New Roman"/>
          <w:szCs w:val="24"/>
        </w:rPr>
        <w:t xml:space="preserve"> </w:t>
      </w:r>
      <w:bookmarkStart w:id="1" w:name="Startup"/>
      <w:r w:rsidRPr="00F47293">
        <w:rPr>
          <w:rFonts w:asciiTheme="minorHAnsi" w:hAnsiTheme="minorHAnsi" w:cstheme="minorHAns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47293">
        <w:rPr>
          <w:rFonts w:asciiTheme="minorHAnsi" w:hAnsiTheme="minorHAnsi" w:cstheme="minorHAnsi"/>
          <w:szCs w:val="24"/>
        </w:rPr>
        <w:instrText xml:space="preserve"> FORMTEXT </w:instrText>
      </w:r>
      <w:r w:rsidRPr="00F47293">
        <w:rPr>
          <w:rFonts w:asciiTheme="minorHAnsi" w:hAnsiTheme="minorHAnsi" w:cstheme="minorHAnsi"/>
          <w:szCs w:val="24"/>
        </w:rPr>
        <w:fldChar w:fldCharType="separate"/>
      </w:r>
      <w:r w:rsidRPr="00F47293">
        <w:rPr>
          <w:rFonts w:asciiTheme="minorHAnsi" w:hAnsiTheme="minorHAnsi" w:cstheme="minorHAnsi"/>
          <w:noProof/>
          <w:szCs w:val="24"/>
        </w:rPr>
        <w:t> </w:t>
      </w:r>
      <w:r w:rsidRPr="00F47293">
        <w:rPr>
          <w:rFonts w:asciiTheme="minorHAnsi" w:hAnsiTheme="minorHAnsi" w:cstheme="minorHAnsi"/>
          <w:noProof/>
          <w:szCs w:val="24"/>
        </w:rPr>
        <w:t> </w:t>
      </w:r>
      <w:r w:rsidRPr="00F47293">
        <w:rPr>
          <w:rFonts w:asciiTheme="minorHAnsi" w:hAnsiTheme="minorHAnsi" w:cstheme="minorHAnsi"/>
          <w:noProof/>
          <w:szCs w:val="24"/>
        </w:rPr>
        <w:t> </w:t>
      </w:r>
      <w:r w:rsidRPr="00F47293">
        <w:rPr>
          <w:rFonts w:asciiTheme="minorHAnsi" w:hAnsiTheme="minorHAnsi" w:cstheme="minorHAnsi"/>
          <w:noProof/>
          <w:szCs w:val="24"/>
        </w:rPr>
        <w:t> </w:t>
      </w:r>
      <w:r w:rsidRPr="00F47293">
        <w:rPr>
          <w:rFonts w:asciiTheme="minorHAnsi" w:hAnsiTheme="minorHAnsi" w:cstheme="minorHAnsi"/>
          <w:szCs w:val="24"/>
        </w:rPr>
        <w:fldChar w:fldCharType="end"/>
      </w:r>
      <w:bookmarkEnd w:id="1"/>
      <w:r w:rsidRPr="00E96173">
        <w:rPr>
          <w:rFonts w:asciiTheme="minorHAnsi" w:hAnsiTheme="minorHAnsi" w:cstheme="minorHAnsi"/>
          <w:szCs w:val="24"/>
        </w:rPr>
        <w:t>$0</w:t>
      </w:r>
    </w:p>
    <w:p w:rsidR="001B74B3" w:rsidRPr="00E96173" w:rsidP="001B74B3" w14:paraId="3035B0FD" w14:textId="1EE20DE8">
      <w:pPr>
        <w:tabs>
          <w:tab w:val="left" w:pos="-720"/>
        </w:tabs>
        <w:suppressAutoHyphens/>
        <w:rPr>
          <w:rFonts w:asciiTheme="minorHAnsi" w:hAnsiTheme="minorHAnsi" w:cstheme="minorHAnsi"/>
          <w:szCs w:val="24"/>
        </w:rPr>
      </w:pPr>
      <w:r w:rsidRPr="00E96173">
        <w:rPr>
          <w:rFonts w:ascii="Times New Roman" w:hAnsi="Times New Roman"/>
          <w:szCs w:val="24"/>
        </w:rPr>
        <w:tab/>
      </w:r>
      <w:r w:rsidRPr="009E0001">
        <w:rPr>
          <w:rFonts w:ascii="Times New Roman" w:hAnsi="Times New Roman"/>
          <w:b/>
          <w:bCs/>
          <w:szCs w:val="24"/>
        </w:rPr>
        <w:t>Total Annual Costs (O&amp;M)</w:t>
      </w:r>
      <w:r w:rsidRPr="00E96173">
        <w:rPr>
          <w:rFonts w:ascii="Times New Roman" w:hAnsi="Times New Roman"/>
          <w:szCs w:val="24"/>
        </w:rPr>
        <w:tab/>
      </w:r>
      <w:r w:rsidRPr="00E96173">
        <w:rPr>
          <w:rFonts w:ascii="Times New Roman" w:hAnsi="Times New Roman"/>
          <w:szCs w:val="24"/>
        </w:rPr>
        <w:tab/>
      </w:r>
      <w:r w:rsidR="009E0001">
        <w:rPr>
          <w:rFonts w:ascii="Times New Roman" w:hAnsi="Times New Roman"/>
          <w:szCs w:val="24"/>
        </w:rPr>
        <w:t xml:space="preserve">     </w:t>
      </w:r>
      <w:r w:rsidRPr="00E96173">
        <w:rPr>
          <w:rFonts w:asciiTheme="minorHAnsi" w:hAnsiTheme="minorHAnsi" w:cstheme="minorHAnsi"/>
          <w:szCs w:val="24"/>
        </w:rPr>
        <w:t xml:space="preserve">       $ 0.75</w:t>
      </w:r>
      <w:r w:rsidRPr="00E96173">
        <w:rPr>
          <w:rFonts w:asciiTheme="minorHAnsi" w:hAnsiTheme="minorHAnsi" w:cstheme="minorHAnsi"/>
          <w:szCs w:val="24"/>
        </w:rPr>
        <w:tab/>
        <w:t>Photocopying and student interview</w:t>
      </w:r>
    </w:p>
    <w:p w:rsidR="001B74B3" w:rsidRPr="00E96173" w:rsidP="001B74B3" w14:paraId="16D3B746" w14:textId="4FBE2DAC">
      <w:pPr>
        <w:tabs>
          <w:tab w:val="left" w:pos="-720"/>
        </w:tabs>
        <w:suppressAutoHyphens/>
        <w:rPr>
          <w:rFonts w:ascii="Times New Roman" w:hAnsi="Times New Roman"/>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009E0001">
        <w:rPr>
          <w:rFonts w:asciiTheme="minorHAnsi" w:hAnsiTheme="minorHAnsi" w:cstheme="minorHAnsi"/>
          <w:szCs w:val="24"/>
        </w:rPr>
        <w:t xml:space="preserve">      </w:t>
      </w:r>
      <w:r w:rsidRPr="00E96173">
        <w:rPr>
          <w:rFonts w:asciiTheme="minorHAnsi" w:hAnsiTheme="minorHAnsi" w:cstheme="minorHAnsi"/>
          <w:szCs w:val="24"/>
          <w:u w:val="single"/>
        </w:rPr>
        <w:t xml:space="preserve"> X  10,197</w:t>
      </w:r>
      <w:r w:rsidRPr="00E96173">
        <w:rPr>
          <w:rFonts w:asciiTheme="minorHAnsi" w:hAnsiTheme="minorHAnsi" w:cstheme="minorHAnsi"/>
          <w:szCs w:val="24"/>
        </w:rPr>
        <w:tab/>
        <w:t>Estimated annual frequency</w:t>
      </w:r>
    </w:p>
    <w:p w:rsidR="001B74B3" w:rsidRPr="00E96173" w:rsidP="001B74B3" w14:paraId="28EEDF7D" w14:textId="52F36BA0">
      <w:pPr>
        <w:tabs>
          <w:tab w:val="left" w:pos="-720"/>
        </w:tabs>
        <w:suppressAutoHyphens/>
        <w:rPr>
          <w:rFonts w:ascii="Times New Roman" w:hAnsi="Times New Roman"/>
          <w:szCs w:val="24"/>
        </w:rPr>
      </w:pPr>
      <w:r w:rsidRPr="00E96173">
        <w:rPr>
          <w:rFonts w:ascii="Times New Roman" w:hAnsi="Times New Roman"/>
          <w:szCs w:val="24"/>
        </w:rPr>
        <w:tab/>
      </w:r>
      <w:r w:rsidRPr="009E0001">
        <w:rPr>
          <w:rFonts w:ascii="Times New Roman" w:hAnsi="Times New Roman"/>
          <w:b/>
          <w:bCs/>
          <w:szCs w:val="24"/>
        </w:rPr>
        <w:t>Total Annualized Costs Requested:</w:t>
      </w:r>
      <w:r w:rsidRPr="00E96173">
        <w:rPr>
          <w:rFonts w:ascii="Times New Roman" w:hAnsi="Times New Roman"/>
          <w:szCs w:val="24"/>
        </w:rPr>
        <w:t xml:space="preserve">  </w:t>
      </w:r>
      <w:r w:rsidRPr="00E96173">
        <w:rPr>
          <w:rFonts w:asciiTheme="minorHAnsi" w:hAnsiTheme="minorHAnsi" w:cstheme="minorHAnsi"/>
          <w:szCs w:val="24"/>
        </w:rPr>
        <w:t>=</w:t>
      </w:r>
      <w:r w:rsidR="009E0001">
        <w:rPr>
          <w:rFonts w:asciiTheme="minorHAnsi" w:hAnsiTheme="minorHAnsi" w:cstheme="minorHAnsi"/>
          <w:szCs w:val="24"/>
        </w:rPr>
        <w:t xml:space="preserve">  </w:t>
      </w:r>
      <w:r w:rsidRPr="00E96173">
        <w:rPr>
          <w:rFonts w:asciiTheme="minorHAnsi" w:hAnsiTheme="minorHAnsi" w:cstheme="minorHAnsi"/>
          <w:szCs w:val="24"/>
        </w:rPr>
        <w:t xml:space="preserve">     $7,648 </w:t>
      </w:r>
      <w:r w:rsidR="00F751DD">
        <w:rPr>
          <w:rFonts w:asciiTheme="minorHAnsi" w:hAnsiTheme="minorHAnsi" w:cstheme="minorHAnsi"/>
          <w:szCs w:val="24"/>
        </w:rPr>
        <w:t xml:space="preserve">  E</w:t>
      </w:r>
      <w:r w:rsidRPr="00E96173">
        <w:rPr>
          <w:rFonts w:asciiTheme="minorHAnsi" w:hAnsiTheme="minorHAnsi" w:cstheme="minorHAnsi"/>
          <w:szCs w:val="24"/>
        </w:rPr>
        <w:t>stimated cost</w:t>
      </w:r>
      <w:r w:rsidR="009E0842">
        <w:rPr>
          <w:rFonts w:asciiTheme="minorHAnsi" w:hAnsiTheme="minorHAnsi" w:cstheme="minorHAnsi"/>
          <w:szCs w:val="24"/>
        </w:rPr>
        <w:t xml:space="preserve"> </w:t>
      </w:r>
      <w:r w:rsidRPr="00E96173">
        <w:rPr>
          <w:rFonts w:asciiTheme="minorHAnsi" w:hAnsiTheme="minorHAnsi" w:cstheme="minorHAnsi"/>
          <w:szCs w:val="24"/>
        </w:rPr>
        <w:t>to respondents</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1B74B3" w:rsidRPr="00E96173" w:rsidP="001B74B3" w14:paraId="0A17595A" w14:textId="074C298C">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ED’s CPS Processing Costs</w:t>
      </w:r>
    </w:p>
    <w:p w:rsidR="001B74B3" w:rsidRPr="00E96173" w:rsidP="001B74B3" w14:paraId="3CCB8C97" w14:textId="7CAF5466">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00D90B40">
        <w:rPr>
          <w:rFonts w:asciiTheme="minorHAnsi" w:hAnsiTheme="minorHAnsi" w:cstheme="minorHAnsi"/>
          <w:szCs w:val="24"/>
        </w:rPr>
        <w:t>590,318</w:t>
      </w:r>
      <w:r w:rsidRPr="00E96173">
        <w:rPr>
          <w:rFonts w:asciiTheme="minorHAnsi" w:hAnsiTheme="minorHAnsi" w:cstheme="minorHAnsi"/>
          <w:szCs w:val="24"/>
        </w:rPr>
        <w:tab/>
        <w:t>Records sent to DHS</w:t>
      </w:r>
    </w:p>
    <w:p w:rsidR="001B74B3" w:rsidRPr="00E96173" w:rsidP="001B74B3" w14:paraId="67DD4DDA"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X    $0.01</w:t>
      </w:r>
      <w:r w:rsidRPr="00E96173">
        <w:rPr>
          <w:rFonts w:asciiTheme="minorHAnsi" w:hAnsiTheme="minorHAnsi" w:cstheme="minorHAnsi"/>
          <w:szCs w:val="24"/>
        </w:rPr>
        <w:tab/>
        <w:t>Processing cost per record</w:t>
      </w:r>
    </w:p>
    <w:p w:rsidR="001B74B3" w:rsidRPr="00E96173" w:rsidP="001B74B3" w14:paraId="30008B99" w14:textId="771F41B2">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008E72A5">
        <w:rPr>
          <w:rFonts w:asciiTheme="minorHAnsi" w:hAnsiTheme="minorHAnsi" w:cstheme="minorHAnsi"/>
          <w:szCs w:val="24"/>
        </w:rPr>
        <w:t>=</w:t>
      </w:r>
      <w:r w:rsidRPr="00E96173">
        <w:rPr>
          <w:rFonts w:asciiTheme="minorHAnsi" w:hAnsiTheme="minorHAnsi" w:cstheme="minorHAnsi"/>
          <w:szCs w:val="24"/>
        </w:rPr>
        <w:t xml:space="preserve">  $</w:t>
      </w:r>
      <w:r w:rsidR="00D90B40">
        <w:rPr>
          <w:rFonts w:asciiTheme="minorHAnsi" w:hAnsiTheme="minorHAnsi" w:cstheme="minorHAnsi"/>
          <w:szCs w:val="24"/>
        </w:rPr>
        <w:t>5,903</w:t>
      </w:r>
      <w:r w:rsidRPr="00E96173">
        <w:rPr>
          <w:rFonts w:asciiTheme="minorHAnsi" w:hAnsiTheme="minorHAnsi" w:cstheme="minorHAnsi"/>
          <w:szCs w:val="24"/>
        </w:rPr>
        <w:tab/>
        <w:t>Application processing</w:t>
      </w:r>
    </w:p>
    <w:p w:rsidR="001B74B3" w:rsidRPr="00E96173" w:rsidP="001B74B3" w14:paraId="1FF83989" w14:textId="77777777">
      <w:pPr>
        <w:tabs>
          <w:tab w:val="left" w:pos="-720"/>
        </w:tabs>
        <w:suppressAutoHyphens/>
        <w:rPr>
          <w:rFonts w:asciiTheme="minorHAnsi" w:hAnsiTheme="minorHAnsi" w:cstheme="minorHAnsi"/>
          <w:szCs w:val="24"/>
        </w:rPr>
      </w:pPr>
    </w:p>
    <w:p w:rsidR="001B74B3" w:rsidRPr="00E96173" w:rsidP="001B74B3" w14:paraId="10C40527"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t>ED’s Correction Processing Costs</w:t>
      </w:r>
    </w:p>
    <w:p w:rsidR="001B74B3" w:rsidRPr="00E96173" w:rsidP="001B74B3" w14:paraId="4B066E7A" w14:textId="5ED7739F">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009E0001">
        <w:rPr>
          <w:rFonts w:asciiTheme="minorHAnsi" w:hAnsiTheme="minorHAnsi" w:cstheme="minorHAnsi"/>
          <w:szCs w:val="24"/>
        </w:rPr>
        <w:t xml:space="preserve">    </w:t>
      </w:r>
      <w:r w:rsidR="00D90B40">
        <w:rPr>
          <w:rFonts w:asciiTheme="minorHAnsi" w:hAnsiTheme="minorHAnsi" w:cstheme="minorHAnsi"/>
          <w:szCs w:val="24"/>
        </w:rPr>
        <w:t>87,926</w:t>
      </w:r>
      <w:r w:rsidRPr="00E96173">
        <w:rPr>
          <w:rFonts w:asciiTheme="minorHAnsi" w:hAnsiTheme="minorHAnsi" w:cstheme="minorHAnsi"/>
          <w:szCs w:val="24"/>
        </w:rPr>
        <w:tab/>
        <w:t>No match records</w:t>
      </w:r>
    </w:p>
    <w:p w:rsidR="001B74B3" w:rsidRPr="00E96173" w:rsidP="001B74B3" w14:paraId="50C918D5"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X      0.25</w:t>
      </w:r>
      <w:r w:rsidRPr="00E96173">
        <w:rPr>
          <w:rFonts w:asciiTheme="minorHAnsi" w:hAnsiTheme="minorHAnsi" w:cstheme="minorHAnsi"/>
          <w:szCs w:val="24"/>
        </w:rPr>
        <w:tab/>
        <w:t>Percent returning as corrections</w:t>
      </w:r>
    </w:p>
    <w:p w:rsidR="001B74B3" w:rsidRPr="00E96173" w:rsidP="001B74B3" w14:paraId="4DCA8D67"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X      .084</w:t>
      </w:r>
      <w:r w:rsidRPr="00E96173">
        <w:rPr>
          <w:rFonts w:asciiTheme="minorHAnsi" w:hAnsiTheme="minorHAnsi" w:cstheme="minorHAnsi"/>
          <w:szCs w:val="24"/>
        </w:rPr>
        <w:tab/>
        <w:t>Cost per record for history correction reprocessing</w:t>
      </w:r>
    </w:p>
    <w:p w:rsidR="001B74B3" w:rsidRPr="00E96173" w:rsidP="001B74B3" w14:paraId="6E9F8314" w14:textId="54A2E521">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008E72A5">
        <w:rPr>
          <w:rFonts w:asciiTheme="minorHAnsi" w:hAnsiTheme="minorHAnsi" w:cstheme="minorHAnsi"/>
          <w:szCs w:val="24"/>
        </w:rPr>
        <w:t>1,846</w:t>
      </w:r>
      <w:r w:rsidRPr="00E96173">
        <w:rPr>
          <w:rFonts w:asciiTheme="minorHAnsi" w:hAnsiTheme="minorHAnsi" w:cstheme="minorHAnsi"/>
          <w:szCs w:val="24"/>
        </w:rPr>
        <w:tab/>
        <w:t>History correction reprocessing</w:t>
      </w:r>
    </w:p>
    <w:p w:rsidR="001B74B3" w:rsidRPr="00E96173" w:rsidP="001B74B3" w14:paraId="78748E39" w14:textId="77777777">
      <w:pPr>
        <w:tabs>
          <w:tab w:val="left" w:pos="-720"/>
        </w:tabs>
        <w:suppressAutoHyphens/>
        <w:rPr>
          <w:rFonts w:asciiTheme="minorHAnsi" w:hAnsiTheme="minorHAnsi" w:cstheme="minorHAnsi"/>
          <w:szCs w:val="24"/>
        </w:rPr>
      </w:pPr>
    </w:p>
    <w:p w:rsidR="001B74B3" w:rsidRPr="00E96173" w:rsidP="001B74B3" w14:paraId="2A811991"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t>Cost to ED</w:t>
      </w:r>
    </w:p>
    <w:p w:rsidR="001B74B3" w:rsidRPr="00E96173" w:rsidP="001B74B3" w14:paraId="35BEA911" w14:textId="7265B26B">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xml:space="preserve">     $</w:t>
      </w:r>
      <w:r w:rsidR="008E72A5">
        <w:rPr>
          <w:rFonts w:asciiTheme="minorHAnsi" w:hAnsiTheme="minorHAnsi" w:cstheme="minorHAnsi"/>
          <w:szCs w:val="24"/>
        </w:rPr>
        <w:t>5,903</w:t>
      </w:r>
      <w:r w:rsidRPr="00E96173">
        <w:rPr>
          <w:rFonts w:asciiTheme="minorHAnsi" w:hAnsiTheme="minorHAnsi" w:cstheme="minorHAnsi"/>
          <w:szCs w:val="24"/>
        </w:rPr>
        <w:tab/>
        <w:t>Application processing</w:t>
      </w:r>
    </w:p>
    <w:p w:rsidR="001B74B3" w:rsidRPr="00E96173" w:rsidP="001B74B3" w14:paraId="6E68BF66" w14:textId="3C932E16">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008E72A5">
        <w:rPr>
          <w:rFonts w:asciiTheme="minorHAnsi" w:hAnsiTheme="minorHAnsi" w:cstheme="minorHAnsi"/>
          <w:szCs w:val="24"/>
        </w:rPr>
        <w:t>1,846</w:t>
      </w:r>
      <w:r w:rsidRPr="00E96173">
        <w:rPr>
          <w:rFonts w:asciiTheme="minorHAnsi" w:hAnsiTheme="minorHAnsi" w:cstheme="minorHAnsi"/>
          <w:szCs w:val="24"/>
        </w:rPr>
        <w:tab/>
        <w:t>History correction reprocessing</w:t>
      </w:r>
    </w:p>
    <w:p w:rsidR="001B74B3" w:rsidRPr="00E96173" w:rsidP="001B74B3" w14:paraId="43839E2C" w14:textId="77777777">
      <w:pPr>
        <w:tabs>
          <w:tab w:val="left" w:pos="-72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$11,110</w:t>
      </w:r>
      <w:r w:rsidRPr="00E96173">
        <w:rPr>
          <w:rFonts w:asciiTheme="minorHAnsi" w:hAnsiTheme="minorHAnsi" w:cstheme="minorHAnsi"/>
          <w:szCs w:val="24"/>
        </w:rPr>
        <w:tab/>
        <w:t>Leased phone lines</w:t>
      </w:r>
    </w:p>
    <w:p w:rsidR="001B74B3" w:rsidRPr="00E96173" w:rsidP="001B74B3" w14:paraId="2B57CA0A"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u w:val="single"/>
        </w:rPr>
        <w:t>+ $50,217</w:t>
      </w:r>
      <w:r w:rsidRPr="00E96173">
        <w:rPr>
          <w:rFonts w:asciiTheme="minorHAnsi" w:hAnsiTheme="minorHAnsi" w:cstheme="minorHAnsi"/>
          <w:szCs w:val="24"/>
        </w:rPr>
        <w:tab/>
        <w:t>ED administration costs</w:t>
      </w:r>
    </w:p>
    <w:p w:rsidR="001B74B3" w:rsidRPr="00E96173" w:rsidP="001B74B3" w14:paraId="61EEA31E" w14:textId="00535E82">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r>
      <w:r w:rsidRPr="00E96173">
        <w:rPr>
          <w:rFonts w:asciiTheme="minorHAnsi" w:hAnsiTheme="minorHAnsi" w:cstheme="minorHAnsi"/>
          <w:szCs w:val="24"/>
        </w:rPr>
        <w:tab/>
        <w:t>= $</w:t>
      </w:r>
      <w:r w:rsidRPr="008E72A5">
        <w:rPr>
          <w:rFonts w:asciiTheme="minorHAnsi" w:hAnsiTheme="minorHAnsi" w:cstheme="minorHAnsi"/>
          <w:szCs w:val="24"/>
        </w:rPr>
        <w:t>69,</w:t>
      </w:r>
      <w:r w:rsidR="008E72A5">
        <w:rPr>
          <w:rFonts w:asciiTheme="minorHAnsi" w:hAnsiTheme="minorHAnsi" w:cstheme="minorHAnsi"/>
          <w:szCs w:val="24"/>
        </w:rPr>
        <w:t>076</w:t>
      </w:r>
      <w:r w:rsidRPr="00E96173">
        <w:rPr>
          <w:rFonts w:asciiTheme="minorHAnsi" w:hAnsiTheme="minorHAnsi" w:cstheme="minorHAnsi"/>
          <w:szCs w:val="24"/>
        </w:rPr>
        <w:tab/>
        <w:t>Estimated total annual cost to ED</w:t>
      </w:r>
    </w:p>
    <w:p w:rsidR="001B74B3" w:rsidRPr="00E96173" w:rsidP="001B74B3" w14:paraId="463607CD" w14:textId="77777777">
      <w:pPr>
        <w:tabs>
          <w:tab w:val="left" w:pos="-720"/>
          <w:tab w:val="left" w:pos="0"/>
          <w:tab w:val="left" w:pos="720"/>
          <w:tab w:val="left" w:pos="1440"/>
          <w:tab w:val="left" w:pos="2160"/>
          <w:tab w:val="left" w:pos="2880"/>
          <w:tab w:val="left" w:pos="3600"/>
        </w:tabs>
        <w:suppressAutoHyphens/>
        <w:rPr>
          <w:rFonts w:asciiTheme="minorHAnsi" w:hAnsiTheme="minorHAnsi" w:cstheme="minorHAnsi"/>
        </w:rPr>
      </w:pPr>
    </w:p>
    <w:p w:rsidR="001B74B3" w:rsidRPr="00E96173" w:rsidP="001B74B3" w14:paraId="21D615F9" w14:textId="62F4DDB5">
      <w:pPr>
        <w:tabs>
          <w:tab w:val="left" w:pos="-720"/>
          <w:tab w:val="left" w:pos="0"/>
          <w:tab w:val="left" w:pos="720"/>
          <w:tab w:val="left" w:pos="1440"/>
          <w:tab w:val="left" w:pos="2160"/>
          <w:tab w:val="left" w:pos="2880"/>
          <w:tab w:val="left" w:pos="3600"/>
        </w:tabs>
        <w:suppressAutoHyphens/>
        <w:rPr>
          <w:rFonts w:asciiTheme="minorHAnsi" w:hAnsiTheme="minorHAnsi" w:cstheme="minorHAnsi"/>
          <w:szCs w:val="24"/>
        </w:rPr>
      </w:pPr>
      <w:r w:rsidRPr="00E96173">
        <w:rPr>
          <w:rFonts w:asciiTheme="minorHAnsi" w:hAnsiTheme="minorHAnsi" w:cstheme="minorHAnsi"/>
          <w:szCs w:val="24"/>
        </w:rPr>
        <w:tab/>
        <w:t>Total estimated cost to government is $</w:t>
      </w:r>
      <w:r w:rsidRPr="008E72A5">
        <w:rPr>
          <w:rFonts w:asciiTheme="minorHAnsi" w:hAnsiTheme="minorHAnsi" w:cstheme="minorHAnsi"/>
          <w:szCs w:val="24"/>
        </w:rPr>
        <w:t>69,</w:t>
      </w:r>
      <w:r w:rsidR="008E72A5">
        <w:rPr>
          <w:rFonts w:asciiTheme="minorHAnsi" w:hAnsiTheme="minorHAnsi" w:cstheme="minorHAnsi"/>
          <w:szCs w:val="24"/>
        </w:rPr>
        <w:t>076</w:t>
      </w:r>
      <w:r w:rsidRPr="00E96173">
        <w:rPr>
          <w:rFonts w:asciiTheme="minorHAnsi" w:hAnsiTheme="minorHAnsi" w:cstheme="minorHAnsi"/>
          <w:szCs w:val="24"/>
        </w:rPr>
        <w: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RPr="008E72A5" w:rsidP="00534B4A" w14:paraId="64280EFF" w14:textId="63763733">
            <w:pPr>
              <w:tabs>
                <w:tab w:val="left" w:pos="-720"/>
              </w:tabs>
              <w:suppressAutoHyphens/>
              <w:rPr>
                <w:rFonts w:ascii="Times New Roman" w:hAnsi="Times New Roman"/>
                <w:bCs/>
                <w:szCs w:val="24"/>
              </w:rPr>
            </w:pPr>
            <w:r w:rsidRPr="008E72A5">
              <w:rPr>
                <w:rFonts w:ascii="Times New Roman" w:hAnsi="Times New Roman"/>
                <w:bCs/>
                <w:szCs w:val="24"/>
              </w:rPr>
              <w:t>+  4,597</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RPr="008E72A5" w:rsidP="00534B4A" w14:paraId="64280F04" w14:textId="2B8519DD">
            <w:pPr>
              <w:tabs>
                <w:tab w:val="left" w:pos="-720"/>
              </w:tabs>
              <w:suppressAutoHyphens/>
              <w:rPr>
                <w:rFonts w:ascii="Times New Roman" w:hAnsi="Times New Roman"/>
                <w:bCs/>
                <w:szCs w:val="24"/>
              </w:rPr>
            </w:pPr>
            <w:r w:rsidRPr="008E72A5">
              <w:rPr>
                <w:rFonts w:ascii="Times New Roman" w:hAnsi="Times New Roman"/>
                <w:bCs/>
                <w:szCs w:val="24"/>
              </w:rPr>
              <w:t>+36,788</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1B74B3" w:rsidRPr="00E96173" w:rsidP="001B74B3" w14:paraId="684D0247" w14:textId="493B320C">
      <w:pPr>
        <w:tabs>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This is a request for an extension of OMB information collection number 1845-0052.  There is a</w:t>
      </w:r>
      <w:r w:rsidR="008E72A5">
        <w:rPr>
          <w:rFonts w:asciiTheme="minorHAnsi" w:hAnsiTheme="minorHAnsi" w:cstheme="minorHAnsi"/>
          <w:szCs w:val="24"/>
        </w:rPr>
        <w:t>n increase of 4,597</w:t>
      </w:r>
      <w:r w:rsidRPr="00E96173">
        <w:rPr>
          <w:rFonts w:asciiTheme="minorHAnsi" w:hAnsiTheme="minorHAnsi" w:cstheme="minorHAnsi"/>
          <w:szCs w:val="24"/>
        </w:rPr>
        <w:t xml:space="preserve"> burden hours due to a</w:t>
      </w:r>
      <w:r w:rsidR="008E72A5">
        <w:rPr>
          <w:rFonts w:asciiTheme="minorHAnsi" w:hAnsiTheme="minorHAnsi" w:cstheme="minorHAnsi"/>
          <w:szCs w:val="24"/>
        </w:rPr>
        <w:t>n</w:t>
      </w:r>
      <w:r w:rsidRPr="00E96173">
        <w:rPr>
          <w:rFonts w:asciiTheme="minorHAnsi" w:hAnsiTheme="minorHAnsi" w:cstheme="minorHAnsi"/>
          <w:szCs w:val="24"/>
        </w:rPr>
        <w:t xml:space="preserve"> </w:t>
      </w:r>
      <w:r w:rsidR="008E72A5">
        <w:rPr>
          <w:rFonts w:asciiTheme="minorHAnsi" w:hAnsiTheme="minorHAnsi" w:cstheme="minorHAnsi"/>
          <w:szCs w:val="24"/>
        </w:rPr>
        <w:t>in</w:t>
      </w:r>
      <w:r w:rsidRPr="00E96173">
        <w:rPr>
          <w:rFonts w:asciiTheme="minorHAnsi" w:hAnsiTheme="minorHAnsi" w:cstheme="minorHAnsi"/>
          <w:szCs w:val="24"/>
        </w:rPr>
        <w:t xml:space="preserve">crease in the number of respondents who need to present documentation to the school to be included with the </w:t>
      </w:r>
      <w:r w:rsidRPr="00E96173">
        <w:rPr>
          <w:rFonts w:asciiTheme="minorHAnsi" w:hAnsiTheme="minorHAnsi" w:cstheme="minorHAnsi"/>
          <w:color w:val="000000"/>
          <w:szCs w:val="24"/>
          <w:shd w:val="clear" w:color="auto" w:fill="FFFFFF"/>
        </w:rPr>
        <w:t>third step verification</w:t>
      </w:r>
      <w:r w:rsidRPr="00E96173">
        <w:rPr>
          <w:rFonts w:asciiTheme="minorHAnsi" w:hAnsiTheme="minorHAnsi" w:cstheme="minorHAnsi"/>
          <w:szCs w:val="24"/>
        </w:rPr>
        <w:t xml:space="preserve"> </w:t>
      </w:r>
      <w:r w:rsidRPr="00E96173">
        <w:rPr>
          <w:rFonts w:asciiTheme="minorHAnsi" w:hAnsiTheme="minorHAnsi" w:cstheme="minorHAnsi"/>
          <w:szCs w:val="24"/>
        </w:rPr>
        <w:t>to complete the confirmation of eligibility to receive Title IV assistance.  There has not been any change to the regulatory language surrounding this activity.</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1B74B3" w:rsidRPr="00E96173" w:rsidP="001B74B3" w14:paraId="6D027072" w14:textId="77777777">
      <w:pPr>
        <w:tabs>
          <w:tab w:val="left" w:pos="-720"/>
          <w:tab w:val="left" w:pos="720"/>
        </w:tabs>
        <w:suppressAutoHyphens/>
        <w:ind w:left="720"/>
        <w:rPr>
          <w:rFonts w:asciiTheme="minorHAnsi" w:hAnsiTheme="minorHAnsi" w:cstheme="minorHAnsi"/>
          <w:szCs w:val="24"/>
        </w:rPr>
      </w:pPr>
      <w:r w:rsidRPr="00E96173">
        <w:rPr>
          <w:rFonts w:asciiTheme="minorHAnsi" w:hAnsiTheme="minorHAnsi" w:cstheme="minorHAnsi"/>
          <w:szCs w:val="24"/>
        </w:rPr>
        <w:t>There are no plans to publish the results of this information collection.</w:t>
      </w:r>
    </w:p>
    <w:p w:rsidR="000F0A78" w:rsidRPr="00534B4A" w:rsidP="00AA5138" w14:paraId="37F56EE2"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291F95" w:rsidRPr="00CA59E3" w:rsidP="00291F95" w14:paraId="2EEB5045"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291F95" w:rsidRPr="00CA59E3" w:rsidP="00291F95" w14:paraId="5EEAA34C"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1D395179" w14:textId="7C297E99">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EC555C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024F75">
      <w:rPr>
        <w:rFonts w:ascii="Times New Roman" w:hAnsi="Times New Roman"/>
        <w:szCs w:val="24"/>
      </w:rPr>
      <w:t>1845</w:t>
    </w:r>
    <w:r w:rsidR="007C700A">
      <w:rPr>
        <w:rFonts w:ascii="Times New Roman" w:hAnsi="Times New Roman"/>
        <w:szCs w:val="24"/>
      </w:rPr>
      <w:t>-</w:t>
    </w:r>
    <w:r w:rsidR="00024F75">
      <w:rPr>
        <w:rFonts w:ascii="Times New Roman" w:hAnsi="Times New Roman"/>
        <w:szCs w:val="24"/>
      </w:rPr>
      <w:t>0052</w:t>
    </w:r>
    <w:r w:rsidR="00E22FD3">
      <w:rPr>
        <w:rFonts w:ascii="Times New Roman" w:hAnsi="Times New Roman"/>
        <w:szCs w:val="24"/>
      </w:rPr>
      <w:tab/>
    </w:r>
    <w:r w:rsidRPr="00C875E8">
      <w:rPr>
        <w:rFonts w:ascii="Times New Roman" w:hAnsi="Times New Roman"/>
        <w:szCs w:val="24"/>
      </w:rPr>
      <w:t xml:space="preserve">Revised: </w:t>
    </w:r>
    <w:r w:rsidR="00C1216F">
      <w:rPr>
        <w:rFonts w:ascii="Times New Roman" w:hAnsi="Times New Roman"/>
        <w:szCs w:val="24"/>
      </w:rPr>
      <w:t>4/16</w:t>
    </w:r>
    <w:r w:rsidR="007C700A">
      <w:rPr>
        <w:rFonts w:ascii="Times New Roman" w:hAnsi="Times New Roman"/>
        <w:szCs w:val="24"/>
      </w:rPr>
      <w:t>/</w:t>
    </w:r>
    <w:r w:rsidR="00024F75">
      <w:rPr>
        <w:rFonts w:ascii="Times New Roman" w:hAnsi="Times New Roman"/>
        <w:szCs w:val="24"/>
      </w:rPr>
      <w:t>202</w:t>
    </w:r>
    <w:r w:rsidR="00D04C43">
      <w:rPr>
        <w:rFonts w:ascii="Times New Roman" w:hAnsi="Times New Roman"/>
        <w:szCs w:val="24"/>
      </w:rPr>
      <w:t>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7344468">
    <w:abstractNumId w:val="0"/>
  </w:num>
  <w:num w:numId="2" w16cid:durableId="1167162842">
    <w:abstractNumId w:val="2"/>
  </w:num>
  <w:num w:numId="3" w16cid:durableId="512915032">
    <w:abstractNumId w:val="1"/>
  </w:num>
  <w:num w:numId="4" w16cid:durableId="1110668155">
    <w:abstractNumId w:val="3"/>
  </w:num>
  <w:num w:numId="5" w16cid:durableId="44257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4F75"/>
    <w:rsid w:val="00035ED5"/>
    <w:rsid w:val="00043C32"/>
    <w:rsid w:val="000446F5"/>
    <w:rsid w:val="00093017"/>
    <w:rsid w:val="000F0A78"/>
    <w:rsid w:val="001824F3"/>
    <w:rsid w:val="001A6AE0"/>
    <w:rsid w:val="001B74B3"/>
    <w:rsid w:val="001C73C0"/>
    <w:rsid w:val="001E79BD"/>
    <w:rsid w:val="002225CC"/>
    <w:rsid w:val="00224A3B"/>
    <w:rsid w:val="00240A39"/>
    <w:rsid w:val="002459AF"/>
    <w:rsid w:val="00246FE9"/>
    <w:rsid w:val="00250100"/>
    <w:rsid w:val="00262A69"/>
    <w:rsid w:val="00270AF7"/>
    <w:rsid w:val="00291F95"/>
    <w:rsid w:val="002A3221"/>
    <w:rsid w:val="002C3520"/>
    <w:rsid w:val="002E14E0"/>
    <w:rsid w:val="002E40CD"/>
    <w:rsid w:val="002F55E5"/>
    <w:rsid w:val="0032078A"/>
    <w:rsid w:val="0032539E"/>
    <w:rsid w:val="00386054"/>
    <w:rsid w:val="003860E4"/>
    <w:rsid w:val="003B1545"/>
    <w:rsid w:val="00412915"/>
    <w:rsid w:val="004412E7"/>
    <w:rsid w:val="00442E07"/>
    <w:rsid w:val="0052073E"/>
    <w:rsid w:val="00534B4A"/>
    <w:rsid w:val="0055076C"/>
    <w:rsid w:val="00575DDA"/>
    <w:rsid w:val="00581C11"/>
    <w:rsid w:val="005D28E6"/>
    <w:rsid w:val="005F4E11"/>
    <w:rsid w:val="00616E9C"/>
    <w:rsid w:val="0068567A"/>
    <w:rsid w:val="00695E90"/>
    <w:rsid w:val="006A292A"/>
    <w:rsid w:val="006A38F7"/>
    <w:rsid w:val="006A4EBB"/>
    <w:rsid w:val="006B4172"/>
    <w:rsid w:val="00713B69"/>
    <w:rsid w:val="00755D99"/>
    <w:rsid w:val="00756FD3"/>
    <w:rsid w:val="00765392"/>
    <w:rsid w:val="00790E3E"/>
    <w:rsid w:val="007A5F49"/>
    <w:rsid w:val="007B6E78"/>
    <w:rsid w:val="007C0A4C"/>
    <w:rsid w:val="007C700A"/>
    <w:rsid w:val="007F6104"/>
    <w:rsid w:val="00800D30"/>
    <w:rsid w:val="00807D1A"/>
    <w:rsid w:val="00824710"/>
    <w:rsid w:val="00834A62"/>
    <w:rsid w:val="00861EBD"/>
    <w:rsid w:val="00874EFE"/>
    <w:rsid w:val="00882126"/>
    <w:rsid w:val="008933F1"/>
    <w:rsid w:val="008D0601"/>
    <w:rsid w:val="008D1F11"/>
    <w:rsid w:val="008E5919"/>
    <w:rsid w:val="008E72A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0001"/>
    <w:rsid w:val="009E0842"/>
    <w:rsid w:val="009E3E86"/>
    <w:rsid w:val="00A118A2"/>
    <w:rsid w:val="00A23F26"/>
    <w:rsid w:val="00A4001C"/>
    <w:rsid w:val="00A40AAB"/>
    <w:rsid w:val="00A46D01"/>
    <w:rsid w:val="00A47AA2"/>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015"/>
    <w:rsid w:val="00BA1D31"/>
    <w:rsid w:val="00BB03CE"/>
    <w:rsid w:val="00BC1A25"/>
    <w:rsid w:val="00BC1A67"/>
    <w:rsid w:val="00BF5A97"/>
    <w:rsid w:val="00C1216F"/>
    <w:rsid w:val="00C164D3"/>
    <w:rsid w:val="00C20670"/>
    <w:rsid w:val="00C224FD"/>
    <w:rsid w:val="00C86713"/>
    <w:rsid w:val="00C875E8"/>
    <w:rsid w:val="00C905A9"/>
    <w:rsid w:val="00C92035"/>
    <w:rsid w:val="00CA59E3"/>
    <w:rsid w:val="00CC2A72"/>
    <w:rsid w:val="00CC3FB5"/>
    <w:rsid w:val="00CD2067"/>
    <w:rsid w:val="00CD47BC"/>
    <w:rsid w:val="00D04C43"/>
    <w:rsid w:val="00D34984"/>
    <w:rsid w:val="00D36C35"/>
    <w:rsid w:val="00D75313"/>
    <w:rsid w:val="00D90B40"/>
    <w:rsid w:val="00E16ACD"/>
    <w:rsid w:val="00E17134"/>
    <w:rsid w:val="00E2145B"/>
    <w:rsid w:val="00E22FD3"/>
    <w:rsid w:val="00E25EBC"/>
    <w:rsid w:val="00E66550"/>
    <w:rsid w:val="00E877BF"/>
    <w:rsid w:val="00E96173"/>
    <w:rsid w:val="00EA1767"/>
    <w:rsid w:val="00EB0929"/>
    <w:rsid w:val="00EB0FA5"/>
    <w:rsid w:val="00EC01DD"/>
    <w:rsid w:val="00EC35E3"/>
    <w:rsid w:val="00ED7195"/>
    <w:rsid w:val="00EF4C67"/>
    <w:rsid w:val="00F0414F"/>
    <w:rsid w:val="00F070F3"/>
    <w:rsid w:val="00F27AAF"/>
    <w:rsid w:val="00F31BEC"/>
    <w:rsid w:val="00F47293"/>
    <w:rsid w:val="00F5782B"/>
    <w:rsid w:val="00F73131"/>
    <w:rsid w:val="00F74288"/>
    <w:rsid w:val="00F751DD"/>
    <w:rsid w:val="00F91697"/>
    <w:rsid w:val="00FB677B"/>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NormalWeb">
    <w:name w:val="Normal (Web)"/>
    <w:basedOn w:val="Normal"/>
    <w:uiPriority w:val="99"/>
    <w:unhideWhenUsed/>
    <w:rsid w:val="00024F75"/>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semiHidden/>
    <w:unhideWhenUsed/>
    <w:rsid w:val="00F47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34/subtitle-B/chapter-VI/part-668/subpart-I?to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2024-04-16T14:30:00Z</dcterms:created>
  <dcterms:modified xsi:type="dcterms:W3CDTF">2024-04-16T14:30:00Z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