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34ED" w:rsidP="008442F6" w14:paraId="117EA311" w14:textId="77777777">
      <w:pPr>
        <w:jc w:val="center"/>
        <w:rPr>
          <w:b/>
          <w:bCs/>
          <w:sz w:val="28"/>
          <w:szCs w:val="28"/>
        </w:rPr>
      </w:pPr>
    </w:p>
    <w:p w:rsidR="004D34ED" w:rsidP="008442F6" w14:paraId="0E3B6EE6" w14:textId="77777777">
      <w:pPr>
        <w:jc w:val="center"/>
        <w:rPr>
          <w:b/>
          <w:bCs/>
          <w:sz w:val="28"/>
          <w:szCs w:val="28"/>
        </w:rPr>
      </w:pPr>
    </w:p>
    <w:p w:rsidR="004D34ED" w:rsidP="008442F6" w14:paraId="1BBC92B5" w14:textId="77777777">
      <w:pPr>
        <w:jc w:val="center"/>
        <w:rPr>
          <w:b/>
          <w:bCs/>
          <w:sz w:val="28"/>
          <w:szCs w:val="28"/>
        </w:rPr>
      </w:pPr>
    </w:p>
    <w:p w:rsidR="004D34ED" w:rsidP="008442F6" w14:paraId="525E2813" w14:textId="77777777">
      <w:pPr>
        <w:jc w:val="center"/>
        <w:rPr>
          <w:b/>
          <w:bCs/>
          <w:sz w:val="28"/>
          <w:szCs w:val="28"/>
        </w:rPr>
      </w:pPr>
    </w:p>
    <w:p w:rsidR="004D34ED" w:rsidP="008442F6" w14:paraId="4C2E77A7" w14:textId="77777777">
      <w:pPr>
        <w:jc w:val="center"/>
        <w:rPr>
          <w:b/>
          <w:bCs/>
          <w:sz w:val="28"/>
          <w:szCs w:val="28"/>
        </w:rPr>
      </w:pPr>
    </w:p>
    <w:p w:rsidR="004D34ED" w:rsidP="008442F6" w14:paraId="7D5114AE" w14:textId="77777777">
      <w:pPr>
        <w:jc w:val="center"/>
        <w:rPr>
          <w:b/>
          <w:bCs/>
          <w:sz w:val="28"/>
          <w:szCs w:val="28"/>
        </w:rPr>
      </w:pPr>
    </w:p>
    <w:p w:rsidR="004D34ED" w:rsidP="008442F6" w14:paraId="70A75999" w14:textId="77777777">
      <w:pPr>
        <w:jc w:val="center"/>
        <w:rPr>
          <w:b/>
          <w:bCs/>
          <w:sz w:val="28"/>
          <w:szCs w:val="28"/>
        </w:rPr>
      </w:pPr>
    </w:p>
    <w:p w:rsidR="008442F6" w:rsidRPr="004D34ED" w:rsidP="008442F6" w14:paraId="23E205CA" w14:textId="2A93516C">
      <w:pPr>
        <w:jc w:val="center"/>
        <w:rPr>
          <w:b/>
          <w:bCs/>
          <w:sz w:val="28"/>
          <w:szCs w:val="28"/>
        </w:rPr>
      </w:pPr>
      <w:r w:rsidRPr="004D34ED">
        <w:rPr>
          <w:b/>
          <w:bCs/>
          <w:sz w:val="28"/>
          <w:szCs w:val="28"/>
        </w:rPr>
        <w:t>RESPONSE TO PUBLIC COMMENTS</w:t>
      </w:r>
    </w:p>
    <w:p w:rsidR="008442F6" w:rsidRPr="008442F6" w:rsidP="008442F6" w14:paraId="2FFE02FA" w14:textId="467A40A9">
      <w:pPr>
        <w:jc w:val="center"/>
        <w:rPr>
          <w:rFonts w:ascii="Helvetica" w:hAnsi="Helvetica" w:cs="Helvetica"/>
          <w:b/>
          <w:bCs/>
          <w:color w:val="333333"/>
          <w:sz w:val="21"/>
          <w:szCs w:val="21"/>
          <w:shd w:val="clear" w:color="auto" w:fill="FFFFFF"/>
        </w:rPr>
      </w:pPr>
      <w:r w:rsidRPr="008442F6">
        <w:rPr>
          <w:rFonts w:ascii="Helvetica" w:hAnsi="Helvetica" w:cs="Helvetica"/>
          <w:b/>
          <w:bCs/>
          <w:color w:val="333333"/>
          <w:sz w:val="21"/>
          <w:szCs w:val="21"/>
          <w:shd w:val="clear" w:color="auto" w:fill="FFFFFF"/>
        </w:rPr>
        <w:t>Pollution Prevention Grantee Data Collection in Standard Electronic Format</w:t>
      </w:r>
    </w:p>
    <w:p w:rsidR="008442F6" w:rsidRPr="008442F6" w:rsidP="008442F6" w14:paraId="6702052A" w14:textId="77777777">
      <w:pPr>
        <w:jc w:val="center"/>
        <w:rPr>
          <w:rFonts w:ascii="Helvetica" w:hAnsi="Helvetica" w:cs="Helvetica"/>
          <w:b/>
          <w:bCs/>
          <w:color w:val="333333"/>
          <w:sz w:val="21"/>
          <w:szCs w:val="21"/>
          <w:shd w:val="clear" w:color="auto" w:fill="FFFFFF"/>
        </w:rPr>
      </w:pPr>
      <w:r w:rsidRPr="008442F6">
        <w:rPr>
          <w:rFonts w:ascii="Helvetica" w:hAnsi="Helvetica" w:cs="Helvetica"/>
          <w:b/>
          <w:bCs/>
          <w:color w:val="333333"/>
          <w:sz w:val="21"/>
          <w:szCs w:val="21"/>
          <w:shd w:val="clear" w:color="auto" w:fill="FFFFFF"/>
        </w:rPr>
        <w:t>EPA ICR No. 2728.01</w:t>
      </w:r>
    </w:p>
    <w:p w:rsidR="008442F6" w:rsidRPr="008442F6" w:rsidP="008442F6" w14:paraId="51888D50" w14:textId="64C68C5A">
      <w:pPr>
        <w:jc w:val="center"/>
        <w:rPr>
          <w:rFonts w:ascii="Helvetica" w:hAnsi="Helvetica" w:cs="Helvetica"/>
          <w:b/>
          <w:bCs/>
          <w:color w:val="333333"/>
          <w:sz w:val="21"/>
          <w:szCs w:val="21"/>
          <w:shd w:val="clear" w:color="auto" w:fill="FFFFFF"/>
        </w:rPr>
      </w:pPr>
      <w:r w:rsidRPr="008442F6">
        <w:rPr>
          <w:rFonts w:ascii="Helvetica" w:hAnsi="Helvetica" w:cs="Helvetica"/>
          <w:b/>
          <w:bCs/>
          <w:color w:val="333333"/>
          <w:sz w:val="21"/>
          <w:szCs w:val="21"/>
          <w:shd w:val="clear" w:color="auto" w:fill="FFFFFF"/>
        </w:rPr>
        <w:t>OMB Control No. 2070-NEW</w:t>
      </w:r>
    </w:p>
    <w:p w:rsidR="008442F6" w:rsidRPr="008442F6" w:rsidP="008442F6" w14:paraId="0817E807" w14:textId="272B52CE">
      <w:pPr>
        <w:jc w:val="center"/>
        <w:rPr>
          <w:rFonts w:ascii="Helvetica" w:hAnsi="Helvetica" w:cs="Helvetica"/>
          <w:b/>
          <w:bCs/>
          <w:color w:val="333333"/>
          <w:sz w:val="21"/>
          <w:szCs w:val="21"/>
          <w:shd w:val="clear" w:color="auto" w:fill="FFFFFF"/>
        </w:rPr>
      </w:pPr>
      <w:r>
        <w:rPr>
          <w:rFonts w:ascii="Helvetica" w:hAnsi="Helvetica" w:cs="Helvetica"/>
          <w:b/>
          <w:bCs/>
          <w:color w:val="333333"/>
          <w:sz w:val="21"/>
          <w:szCs w:val="21"/>
          <w:shd w:val="clear" w:color="auto" w:fill="FFFFFF"/>
        </w:rPr>
        <w:t>September</w:t>
      </w:r>
      <w:r w:rsidRPr="008442F6">
        <w:rPr>
          <w:rFonts w:ascii="Helvetica" w:hAnsi="Helvetica" w:cs="Helvetica"/>
          <w:b/>
          <w:bCs/>
          <w:color w:val="333333"/>
          <w:sz w:val="21"/>
          <w:szCs w:val="21"/>
          <w:shd w:val="clear" w:color="auto" w:fill="FFFFFF"/>
        </w:rPr>
        <w:t xml:space="preserve"> 2023</w:t>
      </w:r>
    </w:p>
    <w:p w:rsidR="004D34ED" w:rsidP="00FF2501" w14:paraId="03E9CD86" w14:textId="77777777">
      <w:pPr>
        <w:jc w:val="center"/>
      </w:pPr>
    </w:p>
    <w:p w:rsidR="004D34ED" w:rsidP="00FF2501" w14:paraId="72B0CE91" w14:textId="77777777">
      <w:pPr>
        <w:jc w:val="center"/>
      </w:pPr>
    </w:p>
    <w:p w:rsidR="004D34ED" w:rsidP="00FF2501" w14:paraId="639AED24" w14:textId="77777777">
      <w:pPr>
        <w:jc w:val="center"/>
      </w:pPr>
    </w:p>
    <w:p w:rsidR="008442F6" w:rsidP="00FF2501" w14:paraId="1A47136A" w14:textId="03F1857E">
      <w:pPr>
        <w:jc w:val="center"/>
      </w:pPr>
      <w:r>
        <w:t>Office of Pollution Prevention and Toxics</w:t>
      </w:r>
    </w:p>
    <w:p w:rsidR="00FF2501" w:rsidP="00FF2501" w14:paraId="58FCCD4D" w14:textId="050B1A1E">
      <w:pPr>
        <w:jc w:val="center"/>
      </w:pPr>
      <w:r>
        <w:t>Office of Chemical Safety and Pollution Prevention</w:t>
      </w:r>
    </w:p>
    <w:p w:rsidR="00FF2501" w:rsidP="00FF2501" w14:paraId="0BD24700" w14:textId="467FBE28">
      <w:pPr>
        <w:jc w:val="center"/>
      </w:pPr>
      <w:r>
        <w:t>U.S. Environmental Protection Agency</w:t>
      </w:r>
    </w:p>
    <w:p w:rsidR="00FF2501" w14:paraId="2614B106" w14:textId="02D80ADA">
      <w:r>
        <w:br w:type="page"/>
      </w:r>
    </w:p>
    <w:bookmarkStart w:id="0" w:name="_Toc124428959" w:displacedByCustomXml="next"/>
    <w:sdt>
      <w:sdtPr>
        <w:rPr>
          <w:rFonts w:asciiTheme="minorHAnsi" w:eastAsiaTheme="minorHAnsi" w:hAnsiTheme="minorHAnsi" w:cstheme="minorBidi"/>
          <w:color w:val="auto"/>
          <w:kern w:val="2"/>
          <w:sz w:val="22"/>
          <w:szCs w:val="22"/>
          <w14:ligatures w14:val="standardContextual"/>
        </w:rPr>
        <w:id w:val="1418987938"/>
        <w:docPartObj>
          <w:docPartGallery w:val="Table of Contents"/>
          <w:docPartUnique/>
        </w:docPartObj>
      </w:sdtPr>
      <w:sdtEndPr>
        <w:rPr>
          <w:b/>
          <w:bCs/>
          <w:noProof/>
        </w:rPr>
      </w:sdtEndPr>
      <w:sdtContent>
        <w:p w:rsidR="002A1752" w14:paraId="45363BBF" w14:textId="26685BA6">
          <w:pPr>
            <w:pStyle w:val="TOCHeading"/>
          </w:pPr>
          <w:r>
            <w:t>Table of Contents</w:t>
          </w:r>
        </w:p>
        <w:p w:rsidR="006D6B10" w14:paraId="0AC2FA2B" w14:textId="24176B1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5317429" w:history="1">
            <w:r w:rsidRPr="001C5528">
              <w:rPr>
                <w:rStyle w:val="Hyperlink"/>
                <w:noProof/>
              </w:rPr>
              <w:t>List of Abbreviations</w:t>
            </w:r>
            <w:r>
              <w:rPr>
                <w:noProof/>
                <w:webHidden/>
              </w:rPr>
              <w:tab/>
            </w:r>
            <w:r>
              <w:rPr>
                <w:noProof/>
                <w:webHidden/>
              </w:rPr>
              <w:fldChar w:fldCharType="begin"/>
            </w:r>
            <w:r>
              <w:rPr>
                <w:noProof/>
                <w:webHidden/>
              </w:rPr>
              <w:instrText xml:space="preserve"> PAGEREF _Toc135317429 \h </w:instrText>
            </w:r>
            <w:r>
              <w:rPr>
                <w:noProof/>
                <w:webHidden/>
              </w:rPr>
              <w:fldChar w:fldCharType="separate"/>
            </w:r>
            <w:r>
              <w:rPr>
                <w:noProof/>
                <w:webHidden/>
              </w:rPr>
              <w:t>2</w:t>
            </w:r>
            <w:r>
              <w:rPr>
                <w:noProof/>
                <w:webHidden/>
              </w:rPr>
              <w:fldChar w:fldCharType="end"/>
            </w:r>
          </w:hyperlink>
        </w:p>
        <w:p w:rsidR="006D6B10" w14:paraId="750407E1" w14:textId="63809101">
          <w:pPr>
            <w:pStyle w:val="TOC1"/>
            <w:tabs>
              <w:tab w:val="right" w:leader="dot" w:pos="9350"/>
            </w:tabs>
            <w:rPr>
              <w:rFonts w:eastAsiaTheme="minorEastAsia"/>
              <w:noProof/>
            </w:rPr>
          </w:pPr>
          <w:hyperlink w:anchor="_Toc135317430" w:history="1">
            <w:r w:rsidRPr="001C5528">
              <w:rPr>
                <w:rStyle w:val="Hyperlink"/>
                <w:noProof/>
              </w:rPr>
              <w:t>Introduction</w:t>
            </w:r>
            <w:r>
              <w:rPr>
                <w:noProof/>
                <w:webHidden/>
              </w:rPr>
              <w:tab/>
            </w:r>
            <w:r>
              <w:rPr>
                <w:noProof/>
                <w:webHidden/>
              </w:rPr>
              <w:fldChar w:fldCharType="begin"/>
            </w:r>
            <w:r>
              <w:rPr>
                <w:noProof/>
                <w:webHidden/>
              </w:rPr>
              <w:instrText xml:space="preserve"> PAGEREF _Toc135317430 \h </w:instrText>
            </w:r>
            <w:r>
              <w:rPr>
                <w:noProof/>
                <w:webHidden/>
              </w:rPr>
              <w:fldChar w:fldCharType="separate"/>
            </w:r>
            <w:r>
              <w:rPr>
                <w:noProof/>
                <w:webHidden/>
              </w:rPr>
              <w:t>3</w:t>
            </w:r>
            <w:r>
              <w:rPr>
                <w:noProof/>
                <w:webHidden/>
              </w:rPr>
              <w:fldChar w:fldCharType="end"/>
            </w:r>
          </w:hyperlink>
        </w:p>
        <w:p w:rsidR="006D6B10" w14:paraId="36AF2EC9" w14:textId="387CB226">
          <w:pPr>
            <w:pStyle w:val="TOC1"/>
            <w:tabs>
              <w:tab w:val="right" w:leader="dot" w:pos="9350"/>
            </w:tabs>
            <w:rPr>
              <w:rFonts w:eastAsiaTheme="minorEastAsia"/>
              <w:noProof/>
            </w:rPr>
          </w:pPr>
          <w:hyperlink w:anchor="_Toc135317431" w:history="1">
            <w:r w:rsidRPr="001C5528">
              <w:rPr>
                <w:rStyle w:val="Hyperlink"/>
                <w:noProof/>
              </w:rPr>
              <w:t>Table of Comment Sources</w:t>
            </w:r>
            <w:r>
              <w:rPr>
                <w:noProof/>
                <w:webHidden/>
              </w:rPr>
              <w:tab/>
            </w:r>
            <w:r>
              <w:rPr>
                <w:noProof/>
                <w:webHidden/>
              </w:rPr>
              <w:fldChar w:fldCharType="begin"/>
            </w:r>
            <w:r>
              <w:rPr>
                <w:noProof/>
                <w:webHidden/>
              </w:rPr>
              <w:instrText xml:space="preserve"> PAGEREF _Toc135317431 \h </w:instrText>
            </w:r>
            <w:r>
              <w:rPr>
                <w:noProof/>
                <w:webHidden/>
              </w:rPr>
              <w:fldChar w:fldCharType="separate"/>
            </w:r>
            <w:r>
              <w:rPr>
                <w:noProof/>
                <w:webHidden/>
              </w:rPr>
              <w:t>4</w:t>
            </w:r>
            <w:r>
              <w:rPr>
                <w:noProof/>
                <w:webHidden/>
              </w:rPr>
              <w:fldChar w:fldCharType="end"/>
            </w:r>
          </w:hyperlink>
        </w:p>
        <w:p w:rsidR="006D6B10" w14:paraId="79A2AC28" w14:textId="795AA08E">
          <w:pPr>
            <w:pStyle w:val="TOC1"/>
            <w:tabs>
              <w:tab w:val="right" w:leader="dot" w:pos="9350"/>
            </w:tabs>
            <w:rPr>
              <w:rFonts w:eastAsiaTheme="minorEastAsia"/>
              <w:noProof/>
            </w:rPr>
          </w:pPr>
          <w:hyperlink w:anchor="_Toc135317432" w:history="1">
            <w:r w:rsidRPr="001C5528">
              <w:rPr>
                <w:rStyle w:val="Hyperlink"/>
                <w:noProof/>
              </w:rPr>
              <w:t>Issues and EPA Responses</w:t>
            </w:r>
            <w:r>
              <w:rPr>
                <w:noProof/>
                <w:webHidden/>
              </w:rPr>
              <w:tab/>
            </w:r>
            <w:r>
              <w:rPr>
                <w:noProof/>
                <w:webHidden/>
              </w:rPr>
              <w:fldChar w:fldCharType="begin"/>
            </w:r>
            <w:r>
              <w:rPr>
                <w:noProof/>
                <w:webHidden/>
              </w:rPr>
              <w:instrText xml:space="preserve"> PAGEREF _Toc135317432 \h </w:instrText>
            </w:r>
            <w:r>
              <w:rPr>
                <w:noProof/>
                <w:webHidden/>
              </w:rPr>
              <w:fldChar w:fldCharType="separate"/>
            </w:r>
            <w:r>
              <w:rPr>
                <w:noProof/>
                <w:webHidden/>
              </w:rPr>
              <w:t>4</w:t>
            </w:r>
            <w:r>
              <w:rPr>
                <w:noProof/>
                <w:webHidden/>
              </w:rPr>
              <w:fldChar w:fldCharType="end"/>
            </w:r>
          </w:hyperlink>
        </w:p>
        <w:p w:rsidR="006D6B10" w14:paraId="70B3843F" w14:textId="129233FE">
          <w:pPr>
            <w:pStyle w:val="TOC2"/>
            <w:tabs>
              <w:tab w:val="right" w:leader="dot" w:pos="9350"/>
            </w:tabs>
            <w:rPr>
              <w:rFonts w:eastAsiaTheme="minorEastAsia"/>
              <w:noProof/>
            </w:rPr>
          </w:pPr>
          <w:hyperlink w:anchor="_Toc135317433" w:history="1">
            <w:r w:rsidRPr="001C5528">
              <w:rPr>
                <w:rStyle w:val="Hyperlink"/>
                <w:noProof/>
              </w:rPr>
              <w:t>Increased Administrative Burden</w:t>
            </w:r>
            <w:r>
              <w:rPr>
                <w:noProof/>
                <w:webHidden/>
              </w:rPr>
              <w:tab/>
            </w:r>
            <w:r>
              <w:rPr>
                <w:noProof/>
                <w:webHidden/>
              </w:rPr>
              <w:fldChar w:fldCharType="begin"/>
            </w:r>
            <w:r>
              <w:rPr>
                <w:noProof/>
                <w:webHidden/>
              </w:rPr>
              <w:instrText xml:space="preserve"> PAGEREF _Toc135317433 \h </w:instrText>
            </w:r>
            <w:r>
              <w:rPr>
                <w:noProof/>
                <w:webHidden/>
              </w:rPr>
              <w:fldChar w:fldCharType="separate"/>
            </w:r>
            <w:r>
              <w:rPr>
                <w:noProof/>
                <w:webHidden/>
              </w:rPr>
              <w:t>4</w:t>
            </w:r>
            <w:r>
              <w:rPr>
                <w:noProof/>
                <w:webHidden/>
              </w:rPr>
              <w:fldChar w:fldCharType="end"/>
            </w:r>
          </w:hyperlink>
        </w:p>
        <w:p w:rsidR="006D6B10" w14:paraId="31E55FB2" w14:textId="2E5E06E2">
          <w:pPr>
            <w:pStyle w:val="TOC2"/>
            <w:tabs>
              <w:tab w:val="right" w:leader="dot" w:pos="9350"/>
            </w:tabs>
            <w:rPr>
              <w:rFonts w:eastAsiaTheme="minorEastAsia"/>
              <w:noProof/>
            </w:rPr>
          </w:pPr>
          <w:hyperlink w:anchor="_Toc135317434" w:history="1">
            <w:r w:rsidRPr="001C5528">
              <w:rPr>
                <w:rStyle w:val="Hyperlink"/>
                <w:noProof/>
              </w:rPr>
              <w:t>Reduced Ability to Provide Technical Assistance</w:t>
            </w:r>
            <w:r>
              <w:rPr>
                <w:noProof/>
                <w:webHidden/>
              </w:rPr>
              <w:tab/>
            </w:r>
            <w:r>
              <w:rPr>
                <w:noProof/>
                <w:webHidden/>
              </w:rPr>
              <w:fldChar w:fldCharType="begin"/>
            </w:r>
            <w:r>
              <w:rPr>
                <w:noProof/>
                <w:webHidden/>
              </w:rPr>
              <w:instrText xml:space="preserve"> PAGEREF _Toc135317434 \h </w:instrText>
            </w:r>
            <w:r>
              <w:rPr>
                <w:noProof/>
                <w:webHidden/>
              </w:rPr>
              <w:fldChar w:fldCharType="separate"/>
            </w:r>
            <w:r>
              <w:rPr>
                <w:noProof/>
                <w:webHidden/>
              </w:rPr>
              <w:t>5</w:t>
            </w:r>
            <w:r>
              <w:rPr>
                <w:noProof/>
                <w:webHidden/>
              </w:rPr>
              <w:fldChar w:fldCharType="end"/>
            </w:r>
          </w:hyperlink>
        </w:p>
        <w:p w:rsidR="006D6B10" w14:paraId="4794FE6A" w14:textId="0B69854C">
          <w:pPr>
            <w:pStyle w:val="TOC2"/>
            <w:tabs>
              <w:tab w:val="right" w:leader="dot" w:pos="9350"/>
            </w:tabs>
            <w:rPr>
              <w:rFonts w:eastAsiaTheme="minorEastAsia"/>
              <w:noProof/>
            </w:rPr>
          </w:pPr>
          <w:hyperlink w:anchor="_Toc135317435" w:history="1">
            <w:r w:rsidRPr="001C5528">
              <w:rPr>
                <w:rStyle w:val="Hyperlink"/>
                <w:noProof/>
              </w:rPr>
              <w:t>Privacy Concerns</w:t>
            </w:r>
            <w:r>
              <w:rPr>
                <w:noProof/>
                <w:webHidden/>
              </w:rPr>
              <w:tab/>
            </w:r>
            <w:r>
              <w:rPr>
                <w:noProof/>
                <w:webHidden/>
              </w:rPr>
              <w:fldChar w:fldCharType="begin"/>
            </w:r>
            <w:r>
              <w:rPr>
                <w:noProof/>
                <w:webHidden/>
              </w:rPr>
              <w:instrText xml:space="preserve"> PAGEREF _Toc135317435 \h </w:instrText>
            </w:r>
            <w:r>
              <w:rPr>
                <w:noProof/>
                <w:webHidden/>
              </w:rPr>
              <w:fldChar w:fldCharType="separate"/>
            </w:r>
            <w:r>
              <w:rPr>
                <w:noProof/>
                <w:webHidden/>
              </w:rPr>
              <w:t>5</w:t>
            </w:r>
            <w:r>
              <w:rPr>
                <w:noProof/>
                <w:webHidden/>
              </w:rPr>
              <w:fldChar w:fldCharType="end"/>
            </w:r>
          </w:hyperlink>
        </w:p>
        <w:p w:rsidR="006D6B10" w14:paraId="39F0FEAD" w14:textId="48077D1F">
          <w:pPr>
            <w:pStyle w:val="TOC2"/>
            <w:tabs>
              <w:tab w:val="right" w:leader="dot" w:pos="9350"/>
            </w:tabs>
            <w:rPr>
              <w:rFonts w:eastAsiaTheme="minorEastAsia"/>
              <w:noProof/>
            </w:rPr>
          </w:pPr>
          <w:hyperlink w:anchor="_Toc135317436" w:history="1">
            <w:r w:rsidRPr="001C5528">
              <w:rPr>
                <w:rStyle w:val="Hyperlink"/>
                <w:rFonts w:eastAsia="Times New Roman"/>
                <w:noProof/>
              </w:rPr>
              <w:t>Increased Costs Not Accounted for in Workplans</w:t>
            </w:r>
            <w:r>
              <w:rPr>
                <w:noProof/>
                <w:webHidden/>
              </w:rPr>
              <w:tab/>
            </w:r>
            <w:r>
              <w:rPr>
                <w:noProof/>
                <w:webHidden/>
              </w:rPr>
              <w:fldChar w:fldCharType="begin"/>
            </w:r>
            <w:r>
              <w:rPr>
                <w:noProof/>
                <w:webHidden/>
              </w:rPr>
              <w:instrText xml:space="preserve"> PAGEREF _Toc135317436 \h </w:instrText>
            </w:r>
            <w:r>
              <w:rPr>
                <w:noProof/>
                <w:webHidden/>
              </w:rPr>
              <w:fldChar w:fldCharType="separate"/>
            </w:r>
            <w:r>
              <w:rPr>
                <w:noProof/>
                <w:webHidden/>
              </w:rPr>
              <w:t>5</w:t>
            </w:r>
            <w:r>
              <w:rPr>
                <w:noProof/>
                <w:webHidden/>
              </w:rPr>
              <w:fldChar w:fldCharType="end"/>
            </w:r>
          </w:hyperlink>
        </w:p>
        <w:p w:rsidR="006D6B10" w14:paraId="6D670857" w14:textId="1270F318">
          <w:pPr>
            <w:pStyle w:val="TOC2"/>
            <w:tabs>
              <w:tab w:val="right" w:leader="dot" w:pos="9350"/>
            </w:tabs>
            <w:rPr>
              <w:rFonts w:eastAsiaTheme="minorEastAsia"/>
              <w:noProof/>
            </w:rPr>
          </w:pPr>
          <w:hyperlink w:anchor="_Toc135317437" w:history="1">
            <w:r w:rsidRPr="001C5528">
              <w:rPr>
                <w:rStyle w:val="Hyperlink"/>
                <w:rFonts w:eastAsia="Times New Roman"/>
                <w:noProof/>
              </w:rPr>
              <w:t>Burden Estimate Reported in ICR</w:t>
            </w:r>
            <w:r>
              <w:rPr>
                <w:noProof/>
                <w:webHidden/>
              </w:rPr>
              <w:tab/>
            </w:r>
            <w:r>
              <w:rPr>
                <w:noProof/>
                <w:webHidden/>
              </w:rPr>
              <w:fldChar w:fldCharType="begin"/>
            </w:r>
            <w:r>
              <w:rPr>
                <w:noProof/>
                <w:webHidden/>
              </w:rPr>
              <w:instrText xml:space="preserve"> PAGEREF _Toc135317437 \h </w:instrText>
            </w:r>
            <w:r>
              <w:rPr>
                <w:noProof/>
                <w:webHidden/>
              </w:rPr>
              <w:fldChar w:fldCharType="separate"/>
            </w:r>
            <w:r>
              <w:rPr>
                <w:noProof/>
                <w:webHidden/>
              </w:rPr>
              <w:t>6</w:t>
            </w:r>
            <w:r>
              <w:rPr>
                <w:noProof/>
                <w:webHidden/>
              </w:rPr>
              <w:fldChar w:fldCharType="end"/>
            </w:r>
          </w:hyperlink>
        </w:p>
        <w:p w:rsidR="006D6B10" w14:paraId="24B7D51D" w14:textId="3BF3FB15">
          <w:pPr>
            <w:pStyle w:val="TOC2"/>
            <w:tabs>
              <w:tab w:val="right" w:leader="dot" w:pos="9350"/>
            </w:tabs>
            <w:rPr>
              <w:rFonts w:eastAsiaTheme="minorEastAsia"/>
              <w:noProof/>
            </w:rPr>
          </w:pPr>
          <w:hyperlink w:anchor="_Toc135317438" w:history="1">
            <w:r w:rsidRPr="001C5528">
              <w:rPr>
                <w:rStyle w:val="Hyperlink"/>
                <w:noProof/>
              </w:rPr>
              <w:t>Lessening of Data Quality</w:t>
            </w:r>
            <w:r>
              <w:rPr>
                <w:noProof/>
                <w:webHidden/>
              </w:rPr>
              <w:tab/>
            </w:r>
            <w:r>
              <w:rPr>
                <w:noProof/>
                <w:webHidden/>
              </w:rPr>
              <w:fldChar w:fldCharType="begin"/>
            </w:r>
            <w:r>
              <w:rPr>
                <w:noProof/>
                <w:webHidden/>
              </w:rPr>
              <w:instrText xml:space="preserve"> PAGEREF _Toc135317438 \h </w:instrText>
            </w:r>
            <w:r>
              <w:rPr>
                <w:noProof/>
                <w:webHidden/>
              </w:rPr>
              <w:fldChar w:fldCharType="separate"/>
            </w:r>
            <w:r>
              <w:rPr>
                <w:noProof/>
                <w:webHidden/>
              </w:rPr>
              <w:t>6</w:t>
            </w:r>
            <w:r>
              <w:rPr>
                <w:noProof/>
                <w:webHidden/>
              </w:rPr>
              <w:fldChar w:fldCharType="end"/>
            </w:r>
          </w:hyperlink>
        </w:p>
        <w:p w:rsidR="006D6B10" w14:paraId="3B777567" w14:textId="1BDDE5BD">
          <w:pPr>
            <w:pStyle w:val="TOC2"/>
            <w:tabs>
              <w:tab w:val="right" w:leader="dot" w:pos="9350"/>
            </w:tabs>
            <w:rPr>
              <w:rFonts w:eastAsiaTheme="minorEastAsia"/>
              <w:noProof/>
            </w:rPr>
          </w:pPr>
          <w:hyperlink w:anchor="_Toc135317439" w:history="1">
            <w:r w:rsidRPr="001C5528">
              <w:rPr>
                <w:rStyle w:val="Hyperlink"/>
                <w:noProof/>
              </w:rPr>
              <w:t>Metrics Not Beneficial</w:t>
            </w:r>
            <w:r>
              <w:rPr>
                <w:noProof/>
                <w:webHidden/>
              </w:rPr>
              <w:tab/>
            </w:r>
            <w:r>
              <w:rPr>
                <w:noProof/>
                <w:webHidden/>
              </w:rPr>
              <w:fldChar w:fldCharType="begin"/>
            </w:r>
            <w:r>
              <w:rPr>
                <w:noProof/>
                <w:webHidden/>
              </w:rPr>
              <w:instrText xml:space="preserve"> PAGEREF _Toc135317439 \h </w:instrText>
            </w:r>
            <w:r>
              <w:rPr>
                <w:noProof/>
                <w:webHidden/>
              </w:rPr>
              <w:fldChar w:fldCharType="separate"/>
            </w:r>
            <w:r>
              <w:rPr>
                <w:noProof/>
                <w:webHidden/>
              </w:rPr>
              <w:t>6</w:t>
            </w:r>
            <w:r>
              <w:rPr>
                <w:noProof/>
                <w:webHidden/>
              </w:rPr>
              <w:fldChar w:fldCharType="end"/>
            </w:r>
          </w:hyperlink>
        </w:p>
        <w:p w:rsidR="006D6B10" w14:paraId="70DFCF46" w14:textId="1FADE884">
          <w:pPr>
            <w:pStyle w:val="TOC2"/>
            <w:tabs>
              <w:tab w:val="right" w:leader="dot" w:pos="9350"/>
            </w:tabs>
            <w:rPr>
              <w:rFonts w:eastAsiaTheme="minorEastAsia"/>
              <w:noProof/>
            </w:rPr>
          </w:pPr>
          <w:hyperlink w:anchor="_Toc135317440" w:history="1">
            <w:r w:rsidRPr="001C5528">
              <w:rPr>
                <w:rStyle w:val="Hyperlink"/>
                <w:rFonts w:eastAsia="Times New Roman"/>
                <w:noProof/>
              </w:rPr>
              <w:t>Metrics Not Inclusive</w:t>
            </w:r>
            <w:r>
              <w:rPr>
                <w:noProof/>
                <w:webHidden/>
              </w:rPr>
              <w:tab/>
            </w:r>
            <w:r>
              <w:rPr>
                <w:noProof/>
                <w:webHidden/>
              </w:rPr>
              <w:fldChar w:fldCharType="begin"/>
            </w:r>
            <w:r>
              <w:rPr>
                <w:noProof/>
                <w:webHidden/>
              </w:rPr>
              <w:instrText xml:space="preserve"> PAGEREF _Toc135317440 \h </w:instrText>
            </w:r>
            <w:r>
              <w:rPr>
                <w:noProof/>
                <w:webHidden/>
              </w:rPr>
              <w:fldChar w:fldCharType="separate"/>
            </w:r>
            <w:r>
              <w:rPr>
                <w:noProof/>
                <w:webHidden/>
              </w:rPr>
              <w:t>7</w:t>
            </w:r>
            <w:r>
              <w:rPr>
                <w:noProof/>
                <w:webHidden/>
              </w:rPr>
              <w:fldChar w:fldCharType="end"/>
            </w:r>
          </w:hyperlink>
        </w:p>
        <w:p w:rsidR="006D6B10" w14:paraId="551FAEFC" w14:textId="21513A10">
          <w:pPr>
            <w:pStyle w:val="TOC2"/>
            <w:tabs>
              <w:tab w:val="right" w:leader="dot" w:pos="9350"/>
            </w:tabs>
            <w:rPr>
              <w:rFonts w:eastAsiaTheme="minorEastAsia"/>
              <w:noProof/>
            </w:rPr>
          </w:pPr>
          <w:hyperlink w:anchor="_Toc135317441" w:history="1">
            <w:r w:rsidRPr="001C5528">
              <w:rPr>
                <w:rStyle w:val="Hyperlink"/>
                <w:rFonts w:eastAsia="Times New Roman"/>
                <w:noProof/>
              </w:rPr>
              <w:t>Burden to Partnering Organizations</w:t>
            </w:r>
            <w:r>
              <w:rPr>
                <w:noProof/>
                <w:webHidden/>
              </w:rPr>
              <w:tab/>
            </w:r>
            <w:r>
              <w:rPr>
                <w:noProof/>
                <w:webHidden/>
              </w:rPr>
              <w:fldChar w:fldCharType="begin"/>
            </w:r>
            <w:r>
              <w:rPr>
                <w:noProof/>
                <w:webHidden/>
              </w:rPr>
              <w:instrText xml:space="preserve"> PAGEREF _Toc135317441 \h </w:instrText>
            </w:r>
            <w:r>
              <w:rPr>
                <w:noProof/>
                <w:webHidden/>
              </w:rPr>
              <w:fldChar w:fldCharType="separate"/>
            </w:r>
            <w:r>
              <w:rPr>
                <w:noProof/>
                <w:webHidden/>
              </w:rPr>
              <w:t>7</w:t>
            </w:r>
            <w:r>
              <w:rPr>
                <w:noProof/>
                <w:webHidden/>
              </w:rPr>
              <w:fldChar w:fldCharType="end"/>
            </w:r>
          </w:hyperlink>
        </w:p>
        <w:p w:rsidR="006D6B10" w14:paraId="3B88CB72" w14:textId="05761372">
          <w:pPr>
            <w:pStyle w:val="TOC2"/>
            <w:tabs>
              <w:tab w:val="right" w:leader="dot" w:pos="9350"/>
            </w:tabs>
            <w:rPr>
              <w:rFonts w:eastAsiaTheme="minorEastAsia"/>
              <w:noProof/>
            </w:rPr>
          </w:pPr>
          <w:hyperlink w:anchor="_Toc135317442" w:history="1">
            <w:r w:rsidRPr="001C5528">
              <w:rPr>
                <w:rStyle w:val="Hyperlink"/>
                <w:rFonts w:eastAsia="Times New Roman"/>
                <w:noProof/>
              </w:rPr>
              <w:t>Rigid Format</w:t>
            </w:r>
            <w:r>
              <w:rPr>
                <w:noProof/>
                <w:webHidden/>
              </w:rPr>
              <w:tab/>
            </w:r>
            <w:r>
              <w:rPr>
                <w:noProof/>
                <w:webHidden/>
              </w:rPr>
              <w:fldChar w:fldCharType="begin"/>
            </w:r>
            <w:r>
              <w:rPr>
                <w:noProof/>
                <w:webHidden/>
              </w:rPr>
              <w:instrText xml:space="preserve"> PAGEREF _Toc135317442 \h </w:instrText>
            </w:r>
            <w:r>
              <w:rPr>
                <w:noProof/>
                <w:webHidden/>
              </w:rPr>
              <w:fldChar w:fldCharType="separate"/>
            </w:r>
            <w:r>
              <w:rPr>
                <w:noProof/>
                <w:webHidden/>
              </w:rPr>
              <w:t>7</w:t>
            </w:r>
            <w:r>
              <w:rPr>
                <w:noProof/>
                <w:webHidden/>
              </w:rPr>
              <w:fldChar w:fldCharType="end"/>
            </w:r>
          </w:hyperlink>
        </w:p>
        <w:p w:rsidR="002A1752" w14:paraId="4C9ED8F1" w14:textId="09F19C59">
          <w:r>
            <w:rPr>
              <w:b/>
              <w:bCs/>
              <w:noProof/>
            </w:rPr>
            <w:fldChar w:fldCharType="end"/>
          </w:r>
        </w:p>
      </w:sdtContent>
    </w:sdt>
    <w:p w:rsidR="00F9505A" w14:paraId="1556347E" w14:textId="4921CEAD">
      <w:r>
        <w:br w:type="page"/>
      </w:r>
    </w:p>
    <w:p w:rsidR="00FF2501" w14:paraId="3102956B" w14:textId="77777777">
      <w:pPr>
        <w:rPr>
          <w:rFonts w:ascii="Times New Roman" w:eastAsia="Times New Roman" w:hAnsi="Times New Roman" w:cs="Times New Roman"/>
          <w:b/>
          <w:bCs/>
          <w:caps/>
          <w:kern w:val="0"/>
          <w:sz w:val="24"/>
          <w:szCs w:val="24"/>
          <w14:ligatures w14:val="none"/>
        </w:rPr>
      </w:pPr>
    </w:p>
    <w:p w:rsidR="00FF2501" w:rsidP="002A1752" w14:paraId="37674D90" w14:textId="5BE118FE">
      <w:pPr>
        <w:pStyle w:val="Heading1"/>
      </w:pPr>
      <w:bookmarkStart w:id="1" w:name="_Toc135317429"/>
      <w:r>
        <w:t>List of Abbreviations</w:t>
      </w:r>
      <w:bookmarkEnd w:id="1"/>
      <w:bookmarkEnd w:id="0"/>
    </w:p>
    <w:p w:rsidR="00FF2501" w:rsidP="00FF2501" w14:paraId="11175971" w14:textId="77777777">
      <w:pPr>
        <w:rPr>
          <w:rFonts w:eastAsia="Times New Roman"/>
          <w:b/>
          <w:bCs/>
        </w:rPr>
      </w:pPr>
    </w:p>
    <w:p w:rsidR="0018133A" w:rsidP="00FF2501" w14:paraId="06323DA2" w14:textId="0A96693A">
      <w:pPr>
        <w:spacing w:after="0"/>
      </w:pPr>
      <w:r w:rsidRPr="00A50021">
        <w:t>BIL</w:t>
      </w:r>
      <w:r w:rsidRPr="00A50021">
        <w:tab/>
      </w:r>
      <w:r w:rsidRPr="00A50021">
        <w:tab/>
        <w:t>Bipartisan Infrastructure Law</w:t>
      </w:r>
    </w:p>
    <w:p w:rsidR="00A50021" w:rsidRPr="00A50021" w:rsidP="00FF2501" w14:paraId="4A5D6F0E" w14:textId="0BDEAF82">
      <w:pPr>
        <w:spacing w:after="0"/>
      </w:pPr>
      <w:r>
        <w:t>CDPHE</w:t>
      </w:r>
      <w:r>
        <w:tab/>
      </w:r>
      <w:r>
        <w:tab/>
        <w:t>Colorado Department of Public Health &amp; Environment</w:t>
      </w:r>
    </w:p>
    <w:p w:rsidR="00FF2501" w:rsidRPr="00A50021" w:rsidP="00FF2501" w14:paraId="4D935F7B" w14:textId="77777777">
      <w:pPr>
        <w:tabs>
          <w:tab w:val="left" w:pos="731"/>
        </w:tabs>
        <w:spacing w:after="0"/>
      </w:pPr>
      <w:r w:rsidRPr="00A50021">
        <w:t>EPA</w:t>
      </w:r>
      <w:r w:rsidRPr="00A50021">
        <w:tab/>
      </w:r>
      <w:r w:rsidRPr="00A50021">
        <w:tab/>
        <w:t>Environmental Protection Agency</w:t>
      </w:r>
    </w:p>
    <w:p w:rsidR="00FF2501" w:rsidRPr="00A50021" w:rsidP="00FF2501" w14:paraId="48FDD748" w14:textId="77777777">
      <w:pPr>
        <w:spacing w:after="0"/>
      </w:pPr>
      <w:r w:rsidRPr="00A50021">
        <w:t>ICR</w:t>
      </w:r>
      <w:r w:rsidRPr="00A50021">
        <w:tab/>
      </w:r>
      <w:r w:rsidRPr="00A50021">
        <w:tab/>
        <w:t>Information Collection Request</w:t>
      </w:r>
    </w:p>
    <w:p w:rsidR="0018133A" w:rsidRPr="00A50021" w:rsidP="00FF2501" w14:paraId="3BF46854" w14:textId="571A8742">
      <w:pPr>
        <w:spacing w:after="0"/>
      </w:pPr>
      <w:r w:rsidRPr="00A50021">
        <w:t>IIJA</w:t>
      </w:r>
      <w:r w:rsidRPr="00A50021">
        <w:tab/>
      </w:r>
      <w:r w:rsidRPr="00A50021">
        <w:tab/>
        <w:t>Infrastructure Investment and Jobs Act</w:t>
      </w:r>
    </w:p>
    <w:p w:rsidR="00BC32A6" w:rsidP="00FF2501" w14:paraId="68C40C8D" w14:textId="7753171D">
      <w:pPr>
        <w:tabs>
          <w:tab w:val="left" w:pos="731"/>
        </w:tabs>
        <w:spacing w:after="0"/>
      </w:pPr>
      <w:r w:rsidRPr="00322E51">
        <w:rPr>
          <w:lang w:val="fr-FR"/>
        </w:rPr>
        <w:t>NPPR</w:t>
      </w:r>
      <w:r w:rsidRPr="00322E51">
        <w:rPr>
          <w:lang w:val="fr-FR"/>
        </w:rPr>
        <w:tab/>
      </w:r>
      <w:r w:rsidRPr="00322E51">
        <w:rPr>
          <w:lang w:val="fr-FR"/>
        </w:rPr>
        <w:tab/>
        <w:t>National Pollution Prevention Roundtable</w:t>
      </w:r>
    </w:p>
    <w:p w:rsidR="00FF2501" w:rsidP="00FF2501" w14:paraId="2851F8FE" w14:textId="37FC6539">
      <w:pPr>
        <w:tabs>
          <w:tab w:val="left" w:pos="731"/>
        </w:tabs>
        <w:spacing w:after="0"/>
      </w:pPr>
      <w:r w:rsidRPr="00A50021">
        <w:t>OMB</w:t>
      </w:r>
      <w:r w:rsidRPr="00A50021">
        <w:tab/>
      </w:r>
      <w:r w:rsidRPr="00A50021">
        <w:tab/>
        <w:t>Office of Management and Budget</w:t>
      </w:r>
    </w:p>
    <w:p w:rsidR="0018133A" w:rsidRPr="00322E51" w:rsidP="00FF2501" w14:paraId="12707426" w14:textId="5847A8D2">
      <w:pPr>
        <w:tabs>
          <w:tab w:val="left" w:pos="731"/>
        </w:tabs>
        <w:spacing w:after="0"/>
        <w:rPr>
          <w:lang w:val="fr-FR"/>
        </w:rPr>
      </w:pPr>
      <w:r w:rsidRPr="00322E51">
        <w:rPr>
          <w:lang w:val="fr-FR"/>
        </w:rPr>
        <w:t>P2</w:t>
      </w:r>
      <w:r w:rsidRPr="00322E51">
        <w:rPr>
          <w:lang w:val="fr-FR"/>
        </w:rPr>
        <w:tab/>
      </w:r>
      <w:r w:rsidRPr="00322E51">
        <w:rPr>
          <w:lang w:val="fr-FR"/>
        </w:rPr>
        <w:tab/>
        <w:t>Pollution Prevention</w:t>
      </w:r>
    </w:p>
    <w:p w:rsidR="00FF2501" w:rsidRPr="00A50021" w:rsidP="00FF2501" w14:paraId="05FF9188" w14:textId="77777777">
      <w:pPr>
        <w:spacing w:after="0"/>
      </w:pPr>
      <w:r w:rsidRPr="00A50021">
        <w:t>PRA</w:t>
      </w:r>
      <w:r w:rsidRPr="00A50021">
        <w:tab/>
      </w:r>
      <w:r w:rsidRPr="00A50021">
        <w:tab/>
        <w:t>Paperwork Reduction Act</w:t>
      </w:r>
    </w:p>
    <w:p w:rsidR="00723D30" w:rsidRPr="00A50021" w:rsidP="00FF2501" w14:paraId="52478657" w14:textId="699BCE12">
      <w:pPr>
        <w:spacing w:after="0"/>
      </w:pPr>
      <w:r w:rsidRPr="00A50021">
        <w:t>RFA</w:t>
      </w:r>
      <w:r w:rsidRPr="00A50021">
        <w:tab/>
      </w:r>
      <w:r w:rsidRPr="00A50021">
        <w:tab/>
        <w:t>Request for Applications</w:t>
      </w:r>
    </w:p>
    <w:p w:rsidR="0018133A" w:rsidP="00FF2501" w14:paraId="5BE6A9DF" w14:textId="752CD0B4">
      <w:pPr>
        <w:spacing w:after="0"/>
      </w:pPr>
      <w:r w:rsidRPr="00A50021">
        <w:t>SRA</w:t>
      </w:r>
      <w:r>
        <w:tab/>
      </w:r>
      <w:r>
        <w:tab/>
        <w:t>Source Reduction Assistance</w:t>
      </w:r>
    </w:p>
    <w:p w:rsidR="00A50021" w:rsidP="00FF2501" w14:paraId="1E9D9337" w14:textId="6B32D70D">
      <w:pPr>
        <w:spacing w:after="0"/>
      </w:pPr>
      <w:r>
        <w:t>WA ECY</w:t>
      </w:r>
      <w:r>
        <w:tab/>
      </w:r>
      <w:r>
        <w:tab/>
        <w:t>State of Washington, Department of Ecology</w:t>
      </w:r>
    </w:p>
    <w:p w:rsidR="0018133A" w:rsidP="00FF2501" w14:paraId="7D456BA9" w14:textId="77777777">
      <w:pPr>
        <w:spacing w:after="0"/>
      </w:pPr>
    </w:p>
    <w:p w:rsidR="00FF2501" w14:paraId="3524EE3D" w14:textId="27D0CB23">
      <w:r>
        <w:br w:type="page"/>
      </w:r>
    </w:p>
    <w:p w:rsidR="008442F6" w:rsidP="008442F6" w14:paraId="5B9A3F4A" w14:textId="77777777"/>
    <w:p w:rsidR="00531B3C" w:rsidP="002A1752" w14:paraId="21DC69B6" w14:textId="44921EF2">
      <w:pPr>
        <w:pStyle w:val="Heading1"/>
      </w:pPr>
      <w:bookmarkStart w:id="2" w:name="_Toc135317430"/>
      <w:r>
        <w:t>Introduction</w:t>
      </w:r>
      <w:bookmarkEnd w:id="2"/>
    </w:p>
    <w:p w:rsidR="002A1752" w:rsidRPr="002A1752" w:rsidP="002A1752" w14:paraId="5A25062D" w14:textId="1B6F6638">
      <w:pPr>
        <w:rPr>
          <w:rFonts w:cstheme="minorHAnsi"/>
        </w:rPr>
      </w:pPr>
      <w:r w:rsidRPr="002A1752">
        <w:rPr>
          <w:rFonts w:cstheme="minorHAnsi"/>
        </w:rPr>
        <w:t xml:space="preserve">This document is a response to comments submitted to the Information Collection Request (ICR) that EPA is planning to submit to the Office of Management and Budget (OMB). </w:t>
      </w:r>
      <w:r w:rsidRPr="002A1752">
        <w:rPr>
          <w:rFonts w:cstheme="minorHAnsi"/>
          <w:color w:val="333333"/>
        </w:rPr>
        <w:t xml:space="preserve">The ICR, entitled: “Pollution Prevention Grantee Data Collection in Standard Electronic Format” (EPA ICR No. 2728.01; OMB Control No. 2070-NEW), represents a new ICR. Before submitting the ICR to OMB for review and approval under the </w:t>
      </w:r>
      <w:r w:rsidR="0018133A">
        <w:rPr>
          <w:rFonts w:cstheme="minorHAnsi"/>
          <w:color w:val="333333"/>
        </w:rPr>
        <w:t>Paperwork Reduction Act (</w:t>
      </w:r>
      <w:r w:rsidRPr="002A1752">
        <w:rPr>
          <w:rFonts w:cstheme="minorHAnsi"/>
          <w:color w:val="333333"/>
        </w:rPr>
        <w:t>PRA</w:t>
      </w:r>
      <w:r w:rsidR="0018133A">
        <w:rPr>
          <w:rFonts w:cstheme="minorHAnsi"/>
          <w:color w:val="333333"/>
        </w:rPr>
        <w:t>)</w:t>
      </w:r>
      <w:r w:rsidRPr="002A1752">
        <w:rPr>
          <w:rFonts w:cstheme="minorHAnsi"/>
          <w:color w:val="333333"/>
        </w:rPr>
        <w:t>, EPA solicited comments on specific aspects of the information collection summarized in the Federal Register Notice dated February 15, 2023. Comments were accepted until April 17, 2023. The ICR and accompanying material are available in the docket for public review and comment.</w:t>
      </w:r>
    </w:p>
    <w:p w:rsidR="002A1752" w:rsidP="002A1752" w14:paraId="3E28F868" w14:textId="77777777">
      <w:r>
        <w:t xml:space="preserve">This ICR </w:t>
      </w:r>
      <w:bookmarkStart w:id="3" w:name="_Hlk126243988"/>
      <w:r>
        <w:t>presents EPA’s estimates for the burden and costs associated with the information collection activities related to pollution prevention grant programs and the collection of activity and results data from the grantees via a standard electronic format</w:t>
      </w:r>
      <w:bookmarkEnd w:id="3"/>
      <w:r>
        <w:t xml:space="preserve">. </w:t>
      </w:r>
      <w:r w:rsidRPr="00EB257E">
        <w:t xml:space="preserve"> </w:t>
      </w:r>
    </w:p>
    <w:p w:rsidR="002A1752" w:rsidP="002A1752" w14:paraId="44CE896B" w14:textId="734C6D79">
      <w:r>
        <w:t>Pollution prevention (</w:t>
      </w:r>
      <w:r w:rsidRPr="00130A66">
        <w:t>P2</w:t>
      </w:r>
      <w:r>
        <w:t>)</w:t>
      </w:r>
      <w:r w:rsidRPr="00130A66">
        <w:t xml:space="preserve"> means reducing or eliminating pollutants from entering any waste stream or otherwise being released into the environment prior to recycling, treatment, or disposal</w:t>
      </w:r>
      <w:r>
        <w:t xml:space="preserve">. </w:t>
      </w:r>
      <w:r w:rsidRPr="007B1F15">
        <w:t xml:space="preserve">EPA’s P2 program operates </w:t>
      </w:r>
      <w:r>
        <w:t>three</w:t>
      </w:r>
      <w:r w:rsidRPr="007B1F15">
        <w:t xml:space="preserve"> grant programs and is developing </w:t>
      </w:r>
      <w:r>
        <w:t>two</w:t>
      </w:r>
      <w:r w:rsidRPr="007B1F15">
        <w:t xml:space="preserve"> new grant programs</w:t>
      </w:r>
      <w:r>
        <w:t xml:space="preserve">. The two new grant programs under development will be supported by </w:t>
      </w:r>
      <w:r w:rsidRPr="008B5D74">
        <w:t>the 2021 Infrastructure Investment and Jobs Act (IIJA), also referred to as the Bipartisan Infrastructure Law (BIL), funding</w:t>
      </w:r>
      <w:r w:rsidR="000F454F">
        <w:t>.</w:t>
      </w:r>
    </w:p>
    <w:p w:rsidR="002A1752" w:rsidP="002A1752" w14:paraId="383EE9F2" w14:textId="35A42110">
      <w:r>
        <w:t xml:space="preserve">EPA’s goal in developing a standard electronic format is to provide a consistent manner of data collection from grant-funded projects so that ultimately the information collected can be inputted into a database (under development) which will be searchable and sharable. </w:t>
      </w:r>
      <w:r w:rsidR="00B0687D">
        <w:t xml:space="preserve">As of the date of the publication of the first </w:t>
      </w:r>
      <w:r w:rsidRPr="00BC32A6" w:rsidR="00B0687D">
        <w:rPr>
          <w:i/>
          <w:iCs/>
        </w:rPr>
        <w:t>Federal Register</w:t>
      </w:r>
      <w:r w:rsidR="00B0687D">
        <w:rPr>
          <w:i/>
          <w:iCs/>
        </w:rPr>
        <w:t xml:space="preserve"> </w:t>
      </w:r>
      <w:r w:rsidR="00B0687D">
        <w:t>notice (February 15, 2023)</w:t>
      </w:r>
      <w:r>
        <w:t>, EPA ha</w:t>
      </w:r>
      <w:r w:rsidR="00B0687D">
        <w:t>d</w:t>
      </w:r>
      <w:r>
        <w:t xml:space="preserve"> developed two templates in MS Excel format. The templates are designed for two types of P2 and </w:t>
      </w:r>
      <w:r w:rsidR="0018133A">
        <w:t>Source Reduction Assistance (</w:t>
      </w:r>
      <w:r>
        <w:t>SRA</w:t>
      </w:r>
      <w:r w:rsidR="0018133A">
        <w:t>)</w:t>
      </w:r>
      <w:r>
        <w:t xml:space="preserve"> projects: one for projects providing technical assistance to businesses and industry and one for projects supporting recognition programs, leadership </w:t>
      </w:r>
      <w:bookmarkStart w:id="4" w:name="_Hlk119415761"/>
      <w:r>
        <w:t>programs, outreach, tool development, research projects and/or demonstration projects</w:t>
      </w:r>
      <w:bookmarkEnd w:id="4"/>
      <w:r>
        <w:t>. The completed templates will be collected annually by Regional grant administrators, who will be responsible for reviewing the data prior to database upload. When the database is complete, grantees will be required to submit their data there directly rather than</w:t>
      </w:r>
      <w:r w:rsidR="00AD1B6E">
        <w:t xml:space="preserve"> via</w:t>
      </w:r>
      <w:r>
        <w:t xml:space="preserve"> the templates. </w:t>
      </w:r>
      <w:r w:rsidR="00B0687D">
        <w:t xml:space="preserve">Over the past 3 months, EPA has completed two additional spreadsheet templates for the new grant programs funded under IIJA. These spreadsheets are similar to the original templates with a few details changed to reflect the particulars of </w:t>
      </w:r>
      <w:r w:rsidR="00AD1B6E">
        <w:t>each</w:t>
      </w:r>
      <w:r w:rsidR="00B0687D">
        <w:t xml:space="preserve"> new grant program. The two new templates have been added to the docket for public comment.</w:t>
      </w:r>
    </w:p>
    <w:p w:rsidR="002A1752" w:rsidP="002A1752" w14:paraId="60A1C573" w14:textId="5039DBEF">
      <w:r w:rsidRPr="004F0937">
        <w:t xml:space="preserve">This new ICR provides the burden </w:t>
      </w:r>
      <w:r>
        <w:t>estimate</w:t>
      </w:r>
      <w:r w:rsidRPr="004F0937">
        <w:t xml:space="preserve"> for activities associated with </w:t>
      </w:r>
      <w:r>
        <w:t xml:space="preserve">grantee use of </w:t>
      </w:r>
      <w:r w:rsidRPr="004F0937">
        <w:t xml:space="preserve">a standardized electronic format </w:t>
      </w:r>
      <w:r>
        <w:t xml:space="preserve">and EPA review of the submissions; </w:t>
      </w:r>
      <w:r w:rsidRPr="004F0937">
        <w:t>and seeks approval for two standard reporting templates.</w:t>
      </w:r>
    </w:p>
    <w:p w:rsidR="002A1752" w14:paraId="7C4D3032" w14:textId="0A030779">
      <w:r>
        <w:br w:type="page"/>
      </w:r>
    </w:p>
    <w:p w:rsidR="002A1752" w:rsidP="002A1752" w14:paraId="31426887" w14:textId="6A537C96">
      <w:pPr>
        <w:pStyle w:val="Heading1"/>
      </w:pPr>
      <w:bookmarkStart w:id="5" w:name="_Toc135317431"/>
      <w:r>
        <w:t xml:space="preserve">Table of </w:t>
      </w:r>
      <w:r w:rsidR="006F3432">
        <w:t>C</w:t>
      </w:r>
      <w:r>
        <w:t xml:space="preserve">omment </w:t>
      </w:r>
      <w:r w:rsidR="006F3432">
        <w:t>S</w:t>
      </w:r>
      <w:r>
        <w:t>ources</w:t>
      </w:r>
      <w:bookmarkEnd w:id="5"/>
    </w:p>
    <w:p w:rsidR="002A1752" w:rsidP="002A1752" w14:paraId="66C4775E" w14:textId="4186DBC7">
      <w:r>
        <w:t>Below is a table summarizing the comments received and their identification numbers in the docket.</w:t>
      </w:r>
    </w:p>
    <w:tbl>
      <w:tblPr>
        <w:tblStyle w:val="TableGrid"/>
        <w:tblW w:w="0" w:type="auto"/>
        <w:tblLook w:val="04A0"/>
      </w:tblPr>
      <w:tblGrid>
        <w:gridCol w:w="7015"/>
        <w:gridCol w:w="2335"/>
      </w:tblGrid>
      <w:tr w14:paraId="05C98966" w14:textId="77777777" w:rsidTr="006F4D3D">
        <w:tblPrEx>
          <w:tblW w:w="0" w:type="auto"/>
          <w:tblLook w:val="04A0"/>
        </w:tblPrEx>
        <w:tc>
          <w:tcPr>
            <w:tcW w:w="7015" w:type="dxa"/>
          </w:tcPr>
          <w:p w:rsidR="002A1752" w:rsidRPr="006F4D3D" w:rsidP="006F4D3D" w14:paraId="1B3350D4" w14:textId="180E2D64">
            <w:pPr>
              <w:jc w:val="center"/>
              <w:rPr>
                <w:rFonts w:cstheme="minorHAnsi"/>
                <w:b/>
                <w:bCs/>
              </w:rPr>
            </w:pPr>
            <w:r w:rsidRPr="006F4D3D">
              <w:rPr>
                <w:rFonts w:cstheme="minorHAnsi"/>
                <w:b/>
                <w:bCs/>
              </w:rPr>
              <w:t>Name/Organization</w:t>
            </w:r>
          </w:p>
        </w:tc>
        <w:tc>
          <w:tcPr>
            <w:tcW w:w="2335" w:type="dxa"/>
          </w:tcPr>
          <w:p w:rsidR="006F4D3D" w:rsidP="006F4D3D" w14:paraId="69E58BCB" w14:textId="77777777">
            <w:pPr>
              <w:jc w:val="center"/>
              <w:rPr>
                <w:rFonts w:cstheme="minorHAnsi"/>
                <w:b/>
                <w:bCs/>
              </w:rPr>
            </w:pPr>
            <w:r w:rsidRPr="006F4D3D">
              <w:rPr>
                <w:rFonts w:cstheme="minorHAnsi"/>
                <w:b/>
                <w:bCs/>
              </w:rPr>
              <w:t xml:space="preserve">Document ID </w:t>
            </w:r>
          </w:p>
          <w:p w:rsidR="002A1752" w:rsidRPr="006F4D3D" w:rsidP="006F4D3D" w14:paraId="1AB0A57E" w14:textId="25593225">
            <w:pPr>
              <w:jc w:val="center"/>
              <w:rPr>
                <w:rFonts w:cstheme="minorHAnsi"/>
                <w:b/>
                <w:bCs/>
              </w:rPr>
            </w:pPr>
            <w:r w:rsidRPr="006F4D3D">
              <w:rPr>
                <w:rFonts w:cstheme="minorHAnsi"/>
                <w:b/>
                <w:bCs/>
              </w:rPr>
              <w:t xml:space="preserve">(Docket Number: </w:t>
            </w:r>
            <w:r w:rsidRPr="006F4D3D" w:rsidR="006F4D3D">
              <w:rPr>
                <w:rFonts w:cstheme="minorHAnsi"/>
                <w:b/>
                <w:bCs/>
                <w:shd w:val="clear" w:color="auto" w:fill="FFFFFF"/>
              </w:rPr>
              <w:t>EPA-HQ-OPPT-2022-0773)</w:t>
            </w:r>
          </w:p>
        </w:tc>
      </w:tr>
      <w:tr w14:paraId="1544035F" w14:textId="77777777" w:rsidTr="006F4D3D">
        <w:tblPrEx>
          <w:tblW w:w="0" w:type="auto"/>
          <w:tblLook w:val="04A0"/>
        </w:tblPrEx>
        <w:tc>
          <w:tcPr>
            <w:tcW w:w="7015" w:type="dxa"/>
          </w:tcPr>
          <w:p w:rsidR="002A1752" w:rsidP="002A1752" w14:paraId="1FA8D17E" w14:textId="0F3156E7">
            <w:r>
              <w:t>Colorado Department of Public Health &amp; Environment</w:t>
            </w:r>
            <w:r w:rsidR="006743DC">
              <w:t xml:space="preserve"> (CDPHE)</w:t>
            </w:r>
          </w:p>
        </w:tc>
        <w:tc>
          <w:tcPr>
            <w:tcW w:w="2335" w:type="dxa"/>
          </w:tcPr>
          <w:p w:rsidR="002A1752" w:rsidP="006F4D3D" w14:paraId="2A799489" w14:textId="2D6E7023">
            <w:pPr>
              <w:jc w:val="center"/>
            </w:pPr>
            <w:r>
              <w:t>0073-0005</w:t>
            </w:r>
          </w:p>
        </w:tc>
      </w:tr>
      <w:tr w14:paraId="6A3CAAFB" w14:textId="77777777" w:rsidTr="006F4D3D">
        <w:tblPrEx>
          <w:tblW w:w="0" w:type="auto"/>
          <w:tblLook w:val="04A0"/>
        </w:tblPrEx>
        <w:tc>
          <w:tcPr>
            <w:tcW w:w="7015" w:type="dxa"/>
          </w:tcPr>
          <w:p w:rsidR="002A1752" w:rsidP="002A1752" w14:paraId="6D41FE71" w14:textId="1262842E">
            <w:r>
              <w:t>National Pollution Prevention Roundtable</w:t>
            </w:r>
            <w:r w:rsidR="006743DC">
              <w:t xml:space="preserve"> (NPPR)</w:t>
            </w:r>
            <w:r>
              <w:rPr>
                <w:rStyle w:val="FootnoteReference"/>
              </w:rPr>
              <w:footnoteReference w:id="2"/>
            </w:r>
          </w:p>
        </w:tc>
        <w:tc>
          <w:tcPr>
            <w:tcW w:w="2335" w:type="dxa"/>
          </w:tcPr>
          <w:p w:rsidR="002A1752" w:rsidP="006F4D3D" w14:paraId="17CB3854" w14:textId="25715B06">
            <w:pPr>
              <w:jc w:val="center"/>
            </w:pPr>
            <w:r>
              <w:t>0073-0006</w:t>
            </w:r>
          </w:p>
        </w:tc>
      </w:tr>
      <w:tr w14:paraId="400A6DE5" w14:textId="77777777" w:rsidTr="006F4D3D">
        <w:tblPrEx>
          <w:tblW w:w="0" w:type="auto"/>
          <w:tblLook w:val="04A0"/>
        </w:tblPrEx>
        <w:tc>
          <w:tcPr>
            <w:tcW w:w="7015" w:type="dxa"/>
          </w:tcPr>
          <w:p w:rsidR="002A1752" w:rsidP="002A1752" w14:paraId="34784F6D" w14:textId="1871096F">
            <w:r>
              <w:t>State of Washington, Department of Ecology</w:t>
            </w:r>
            <w:r w:rsidR="006743DC">
              <w:t xml:space="preserve"> (WA</w:t>
            </w:r>
            <w:r w:rsidR="00A50021">
              <w:t xml:space="preserve"> </w:t>
            </w:r>
            <w:r w:rsidR="006743DC">
              <w:t>ECY)</w:t>
            </w:r>
          </w:p>
        </w:tc>
        <w:tc>
          <w:tcPr>
            <w:tcW w:w="2335" w:type="dxa"/>
          </w:tcPr>
          <w:p w:rsidR="002A1752" w:rsidP="006F4D3D" w14:paraId="068BE630" w14:textId="1D6BC5DB">
            <w:pPr>
              <w:jc w:val="center"/>
            </w:pPr>
            <w:r>
              <w:t>0073-0007</w:t>
            </w:r>
          </w:p>
        </w:tc>
      </w:tr>
    </w:tbl>
    <w:p w:rsidR="006F3432" w:rsidP="006F3432" w14:paraId="594B59DB" w14:textId="75142D71">
      <w:pPr>
        <w:pStyle w:val="Heading1"/>
      </w:pPr>
      <w:bookmarkStart w:id="6" w:name="_Toc135317432"/>
      <w:r>
        <w:t>Issues and EPA Responses</w:t>
      </w:r>
      <w:bookmarkEnd w:id="6"/>
    </w:p>
    <w:p w:rsidR="006F3432" w:rsidP="000F454F" w14:paraId="7F01C152" w14:textId="5B416E85">
      <w:pPr>
        <w:spacing w:line="240" w:lineRule="auto"/>
      </w:pPr>
      <w:r>
        <w:t xml:space="preserve">The following sections of the report summarize the </w:t>
      </w:r>
      <w:r w:rsidR="00BC32A6">
        <w:t>ten</w:t>
      </w:r>
      <w:r>
        <w:t xml:space="preserve"> </w:t>
      </w:r>
      <w:r w:rsidR="000F454F">
        <w:t xml:space="preserve">main </w:t>
      </w:r>
      <w:r>
        <w:t>issues of concern raised by the three commenters listed above. The number of instances of each issue is noted along with a summary</w:t>
      </w:r>
      <w:r w:rsidR="006C1A10">
        <w:t xml:space="preserve"> and sources</w:t>
      </w:r>
      <w:r>
        <w:t>, followed by EPA’s response.</w:t>
      </w:r>
    </w:p>
    <w:p w:rsidR="006F3432" w:rsidP="005A5466" w14:paraId="700EFE73" w14:textId="7BB3E711">
      <w:pPr>
        <w:pStyle w:val="Heading2"/>
      </w:pPr>
      <w:bookmarkStart w:id="7" w:name="_Toc135317433"/>
      <w:r>
        <w:t>Increased Administrative Burden</w:t>
      </w:r>
      <w:bookmarkEnd w:id="7"/>
    </w:p>
    <w:p w:rsidR="006F3432" w:rsidP="00A50021" w14:paraId="3FCD634D" w14:textId="3A836CE7">
      <w:pPr>
        <w:pStyle w:val="ListParagraph"/>
        <w:spacing w:line="240" w:lineRule="auto"/>
        <w:ind w:left="360"/>
      </w:pPr>
      <w:r w:rsidRPr="00A50021">
        <w:rPr>
          <w:b/>
          <w:bCs/>
        </w:rPr>
        <w:t>Summary:</w:t>
      </w:r>
      <w:r>
        <w:t xml:space="preserve"> All three commenters expressed concern over the increased administrative burden that the required templates would impose on </w:t>
      </w:r>
      <w:r w:rsidR="00322E51">
        <w:t>grantees</w:t>
      </w:r>
      <w:r>
        <w:t>. There is concern that information will need to be copied into the templates from other systems</w:t>
      </w:r>
      <w:r w:rsidR="00B90B48">
        <w:t xml:space="preserve"> and</w:t>
      </w:r>
      <w:r w:rsidR="006C1A10">
        <w:t>/or</w:t>
      </w:r>
      <w:r w:rsidR="00B90B48">
        <w:t xml:space="preserve"> will need to be modified to meet the reporting requirements</w:t>
      </w:r>
      <w:r w:rsidR="006E4CD1">
        <w:t>, and this will have detrimental impacts to the technical aspects of their P2 programs.</w:t>
      </w:r>
    </w:p>
    <w:p w:rsidR="00A50021" w:rsidP="00A50021" w14:paraId="51F27084" w14:textId="77777777">
      <w:pPr>
        <w:pStyle w:val="ListParagraph"/>
        <w:ind w:left="360"/>
      </w:pPr>
    </w:p>
    <w:p w:rsidR="00A50021" w:rsidP="00A50021" w14:paraId="34235154" w14:textId="4705FBDB">
      <w:pPr>
        <w:pStyle w:val="ListParagraph"/>
        <w:ind w:left="360"/>
      </w:pPr>
      <w:r w:rsidRPr="00A50021">
        <w:rPr>
          <w:b/>
          <w:bCs/>
        </w:rPr>
        <w:t>Sources:</w:t>
      </w:r>
      <w:r>
        <w:t xml:space="preserve"> </w:t>
      </w:r>
      <w:r w:rsidR="005C6588">
        <w:t>(0005), (0006), and (0007)</w:t>
      </w:r>
    </w:p>
    <w:p w:rsidR="005A5466" w:rsidRPr="004E1398" w:rsidP="005A5466" w14:paraId="03C1A7FA" w14:textId="04F1DC76">
      <w:pPr>
        <w:spacing w:line="240" w:lineRule="auto"/>
        <w:ind w:left="360"/>
        <w:rPr>
          <w:rStyle w:val="cf01"/>
          <w:rFonts w:asciiTheme="minorHAnsi" w:hAnsiTheme="minorHAnsi" w:cstheme="minorHAnsi"/>
          <w:sz w:val="22"/>
          <w:szCs w:val="22"/>
        </w:rPr>
      </w:pPr>
      <w:r w:rsidRPr="009B0E36">
        <w:rPr>
          <w:rStyle w:val="cf01"/>
          <w:rFonts w:asciiTheme="minorHAnsi" w:hAnsiTheme="minorHAnsi" w:cstheme="minorHAnsi"/>
          <w:b/>
          <w:bCs/>
          <w:sz w:val="22"/>
          <w:szCs w:val="22"/>
        </w:rPr>
        <w:t>EPA Response:</w:t>
      </w:r>
      <w:r>
        <w:rPr>
          <w:rStyle w:val="cf01"/>
          <w:rFonts w:asciiTheme="minorHAnsi" w:hAnsiTheme="minorHAnsi" w:cstheme="minorHAnsi"/>
          <w:sz w:val="22"/>
          <w:szCs w:val="22"/>
        </w:rPr>
        <w:t xml:space="preserve"> </w:t>
      </w:r>
      <w:r w:rsidRPr="004E1398">
        <w:rPr>
          <w:rStyle w:val="cf01"/>
          <w:rFonts w:asciiTheme="minorHAnsi" w:hAnsiTheme="minorHAnsi" w:cstheme="minorHAnsi"/>
          <w:sz w:val="22"/>
          <w:szCs w:val="22"/>
        </w:rPr>
        <w:t xml:space="preserve">In the </w:t>
      </w:r>
      <w:r w:rsidR="006501BD">
        <w:rPr>
          <w:rStyle w:val="cf01"/>
          <w:rFonts w:asciiTheme="minorHAnsi" w:hAnsiTheme="minorHAnsi" w:cstheme="minorHAnsi"/>
          <w:sz w:val="22"/>
          <w:szCs w:val="22"/>
        </w:rPr>
        <w:t>Request for Applications (RFA)</w:t>
      </w:r>
      <w:r w:rsidRPr="004E1398">
        <w:rPr>
          <w:rStyle w:val="cf01"/>
          <w:rFonts w:asciiTheme="minorHAnsi" w:hAnsiTheme="minorHAnsi" w:cstheme="minorHAnsi"/>
          <w:sz w:val="22"/>
          <w:szCs w:val="22"/>
        </w:rPr>
        <w:t>, EPA emphasized the importance of reporting as a critical component of the effort: "Under this funding opportunity, EPA is emphasizing the importance of grantees documenting, reporting and sharing information on P2 best practices they identify and develop through their grant so that others can replicate those P2 practices and outcomes</w:t>
      </w:r>
      <w:r w:rsidR="00845C1E">
        <w:rPr>
          <w:rStyle w:val="cf01"/>
          <w:rFonts w:asciiTheme="minorHAnsi" w:hAnsiTheme="minorHAnsi" w:cstheme="minorHAnsi"/>
          <w:sz w:val="22"/>
          <w:szCs w:val="22"/>
        </w:rPr>
        <w:t>.</w:t>
      </w:r>
      <w:r w:rsidR="006C1A10">
        <w:rPr>
          <w:rStyle w:val="cf01"/>
          <w:rFonts w:asciiTheme="minorHAnsi" w:hAnsiTheme="minorHAnsi" w:cstheme="minorHAnsi"/>
          <w:sz w:val="22"/>
          <w:szCs w:val="22"/>
        </w:rPr>
        <w:t>”</w:t>
      </w:r>
      <w:r w:rsidR="00561B49">
        <w:rPr>
          <w:rStyle w:val="cf01"/>
          <w:rFonts w:asciiTheme="minorHAnsi" w:hAnsiTheme="minorHAnsi" w:cstheme="minorHAnsi"/>
          <w:sz w:val="22"/>
          <w:szCs w:val="22"/>
        </w:rPr>
        <w:t xml:space="preserve"> EPA reiterates that the templates do not require collection of any new data.</w:t>
      </w:r>
      <w:r w:rsidR="00825277">
        <w:rPr>
          <w:rStyle w:val="cf01"/>
          <w:rFonts w:asciiTheme="minorHAnsi" w:hAnsiTheme="minorHAnsi" w:cstheme="minorHAnsi"/>
          <w:sz w:val="22"/>
          <w:szCs w:val="22"/>
        </w:rPr>
        <w:t xml:space="preserve"> Required data to be reported reflects data outlined in the original RFA. </w:t>
      </w:r>
    </w:p>
    <w:p w:rsidR="005A5466" w:rsidP="005A5466" w14:paraId="3755D705" w14:textId="77777777">
      <w:pPr>
        <w:spacing w:line="240" w:lineRule="auto"/>
        <w:ind w:left="360"/>
        <w:rPr>
          <w:rFonts w:eastAsia="Times New Roman"/>
        </w:rPr>
      </w:pPr>
      <w:r w:rsidRPr="001228A9">
        <w:rPr>
          <w:rFonts w:eastAsia="Times New Roman"/>
        </w:rPr>
        <w:t>EPA has developed data collection systems (the proposed templates and forthcoming database) to collect information to share with a wider audience beyond P2 grantees and technical assistance providers. Our objective is to amplify the P2 message and information created by P2 providers</w:t>
      </w:r>
      <w:r>
        <w:rPr>
          <w:rFonts w:eastAsia="Times New Roman"/>
        </w:rPr>
        <w:t xml:space="preserve"> to the greater business and industry community at large</w:t>
      </w:r>
      <w:r w:rsidRPr="001228A9">
        <w:rPr>
          <w:rFonts w:eastAsia="Times New Roman"/>
        </w:rPr>
        <w:t xml:space="preserve">. We </w:t>
      </w:r>
      <w:r>
        <w:rPr>
          <w:rFonts w:eastAsia="Times New Roman"/>
        </w:rPr>
        <w:t>feel</w:t>
      </w:r>
      <w:r w:rsidRPr="001228A9">
        <w:rPr>
          <w:rFonts w:eastAsia="Times New Roman"/>
        </w:rPr>
        <w:t xml:space="preserve"> that reporting </w:t>
      </w:r>
      <w:r>
        <w:rPr>
          <w:rFonts w:eastAsia="Times New Roman"/>
        </w:rPr>
        <w:t>on established P2 metrics i</w:t>
      </w:r>
      <w:r w:rsidRPr="001228A9">
        <w:rPr>
          <w:rFonts w:eastAsia="Times New Roman"/>
        </w:rPr>
        <w:t xml:space="preserve">s needed so that </w:t>
      </w:r>
      <w:r>
        <w:rPr>
          <w:rFonts w:eastAsia="Times New Roman"/>
        </w:rPr>
        <w:t>EPA</w:t>
      </w:r>
      <w:r w:rsidRPr="001228A9">
        <w:rPr>
          <w:rFonts w:eastAsia="Times New Roman"/>
        </w:rPr>
        <w:t xml:space="preserve"> can document and share lessons learned</w:t>
      </w:r>
      <w:r>
        <w:rPr>
          <w:rFonts w:eastAsia="Times New Roman"/>
        </w:rPr>
        <w:t xml:space="preserve"> as well as P2 best practices. EPA believes </w:t>
      </w:r>
      <w:r w:rsidRPr="001228A9">
        <w:rPr>
          <w:rFonts w:eastAsia="Times New Roman"/>
        </w:rPr>
        <w:t>the additional reporting burden</w:t>
      </w:r>
      <w:r>
        <w:rPr>
          <w:rFonts w:eastAsia="Times New Roman"/>
        </w:rPr>
        <w:t xml:space="preserve"> is necessary</w:t>
      </w:r>
      <w:r w:rsidRPr="001228A9">
        <w:rPr>
          <w:rFonts w:eastAsia="Times New Roman"/>
        </w:rPr>
        <w:t xml:space="preserve"> to document </w:t>
      </w:r>
      <w:r>
        <w:rPr>
          <w:rFonts w:eastAsia="Times New Roman"/>
        </w:rPr>
        <w:t xml:space="preserve">the P2 work performed by P2 providers and will </w:t>
      </w:r>
      <w:r w:rsidRPr="001228A9">
        <w:rPr>
          <w:rFonts w:eastAsia="Times New Roman"/>
        </w:rPr>
        <w:t>lead to wider adoption</w:t>
      </w:r>
      <w:r>
        <w:rPr>
          <w:rFonts w:eastAsia="Times New Roman"/>
        </w:rPr>
        <w:t xml:space="preserve"> of P2 practices. This concept is a cornerstone of the program.</w:t>
      </w:r>
    </w:p>
    <w:p w:rsidR="006E4CD1" w:rsidRPr="006E4CD1" w:rsidP="005A5466" w14:paraId="12CA2D7B" w14:textId="58D473FD">
      <w:pPr>
        <w:spacing w:line="240" w:lineRule="auto"/>
        <w:ind w:left="360"/>
        <w:rPr>
          <w:rFonts w:eastAsia="Times New Roman" w:cstheme="minorHAnsi"/>
        </w:rPr>
      </w:pPr>
      <w:r w:rsidRPr="006E4CD1">
        <w:rPr>
          <w:rStyle w:val="cf01"/>
          <w:rFonts w:asciiTheme="minorHAnsi" w:hAnsiTheme="minorHAnsi" w:cstheme="minorHAnsi"/>
          <w:sz w:val="22"/>
          <w:szCs w:val="22"/>
        </w:rPr>
        <w:t xml:space="preserve">In addition, to reduce the potential increase in administrative burden to the grantee, EPA will work with the grantees to import the data from </w:t>
      </w:r>
      <w:r w:rsidR="00561B49">
        <w:rPr>
          <w:rStyle w:val="cf01"/>
          <w:rFonts w:asciiTheme="minorHAnsi" w:hAnsiTheme="minorHAnsi" w:cstheme="minorHAnsi"/>
          <w:sz w:val="22"/>
          <w:szCs w:val="22"/>
        </w:rPr>
        <w:t>an</w:t>
      </w:r>
      <w:r w:rsidRPr="006E4CD1" w:rsidR="00561B49">
        <w:rPr>
          <w:rStyle w:val="cf01"/>
          <w:rFonts w:asciiTheme="minorHAnsi" w:hAnsiTheme="minorHAnsi" w:cstheme="minorHAnsi"/>
          <w:sz w:val="22"/>
          <w:szCs w:val="22"/>
        </w:rPr>
        <w:t xml:space="preserve"> </w:t>
      </w:r>
      <w:r w:rsidRPr="006E4CD1">
        <w:rPr>
          <w:rStyle w:val="cf01"/>
          <w:rFonts w:asciiTheme="minorHAnsi" w:hAnsiTheme="minorHAnsi" w:cstheme="minorHAnsi"/>
          <w:sz w:val="22"/>
          <w:szCs w:val="22"/>
        </w:rPr>
        <w:t>existing grantee database into the EPA database</w:t>
      </w:r>
      <w:r w:rsidR="00BC32A6">
        <w:rPr>
          <w:rStyle w:val="cf01"/>
          <w:rFonts w:asciiTheme="minorHAnsi" w:hAnsiTheme="minorHAnsi" w:cstheme="minorHAnsi"/>
          <w:sz w:val="22"/>
          <w:szCs w:val="22"/>
        </w:rPr>
        <w:t xml:space="preserve"> once developed</w:t>
      </w:r>
      <w:r w:rsidRPr="006E4CD1">
        <w:rPr>
          <w:rStyle w:val="cf01"/>
          <w:rFonts w:asciiTheme="minorHAnsi" w:hAnsiTheme="minorHAnsi" w:cstheme="minorHAnsi"/>
          <w:sz w:val="22"/>
          <w:szCs w:val="22"/>
        </w:rPr>
        <w:t>, so as to not have to re-enter the data. EPA suggests that programs can also shift resources for programming to extract data and import it into the EPA database.</w:t>
      </w:r>
    </w:p>
    <w:p w:rsidR="006F3432" w:rsidP="005A5466" w14:paraId="63FAF848" w14:textId="1A697C6B">
      <w:pPr>
        <w:pStyle w:val="Heading2"/>
      </w:pPr>
      <w:bookmarkStart w:id="8" w:name="_Toc135317434"/>
      <w:r>
        <w:t>Reduced Ability to Provide Technical Assistance</w:t>
      </w:r>
      <w:bookmarkEnd w:id="8"/>
    </w:p>
    <w:p w:rsidR="00F9505A" w:rsidP="00F9505A" w14:paraId="78878E6A" w14:textId="3D599610">
      <w:pPr>
        <w:pStyle w:val="ListParagraph"/>
        <w:spacing w:line="240" w:lineRule="auto"/>
        <w:ind w:left="360"/>
      </w:pPr>
      <w:r w:rsidRPr="007456F6">
        <w:rPr>
          <w:b/>
          <w:bCs/>
        </w:rPr>
        <w:t>Summary:</w:t>
      </w:r>
      <w:r>
        <w:t xml:space="preserve"> </w:t>
      </w:r>
      <w:r w:rsidR="008B5AE1">
        <w:t>All three</w:t>
      </w:r>
      <w:r w:rsidR="003C7280">
        <w:t xml:space="preserve"> </w:t>
      </w:r>
      <w:r>
        <w:t>respondent</w:t>
      </w:r>
      <w:r w:rsidR="000F454F">
        <w:t>s</w:t>
      </w:r>
      <w:r>
        <w:t xml:space="preserve"> </w:t>
      </w:r>
      <w:r w:rsidR="003C7280">
        <w:t>expressed</w:t>
      </w:r>
      <w:r>
        <w:t xml:space="preserve"> concern over </w:t>
      </w:r>
      <w:r w:rsidR="00BC32A6">
        <w:t xml:space="preserve">an </w:t>
      </w:r>
      <w:r>
        <w:t>increased administrative burden to include that the burden would the</w:t>
      </w:r>
      <w:r w:rsidR="006C1A10">
        <w:t>n</w:t>
      </w:r>
      <w:r>
        <w:t xml:space="preserve"> reduce the time available for staff to provide technical assistance to the businesses they are working with.</w:t>
      </w:r>
      <w:r w:rsidR="00CA25A7">
        <w:t xml:space="preserve"> </w:t>
      </w:r>
    </w:p>
    <w:p w:rsidR="00F9505A" w:rsidP="00F9505A" w14:paraId="2A3ACE78" w14:textId="77777777">
      <w:pPr>
        <w:pStyle w:val="ListParagraph"/>
        <w:spacing w:line="240" w:lineRule="auto"/>
        <w:ind w:left="360"/>
      </w:pPr>
    </w:p>
    <w:p w:rsidR="006F3432" w:rsidP="00F9505A" w14:paraId="797E81FD" w14:textId="45FF4698">
      <w:pPr>
        <w:pStyle w:val="ListParagraph"/>
        <w:spacing w:before="120" w:after="120"/>
        <w:ind w:left="360"/>
      </w:pPr>
      <w:r w:rsidRPr="007456F6">
        <w:rPr>
          <w:b/>
          <w:bCs/>
        </w:rPr>
        <w:t>Source:</w:t>
      </w:r>
      <w:r>
        <w:t xml:space="preserve"> </w:t>
      </w:r>
      <w:r w:rsidR="005C6588">
        <w:t>(0005), (0006), and (0007)</w:t>
      </w:r>
    </w:p>
    <w:p w:rsidR="006F3432" w:rsidP="009B0E36" w14:paraId="2F1322F5" w14:textId="77BBBDB5">
      <w:pPr>
        <w:spacing w:line="240" w:lineRule="auto"/>
        <w:ind w:left="360"/>
        <w:rPr>
          <w:rFonts w:eastAsia="Times New Roman"/>
        </w:rPr>
      </w:pPr>
      <w:r w:rsidRPr="009B0E36">
        <w:rPr>
          <w:rFonts w:eastAsia="Times New Roman"/>
          <w:b/>
          <w:bCs/>
        </w:rPr>
        <w:t>EPA Response:</w:t>
      </w:r>
      <w:r>
        <w:rPr>
          <w:rFonts w:eastAsia="Times New Roman"/>
        </w:rPr>
        <w:t xml:space="preserve"> </w:t>
      </w:r>
      <w:r w:rsidR="00CA25A7">
        <w:rPr>
          <w:rFonts w:eastAsia="Times New Roman"/>
        </w:rPr>
        <w:t xml:space="preserve">EPA acknowledges that there is a tradeoff between measurement and reporting and the amount of technical assistance that grantees can provide. Given the importance of measurement and reporting to share information, EPA believes this tradeoff is worthwhile. </w:t>
      </w:r>
    </w:p>
    <w:p w:rsidR="00BC32A6" w:rsidP="00BC32A6" w14:paraId="54F53868" w14:textId="77777777">
      <w:pPr>
        <w:pStyle w:val="Heading2"/>
      </w:pPr>
      <w:bookmarkStart w:id="9" w:name="_Toc135317435"/>
      <w:r>
        <w:t>Privacy Concerns</w:t>
      </w:r>
      <w:bookmarkEnd w:id="9"/>
    </w:p>
    <w:p w:rsidR="00BC32A6" w:rsidP="00BC32A6" w14:paraId="5E81C466" w14:textId="77777777">
      <w:pPr>
        <w:pStyle w:val="ListParagraph"/>
        <w:spacing w:line="240" w:lineRule="auto"/>
        <w:ind w:left="360"/>
      </w:pPr>
      <w:r w:rsidRPr="006743DC">
        <w:rPr>
          <w:b/>
          <w:bCs/>
        </w:rPr>
        <w:t>Summary:</w:t>
      </w:r>
      <w:r>
        <w:t xml:space="preserve"> Two commenters raised concerns over the privacy of business information being publicly available through the grant data reporting process. It was stated that by making data publicly available, businesses may no longer wish to participate in the program.</w:t>
      </w:r>
    </w:p>
    <w:p w:rsidR="00BC32A6" w:rsidP="00BC32A6" w14:paraId="335855FF" w14:textId="77777777">
      <w:pPr>
        <w:pStyle w:val="ListParagraph"/>
        <w:ind w:left="0"/>
      </w:pPr>
    </w:p>
    <w:p w:rsidR="00BC32A6" w:rsidP="00BC32A6" w14:paraId="5EE7E26A" w14:textId="3CBBFD72">
      <w:pPr>
        <w:pStyle w:val="ListParagraph"/>
        <w:ind w:left="360"/>
      </w:pPr>
      <w:r w:rsidRPr="006743DC">
        <w:rPr>
          <w:b/>
          <w:bCs/>
        </w:rPr>
        <w:t>Sources:</w:t>
      </w:r>
      <w:r>
        <w:t xml:space="preserve"> </w:t>
      </w:r>
      <w:r w:rsidR="005C6588">
        <w:t>(0005) and (0006)</w:t>
      </w:r>
    </w:p>
    <w:p w:rsidR="00BC32A6" w:rsidP="00BC32A6" w14:paraId="00E5E0FE" w14:textId="77777777">
      <w:pPr>
        <w:pStyle w:val="ListParagraph"/>
        <w:ind w:left="0"/>
      </w:pPr>
    </w:p>
    <w:p w:rsidR="00BC32A6" w:rsidP="00BC32A6" w14:paraId="2FE1C932" w14:textId="63BEA339">
      <w:pPr>
        <w:pStyle w:val="ListParagraph"/>
        <w:spacing w:line="240" w:lineRule="auto"/>
        <w:ind w:left="360"/>
        <w:rPr>
          <w:rFonts w:eastAsia="Times New Roman"/>
        </w:rPr>
      </w:pPr>
      <w:r w:rsidRPr="005A5466">
        <w:rPr>
          <w:b/>
          <w:bCs/>
        </w:rPr>
        <w:t>EPA Response:</w:t>
      </w:r>
      <w:r>
        <w:t xml:space="preserve"> </w:t>
      </w:r>
      <w:r>
        <w:rPr>
          <w:rFonts w:eastAsia="Times New Roman"/>
        </w:rPr>
        <w:t>EPA understands that some facilities receiving technical assistance wish that their results remain confidential. In these cases, the P2 grantee need not report identifying information. As noted in the RFA, “</w:t>
      </w:r>
      <w:r>
        <w:t>If a facility raises confidentiality concerns or there are confidentiality constraints under state law, report a generic facility name such as Facility A and omit the EPA facility ID, contact, and the city</w:t>
      </w:r>
      <w:r>
        <w:rPr>
          <w:rStyle w:val="FootnoteReference"/>
        </w:rPr>
        <w:footnoteReference w:id="3"/>
      </w:r>
      <w:r>
        <w:t xml:space="preserve">.” EPA recommends that P2 grantees </w:t>
      </w:r>
      <w:r>
        <w:rPr>
          <w:rFonts w:eastAsia="Times New Roman"/>
        </w:rPr>
        <w:t>seek out other businesses to work with that are willing to share the reporting metrics. Refinements of a future database may enable the entry and protection of confidential information. EPA will continue to explore this possibility.</w:t>
      </w:r>
    </w:p>
    <w:p w:rsidR="005644BA" w:rsidP="005644BA" w14:paraId="51117724" w14:textId="383A731C">
      <w:pPr>
        <w:pStyle w:val="Heading2"/>
        <w:rPr>
          <w:rFonts w:eastAsia="Times New Roman"/>
        </w:rPr>
      </w:pPr>
      <w:bookmarkStart w:id="10" w:name="_Toc135317436"/>
      <w:r>
        <w:rPr>
          <w:rFonts w:eastAsia="Times New Roman"/>
        </w:rPr>
        <w:t>Increased Costs Not Accounted for in Workplans</w:t>
      </w:r>
      <w:bookmarkEnd w:id="10"/>
    </w:p>
    <w:p w:rsidR="005644BA" w:rsidP="005644BA" w14:paraId="79F11168" w14:textId="1F1779C0">
      <w:pPr>
        <w:spacing w:line="240" w:lineRule="auto"/>
        <w:ind w:left="360"/>
        <w:rPr>
          <w:rFonts w:eastAsia="Times New Roman"/>
        </w:rPr>
      </w:pPr>
      <w:r w:rsidRPr="005644BA">
        <w:rPr>
          <w:rFonts w:eastAsia="Times New Roman"/>
          <w:b/>
          <w:bCs/>
        </w:rPr>
        <w:t>Summary:</w:t>
      </w:r>
      <w:r>
        <w:rPr>
          <w:rFonts w:eastAsia="Times New Roman"/>
        </w:rPr>
        <w:t xml:space="preserve"> </w:t>
      </w:r>
      <w:r>
        <w:t>One commentor noted that grantees had not budgeted for use of a standard form in their workplans.</w:t>
      </w:r>
      <w:r w:rsidR="007D4E6A">
        <w:t xml:space="preserve"> Further, the commentor notes that </w:t>
      </w:r>
      <w:r w:rsidRPr="007D4E6A" w:rsidR="007D4E6A">
        <w:t>grantees have already invested time and funding to establish electronic systems for maintaining data and reporting the required data to EPA. Additional time and funding would be required to modify these systems.</w:t>
      </w:r>
    </w:p>
    <w:p w:rsidR="005644BA" w:rsidP="005644BA" w14:paraId="09C05A59" w14:textId="34B2B63C">
      <w:pPr>
        <w:spacing w:line="240" w:lineRule="auto"/>
        <w:ind w:left="360"/>
        <w:rPr>
          <w:rFonts w:eastAsia="Times New Roman"/>
        </w:rPr>
      </w:pPr>
      <w:r w:rsidRPr="005644BA">
        <w:rPr>
          <w:rFonts w:eastAsia="Times New Roman"/>
          <w:b/>
          <w:bCs/>
        </w:rPr>
        <w:t>Source:</w:t>
      </w:r>
      <w:r>
        <w:rPr>
          <w:rFonts w:eastAsia="Times New Roman"/>
        </w:rPr>
        <w:t xml:space="preserve"> </w:t>
      </w:r>
      <w:r w:rsidR="005C6588">
        <w:rPr>
          <w:rFonts w:eastAsia="Times New Roman"/>
        </w:rPr>
        <w:t>(0005)</w:t>
      </w:r>
    </w:p>
    <w:p w:rsidR="008B5AE1" w:rsidP="008B5AE1" w14:paraId="2BFB49C3" w14:textId="381C901F">
      <w:pPr>
        <w:spacing w:line="240" w:lineRule="auto"/>
        <w:ind w:left="360"/>
        <w:rPr>
          <w:rFonts w:eastAsia="Times New Roman"/>
        </w:rPr>
      </w:pPr>
      <w:r w:rsidRPr="005644BA">
        <w:rPr>
          <w:rFonts w:eastAsia="Times New Roman"/>
          <w:b/>
          <w:bCs/>
        </w:rPr>
        <w:t>EPA Response:</w:t>
      </w:r>
      <w:r>
        <w:rPr>
          <w:rFonts w:eastAsia="Times New Roman"/>
        </w:rPr>
        <w:t xml:space="preserve"> </w:t>
      </w:r>
      <w:r w:rsidR="006E4CD1">
        <w:rPr>
          <w:rFonts w:eastAsia="Times New Roman"/>
        </w:rPr>
        <w:t>EPA has not modified the information required in reporting, only the format in which is it submitted.</w:t>
      </w:r>
      <w:r w:rsidRPr="008B5AE1">
        <w:rPr>
          <w:rFonts w:eastAsia="Times New Roman"/>
        </w:rPr>
        <w:t xml:space="preserve"> </w:t>
      </w:r>
      <w:r w:rsidRPr="003E1A42">
        <w:rPr>
          <w:rFonts w:eastAsia="Times New Roman"/>
        </w:rPr>
        <w:t xml:space="preserve">If grantees are feeling an additional burden they were not prepared for, EPA reminds grantees that the grant terms and conditions did </w:t>
      </w:r>
      <w:r>
        <w:rPr>
          <w:rFonts w:eastAsia="Times New Roman"/>
        </w:rPr>
        <w:t>indicate that grantees would be required to enter data into the database once</w:t>
      </w:r>
      <w:r w:rsidRPr="003E1A42">
        <w:rPr>
          <w:rFonts w:eastAsia="Times New Roman"/>
        </w:rPr>
        <w:t xml:space="preserve"> OMB approval is granted</w:t>
      </w:r>
      <w:r>
        <w:rPr>
          <w:rFonts w:eastAsia="Times New Roman"/>
        </w:rPr>
        <w:t xml:space="preserve"> and the RFA did include the recommended templates. </w:t>
      </w:r>
      <w:r w:rsidRPr="003E1A42">
        <w:rPr>
          <w:rFonts w:eastAsia="Times New Roman"/>
        </w:rPr>
        <w:t xml:space="preserve">Therefore, EPA believes that adequate notice was provided to include the effort in project work plans. It is anticipated that the database will reduce the level of effort as compared to the templates and will standardize the reporting for all the grantees. </w:t>
      </w:r>
    </w:p>
    <w:p w:rsidR="005644BA" w:rsidP="005644BA" w14:paraId="018176CA" w14:textId="07325D22">
      <w:pPr>
        <w:spacing w:line="240" w:lineRule="auto"/>
        <w:ind w:left="360"/>
        <w:rPr>
          <w:rFonts w:eastAsia="Times New Roman"/>
        </w:rPr>
      </w:pPr>
      <w:r>
        <w:rPr>
          <w:rFonts w:eastAsia="Times New Roman"/>
        </w:rPr>
        <w:t>M</w:t>
      </w:r>
      <w:r w:rsidR="006E4CD1">
        <w:rPr>
          <w:rFonts w:eastAsia="Times New Roman"/>
        </w:rPr>
        <w:t xml:space="preserve">oving forward, </w:t>
      </w:r>
      <w:r w:rsidRPr="003E1A42">
        <w:rPr>
          <w:rFonts w:eastAsia="Times New Roman"/>
        </w:rPr>
        <w:t xml:space="preserve">EPA </w:t>
      </w:r>
      <w:r>
        <w:rPr>
          <w:rFonts w:eastAsia="Times New Roman"/>
        </w:rPr>
        <w:t xml:space="preserve">is </w:t>
      </w:r>
      <w:r w:rsidR="00BC32A6">
        <w:rPr>
          <w:rFonts w:eastAsia="Times New Roman"/>
        </w:rPr>
        <w:t xml:space="preserve">making </w:t>
      </w:r>
      <w:r w:rsidRPr="003E1A42" w:rsidR="00BC32A6">
        <w:rPr>
          <w:rFonts w:eastAsia="Times New Roman"/>
        </w:rPr>
        <w:t>an</w:t>
      </w:r>
      <w:r w:rsidRPr="003E1A42">
        <w:rPr>
          <w:rFonts w:eastAsia="Times New Roman"/>
        </w:rPr>
        <w:t xml:space="preserve"> effort to create the templates and new database in concert with each other so that there will not be an additional learning curve once the database is launched. EPA </w:t>
      </w:r>
      <w:r w:rsidRPr="003E1A42">
        <w:rPr>
          <w:rFonts w:eastAsia="Times New Roman"/>
        </w:rPr>
        <w:t>is also working to establish crosswalks to import information from existing data collection systems in use by grantees to reduce the data entry step for those grantees.</w:t>
      </w:r>
    </w:p>
    <w:p w:rsidR="009B0E36" w:rsidP="009B0E36" w14:paraId="358CE114" w14:textId="78EFD8FB">
      <w:pPr>
        <w:pStyle w:val="Heading2"/>
        <w:rPr>
          <w:rFonts w:eastAsia="Times New Roman"/>
        </w:rPr>
      </w:pPr>
      <w:bookmarkStart w:id="11" w:name="_Toc135317437"/>
      <w:r>
        <w:rPr>
          <w:rFonts w:eastAsia="Times New Roman"/>
        </w:rPr>
        <w:t xml:space="preserve">Burden Estimate </w:t>
      </w:r>
      <w:r w:rsidR="00EE3BE8">
        <w:rPr>
          <w:rFonts w:eastAsia="Times New Roman"/>
        </w:rPr>
        <w:t>R</w:t>
      </w:r>
      <w:r>
        <w:rPr>
          <w:rFonts w:eastAsia="Times New Roman"/>
        </w:rPr>
        <w:t>eported in ICR</w:t>
      </w:r>
      <w:bookmarkEnd w:id="11"/>
    </w:p>
    <w:p w:rsidR="009B0E36" w:rsidP="006C1A10" w14:paraId="203E39A5" w14:textId="49E2C5FC">
      <w:pPr>
        <w:spacing w:line="240" w:lineRule="auto"/>
        <w:ind w:left="360"/>
        <w:rPr>
          <w:rFonts w:eastAsia="Times New Roman"/>
        </w:rPr>
      </w:pPr>
      <w:r w:rsidRPr="006C1A10">
        <w:rPr>
          <w:rFonts w:eastAsia="Times New Roman"/>
          <w:b/>
          <w:bCs/>
        </w:rPr>
        <w:t>Summary:</w:t>
      </w:r>
      <w:r w:rsidR="006C1A10">
        <w:rPr>
          <w:rFonts w:eastAsia="Times New Roman"/>
        </w:rPr>
        <w:t xml:space="preserve"> One commenter estimated that it would take a member of their staff approximately one hour to enter the data for one facility; this being </w:t>
      </w:r>
      <w:r w:rsidR="000F454F">
        <w:rPr>
          <w:rFonts w:eastAsia="Times New Roman"/>
        </w:rPr>
        <w:t xml:space="preserve">an additional </w:t>
      </w:r>
      <w:r w:rsidR="006C1A10">
        <w:rPr>
          <w:rFonts w:eastAsia="Times New Roman"/>
        </w:rPr>
        <w:t>burden on their staff resources.</w:t>
      </w:r>
    </w:p>
    <w:p w:rsidR="00332298" w:rsidP="006C1A10" w14:paraId="7AE1E700" w14:textId="55FB9A0A">
      <w:pPr>
        <w:spacing w:line="240" w:lineRule="auto"/>
        <w:ind w:left="360"/>
        <w:rPr>
          <w:rFonts w:eastAsia="Times New Roman"/>
        </w:rPr>
      </w:pPr>
      <w:r w:rsidRPr="006C1A10">
        <w:rPr>
          <w:rFonts w:eastAsia="Times New Roman"/>
          <w:b/>
          <w:bCs/>
        </w:rPr>
        <w:t>Source:</w:t>
      </w:r>
      <w:r w:rsidR="006C1A10">
        <w:rPr>
          <w:rFonts w:eastAsia="Times New Roman"/>
        </w:rPr>
        <w:t xml:space="preserve"> </w:t>
      </w:r>
      <w:r w:rsidR="005C6588">
        <w:rPr>
          <w:rFonts w:eastAsia="Times New Roman"/>
        </w:rPr>
        <w:t>(0007)</w:t>
      </w:r>
    </w:p>
    <w:p w:rsidR="009B0E36" w:rsidRPr="009B0E36" w:rsidP="004D34ED" w14:paraId="1AB51BD2" w14:textId="5567839B">
      <w:pPr>
        <w:spacing w:line="240" w:lineRule="auto"/>
        <w:ind w:left="360"/>
        <w:rPr>
          <w:rFonts w:eastAsia="Times New Roman"/>
        </w:rPr>
      </w:pPr>
      <w:r w:rsidRPr="009B0E36">
        <w:rPr>
          <w:rFonts w:eastAsia="Times New Roman"/>
          <w:b/>
          <w:bCs/>
        </w:rPr>
        <w:t>EPA Response:</w:t>
      </w:r>
      <w:r>
        <w:rPr>
          <w:rFonts w:eastAsia="Times New Roman"/>
        </w:rPr>
        <w:t xml:space="preserve"> In response to additional time burden for data input into the templates, the hours noted in the ICR reflect an average of time estimates collected from nine grantees. It is possible that any particular grantee will assume more or less time than the 43 hours estimated for Template #1</w:t>
      </w:r>
      <w:r w:rsidR="005C6588">
        <w:rPr>
          <w:rFonts w:eastAsia="Times New Roman"/>
        </w:rPr>
        <w:t xml:space="preserve"> (EPA Form No. 9600-048)</w:t>
      </w:r>
      <w:r>
        <w:rPr>
          <w:rFonts w:eastAsia="Times New Roman"/>
        </w:rPr>
        <w:t xml:space="preserve"> and 22 hours estimated for Template #2</w:t>
      </w:r>
      <w:r w:rsidR="005C6588">
        <w:rPr>
          <w:rFonts w:eastAsia="Times New Roman"/>
        </w:rPr>
        <w:t xml:space="preserve"> (EPA Form No. 9600-047)</w:t>
      </w:r>
      <w:r>
        <w:rPr>
          <w:rFonts w:eastAsia="Times New Roman"/>
        </w:rPr>
        <w:t>.</w:t>
      </w:r>
    </w:p>
    <w:p w:rsidR="006F3432" w:rsidP="005A5466" w14:paraId="4A8BDF34" w14:textId="588A8A99">
      <w:pPr>
        <w:pStyle w:val="Heading2"/>
      </w:pPr>
      <w:bookmarkStart w:id="12" w:name="_Toc135317438"/>
      <w:r>
        <w:t>Lessening of</w:t>
      </w:r>
      <w:r>
        <w:t xml:space="preserve"> Data Quality</w:t>
      </w:r>
      <w:bookmarkEnd w:id="12"/>
    </w:p>
    <w:p w:rsidR="006F3432" w:rsidP="006D16D8" w14:paraId="0DE5BD5B" w14:textId="4DA988D1">
      <w:pPr>
        <w:pStyle w:val="ListParagraph"/>
        <w:ind w:left="360"/>
      </w:pPr>
      <w:r w:rsidRPr="006D16D8">
        <w:rPr>
          <w:b/>
          <w:bCs/>
        </w:rPr>
        <w:t>Summary:</w:t>
      </w:r>
      <w:r w:rsidR="006D16D8">
        <w:t xml:space="preserve"> One commenter stated that using the prescribed template will result in reduced detail provided as part of the reports to EPA.</w:t>
      </w:r>
    </w:p>
    <w:p w:rsidR="006C1A10" w:rsidP="006D16D8" w14:paraId="745DD7AC" w14:textId="3513B77E">
      <w:pPr>
        <w:pStyle w:val="ListParagraph"/>
        <w:ind w:left="360"/>
      </w:pPr>
    </w:p>
    <w:p w:rsidR="006C1A10" w:rsidP="006D16D8" w14:paraId="6AE9C5E9" w14:textId="710B29AE">
      <w:pPr>
        <w:pStyle w:val="ListParagraph"/>
        <w:ind w:left="360"/>
      </w:pPr>
      <w:r w:rsidRPr="006D16D8">
        <w:rPr>
          <w:b/>
          <w:bCs/>
        </w:rPr>
        <w:t>Source:</w:t>
      </w:r>
      <w:r w:rsidR="006D16D8">
        <w:t xml:space="preserve"> </w:t>
      </w:r>
      <w:r w:rsidR="005C6588">
        <w:t>(0005)</w:t>
      </w:r>
    </w:p>
    <w:p w:rsidR="004D34ED" w:rsidP="006F3432" w14:paraId="08EFCA2D" w14:textId="77777777">
      <w:pPr>
        <w:pStyle w:val="ListParagraph"/>
        <w:ind w:left="0"/>
      </w:pPr>
    </w:p>
    <w:p w:rsidR="004D34ED" w:rsidP="004D34ED" w14:paraId="4E692841" w14:textId="4FC7078C">
      <w:pPr>
        <w:pStyle w:val="ListParagraph"/>
        <w:spacing w:line="240" w:lineRule="auto"/>
        <w:ind w:left="360"/>
        <w:rPr>
          <w:rFonts w:eastAsia="Times New Roman"/>
        </w:rPr>
      </w:pPr>
      <w:r w:rsidRPr="004D34ED">
        <w:rPr>
          <w:rFonts w:eastAsia="Times New Roman"/>
          <w:b/>
          <w:bCs/>
        </w:rPr>
        <w:t>EPA Response:</w:t>
      </w:r>
      <w:r>
        <w:rPr>
          <w:rFonts w:eastAsia="Times New Roman"/>
        </w:rPr>
        <w:t xml:space="preserve"> EPA understands and appreciates the concern expressed about the potential for the templates to lead to reduced details provided as compared to historical narrative reports.  EPA will still collect narrative reports based on grant projects and will draw from them for supplemental story telling. However, EPA feels that the narratives have limited utility in amplifying results of </w:t>
      </w:r>
      <w:r w:rsidR="00DB4BCB">
        <w:rPr>
          <w:rFonts w:eastAsia="Times New Roman"/>
        </w:rPr>
        <w:t xml:space="preserve">grantee </w:t>
      </w:r>
      <w:r>
        <w:rPr>
          <w:rFonts w:eastAsia="Times New Roman"/>
        </w:rPr>
        <w:t xml:space="preserve">program work, hence we need structured data as requested on the templates.  </w:t>
      </w:r>
    </w:p>
    <w:p w:rsidR="004D34ED" w:rsidP="004D34ED" w14:paraId="333A1D5B" w14:textId="77777777">
      <w:pPr>
        <w:pStyle w:val="ListParagraph"/>
        <w:spacing w:line="240" w:lineRule="auto"/>
        <w:rPr>
          <w:rFonts w:eastAsia="Times New Roman"/>
        </w:rPr>
      </w:pPr>
    </w:p>
    <w:p w:rsidR="004D34ED" w:rsidP="004D34ED" w14:paraId="5784FA6F" w14:textId="23E39541">
      <w:pPr>
        <w:pStyle w:val="ListParagraph"/>
        <w:spacing w:line="240" w:lineRule="auto"/>
        <w:ind w:left="360"/>
        <w:rPr>
          <w:rFonts w:eastAsia="Times New Roman"/>
        </w:rPr>
      </w:pPr>
      <w:r>
        <w:rPr>
          <w:rFonts w:eastAsia="Times New Roman"/>
        </w:rPr>
        <w:t>EPA is requesting that all data be reported on the templates,</w:t>
      </w:r>
      <w:r w:rsidR="00E0523F">
        <w:rPr>
          <w:rFonts w:eastAsia="Times New Roman"/>
        </w:rPr>
        <w:t xml:space="preserve"> which is a request for the data in a certain format, not an increase in the scope of data collection needed. Therefore</w:t>
      </w:r>
      <w:r w:rsidR="00AD1B6E">
        <w:rPr>
          <w:rFonts w:eastAsia="Times New Roman"/>
        </w:rPr>
        <w:t>,</w:t>
      </w:r>
      <w:r w:rsidR="00E0523F">
        <w:rPr>
          <w:rFonts w:eastAsia="Times New Roman"/>
        </w:rPr>
        <w:t xml:space="preserve"> there should not be any impact on the scope of the deliverables.</w:t>
      </w:r>
      <w:r>
        <w:rPr>
          <w:rFonts w:eastAsia="Times New Roman"/>
        </w:rPr>
        <w:t xml:space="preserve"> EPA feels that the grantees commitment to providing the requested data was clear in the terms and conditions of the grant, therefore there should not be any reduction in deliverables on the part of the grantee. If on an interim basis, a</w:t>
      </w:r>
      <w:r w:rsidRPr="00326ED0">
        <w:rPr>
          <w:rFonts w:eastAsia="Times New Roman"/>
        </w:rPr>
        <w:t xml:space="preserve"> shift in or additional </w:t>
      </w:r>
      <w:r>
        <w:rPr>
          <w:rFonts w:eastAsia="Times New Roman"/>
        </w:rPr>
        <w:t>staffing is required</w:t>
      </w:r>
      <w:r w:rsidRPr="00326ED0">
        <w:rPr>
          <w:rFonts w:eastAsia="Times New Roman"/>
        </w:rPr>
        <w:t xml:space="preserve"> to manage data transfer and reporting</w:t>
      </w:r>
      <w:r>
        <w:rPr>
          <w:rFonts w:eastAsia="Times New Roman"/>
        </w:rPr>
        <w:t>, EPA understands that shift may be necessary to obtain the data needed.</w:t>
      </w:r>
      <w:r w:rsidRPr="00326ED0">
        <w:rPr>
          <w:rFonts w:eastAsia="Times New Roman"/>
        </w:rPr>
        <w:t xml:space="preserve"> </w:t>
      </w:r>
    </w:p>
    <w:p w:rsidR="004D34ED" w:rsidP="004D34ED" w14:paraId="2A4368AB" w14:textId="19BE10D6">
      <w:pPr>
        <w:pStyle w:val="Heading2"/>
      </w:pPr>
      <w:bookmarkStart w:id="13" w:name="_Toc135317439"/>
      <w:r>
        <w:t xml:space="preserve">Metrics </w:t>
      </w:r>
      <w:r w:rsidR="00EE3BE8">
        <w:t>N</w:t>
      </w:r>
      <w:r>
        <w:t xml:space="preserve">ot </w:t>
      </w:r>
      <w:r w:rsidR="00EE3BE8">
        <w:t>B</w:t>
      </w:r>
      <w:r>
        <w:t>eneficia</w:t>
      </w:r>
      <w:r w:rsidR="007D4E6A">
        <w:t>l</w:t>
      </w:r>
      <w:bookmarkEnd w:id="13"/>
    </w:p>
    <w:p w:rsidR="006D16D8" w:rsidP="006D16D8" w14:paraId="7F6CDF73" w14:textId="3175A96E">
      <w:pPr>
        <w:pStyle w:val="ListParagraph"/>
        <w:spacing w:line="240" w:lineRule="auto"/>
        <w:ind w:left="360"/>
        <w:rPr>
          <w:rFonts w:eastAsia="Times New Roman"/>
        </w:rPr>
      </w:pPr>
      <w:r w:rsidRPr="006D16D8">
        <w:rPr>
          <w:rFonts w:eastAsia="Times New Roman"/>
          <w:b/>
          <w:bCs/>
        </w:rPr>
        <w:t>Summary:</w:t>
      </w:r>
      <w:r>
        <w:rPr>
          <w:rFonts w:eastAsia="Times New Roman"/>
        </w:rPr>
        <w:t xml:space="preserve"> One commenter noted that they feel the templates separate the data from valuable elements of the success story related to the P2 project work; they believe reducing the reporting to these quantitative metrics missed the elements of relationship building and raising awareness.</w:t>
      </w:r>
      <w:r w:rsidR="006A314C">
        <w:rPr>
          <w:rFonts w:eastAsia="Times New Roman"/>
        </w:rPr>
        <w:t xml:space="preserve"> </w:t>
      </w:r>
    </w:p>
    <w:p w:rsidR="006D16D8" w:rsidRPr="006D16D8" w:rsidP="006D16D8" w14:paraId="725FE140" w14:textId="77777777">
      <w:pPr>
        <w:pStyle w:val="ListParagraph"/>
        <w:spacing w:after="0" w:line="240" w:lineRule="auto"/>
        <w:ind w:left="360"/>
        <w:rPr>
          <w:rFonts w:eastAsia="Times New Roman"/>
        </w:rPr>
      </w:pPr>
    </w:p>
    <w:p w:rsidR="00332298" w:rsidP="006D16D8" w14:paraId="4FF514A4" w14:textId="11B74597">
      <w:pPr>
        <w:pStyle w:val="ListParagraph"/>
        <w:ind w:left="360"/>
        <w:rPr>
          <w:rFonts w:eastAsia="Times New Roman"/>
        </w:rPr>
      </w:pPr>
      <w:r w:rsidRPr="006D16D8">
        <w:rPr>
          <w:rFonts w:eastAsia="Times New Roman"/>
          <w:b/>
          <w:bCs/>
        </w:rPr>
        <w:t>Source:</w:t>
      </w:r>
      <w:r w:rsidR="006D16D8">
        <w:rPr>
          <w:rFonts w:eastAsia="Times New Roman"/>
        </w:rPr>
        <w:t xml:space="preserve"> </w:t>
      </w:r>
      <w:r w:rsidR="005C6588">
        <w:rPr>
          <w:rFonts w:eastAsia="Times New Roman"/>
        </w:rPr>
        <w:t>(0007)</w:t>
      </w:r>
    </w:p>
    <w:p w:rsidR="00332298" w:rsidP="004D34ED" w14:paraId="25464BC4" w14:textId="77777777">
      <w:pPr>
        <w:pStyle w:val="ListParagraph"/>
        <w:ind w:left="0"/>
        <w:rPr>
          <w:rFonts w:eastAsia="Times New Roman"/>
        </w:rPr>
      </w:pPr>
    </w:p>
    <w:p w:rsidR="004D34ED" w:rsidRPr="00EC2AAE" w:rsidP="006A314C" w14:paraId="4375D35D" w14:textId="518E3E9A">
      <w:pPr>
        <w:pStyle w:val="ListParagraph"/>
        <w:spacing w:line="240" w:lineRule="auto"/>
        <w:ind w:left="360"/>
        <w:rPr>
          <w:rFonts w:eastAsia="Times New Roman"/>
        </w:rPr>
      </w:pPr>
      <w:r w:rsidRPr="004D34ED">
        <w:rPr>
          <w:rFonts w:eastAsia="Times New Roman"/>
          <w:b/>
          <w:bCs/>
        </w:rPr>
        <w:t>EPA Response:</w:t>
      </w:r>
      <w:r>
        <w:rPr>
          <w:rFonts w:eastAsia="Times New Roman"/>
        </w:rPr>
        <w:t xml:space="preserve"> </w:t>
      </w:r>
      <w:r w:rsidR="00E0523F">
        <w:rPr>
          <w:rFonts w:eastAsia="Times New Roman"/>
        </w:rPr>
        <w:t xml:space="preserve">Concern over the collection of proper metrics is appreciated and is a priority for EPA.  </w:t>
      </w:r>
      <w:r w:rsidR="00A13D19">
        <w:rPr>
          <w:rFonts w:eastAsia="Times New Roman"/>
        </w:rPr>
        <w:t xml:space="preserve">As noted above, EPA is still requiring narrative reports that will allow for supplemental storytelling. </w:t>
      </w:r>
      <w:r>
        <w:rPr>
          <w:rFonts w:eastAsia="Times New Roman"/>
        </w:rPr>
        <w:t xml:space="preserve">Once the </w:t>
      </w:r>
      <w:r w:rsidRPr="00174708">
        <w:rPr>
          <w:rFonts w:eastAsia="Times New Roman"/>
        </w:rPr>
        <w:t xml:space="preserve">database </w:t>
      </w:r>
      <w:r>
        <w:rPr>
          <w:rFonts w:eastAsia="Times New Roman"/>
        </w:rPr>
        <w:t>is launched, there will be the ability to tie technical assistance to outreach efforts as appropriate</w:t>
      </w:r>
      <w:r w:rsidR="0097276F">
        <w:rPr>
          <w:rFonts w:eastAsia="Times New Roman"/>
        </w:rPr>
        <w:t xml:space="preserve"> and further enable storytelling</w:t>
      </w:r>
      <w:r>
        <w:rPr>
          <w:rFonts w:eastAsia="Times New Roman"/>
        </w:rPr>
        <w:t>. EPA is</w:t>
      </w:r>
      <w:r w:rsidRPr="00EC2AAE">
        <w:rPr>
          <w:rFonts w:eastAsia="Times New Roman"/>
        </w:rPr>
        <w:t xml:space="preserve"> continuously improving the templates to </w:t>
      </w:r>
      <w:r>
        <w:rPr>
          <w:rFonts w:eastAsia="Times New Roman"/>
        </w:rPr>
        <w:t>record</w:t>
      </w:r>
      <w:r w:rsidRPr="00EC2AAE">
        <w:rPr>
          <w:rFonts w:eastAsia="Times New Roman"/>
        </w:rPr>
        <w:t xml:space="preserve"> environmental outcomes and </w:t>
      </w:r>
      <w:r>
        <w:rPr>
          <w:rFonts w:eastAsia="Times New Roman"/>
        </w:rPr>
        <w:t>is</w:t>
      </w:r>
      <w:r w:rsidRPr="00EC2AAE">
        <w:rPr>
          <w:rFonts w:eastAsia="Times New Roman"/>
        </w:rPr>
        <w:t xml:space="preserve"> seeking input for how to make </w:t>
      </w:r>
      <w:r>
        <w:rPr>
          <w:rFonts w:eastAsia="Times New Roman"/>
        </w:rPr>
        <w:t>this</w:t>
      </w:r>
      <w:r w:rsidRPr="00EC2AAE">
        <w:rPr>
          <w:rFonts w:eastAsia="Times New Roman"/>
        </w:rPr>
        <w:t xml:space="preserve"> data useful for the purposes of widely sharing and encouraging adoption of P2 practices. Building relationships and increasing </w:t>
      </w:r>
      <w:r w:rsidRPr="00EC2AAE">
        <w:rPr>
          <w:rFonts w:eastAsia="Times New Roman"/>
        </w:rPr>
        <w:t>awareness is important, but not the ultimate end goal of the program as designed</w:t>
      </w:r>
      <w:r>
        <w:rPr>
          <w:rFonts w:eastAsia="Times New Roman"/>
        </w:rPr>
        <w:t xml:space="preserve">. EPA feels that </w:t>
      </w:r>
      <w:r w:rsidR="00A13D19">
        <w:rPr>
          <w:rFonts w:eastAsia="Times New Roman"/>
        </w:rPr>
        <w:t>promotion of</w:t>
      </w:r>
      <w:r>
        <w:rPr>
          <w:rFonts w:eastAsia="Times New Roman"/>
        </w:rPr>
        <w:t xml:space="preserve"> P2 results will lead to </w:t>
      </w:r>
      <w:r w:rsidRPr="00EC2AAE">
        <w:rPr>
          <w:rFonts w:eastAsia="Times New Roman"/>
        </w:rPr>
        <w:t>behavior change</w:t>
      </w:r>
      <w:r>
        <w:rPr>
          <w:rFonts w:eastAsia="Times New Roman"/>
        </w:rPr>
        <w:t>, which is the ultimate desire</w:t>
      </w:r>
      <w:r w:rsidRPr="00EC2AAE">
        <w:rPr>
          <w:rFonts w:eastAsia="Times New Roman"/>
        </w:rPr>
        <w:t xml:space="preserve">. </w:t>
      </w:r>
    </w:p>
    <w:p w:rsidR="00E0523F" w:rsidP="00E0523F" w14:paraId="1A13C3CD" w14:textId="3ACF136A">
      <w:pPr>
        <w:pStyle w:val="Heading2"/>
        <w:rPr>
          <w:rFonts w:eastAsia="Times New Roman"/>
        </w:rPr>
      </w:pPr>
      <w:bookmarkStart w:id="14" w:name="_Toc135317440"/>
      <w:r>
        <w:rPr>
          <w:rFonts w:eastAsia="Times New Roman"/>
        </w:rPr>
        <w:t>Metrics Not Inclusive</w:t>
      </w:r>
      <w:bookmarkEnd w:id="14"/>
    </w:p>
    <w:p w:rsidR="00E0523F" w:rsidP="00332298" w14:paraId="72577E48" w14:textId="1AFBE5FA">
      <w:pPr>
        <w:spacing w:line="240" w:lineRule="auto"/>
        <w:ind w:left="360"/>
        <w:rPr>
          <w:rFonts w:eastAsia="Times New Roman"/>
        </w:rPr>
      </w:pPr>
      <w:r w:rsidRPr="00E0523F">
        <w:rPr>
          <w:rFonts w:eastAsia="Times New Roman"/>
          <w:b/>
          <w:bCs/>
        </w:rPr>
        <w:t>Summary:</w:t>
      </w:r>
      <w:r>
        <w:rPr>
          <w:rFonts w:eastAsia="Times New Roman"/>
        </w:rPr>
        <w:t xml:space="preserve"> One commenter noted that some metrics that they are aiming to collect are not reflected in the EPA templates, such as chemical and toxicity information.</w:t>
      </w:r>
    </w:p>
    <w:p w:rsidR="00E0523F" w:rsidP="00332298" w14:paraId="7D55E2CA" w14:textId="53930C29">
      <w:pPr>
        <w:spacing w:line="240" w:lineRule="auto"/>
        <w:ind w:left="360"/>
        <w:rPr>
          <w:rFonts w:eastAsia="Times New Roman"/>
        </w:rPr>
      </w:pPr>
      <w:r w:rsidRPr="00E0523F">
        <w:rPr>
          <w:rFonts w:eastAsia="Times New Roman"/>
          <w:b/>
          <w:bCs/>
        </w:rPr>
        <w:t>Source:</w:t>
      </w:r>
      <w:r>
        <w:rPr>
          <w:rFonts w:eastAsia="Times New Roman"/>
        </w:rPr>
        <w:t xml:space="preserve"> </w:t>
      </w:r>
      <w:r w:rsidR="005C6588">
        <w:rPr>
          <w:rFonts w:eastAsia="Times New Roman"/>
        </w:rPr>
        <w:t>(0007)</w:t>
      </w:r>
    </w:p>
    <w:p w:rsidR="00E0523F" w:rsidP="00E0523F" w14:paraId="2C0B2268" w14:textId="40473CAC">
      <w:pPr>
        <w:spacing w:line="240" w:lineRule="auto"/>
        <w:ind w:left="360"/>
        <w:rPr>
          <w:rFonts w:eastAsia="Times New Roman"/>
        </w:rPr>
      </w:pPr>
      <w:r w:rsidRPr="00E0523F">
        <w:rPr>
          <w:rFonts w:eastAsia="Times New Roman"/>
          <w:b/>
          <w:bCs/>
        </w:rPr>
        <w:t>EPA Response:</w:t>
      </w:r>
      <w:r>
        <w:rPr>
          <w:rFonts w:eastAsia="Times New Roman"/>
        </w:rPr>
        <w:t xml:space="preserve"> With regards to additional suggested metrics, EPA is </w:t>
      </w:r>
      <w:r w:rsidRPr="00C13DD6">
        <w:rPr>
          <w:rFonts w:eastAsia="Times New Roman"/>
        </w:rPr>
        <w:t>considering collecting chemical and toxicity information in the future</w:t>
      </w:r>
      <w:r>
        <w:rPr>
          <w:rFonts w:eastAsia="Times New Roman"/>
        </w:rPr>
        <w:t>. Also, methods are being improved to collect information on outreach and marketing as well as to collect tools grantees have generated.</w:t>
      </w:r>
    </w:p>
    <w:p w:rsidR="00E0523F" w:rsidP="00E0523F" w14:paraId="53A98C8E" w14:textId="3D3A00E3">
      <w:pPr>
        <w:pStyle w:val="Heading2"/>
        <w:rPr>
          <w:rFonts w:eastAsia="Times New Roman"/>
        </w:rPr>
      </w:pPr>
      <w:bookmarkStart w:id="15" w:name="_Toc135317441"/>
      <w:r>
        <w:rPr>
          <w:rFonts w:eastAsia="Times New Roman"/>
        </w:rPr>
        <w:t>Burden to Partnering Organizations</w:t>
      </w:r>
      <w:bookmarkEnd w:id="15"/>
    </w:p>
    <w:p w:rsidR="00E0523F" w:rsidP="00332298" w14:paraId="46CC14B8" w14:textId="7F61D97D">
      <w:pPr>
        <w:spacing w:line="240" w:lineRule="auto"/>
        <w:ind w:left="360"/>
        <w:rPr>
          <w:rFonts w:eastAsia="Times New Roman"/>
        </w:rPr>
      </w:pPr>
      <w:r w:rsidRPr="00E0523F">
        <w:rPr>
          <w:rFonts w:eastAsia="Times New Roman"/>
          <w:b/>
          <w:bCs/>
        </w:rPr>
        <w:t>Summary:</w:t>
      </w:r>
      <w:r>
        <w:rPr>
          <w:rFonts w:eastAsia="Times New Roman"/>
        </w:rPr>
        <w:t xml:space="preserve"> One commenter expressed concern over the increased burden to partnering organizations to collect required data, discouraging them from further collaboration.</w:t>
      </w:r>
    </w:p>
    <w:p w:rsidR="00E0523F" w:rsidP="00332298" w14:paraId="531ED935" w14:textId="6DD2E660">
      <w:pPr>
        <w:spacing w:line="240" w:lineRule="auto"/>
        <w:ind w:left="360"/>
        <w:rPr>
          <w:rFonts w:eastAsia="Times New Roman"/>
        </w:rPr>
      </w:pPr>
      <w:r w:rsidRPr="00E0523F">
        <w:rPr>
          <w:rFonts w:eastAsia="Times New Roman"/>
          <w:b/>
          <w:bCs/>
        </w:rPr>
        <w:t>Source:</w:t>
      </w:r>
      <w:r>
        <w:rPr>
          <w:rFonts w:eastAsia="Times New Roman"/>
        </w:rPr>
        <w:t xml:space="preserve"> </w:t>
      </w:r>
      <w:r w:rsidR="00C44687">
        <w:rPr>
          <w:rFonts w:eastAsia="Times New Roman"/>
        </w:rPr>
        <w:t>(0007)</w:t>
      </w:r>
    </w:p>
    <w:p w:rsidR="00E0523F" w:rsidP="00332298" w14:paraId="0E91FCD8" w14:textId="41266826">
      <w:pPr>
        <w:spacing w:line="240" w:lineRule="auto"/>
        <w:ind w:left="360"/>
        <w:rPr>
          <w:rFonts w:eastAsia="Times New Roman"/>
        </w:rPr>
      </w:pPr>
      <w:r w:rsidRPr="006E4CD1">
        <w:rPr>
          <w:rFonts w:eastAsia="Times New Roman"/>
          <w:b/>
          <w:bCs/>
        </w:rPr>
        <w:t>EPA Response:</w:t>
      </w:r>
      <w:r>
        <w:rPr>
          <w:rFonts w:eastAsia="Times New Roman"/>
        </w:rPr>
        <w:t xml:space="preserve"> </w:t>
      </w:r>
      <w:r>
        <w:rPr>
          <w:rFonts w:eastAsia="Times New Roman"/>
        </w:rPr>
        <w:t>EPA intends that the grantee incorporate the collection and reporting of required data in their project scope. If the grantee relies on partnering organizations to collect the data and those organizations are overburdened by data collection and reporting, it is suggested that the P2 provider assist the partnering organizations so as to shift the burden.  For future applications, the P2 grantee should include any additional costs associated with grant data collection and reporting as part of the grantee tasks rather than the partners.</w:t>
      </w:r>
    </w:p>
    <w:p w:rsidR="00332298" w:rsidP="00332298" w14:paraId="3160AAFD" w14:textId="0B47C27B">
      <w:pPr>
        <w:pStyle w:val="Heading2"/>
        <w:rPr>
          <w:rFonts w:eastAsia="Times New Roman"/>
        </w:rPr>
      </w:pPr>
      <w:bookmarkStart w:id="16" w:name="_Toc135317442"/>
      <w:r>
        <w:rPr>
          <w:rFonts w:eastAsia="Times New Roman"/>
        </w:rPr>
        <w:t>Rigid Format</w:t>
      </w:r>
      <w:bookmarkEnd w:id="16"/>
    </w:p>
    <w:p w:rsidR="00332298" w:rsidP="004D34ED" w14:paraId="268FB31F" w14:textId="0BE69919">
      <w:pPr>
        <w:spacing w:line="240" w:lineRule="auto"/>
        <w:ind w:left="360"/>
        <w:rPr>
          <w:rFonts w:eastAsia="Times New Roman"/>
        </w:rPr>
      </w:pPr>
      <w:r w:rsidRPr="006A314C">
        <w:rPr>
          <w:rFonts w:eastAsia="Times New Roman"/>
          <w:b/>
          <w:bCs/>
        </w:rPr>
        <w:t>Summary:</w:t>
      </w:r>
      <w:r w:rsidR="006A314C">
        <w:rPr>
          <w:rFonts w:eastAsia="Times New Roman"/>
        </w:rPr>
        <w:t xml:space="preserve"> One commenter stated that due to the rigid design of the templates, grantees will need to use another method to collect data, then transfer it to the templates, adding burden and taking time and value away from the P2 technical assistance.</w:t>
      </w:r>
    </w:p>
    <w:p w:rsidR="00332298" w:rsidP="004D34ED" w14:paraId="4F4A42F2" w14:textId="7CFA4226">
      <w:pPr>
        <w:spacing w:line="240" w:lineRule="auto"/>
        <w:ind w:left="360"/>
        <w:rPr>
          <w:rFonts w:eastAsia="Times New Roman"/>
        </w:rPr>
      </w:pPr>
      <w:r w:rsidRPr="006A314C">
        <w:rPr>
          <w:rFonts w:eastAsia="Times New Roman"/>
          <w:b/>
          <w:bCs/>
        </w:rPr>
        <w:t>Source:</w:t>
      </w:r>
      <w:r w:rsidR="006A314C">
        <w:rPr>
          <w:rFonts w:eastAsia="Times New Roman"/>
        </w:rPr>
        <w:t xml:space="preserve"> </w:t>
      </w:r>
      <w:r w:rsidR="00C44687">
        <w:rPr>
          <w:rFonts w:eastAsia="Times New Roman"/>
        </w:rPr>
        <w:t>(0006)</w:t>
      </w:r>
    </w:p>
    <w:p w:rsidR="006C1A10" w:rsidRPr="009B0E36" w:rsidP="006C1A10" w14:paraId="0B760673" w14:textId="7C3092B8">
      <w:pPr>
        <w:spacing w:line="240" w:lineRule="auto"/>
        <w:ind w:left="360"/>
        <w:rPr>
          <w:rFonts w:eastAsia="Times New Roman"/>
        </w:rPr>
      </w:pPr>
      <w:r w:rsidRPr="006C1A10">
        <w:rPr>
          <w:rFonts w:eastAsia="Times New Roman"/>
          <w:b/>
          <w:bCs/>
        </w:rPr>
        <w:t>EPA Response:</w:t>
      </w:r>
      <w:r>
        <w:rPr>
          <w:rFonts w:eastAsia="Times New Roman"/>
        </w:rPr>
        <w:t xml:space="preserve"> </w:t>
      </w:r>
      <w:r w:rsidR="00240F60">
        <w:rPr>
          <w:rFonts w:eastAsia="Times New Roman"/>
        </w:rPr>
        <w:t xml:space="preserve">As laid out in the RFA, the collection of the identified metrics is mandatory and a key component of the grant. </w:t>
      </w:r>
      <w:r w:rsidRPr="001228A9">
        <w:rPr>
          <w:rFonts w:eastAsia="Times New Roman"/>
        </w:rPr>
        <w:t xml:space="preserve">The data collection </w:t>
      </w:r>
      <w:r>
        <w:rPr>
          <w:rFonts w:eastAsia="Times New Roman"/>
        </w:rPr>
        <w:t xml:space="preserve">process was designed to be </w:t>
      </w:r>
      <w:r w:rsidRPr="001228A9">
        <w:rPr>
          <w:rFonts w:eastAsia="Times New Roman"/>
        </w:rPr>
        <w:t xml:space="preserve">rigid to ensure that EPA is getting the information required to </w:t>
      </w:r>
      <w:r>
        <w:rPr>
          <w:rFonts w:eastAsia="Times New Roman"/>
        </w:rPr>
        <w:t xml:space="preserve">show government accountability and thereby </w:t>
      </w:r>
      <w:r w:rsidRPr="001228A9">
        <w:rPr>
          <w:rFonts w:eastAsia="Times New Roman"/>
        </w:rPr>
        <w:t>ensure the program gets continued funding</w:t>
      </w:r>
      <w:r>
        <w:rPr>
          <w:rFonts w:eastAsia="Times New Roman"/>
        </w:rPr>
        <w:t>.  EPA is a</w:t>
      </w:r>
      <w:r w:rsidRPr="001228A9">
        <w:rPr>
          <w:rFonts w:eastAsia="Times New Roman"/>
        </w:rPr>
        <w:t xml:space="preserve">lso </w:t>
      </w:r>
      <w:r>
        <w:rPr>
          <w:rFonts w:eastAsia="Times New Roman"/>
        </w:rPr>
        <w:t>driven</w:t>
      </w:r>
      <w:r w:rsidRPr="001228A9">
        <w:rPr>
          <w:rFonts w:eastAsia="Times New Roman"/>
        </w:rPr>
        <w:t xml:space="preserve"> to show the environmental impact of the </w:t>
      </w:r>
      <w:r>
        <w:rPr>
          <w:rFonts w:eastAsia="Times New Roman"/>
        </w:rPr>
        <w:t xml:space="preserve">implemented P2 </w:t>
      </w:r>
      <w:r w:rsidRPr="001228A9">
        <w:rPr>
          <w:rFonts w:eastAsia="Times New Roman"/>
        </w:rPr>
        <w:t xml:space="preserve">activities to </w:t>
      </w:r>
      <w:r>
        <w:rPr>
          <w:rFonts w:eastAsia="Times New Roman"/>
        </w:rPr>
        <w:t>showcase</w:t>
      </w:r>
      <w:r w:rsidRPr="001228A9">
        <w:rPr>
          <w:rFonts w:eastAsia="Times New Roman"/>
        </w:rPr>
        <w:t xml:space="preserve"> to other businesses </w:t>
      </w:r>
      <w:r>
        <w:rPr>
          <w:rFonts w:eastAsia="Times New Roman"/>
        </w:rPr>
        <w:t>that they can benefit from implementing P2 practices on their own accord</w:t>
      </w:r>
      <w:r w:rsidRPr="001228A9">
        <w:rPr>
          <w:rFonts w:eastAsia="Times New Roman"/>
        </w:rPr>
        <w:t>.</w:t>
      </w:r>
      <w:r>
        <w:rPr>
          <w:rFonts w:eastAsia="Times New Roman"/>
        </w:rPr>
        <w:t xml:space="preserve"> The data collection structure also allows EPA </w:t>
      </w:r>
      <w:r w:rsidRPr="0055684F">
        <w:rPr>
          <w:rFonts w:eastAsia="Times New Roman"/>
        </w:rPr>
        <w:t>to be able to compare across grant programs and communicate results and recommendations in a consistent fashion</w:t>
      </w:r>
      <w:r>
        <w:rPr>
          <w:rFonts w:eastAsia="Times New Roman"/>
        </w:rPr>
        <w:t xml:space="preserve">. </w:t>
      </w:r>
      <w:r w:rsidR="00240F60">
        <w:rPr>
          <w:rFonts w:eastAsia="Times New Roman"/>
        </w:rPr>
        <w:t>G</w:t>
      </w:r>
      <w:r w:rsidRPr="0055684F">
        <w:rPr>
          <w:rFonts w:eastAsia="Times New Roman"/>
        </w:rPr>
        <w:t>rantee</w:t>
      </w:r>
      <w:r w:rsidR="00240F60">
        <w:rPr>
          <w:rFonts w:eastAsia="Times New Roman"/>
        </w:rPr>
        <w:t>s</w:t>
      </w:r>
      <w:r w:rsidRPr="0055684F">
        <w:rPr>
          <w:rFonts w:eastAsia="Times New Roman"/>
        </w:rPr>
        <w:t xml:space="preserve"> </w:t>
      </w:r>
      <w:r>
        <w:rPr>
          <w:rFonts w:eastAsia="Times New Roman"/>
        </w:rPr>
        <w:t>c</w:t>
      </w:r>
      <w:r w:rsidRPr="0055684F">
        <w:rPr>
          <w:rFonts w:eastAsia="Times New Roman"/>
        </w:rPr>
        <w:t>an provide additional information in a less structured fashion as needed</w:t>
      </w:r>
      <w:r>
        <w:rPr>
          <w:rFonts w:eastAsia="Times New Roman"/>
        </w:rPr>
        <w:t xml:space="preserve">. </w:t>
      </w:r>
    </w:p>
    <w:p w:rsidR="00332298" w:rsidRPr="00C13DD6" w:rsidP="004D34ED" w14:paraId="5DE661FA" w14:textId="49E222F3">
      <w:pPr>
        <w:spacing w:line="240" w:lineRule="auto"/>
        <w:ind w:left="360"/>
        <w:rPr>
          <w:rFonts w:eastAsia="Times New Roman"/>
        </w:rPr>
      </w:pPr>
    </w:p>
    <w:p w:rsidR="00763741" w:rsidP="006F3432" w14:paraId="7731666A" w14:textId="77777777"/>
    <w:sectPr w:rsidSect="00EE3BE8">
      <w:footerReference w:type="default" r:id="rId1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0664975"/>
      <w:docPartObj>
        <w:docPartGallery w:val="Page Numbers (Bottom of Page)"/>
        <w:docPartUnique/>
      </w:docPartObj>
    </w:sdtPr>
    <w:sdtEndPr>
      <w:rPr>
        <w:color w:val="7F7F7F" w:themeColor="background1" w:themeShade="7F"/>
        <w:spacing w:val="60"/>
      </w:rPr>
    </w:sdtEndPr>
    <w:sdtContent>
      <w:p w:rsidR="00F9505A" w14:paraId="5A85A734" w14:textId="158AA99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F9505A" w14:paraId="3757C0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A5466" w:rsidP="005A5466" w14:paraId="4A3A02C8" w14:textId="77777777">
      <w:pPr>
        <w:spacing w:after="0" w:line="240" w:lineRule="auto"/>
      </w:pPr>
      <w:r>
        <w:separator/>
      </w:r>
    </w:p>
  </w:footnote>
  <w:footnote w:type="continuationSeparator" w:id="1">
    <w:p w:rsidR="005A5466" w:rsidP="005A5466" w14:paraId="3B04C5A9" w14:textId="77777777">
      <w:pPr>
        <w:spacing w:after="0" w:line="240" w:lineRule="auto"/>
      </w:pPr>
      <w:r>
        <w:continuationSeparator/>
      </w:r>
    </w:p>
  </w:footnote>
  <w:footnote w:id="2">
    <w:p w:rsidR="00845C1E" w14:paraId="68759A0C" w14:textId="07715B75">
      <w:pPr>
        <w:pStyle w:val="FootnoteText"/>
      </w:pPr>
      <w:r>
        <w:rPr>
          <w:rStyle w:val="FootnoteReference"/>
        </w:rPr>
        <w:footnoteRef/>
      </w:r>
      <w:r>
        <w:t xml:space="preserve"> </w:t>
      </w:r>
      <w:r w:rsidRPr="00845C1E">
        <w:t>NPPR is a membership-based non-profit organization that facilitates the exchange of technical knowledge and best practices on pollution prevention and sustainability among the public and private sectors</w:t>
      </w:r>
      <w:r>
        <w:t xml:space="preserve">. NPPR indicated that their </w:t>
      </w:r>
      <w:r w:rsidRPr="00845C1E">
        <w:t>comments were compiled from members and represent numerous states and grantees</w:t>
      </w:r>
      <w:r>
        <w:t>.</w:t>
      </w:r>
    </w:p>
  </w:footnote>
  <w:footnote w:id="3">
    <w:p w:rsidR="00A864FD" w:rsidRPr="00A864FD" w:rsidP="00A864FD" w14:paraId="6FCB0566" w14:textId="77777777">
      <w:pPr>
        <w:shd w:val="clear" w:color="auto" w:fill="FFFFFF"/>
        <w:spacing w:before="100" w:beforeAutospacing="1" w:after="60" w:line="240" w:lineRule="auto"/>
        <w:rPr>
          <w:rFonts w:eastAsia="Times New Roman" w:cstheme="minorHAnsi"/>
          <w:kern w:val="0"/>
          <w:sz w:val="20"/>
          <w:szCs w:val="20"/>
          <w14:ligatures w14:val="none"/>
        </w:rPr>
      </w:pPr>
      <w:r w:rsidRPr="00A864FD">
        <w:rPr>
          <w:rStyle w:val="FootnoteReference"/>
        </w:rPr>
        <w:footnoteRef/>
      </w:r>
      <w:r w:rsidRPr="00A864FD">
        <w:t xml:space="preserve"> </w:t>
      </w:r>
      <w:hyperlink r:id="rId1" w:history="1">
        <w:r w:rsidRPr="00A864FD">
          <w:rPr>
            <w:rFonts w:eastAsia="Times New Roman" w:cstheme="minorHAnsi"/>
            <w:kern w:val="0"/>
            <w:sz w:val="20"/>
            <w:szCs w:val="20"/>
            <w14:ligatures w14:val="none"/>
          </w:rPr>
          <w:t>FY 2022-FY 2023 P2 Grant Request for Applications, p. 28 </w:t>
        </w:r>
      </w:hyperlink>
    </w:p>
    <w:p w:rsidR="00A864FD" w14:paraId="4CE152DD" w14:textId="5A9B14C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8BA537B"/>
    <w:multiLevelType w:val="hybridMultilevel"/>
    <w:tmpl w:val="991AE376"/>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
    <w:nsid w:val="44FE029A"/>
    <w:multiLevelType w:val="hybridMultilevel"/>
    <w:tmpl w:val="E3F836AE"/>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
    <w:nsid w:val="5C4D2E7D"/>
    <w:multiLevelType w:val="hybridMultilevel"/>
    <w:tmpl w:val="46A221C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6BB428C0"/>
    <w:multiLevelType w:val="hybridMultilevel"/>
    <w:tmpl w:val="3EE66E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35619688">
    <w:abstractNumId w:val="3"/>
  </w:num>
  <w:num w:numId="2" w16cid:durableId="1396900938">
    <w:abstractNumId w:val="2"/>
  </w:num>
  <w:num w:numId="3" w16cid:durableId="1685009817">
    <w:abstractNumId w:val="1"/>
  </w:num>
  <w:num w:numId="4" w16cid:durableId="1741753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B3C"/>
    <w:rsid w:val="000F454F"/>
    <w:rsid w:val="001228A9"/>
    <w:rsid w:val="00130A66"/>
    <w:rsid w:val="0017437E"/>
    <w:rsid w:val="00174708"/>
    <w:rsid w:val="0018133A"/>
    <w:rsid w:val="001C5528"/>
    <w:rsid w:val="00240F60"/>
    <w:rsid w:val="002A1752"/>
    <w:rsid w:val="002A32BB"/>
    <w:rsid w:val="002A4271"/>
    <w:rsid w:val="00322E51"/>
    <w:rsid w:val="00326ED0"/>
    <w:rsid w:val="00332298"/>
    <w:rsid w:val="003C7280"/>
    <w:rsid w:val="003E1A42"/>
    <w:rsid w:val="004D34ED"/>
    <w:rsid w:val="004E1398"/>
    <w:rsid w:val="004F0937"/>
    <w:rsid w:val="00531B3C"/>
    <w:rsid w:val="0055684F"/>
    <w:rsid w:val="00561B49"/>
    <w:rsid w:val="005644BA"/>
    <w:rsid w:val="00586E62"/>
    <w:rsid w:val="005A5466"/>
    <w:rsid w:val="005C6588"/>
    <w:rsid w:val="0061157B"/>
    <w:rsid w:val="006277AD"/>
    <w:rsid w:val="006501BD"/>
    <w:rsid w:val="0067294A"/>
    <w:rsid w:val="006743DC"/>
    <w:rsid w:val="006A314C"/>
    <w:rsid w:val="006C1A10"/>
    <w:rsid w:val="006D16D8"/>
    <w:rsid w:val="006D6B10"/>
    <w:rsid w:val="006E4CD1"/>
    <w:rsid w:val="006F3432"/>
    <w:rsid w:val="006F4D3D"/>
    <w:rsid w:val="00723D30"/>
    <w:rsid w:val="007456F6"/>
    <w:rsid w:val="00763741"/>
    <w:rsid w:val="007B1F15"/>
    <w:rsid w:val="007D4E6A"/>
    <w:rsid w:val="00825277"/>
    <w:rsid w:val="00835AD0"/>
    <w:rsid w:val="008442F6"/>
    <w:rsid w:val="00845C1E"/>
    <w:rsid w:val="008B5AE1"/>
    <w:rsid w:val="008B5D74"/>
    <w:rsid w:val="0097276F"/>
    <w:rsid w:val="009B0E36"/>
    <w:rsid w:val="00A13D19"/>
    <w:rsid w:val="00A50021"/>
    <w:rsid w:val="00A864FD"/>
    <w:rsid w:val="00A95A64"/>
    <w:rsid w:val="00AD1B6E"/>
    <w:rsid w:val="00B0687D"/>
    <w:rsid w:val="00B90B48"/>
    <w:rsid w:val="00BC32A6"/>
    <w:rsid w:val="00BF0A24"/>
    <w:rsid w:val="00C13DD6"/>
    <w:rsid w:val="00C223A3"/>
    <w:rsid w:val="00C44687"/>
    <w:rsid w:val="00C80369"/>
    <w:rsid w:val="00CA25A7"/>
    <w:rsid w:val="00CE5FAF"/>
    <w:rsid w:val="00DB4BCB"/>
    <w:rsid w:val="00DC0367"/>
    <w:rsid w:val="00E0523F"/>
    <w:rsid w:val="00EB257E"/>
    <w:rsid w:val="00EC2AAE"/>
    <w:rsid w:val="00EE3BE8"/>
    <w:rsid w:val="00F9505A"/>
    <w:rsid w:val="00FF25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F068D3"/>
  <w15:chartTrackingRefBased/>
  <w15:docId w15:val="{123408FD-D9BC-4F64-9FC5-CE1977D7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250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A5466"/>
    <w:pPr>
      <w:keepNext/>
      <w:keepLines/>
      <w:spacing w:before="40" w:after="0"/>
      <w:outlineLvl w:val="1"/>
    </w:pPr>
    <w:rPr>
      <w:rFonts w:asciiTheme="majorHAnsi" w:eastAsiaTheme="majorEastAsia" w:hAnsiTheme="majorHAnsi" w:cstheme="majorBidi"/>
      <w:i/>
      <w:color w:val="2F5496" w:themeColor="accent1" w:themeShade="BF"/>
      <w:sz w:val="26"/>
      <w:szCs w:val="26"/>
    </w:rPr>
  </w:style>
  <w:style w:type="paragraph" w:styleId="Heading3">
    <w:name w:val="heading 3"/>
    <w:basedOn w:val="Normal"/>
    <w:next w:val="Normal"/>
    <w:link w:val="Heading3Char"/>
    <w:uiPriority w:val="9"/>
    <w:unhideWhenUsed/>
    <w:qFormat/>
    <w:rsid w:val="006F34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F343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B3C"/>
    <w:pPr>
      <w:ind w:left="720"/>
      <w:contextualSpacing/>
    </w:pPr>
  </w:style>
  <w:style w:type="paragraph" w:customStyle="1" w:styleId="Heading1-NOnumbers">
    <w:name w:val="Heading 1 - NO numbers"/>
    <w:basedOn w:val="Heading1"/>
    <w:qFormat/>
    <w:rsid w:val="00FF2501"/>
    <w:pPr>
      <w:keepLines w:val="0"/>
      <w:spacing w:before="0" w:after="240" w:line="240" w:lineRule="auto"/>
    </w:pPr>
    <w:rPr>
      <w:rFonts w:ascii="Times New Roman" w:eastAsia="Times New Roman" w:hAnsi="Times New Roman" w:cs="Times New Roman"/>
      <w:b/>
      <w:bCs/>
      <w:caps/>
      <w:color w:val="auto"/>
      <w:kern w:val="0"/>
      <w:sz w:val="24"/>
      <w:szCs w:val="24"/>
      <w14:ligatures w14:val="none"/>
    </w:rPr>
  </w:style>
  <w:style w:type="character" w:customStyle="1" w:styleId="Heading1Char">
    <w:name w:val="Heading 1 Char"/>
    <w:basedOn w:val="DefaultParagraphFont"/>
    <w:link w:val="Heading1"/>
    <w:uiPriority w:val="9"/>
    <w:rsid w:val="00FF250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A5466"/>
    <w:rPr>
      <w:rFonts w:asciiTheme="majorHAnsi" w:eastAsiaTheme="majorEastAsia" w:hAnsiTheme="majorHAnsi" w:cstheme="majorBidi"/>
      <w:i/>
      <w:color w:val="2F5496" w:themeColor="accent1" w:themeShade="BF"/>
      <w:sz w:val="26"/>
      <w:szCs w:val="26"/>
    </w:rPr>
  </w:style>
  <w:style w:type="paragraph" w:styleId="NormalWeb">
    <w:name w:val="Normal (Web)"/>
    <w:basedOn w:val="Normal"/>
    <w:uiPriority w:val="99"/>
    <w:semiHidden/>
    <w:unhideWhenUsed/>
    <w:rsid w:val="002A175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Heading">
    <w:name w:val="TOC Heading"/>
    <w:basedOn w:val="Heading1"/>
    <w:next w:val="Normal"/>
    <w:uiPriority w:val="39"/>
    <w:unhideWhenUsed/>
    <w:qFormat/>
    <w:rsid w:val="002A1752"/>
    <w:pPr>
      <w:outlineLvl w:val="9"/>
    </w:pPr>
    <w:rPr>
      <w:kern w:val="0"/>
      <w14:ligatures w14:val="none"/>
    </w:rPr>
  </w:style>
  <w:style w:type="paragraph" w:styleId="TOC1">
    <w:name w:val="toc 1"/>
    <w:basedOn w:val="Normal"/>
    <w:next w:val="Normal"/>
    <w:autoRedefine/>
    <w:uiPriority w:val="39"/>
    <w:unhideWhenUsed/>
    <w:rsid w:val="002A1752"/>
    <w:pPr>
      <w:spacing w:after="100"/>
    </w:pPr>
  </w:style>
  <w:style w:type="paragraph" w:styleId="TOC2">
    <w:name w:val="toc 2"/>
    <w:basedOn w:val="Normal"/>
    <w:next w:val="Normal"/>
    <w:autoRedefine/>
    <w:uiPriority w:val="39"/>
    <w:unhideWhenUsed/>
    <w:rsid w:val="002A1752"/>
    <w:pPr>
      <w:spacing w:after="100"/>
      <w:ind w:left="220"/>
    </w:pPr>
  </w:style>
  <w:style w:type="character" w:styleId="Hyperlink">
    <w:name w:val="Hyperlink"/>
    <w:basedOn w:val="DefaultParagraphFont"/>
    <w:uiPriority w:val="99"/>
    <w:unhideWhenUsed/>
    <w:rsid w:val="002A1752"/>
    <w:rPr>
      <w:color w:val="0563C1" w:themeColor="hyperlink"/>
      <w:u w:val="single"/>
    </w:rPr>
  </w:style>
  <w:style w:type="table" w:styleId="TableGrid">
    <w:name w:val="Table Grid"/>
    <w:basedOn w:val="TableNormal"/>
    <w:uiPriority w:val="39"/>
    <w:rsid w:val="002A17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4D3D"/>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character" w:customStyle="1" w:styleId="Heading3Char">
    <w:name w:val="Heading 3 Char"/>
    <w:basedOn w:val="DefaultParagraphFont"/>
    <w:link w:val="Heading3"/>
    <w:uiPriority w:val="9"/>
    <w:rsid w:val="006F343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6F3432"/>
    <w:rPr>
      <w:rFonts w:asciiTheme="majorHAnsi" w:eastAsiaTheme="majorEastAsia" w:hAnsiTheme="majorHAnsi" w:cstheme="majorBidi"/>
      <w:i/>
      <w:iCs/>
      <w:color w:val="2F5496" w:themeColor="accent1" w:themeShade="BF"/>
    </w:rPr>
  </w:style>
  <w:style w:type="paragraph" w:styleId="EndnoteText">
    <w:name w:val="endnote text"/>
    <w:basedOn w:val="Normal"/>
    <w:link w:val="EndnoteTextChar"/>
    <w:uiPriority w:val="99"/>
    <w:semiHidden/>
    <w:unhideWhenUsed/>
    <w:rsid w:val="005A54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5466"/>
    <w:rPr>
      <w:sz w:val="20"/>
      <w:szCs w:val="20"/>
    </w:rPr>
  </w:style>
  <w:style w:type="character" w:styleId="EndnoteReference">
    <w:name w:val="endnote reference"/>
    <w:basedOn w:val="DefaultParagraphFont"/>
    <w:uiPriority w:val="99"/>
    <w:semiHidden/>
    <w:unhideWhenUsed/>
    <w:rsid w:val="005A5466"/>
    <w:rPr>
      <w:vertAlign w:val="superscript"/>
    </w:rPr>
  </w:style>
  <w:style w:type="character" w:customStyle="1" w:styleId="cf01">
    <w:name w:val="cf01"/>
    <w:basedOn w:val="DefaultParagraphFont"/>
    <w:rsid w:val="005A5466"/>
    <w:rPr>
      <w:rFonts w:ascii="Segoe UI" w:hAnsi="Segoe UI" w:cs="Segoe UI" w:hint="default"/>
      <w:sz w:val="18"/>
      <w:szCs w:val="18"/>
    </w:rPr>
  </w:style>
  <w:style w:type="paragraph" w:styleId="Header">
    <w:name w:val="header"/>
    <w:basedOn w:val="Normal"/>
    <w:link w:val="HeaderChar"/>
    <w:uiPriority w:val="99"/>
    <w:unhideWhenUsed/>
    <w:rsid w:val="00F950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5A"/>
  </w:style>
  <w:style w:type="paragraph" w:styleId="Footer">
    <w:name w:val="footer"/>
    <w:basedOn w:val="Normal"/>
    <w:link w:val="FooterChar"/>
    <w:uiPriority w:val="99"/>
    <w:unhideWhenUsed/>
    <w:rsid w:val="00F950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5A"/>
  </w:style>
  <w:style w:type="character" w:styleId="CommentReference">
    <w:name w:val="annotation reference"/>
    <w:basedOn w:val="DefaultParagraphFont"/>
    <w:uiPriority w:val="99"/>
    <w:semiHidden/>
    <w:unhideWhenUsed/>
    <w:rsid w:val="000F454F"/>
    <w:rPr>
      <w:sz w:val="16"/>
      <w:szCs w:val="16"/>
    </w:rPr>
  </w:style>
  <w:style w:type="paragraph" w:styleId="CommentText">
    <w:name w:val="annotation text"/>
    <w:basedOn w:val="Normal"/>
    <w:link w:val="CommentTextChar"/>
    <w:uiPriority w:val="99"/>
    <w:unhideWhenUsed/>
    <w:rsid w:val="000F454F"/>
    <w:pPr>
      <w:spacing w:line="240" w:lineRule="auto"/>
    </w:pPr>
    <w:rPr>
      <w:sz w:val="20"/>
      <w:szCs w:val="20"/>
    </w:rPr>
  </w:style>
  <w:style w:type="character" w:customStyle="1" w:styleId="CommentTextChar">
    <w:name w:val="Comment Text Char"/>
    <w:basedOn w:val="DefaultParagraphFont"/>
    <w:link w:val="CommentText"/>
    <w:uiPriority w:val="99"/>
    <w:rsid w:val="000F454F"/>
    <w:rPr>
      <w:sz w:val="20"/>
      <w:szCs w:val="20"/>
    </w:rPr>
  </w:style>
  <w:style w:type="paragraph" w:styleId="CommentSubject">
    <w:name w:val="annotation subject"/>
    <w:basedOn w:val="CommentText"/>
    <w:next w:val="CommentText"/>
    <w:link w:val="CommentSubjectChar"/>
    <w:uiPriority w:val="99"/>
    <w:semiHidden/>
    <w:unhideWhenUsed/>
    <w:rsid w:val="000F454F"/>
    <w:rPr>
      <w:b/>
      <w:bCs/>
    </w:rPr>
  </w:style>
  <w:style w:type="character" w:customStyle="1" w:styleId="CommentSubjectChar">
    <w:name w:val="Comment Subject Char"/>
    <w:basedOn w:val="CommentTextChar"/>
    <w:link w:val="CommentSubject"/>
    <w:uiPriority w:val="99"/>
    <w:semiHidden/>
    <w:rsid w:val="000F454F"/>
    <w:rPr>
      <w:b/>
      <w:bCs/>
      <w:sz w:val="20"/>
      <w:szCs w:val="20"/>
    </w:rPr>
  </w:style>
  <w:style w:type="paragraph" w:styleId="Revision">
    <w:name w:val="Revision"/>
    <w:hidden/>
    <w:uiPriority w:val="99"/>
    <w:semiHidden/>
    <w:rsid w:val="00322E51"/>
    <w:pPr>
      <w:spacing w:after="0" w:line="240" w:lineRule="auto"/>
    </w:pPr>
  </w:style>
  <w:style w:type="paragraph" w:styleId="FootnoteText">
    <w:name w:val="footnote text"/>
    <w:basedOn w:val="Normal"/>
    <w:link w:val="FootnoteTextChar"/>
    <w:uiPriority w:val="99"/>
    <w:semiHidden/>
    <w:unhideWhenUsed/>
    <w:rsid w:val="00845C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5C1E"/>
    <w:rPr>
      <w:sz w:val="20"/>
      <w:szCs w:val="20"/>
    </w:rPr>
  </w:style>
  <w:style w:type="character" w:styleId="FootnoteReference">
    <w:name w:val="footnote reference"/>
    <w:basedOn w:val="DefaultParagraphFont"/>
    <w:uiPriority w:val="99"/>
    <w:semiHidden/>
    <w:unhideWhenUsed/>
    <w:rsid w:val="00845C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epa.gov/system/files/documents/2022-02/fy22-fy23-p2-grant-rfa_recurring-appropriation_final.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F945D3E4F86649B7BD7D579B37A57A" ma:contentTypeVersion="14" ma:contentTypeDescription="Create a new document." ma:contentTypeScope="" ma:versionID="4ca9ae3a18f3799ae7de94c87e38686a">
  <xsd:schema xmlns:xsd="http://www.w3.org/2001/XMLSchema" xmlns:xs="http://www.w3.org/2001/XMLSchema" xmlns:p="http://schemas.microsoft.com/office/2006/metadata/properties" xmlns:ns1="http://schemas.microsoft.com/sharepoint/v3" xmlns:ns2="http://schemas.microsoft.com/sharepoint.v3" xmlns:ns3="4ffa91fb-a0ff-4ac5-b2db-65c790d184a4" xmlns:ns4="118f882f-1e32-4cf2-ad69-9de43d57f4c6" xmlns:ns5="a5d1ca4e-0a3f-4119-b619-e20b93ebd1aa" targetNamespace="http://schemas.microsoft.com/office/2006/metadata/properties" ma:root="true" ma:fieldsID="8eb7a2a63042dd8acd52b8cd74bf6d63" ns1:_="" ns2:_="" ns3:_="" ns4:_="" ns5:_="">
    <xsd:import namespace="http://schemas.microsoft.com/sharepoint/v3"/>
    <xsd:import namespace="http://schemas.microsoft.com/sharepoint.v3"/>
    <xsd:import namespace="4ffa91fb-a0ff-4ac5-b2db-65c790d184a4"/>
    <xsd:import namespace="118f882f-1e32-4cf2-ad69-9de43d57f4c6"/>
    <xsd:import namespace="a5d1ca4e-0a3f-4119-b619-e20b93ebd1aa"/>
    <xsd:element name="properties">
      <xsd:complexType>
        <xsd:sequence>
          <xsd:element name="documentManagement">
            <xsd:complexType>
              <xsd:all>
                <xsd:element ref="ns2:CategoryDescription" minOccurs="0"/>
                <xsd:element ref="ns3:TaxCatchAllLabel" minOccurs="0"/>
                <xsd:element ref="ns3:TaxCatchAll" minOccurs="0"/>
                <xsd:element ref="ns4:FRN_x0020_List_x0020_Item_x0020_ID"/>
                <xsd:element ref="ns5:SharedWithUsers" minOccurs="0"/>
                <xsd:element ref="ns5:SharedWithDetails"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7" nillable="true" ma:displayName="Taxonomy Catch All Colum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8f882f-1e32-4cf2-ad69-9de43d57f4c6" elementFormDefault="qualified">
    <xsd:import namespace="http://schemas.microsoft.com/office/2006/documentManagement/types"/>
    <xsd:import namespace="http://schemas.microsoft.com/office/infopath/2007/PartnerControls"/>
    <xsd:element name="FRN_x0020_List_x0020_Item_x0020_ID" ma:index="11" ma:displayName="FRN List Item ID" ma:indexed="true" ma:internalName="FRN_x0020_List_x0020_Item_x0020_ID">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ategoryDescription xmlns="http://schemas.microsoft.com/sharepoint.v3" xsi:nil="true"/>
    <TaxCatchAll xmlns="4ffa91fb-a0ff-4ac5-b2db-65c790d184a4" xsi:nil="true"/>
    <FRN_x0020_List_x0020_Item_x0020_ID xmlns="118f882f-1e32-4cf2-ad69-9de43d57f4c6">4405</FRN_x0020_List_x0020_Item_x0020_ID>
  </documentManagement>
</p:properties>
</file>

<file path=customXml/itemProps1.xml><?xml version="1.0" encoding="utf-8"?>
<ds:datastoreItem xmlns:ds="http://schemas.openxmlformats.org/officeDocument/2006/customXml" ds:itemID="{AC3DD60F-BDD7-4595-A9D7-B35299C86C30}">
  <ds:schemaRefs>
    <ds:schemaRef ds:uri="http://schemas.openxmlformats.org/officeDocument/2006/bibliography"/>
  </ds:schemaRefs>
</ds:datastoreItem>
</file>

<file path=customXml/itemProps2.xml><?xml version="1.0" encoding="utf-8"?>
<ds:datastoreItem xmlns:ds="http://schemas.openxmlformats.org/officeDocument/2006/customXml" ds:itemID="{08282B8F-A68A-4161-9BD4-CEFDE67FCBB8}">
  <ds:schemaRefs/>
</ds:datastoreItem>
</file>

<file path=customXml/itemProps3.xml><?xml version="1.0" encoding="utf-8"?>
<ds:datastoreItem xmlns:ds="http://schemas.openxmlformats.org/officeDocument/2006/customXml" ds:itemID="{A5DCF1C8-264F-46A6-A0C4-03D225234170}">
  <ds:schemaRefs/>
</ds:datastoreItem>
</file>

<file path=customXml/itemProps4.xml><?xml version="1.0" encoding="utf-8"?>
<ds:datastoreItem xmlns:ds="http://schemas.openxmlformats.org/officeDocument/2006/customXml" ds:itemID="{EB53A1F5-B7AD-4051-B0BB-56F15A0430F3}">
  <ds:schemaRefs/>
</ds:datastoreItem>
</file>

<file path=customXml/itemProps5.xml><?xml version="1.0" encoding="utf-8"?>
<ds:datastoreItem xmlns:ds="http://schemas.openxmlformats.org/officeDocument/2006/customXml" ds:itemID="{F428ABC6-CF4E-405A-8E58-1DF4BB8C2122}">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2419</Words>
  <Characters>13793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Harwood</dc:creator>
  <cp:lastModifiedBy>Katherine Sleasman</cp:lastModifiedBy>
  <cp:revision>3</cp:revision>
  <dcterms:created xsi:type="dcterms:W3CDTF">2023-09-12T18:36:00Z</dcterms:created>
  <dcterms:modified xsi:type="dcterms:W3CDTF">2023-09-12T18:37:00Z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0x010100E8F945D3E4F86649B7BD7D579B37A57A</vt:lpwstr>
  </property>
</Properties>
</file>