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13B1" w:rsidP="006C7FAE" w14:paraId="31E94BD6" w14:textId="77777777">
      <w:pPr>
        <w:jc w:val="center"/>
        <w:rPr>
          <w:b/>
          <w:sz w:val="24"/>
          <w:szCs w:val="24"/>
        </w:rPr>
      </w:pPr>
      <w:r w:rsidRPr="00167E53">
        <w:rPr>
          <w:b/>
          <w:sz w:val="24"/>
          <w:szCs w:val="24"/>
        </w:rPr>
        <w:t>Supporting Statement for Paperwork Reduction Act Submissions</w:t>
      </w:r>
    </w:p>
    <w:p w:rsidR="0054376A" w:rsidP="0054376A" w14:paraId="5E0F2988" w14:textId="77777777">
      <w:pPr>
        <w:jc w:val="center"/>
        <w:rPr>
          <w:b/>
          <w:color w:val="000000"/>
          <w:sz w:val="24"/>
          <w:szCs w:val="24"/>
        </w:rPr>
      </w:pPr>
      <w:r>
        <w:rPr>
          <w:b/>
          <w:color w:val="000000"/>
          <w:sz w:val="24"/>
          <w:szCs w:val="24"/>
        </w:rPr>
        <w:t>HUD Environmental Review Online System (HEROS)</w:t>
      </w:r>
    </w:p>
    <w:p w:rsidR="0054376A" w:rsidRPr="00E1714D" w:rsidP="0054376A" w14:paraId="06B9299D" w14:textId="77777777">
      <w:pPr>
        <w:jc w:val="center"/>
        <w:rPr>
          <w:b/>
          <w:sz w:val="24"/>
          <w:szCs w:val="24"/>
        </w:rPr>
      </w:pPr>
      <w:r w:rsidRPr="00E1714D">
        <w:rPr>
          <w:b/>
          <w:sz w:val="24"/>
          <w:szCs w:val="24"/>
        </w:rPr>
        <w:t xml:space="preserve">OMB# </w:t>
      </w:r>
      <w:r w:rsidRPr="00130C3F">
        <w:rPr>
          <w:b/>
          <w:sz w:val="24"/>
          <w:szCs w:val="24"/>
        </w:rPr>
        <w:t>2506-0202</w:t>
      </w:r>
    </w:p>
    <w:p w:rsidR="009E13B1" w:rsidP="006C7FAE" w14:paraId="087E3266" w14:textId="77777777">
      <w:pPr>
        <w:rPr>
          <w:b/>
          <w:sz w:val="24"/>
          <w:szCs w:val="24"/>
        </w:rPr>
      </w:pPr>
    </w:p>
    <w:p w:rsidR="009E13B1" w:rsidRPr="006C7FAE" w14:paraId="6C6015AB"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szCs w:val="24"/>
        </w:rPr>
      </w:pPr>
      <w:r w:rsidRPr="006C7FAE">
        <w:rPr>
          <w:rFonts w:ascii="Helvetica" w:hAnsi="Helvetica"/>
          <w:b/>
          <w:sz w:val="24"/>
          <w:szCs w:val="24"/>
        </w:rPr>
        <w:t xml:space="preserve">A. </w:t>
      </w:r>
      <w:r w:rsidRPr="006C7FAE">
        <w:rPr>
          <w:rFonts w:ascii="Helvetica" w:hAnsi="Helvetica"/>
          <w:b/>
          <w:sz w:val="24"/>
          <w:szCs w:val="24"/>
        </w:rPr>
        <w:tab/>
        <w:t>Justification</w:t>
      </w:r>
    </w:p>
    <w:p w:rsidR="009E13B1" w:rsidRPr="006C7FAE" w14:paraId="3D2C3E2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szCs w:val="24"/>
        </w:rPr>
      </w:pPr>
    </w:p>
    <w:p w:rsidR="009E13B1" w14:paraId="655A2454" w14:textId="77777777">
      <w:pPr>
        <w:keepLines/>
        <w:tabs>
          <w:tab w:val="left" w:pos="360"/>
        </w:tabs>
        <w:spacing w:after="80"/>
        <w:ind w:left="360" w:hanging="360"/>
        <w:rPr>
          <w:sz w:val="24"/>
          <w:szCs w:val="24"/>
        </w:rPr>
      </w:pPr>
      <w:r w:rsidRPr="006C7FAE">
        <w:rPr>
          <w:sz w:val="24"/>
          <w:szCs w:val="24"/>
        </w:rPr>
        <w:t>1.</w:t>
      </w:r>
      <w:r w:rsidRPr="006C7FAE">
        <w:rPr>
          <w:sz w:val="24"/>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D46873" w14:paraId="4E309E81" w14:textId="77777777">
      <w:pPr>
        <w:keepLines/>
        <w:tabs>
          <w:tab w:val="left" w:pos="360"/>
        </w:tabs>
        <w:spacing w:after="80"/>
        <w:ind w:left="360" w:hanging="360"/>
        <w:rPr>
          <w:sz w:val="24"/>
          <w:szCs w:val="24"/>
        </w:rPr>
      </w:pPr>
    </w:p>
    <w:p w:rsidR="0054376A" w:rsidP="0054376A" w14:paraId="3A3D9B99" w14:textId="60B295B7">
      <w:pPr>
        <w:keepLines/>
        <w:tabs>
          <w:tab w:val="left" w:pos="360"/>
        </w:tabs>
        <w:spacing w:after="80"/>
        <w:ind w:left="360" w:hanging="360"/>
        <w:rPr>
          <w:sz w:val="24"/>
          <w:szCs w:val="24"/>
        </w:rPr>
      </w:pPr>
      <w:r>
        <w:rPr>
          <w:sz w:val="24"/>
          <w:szCs w:val="24"/>
        </w:rPr>
        <w:tab/>
      </w:r>
      <w:r w:rsidRPr="0054376A">
        <w:rPr>
          <w:sz w:val="24"/>
          <w:szCs w:val="24"/>
        </w:rPr>
        <w:t xml:space="preserve">US Department of Housing and Urban Development (HUD) regulations in 24 CFR Part 58, “Environmental Review Procedures for Entities Assuming HUD Environmental Responsibilities,” require </w:t>
      </w:r>
      <w:r w:rsidRPr="00F132F1" w:rsidR="00F132F1">
        <w:rPr>
          <w:sz w:val="24"/>
          <w:szCs w:val="24"/>
        </w:rPr>
        <w:t>Responsible Entities (including States, units of general local government, Indian tribes, territories, and Alaska native villages)</w:t>
      </w:r>
      <w:r w:rsidRPr="0054376A">
        <w:rPr>
          <w:sz w:val="24"/>
          <w:szCs w:val="24"/>
        </w:rPr>
        <w:t xml:space="preserve"> receiving HUD assistance </w:t>
      </w:r>
      <w:r w:rsidRPr="005F19BC" w:rsidR="005F19BC">
        <w:rPr>
          <w:sz w:val="24"/>
          <w:szCs w:val="24"/>
        </w:rPr>
        <w:t xml:space="preserve">or carrying out environmental reviews for recipients </w:t>
      </w:r>
      <w:r w:rsidRPr="0054376A">
        <w:rPr>
          <w:sz w:val="24"/>
          <w:szCs w:val="24"/>
        </w:rPr>
        <w:t xml:space="preserve">to maintain a written environmental review record for all projects receiving HUD funding documenting compliance with the National Environmental Policy Act (NEPA), the regulations of the Council on Environmental Quality, related federal environmental laws, executive orders, and authorities, and Part 58 procedure. Various laws that authorize this procedure are listed in 24 CFR 58.1(b). 24 CFR Part 50, “Protection and Enhancement of Environmental Quality,” implements procedures for HUD to perform environmental reviews for projects where Part 58 review  is not permitted by law. </w:t>
      </w:r>
      <w:r w:rsidRPr="0054376A">
        <w:rPr>
          <w:sz w:val="24"/>
          <w:szCs w:val="24"/>
        </w:rPr>
        <w:tab/>
      </w:r>
    </w:p>
    <w:p w:rsidR="0054376A" w:rsidRPr="0054376A" w:rsidP="0054376A" w14:paraId="6887032A" w14:textId="70A8202D">
      <w:pPr>
        <w:keepLines/>
        <w:tabs>
          <w:tab w:val="left" w:pos="360"/>
        </w:tabs>
        <w:spacing w:after="80"/>
        <w:ind w:left="360" w:hanging="360"/>
        <w:rPr>
          <w:sz w:val="24"/>
          <w:szCs w:val="24"/>
        </w:rPr>
      </w:pPr>
    </w:p>
    <w:p w:rsidR="0054376A" w:rsidP="0054376A" w14:paraId="1E914025" w14:textId="77777777">
      <w:pPr>
        <w:keepLines/>
        <w:tabs>
          <w:tab w:val="left" w:pos="360"/>
        </w:tabs>
        <w:spacing w:after="80"/>
        <w:ind w:left="360" w:hanging="360"/>
        <w:rPr>
          <w:sz w:val="24"/>
          <w:szCs w:val="24"/>
        </w:rPr>
      </w:pPr>
      <w:r w:rsidRPr="0054376A">
        <w:rPr>
          <w:sz w:val="24"/>
          <w:szCs w:val="24"/>
        </w:rPr>
        <w:tab/>
        <w:t>The HUD Environmental Review Online System (HEROS) allows users to complete, store, and submit their environmental review records and documents online. HEROS is currently optional for Responsible Entities  and most other non-HUD users, who may continue to use paper-based environmental review formats; however, most HUD staff who prepare environmental reviews are required to use HEROS for all reviews . Regardless of whether they use HEROS or another format, environmental reviews are required by law for all HUD projects.</w:t>
      </w:r>
    </w:p>
    <w:p w:rsidR="00E03EA6" w:rsidP="0054376A" w14:paraId="455695C5" w14:textId="77777777">
      <w:pPr>
        <w:keepLines/>
        <w:tabs>
          <w:tab w:val="left" w:pos="360"/>
        </w:tabs>
        <w:spacing w:after="80"/>
        <w:ind w:left="360" w:hanging="360"/>
        <w:rPr>
          <w:sz w:val="24"/>
          <w:szCs w:val="24"/>
        </w:rPr>
      </w:pPr>
    </w:p>
    <w:p w:rsidR="00E03EA6" w:rsidRPr="006C7FAE" w:rsidP="0054376A" w14:paraId="25BC879A" w14:textId="77777777">
      <w:pPr>
        <w:keepLines/>
        <w:tabs>
          <w:tab w:val="left" w:pos="360"/>
        </w:tabs>
        <w:spacing w:after="80"/>
        <w:ind w:left="360" w:hanging="360"/>
        <w:rPr>
          <w:sz w:val="24"/>
          <w:szCs w:val="24"/>
        </w:rPr>
      </w:pPr>
      <w:r>
        <w:rPr>
          <w:sz w:val="24"/>
          <w:szCs w:val="24"/>
        </w:rPr>
        <w:tab/>
      </w:r>
      <w:bookmarkStart w:id="0" w:name="_Hlk162890465"/>
      <w:r>
        <w:rPr>
          <w:sz w:val="24"/>
          <w:szCs w:val="24"/>
        </w:rPr>
        <w:t xml:space="preserve">The form titled “HEROS Access Form” is a new form that will serve as the </w:t>
      </w:r>
      <w:r w:rsidR="000D6C28">
        <w:rPr>
          <w:sz w:val="24"/>
          <w:szCs w:val="24"/>
        </w:rPr>
        <w:t xml:space="preserve">only </w:t>
      </w:r>
      <w:r>
        <w:rPr>
          <w:sz w:val="24"/>
          <w:szCs w:val="24"/>
        </w:rPr>
        <w:t>means for new users to request</w:t>
      </w:r>
      <w:r w:rsidR="000D6C28">
        <w:rPr>
          <w:sz w:val="24"/>
          <w:szCs w:val="24"/>
        </w:rPr>
        <w:t xml:space="preserve"> and ultimately gain</w:t>
      </w:r>
      <w:r>
        <w:rPr>
          <w:sz w:val="24"/>
          <w:szCs w:val="24"/>
        </w:rPr>
        <w:t xml:space="preserve"> access to HEROS. </w:t>
      </w:r>
      <w:r w:rsidR="005B17BC">
        <w:rPr>
          <w:sz w:val="24"/>
          <w:szCs w:val="24"/>
        </w:rPr>
        <w:t>Respondents will not complete a PDF form, but rather answer the prompts listed on the form on an online website, hosted by DocuSign.</w:t>
      </w:r>
    </w:p>
    <w:bookmarkEnd w:id="0"/>
    <w:p w:rsidR="009E13B1" w:rsidRPr="006C7FAE" w14:paraId="4CAADB0A" w14:textId="77777777">
      <w:pPr>
        <w:tabs>
          <w:tab w:val="left" w:pos="360"/>
        </w:tabs>
        <w:ind w:left="360" w:hanging="360"/>
        <w:rPr>
          <w:sz w:val="24"/>
          <w:szCs w:val="24"/>
        </w:rPr>
      </w:pPr>
    </w:p>
    <w:p w:rsidR="009E13B1" w14:paraId="51A1DC08" w14:textId="77777777">
      <w:pPr>
        <w:keepLines/>
        <w:tabs>
          <w:tab w:val="left" w:pos="360"/>
        </w:tabs>
        <w:spacing w:after="80"/>
        <w:ind w:left="360" w:hanging="360"/>
        <w:rPr>
          <w:sz w:val="24"/>
          <w:szCs w:val="24"/>
        </w:rPr>
      </w:pPr>
      <w:r w:rsidRPr="006C7FAE">
        <w:rPr>
          <w:sz w:val="24"/>
          <w:szCs w:val="24"/>
        </w:rPr>
        <w:t>2.</w:t>
      </w:r>
      <w:r w:rsidRPr="006C7FAE">
        <w:rPr>
          <w:sz w:val="24"/>
          <w:szCs w:val="24"/>
        </w:rPr>
        <w:tab/>
        <w:t>Indicate how, by whom and for what purpose the information is to be used.  Except for a new collection, indicate the actual use the agency has made of the information received from the current collection.</w:t>
      </w:r>
    </w:p>
    <w:p w:rsidR="00D46873" w14:paraId="49831119" w14:textId="77777777">
      <w:pPr>
        <w:keepLines/>
        <w:tabs>
          <w:tab w:val="left" w:pos="360"/>
        </w:tabs>
        <w:spacing w:after="80"/>
        <w:ind w:left="360" w:hanging="360"/>
        <w:rPr>
          <w:sz w:val="24"/>
          <w:szCs w:val="24"/>
        </w:rPr>
      </w:pPr>
    </w:p>
    <w:p w:rsidR="00D46873" w:rsidRPr="006C7FAE" w14:paraId="4433BF07" w14:textId="77777777">
      <w:pPr>
        <w:keepLines/>
        <w:tabs>
          <w:tab w:val="left" w:pos="360"/>
        </w:tabs>
        <w:spacing w:after="80"/>
        <w:ind w:left="360" w:hanging="360"/>
        <w:rPr>
          <w:sz w:val="24"/>
          <w:szCs w:val="24"/>
        </w:rPr>
      </w:pPr>
      <w:r>
        <w:rPr>
          <w:sz w:val="24"/>
          <w:szCs w:val="24"/>
        </w:rPr>
        <w:tab/>
      </w:r>
      <w:r w:rsidRPr="00D46873">
        <w:rPr>
          <w:sz w:val="24"/>
          <w:szCs w:val="24"/>
        </w:rPr>
        <w:t>The respondents are HUD recipients who are required to complete environmental reviews as well as sub-recipients, applicants, and third-party providers who submit information to be used in the completion of environmental review records. The purpose of the information collection is to document that HUD-assisted projects and activities comply with  all applicable environmental authorities. Beyond the primary purpose of documenting compliance with federal environmental law, HUD uses data collected in HEROS to track environmental compliance and risk (e.g. projects located in floodplains or contaminated sites).</w:t>
      </w:r>
    </w:p>
    <w:p w:rsidR="009E13B1" w14:paraId="10344C4F" w14:textId="77777777">
      <w:pPr>
        <w:keepLines/>
        <w:tabs>
          <w:tab w:val="left" w:pos="360"/>
          <w:tab w:val="left" w:pos="720"/>
        </w:tabs>
        <w:ind w:left="360"/>
        <w:rPr>
          <w:sz w:val="24"/>
          <w:szCs w:val="24"/>
        </w:rPr>
      </w:pPr>
    </w:p>
    <w:p w:rsidR="00E03EA6" w14:paraId="4160213B" w14:textId="77777777">
      <w:pPr>
        <w:keepLines/>
        <w:tabs>
          <w:tab w:val="left" w:pos="360"/>
          <w:tab w:val="left" w:pos="720"/>
        </w:tabs>
        <w:ind w:left="360"/>
        <w:rPr>
          <w:sz w:val="24"/>
          <w:szCs w:val="24"/>
        </w:rPr>
      </w:pPr>
      <w:r>
        <w:rPr>
          <w:sz w:val="24"/>
          <w:szCs w:val="24"/>
        </w:rPr>
        <w:t xml:space="preserve">The HEROS Access Form will be utilized by new </w:t>
      </w:r>
      <w:r w:rsidR="005B17BC">
        <w:rPr>
          <w:sz w:val="24"/>
          <w:szCs w:val="24"/>
        </w:rPr>
        <w:t xml:space="preserve">HEROS users wishing to gain access to HEROS, as well as existing users who will begin </w:t>
      </w:r>
      <w:r w:rsidR="00A42184">
        <w:rPr>
          <w:sz w:val="24"/>
          <w:szCs w:val="24"/>
        </w:rPr>
        <w:t>preparing or certifying</w:t>
      </w:r>
      <w:r w:rsidR="005B17BC">
        <w:rPr>
          <w:sz w:val="24"/>
          <w:szCs w:val="24"/>
        </w:rPr>
        <w:t xml:space="preserve"> HUD environmental reviews for a new organization.</w:t>
      </w:r>
      <w:r w:rsidR="0052745B">
        <w:rPr>
          <w:sz w:val="24"/>
          <w:szCs w:val="24"/>
        </w:rPr>
        <w:t xml:space="preserve"> </w:t>
      </w:r>
      <w:bookmarkStart w:id="1" w:name="_Hlk162890553"/>
      <w:bookmarkStart w:id="2" w:name="_Hlk162890515"/>
      <w:r w:rsidR="0052745B">
        <w:rPr>
          <w:sz w:val="24"/>
          <w:szCs w:val="24"/>
        </w:rPr>
        <w:t xml:space="preserve">No </w:t>
      </w:r>
      <w:r w:rsidR="00C50F8A">
        <w:rPr>
          <w:sz w:val="24"/>
          <w:szCs w:val="24"/>
        </w:rPr>
        <w:t xml:space="preserve">previously uncollected </w:t>
      </w:r>
      <w:r w:rsidR="0052745B">
        <w:rPr>
          <w:sz w:val="24"/>
          <w:szCs w:val="24"/>
        </w:rPr>
        <w:t xml:space="preserve">information will be collected by this </w:t>
      </w:r>
      <w:r w:rsidR="00C50F8A">
        <w:rPr>
          <w:sz w:val="24"/>
          <w:szCs w:val="24"/>
        </w:rPr>
        <w:t>form; it merely replaces a previous form hosted by a different website</w:t>
      </w:r>
      <w:bookmarkEnd w:id="1"/>
      <w:r w:rsidR="00C50F8A">
        <w:rPr>
          <w:sz w:val="24"/>
          <w:szCs w:val="24"/>
        </w:rPr>
        <w:t>/system.</w:t>
      </w:r>
    </w:p>
    <w:p w:rsidR="005B17BC" w:rsidRPr="006C7FAE" w14:paraId="1FE7A68F" w14:textId="77777777">
      <w:pPr>
        <w:keepLines/>
        <w:tabs>
          <w:tab w:val="left" w:pos="360"/>
          <w:tab w:val="left" w:pos="720"/>
        </w:tabs>
        <w:ind w:left="360"/>
        <w:rPr>
          <w:sz w:val="24"/>
          <w:szCs w:val="24"/>
        </w:rPr>
      </w:pPr>
    </w:p>
    <w:bookmarkEnd w:id="2"/>
    <w:p w:rsidR="009E13B1" w14:paraId="14ED726D" w14:textId="77777777">
      <w:pPr>
        <w:keepLines/>
        <w:tabs>
          <w:tab w:val="left" w:pos="360"/>
        </w:tabs>
        <w:spacing w:after="80"/>
        <w:ind w:left="360" w:hanging="360"/>
        <w:rPr>
          <w:sz w:val="24"/>
          <w:szCs w:val="24"/>
        </w:rPr>
      </w:pPr>
      <w:r w:rsidRPr="006C7FAE">
        <w:rPr>
          <w:sz w:val="24"/>
          <w:szCs w:val="24"/>
        </w:rPr>
        <w:t>3.</w:t>
      </w:r>
      <w:r w:rsidRPr="006C7FAE">
        <w:rPr>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D46873" w14:paraId="744B7518" w14:textId="77777777">
      <w:pPr>
        <w:keepLines/>
        <w:tabs>
          <w:tab w:val="left" w:pos="360"/>
        </w:tabs>
        <w:spacing w:after="80"/>
        <w:ind w:left="360" w:hanging="360"/>
        <w:rPr>
          <w:sz w:val="24"/>
          <w:szCs w:val="24"/>
        </w:rPr>
      </w:pPr>
      <w:r>
        <w:rPr>
          <w:sz w:val="24"/>
          <w:szCs w:val="24"/>
        </w:rPr>
        <w:tab/>
      </w:r>
      <w:r w:rsidRPr="00D46873">
        <w:rPr>
          <w:sz w:val="24"/>
          <w:szCs w:val="24"/>
        </w:rPr>
        <w:t xml:space="preserve">Recipients and other users </w:t>
      </w:r>
      <w:r w:rsidRPr="00D46873">
        <w:rPr>
          <w:sz w:val="24"/>
          <w:szCs w:val="24"/>
        </w:rPr>
        <w:t>are able to</w:t>
      </w:r>
      <w:r w:rsidRPr="00D46873">
        <w:rPr>
          <w:sz w:val="24"/>
          <w:szCs w:val="24"/>
        </w:rPr>
        <w:t xml:space="preserve"> complete, store, and submit their environmental review records electronically using HEROS. HEROS was designed to reduce the burden on recipients by eliminating repetitive and unnecessary requirements, tailoring formats to the specifics of each environmental review record, and autofill information where feasible to avoid repetitive or unnecessary data entry. The system also allows users to submit their approval document, the HUD-7015.15, electronically through HEROS.</w:t>
      </w:r>
    </w:p>
    <w:p w:rsidR="005B17BC" w14:paraId="0DD80E16" w14:textId="77777777">
      <w:pPr>
        <w:keepLines/>
        <w:tabs>
          <w:tab w:val="left" w:pos="360"/>
        </w:tabs>
        <w:spacing w:after="80"/>
        <w:ind w:left="360" w:hanging="360"/>
        <w:rPr>
          <w:sz w:val="24"/>
          <w:szCs w:val="24"/>
        </w:rPr>
      </w:pPr>
    </w:p>
    <w:p w:rsidR="005B17BC" w:rsidRPr="006C7FAE" w14:paraId="34A118EA" w14:textId="5B33884A">
      <w:pPr>
        <w:keepLines/>
        <w:tabs>
          <w:tab w:val="left" w:pos="360"/>
        </w:tabs>
        <w:spacing w:after="80"/>
        <w:ind w:left="360" w:hanging="360"/>
        <w:rPr>
          <w:sz w:val="24"/>
          <w:szCs w:val="24"/>
        </w:rPr>
      </w:pPr>
      <w:r>
        <w:rPr>
          <w:sz w:val="24"/>
          <w:szCs w:val="24"/>
        </w:rPr>
        <w:tab/>
        <w:t xml:space="preserve">The </w:t>
      </w:r>
      <w:r w:rsidRPr="005B17BC">
        <w:rPr>
          <w:sz w:val="24"/>
          <w:szCs w:val="24"/>
        </w:rPr>
        <w:t>HEROS Access Form</w:t>
      </w:r>
      <w:r>
        <w:rPr>
          <w:sz w:val="24"/>
          <w:szCs w:val="24"/>
        </w:rPr>
        <w:t xml:space="preserve"> uses </w:t>
      </w:r>
      <w:r w:rsidR="000D6C28">
        <w:rPr>
          <w:sz w:val="24"/>
          <w:szCs w:val="24"/>
        </w:rPr>
        <w:t xml:space="preserve">an online website from the company DocuSign that allows respondents to easily </w:t>
      </w:r>
      <w:r w:rsidR="000D6C28">
        <w:rPr>
          <w:sz w:val="24"/>
          <w:szCs w:val="24"/>
        </w:rPr>
        <w:t>provid</w:t>
      </w:r>
      <w:r w:rsidR="009A41FE">
        <w:rPr>
          <w:sz w:val="24"/>
          <w:szCs w:val="24"/>
        </w:rPr>
        <w:t>e</w:t>
      </w:r>
      <w:r w:rsidRPr="009A41FE" w:rsidR="000D6C28">
        <w:rPr>
          <w:strike/>
          <w:sz w:val="24"/>
          <w:szCs w:val="24"/>
        </w:rPr>
        <w:t>ed</w:t>
      </w:r>
      <w:r w:rsidR="000D6C28">
        <w:rPr>
          <w:sz w:val="24"/>
          <w:szCs w:val="24"/>
        </w:rPr>
        <w:t xml:space="preserve"> the information required to gain HEROS access.</w:t>
      </w:r>
      <w:r w:rsidR="0052745B">
        <w:rPr>
          <w:sz w:val="24"/>
          <w:szCs w:val="24"/>
        </w:rPr>
        <w:t xml:space="preserve"> </w:t>
      </w:r>
      <w:bookmarkStart w:id="3" w:name="_Hlk162890586"/>
      <w:r w:rsidR="0052745B">
        <w:rPr>
          <w:sz w:val="24"/>
          <w:szCs w:val="24"/>
        </w:rPr>
        <w:t xml:space="preserve">It replaces a previous form that utilized the Google Docs system. </w:t>
      </w:r>
      <w:bookmarkEnd w:id="3"/>
      <w:r w:rsidR="0052745B">
        <w:rPr>
          <w:sz w:val="24"/>
          <w:szCs w:val="24"/>
        </w:rPr>
        <w:t xml:space="preserve">This new means of collection, through the DocuSign system, allows </w:t>
      </w:r>
      <w:r w:rsidR="00C50F8A">
        <w:rPr>
          <w:sz w:val="24"/>
          <w:szCs w:val="24"/>
        </w:rPr>
        <w:t xml:space="preserve">for better information security/privacy protection. Additionally, it continues to automate the new HEROS user request process, preventing HUD staff from receiving new user requests via email. </w:t>
      </w:r>
    </w:p>
    <w:p w:rsidR="009E13B1" w:rsidRPr="006C7FAE" w14:paraId="2345A852" w14:textId="77777777">
      <w:pPr>
        <w:tabs>
          <w:tab w:val="left" w:pos="360"/>
        </w:tabs>
        <w:ind w:left="360" w:hanging="360"/>
        <w:rPr>
          <w:sz w:val="24"/>
          <w:szCs w:val="24"/>
        </w:rPr>
      </w:pPr>
    </w:p>
    <w:p w:rsidR="009E13B1" w14:paraId="42570710" w14:textId="77777777">
      <w:pPr>
        <w:keepLines/>
        <w:tabs>
          <w:tab w:val="left" w:pos="360"/>
        </w:tabs>
        <w:spacing w:after="80"/>
        <w:ind w:left="360" w:hanging="360"/>
        <w:rPr>
          <w:sz w:val="24"/>
          <w:szCs w:val="24"/>
        </w:rPr>
      </w:pPr>
      <w:r w:rsidRPr="006C7FAE">
        <w:rPr>
          <w:sz w:val="24"/>
          <w:szCs w:val="24"/>
        </w:rPr>
        <w:t>4.</w:t>
      </w:r>
      <w:r w:rsidRPr="006C7FAE">
        <w:rPr>
          <w:sz w:val="24"/>
          <w:szCs w:val="24"/>
        </w:rPr>
        <w:tab/>
        <w:t>Describe efforts to identify duplication.  Show specifically why any similar information already available cannot be used or modified for use for the purposes described in Item 2 above.</w:t>
      </w:r>
    </w:p>
    <w:p w:rsidR="00D46873" w14:paraId="1FB6D046" w14:textId="77777777">
      <w:pPr>
        <w:keepLines/>
        <w:tabs>
          <w:tab w:val="left" w:pos="360"/>
        </w:tabs>
        <w:spacing w:after="80"/>
        <w:ind w:left="360" w:hanging="360"/>
        <w:rPr>
          <w:sz w:val="24"/>
          <w:szCs w:val="24"/>
        </w:rPr>
      </w:pPr>
    </w:p>
    <w:p w:rsidR="00D46873" w:rsidRPr="006C7FAE" w14:paraId="4360D0A4" w14:textId="77777777">
      <w:pPr>
        <w:keepLines/>
        <w:tabs>
          <w:tab w:val="left" w:pos="360"/>
        </w:tabs>
        <w:spacing w:after="80"/>
        <w:ind w:left="360" w:hanging="360"/>
        <w:rPr>
          <w:sz w:val="24"/>
          <w:szCs w:val="24"/>
        </w:rPr>
      </w:pPr>
      <w:r>
        <w:rPr>
          <w:sz w:val="24"/>
          <w:szCs w:val="24"/>
        </w:rPr>
        <w:tab/>
      </w:r>
      <w:r w:rsidRPr="00D46873">
        <w:rPr>
          <w:sz w:val="24"/>
          <w:szCs w:val="24"/>
        </w:rPr>
        <w:t>There is no similar information already available. Environmental reviews must be completed for each project individually</w:t>
      </w:r>
      <w:r>
        <w:rPr>
          <w:sz w:val="24"/>
          <w:szCs w:val="24"/>
        </w:rPr>
        <w:t xml:space="preserve"> and the information</w:t>
      </w:r>
      <w:r w:rsidR="005310EB">
        <w:rPr>
          <w:sz w:val="24"/>
          <w:szCs w:val="24"/>
        </w:rPr>
        <w:t xml:space="preserve"> and analysis</w:t>
      </w:r>
      <w:r>
        <w:rPr>
          <w:sz w:val="24"/>
          <w:szCs w:val="24"/>
        </w:rPr>
        <w:t xml:space="preserve"> </w:t>
      </w:r>
      <w:r w:rsidR="00A052AC">
        <w:rPr>
          <w:sz w:val="24"/>
          <w:szCs w:val="24"/>
        </w:rPr>
        <w:t>are</w:t>
      </w:r>
      <w:r>
        <w:rPr>
          <w:sz w:val="24"/>
          <w:szCs w:val="24"/>
        </w:rPr>
        <w:t xml:space="preserve"> project-specific.</w:t>
      </w:r>
    </w:p>
    <w:p w:rsidR="009E13B1" w:rsidRPr="006C7FAE" w14:paraId="7430FACB" w14:textId="77777777">
      <w:pPr>
        <w:keepLines/>
        <w:tabs>
          <w:tab w:val="left" w:pos="360"/>
          <w:tab w:val="left" w:pos="720"/>
        </w:tabs>
        <w:ind w:left="360"/>
        <w:rPr>
          <w:sz w:val="24"/>
          <w:szCs w:val="24"/>
        </w:rPr>
      </w:pPr>
    </w:p>
    <w:p w:rsidR="009E13B1" w:rsidRPr="006C7FAE" w14:paraId="16122812" w14:textId="77777777">
      <w:pPr>
        <w:keepLines/>
        <w:tabs>
          <w:tab w:val="left" w:pos="360"/>
        </w:tabs>
        <w:spacing w:after="80"/>
        <w:ind w:left="360" w:hanging="360"/>
        <w:rPr>
          <w:sz w:val="24"/>
          <w:szCs w:val="24"/>
        </w:rPr>
      </w:pPr>
      <w:r w:rsidRPr="006C7FAE">
        <w:rPr>
          <w:sz w:val="24"/>
          <w:szCs w:val="24"/>
        </w:rPr>
        <w:t>5.</w:t>
      </w:r>
      <w:r w:rsidRPr="006C7FAE">
        <w:rPr>
          <w:sz w:val="24"/>
          <w:szCs w:val="24"/>
        </w:rPr>
        <w:tab/>
        <w:t>If the collection of information impacts small businesses or other small entities describe any methods used to minimize burden.</w:t>
      </w:r>
    </w:p>
    <w:p w:rsidR="009E13B1" w14:paraId="51980AC9" w14:textId="77777777">
      <w:pPr>
        <w:tabs>
          <w:tab w:val="left" w:pos="360"/>
        </w:tabs>
        <w:ind w:left="360" w:hanging="360"/>
        <w:rPr>
          <w:sz w:val="24"/>
          <w:szCs w:val="24"/>
        </w:rPr>
      </w:pPr>
    </w:p>
    <w:p w:rsidR="005310EB" w14:paraId="50E2AF77" w14:textId="77777777">
      <w:pPr>
        <w:tabs>
          <w:tab w:val="left" w:pos="360"/>
        </w:tabs>
        <w:ind w:left="360" w:hanging="360"/>
        <w:rPr>
          <w:sz w:val="24"/>
          <w:szCs w:val="24"/>
        </w:rPr>
      </w:pPr>
      <w:r>
        <w:rPr>
          <w:sz w:val="24"/>
          <w:szCs w:val="24"/>
        </w:rPr>
        <w:tab/>
      </w:r>
      <w:r w:rsidRPr="005310EB">
        <w:rPr>
          <w:sz w:val="24"/>
          <w:szCs w:val="24"/>
        </w:rPr>
        <w:t>This collection of information does not impact small businesses or other small entities.</w:t>
      </w:r>
    </w:p>
    <w:p w:rsidR="005310EB" w:rsidRPr="006C7FAE" w14:paraId="23723808" w14:textId="77777777">
      <w:pPr>
        <w:tabs>
          <w:tab w:val="left" w:pos="360"/>
        </w:tabs>
        <w:ind w:left="360" w:hanging="360"/>
        <w:rPr>
          <w:sz w:val="24"/>
          <w:szCs w:val="24"/>
        </w:rPr>
      </w:pPr>
    </w:p>
    <w:p w:rsidR="009E13B1" w14:paraId="6FDC4F8A" w14:textId="77777777">
      <w:pPr>
        <w:keepLines/>
        <w:tabs>
          <w:tab w:val="left" w:pos="360"/>
        </w:tabs>
        <w:spacing w:after="80"/>
        <w:ind w:left="360" w:hanging="360"/>
        <w:rPr>
          <w:sz w:val="24"/>
          <w:szCs w:val="24"/>
        </w:rPr>
      </w:pPr>
      <w:r w:rsidRPr="006C7FAE">
        <w:rPr>
          <w:sz w:val="24"/>
          <w:szCs w:val="24"/>
        </w:rPr>
        <w:t>6.</w:t>
      </w:r>
      <w:r w:rsidRPr="006C7FAE">
        <w:rPr>
          <w:sz w:val="24"/>
          <w:szCs w:val="24"/>
        </w:rPr>
        <w:tab/>
        <w:t>Describe the consequence to Federal program or policy activities if the collection is not conducted or is conducted less frequently, as well as any technical or legal obstacles to reducing burden.</w:t>
      </w:r>
    </w:p>
    <w:p w:rsidR="007C64E4" w14:paraId="3E7E0B28" w14:textId="047EC757">
      <w:pPr>
        <w:keepLines/>
        <w:tabs>
          <w:tab w:val="left" w:pos="360"/>
        </w:tabs>
        <w:spacing w:after="80"/>
        <w:ind w:left="360" w:hanging="360"/>
        <w:rPr>
          <w:sz w:val="24"/>
          <w:szCs w:val="24"/>
        </w:rPr>
      </w:pPr>
      <w:r>
        <w:rPr>
          <w:sz w:val="24"/>
          <w:szCs w:val="24"/>
        </w:rPr>
        <w:tab/>
      </w:r>
    </w:p>
    <w:p w:rsidR="007C64E4" w:rsidRPr="006C7FAE" w14:paraId="5E7144DC" w14:textId="3D113992">
      <w:pPr>
        <w:keepLines/>
        <w:tabs>
          <w:tab w:val="left" w:pos="360"/>
        </w:tabs>
        <w:spacing w:after="80"/>
        <w:ind w:left="360" w:hanging="360"/>
        <w:rPr>
          <w:sz w:val="24"/>
          <w:szCs w:val="24"/>
        </w:rPr>
      </w:pPr>
      <w:r>
        <w:rPr>
          <w:sz w:val="24"/>
          <w:szCs w:val="24"/>
        </w:rPr>
        <w:tab/>
        <w:t xml:space="preserve">If this collection is not conducted or is conducted less frequently, then the flow of HUD funding and other assistance would be significantly </w:t>
      </w:r>
      <w:r w:rsidR="005F14AC">
        <w:rPr>
          <w:sz w:val="24"/>
          <w:szCs w:val="24"/>
        </w:rPr>
        <w:t xml:space="preserve">slowed. Without HEROS, </w:t>
      </w:r>
      <w:r w:rsidR="00F5219B">
        <w:rPr>
          <w:sz w:val="24"/>
          <w:szCs w:val="24"/>
        </w:rPr>
        <w:t>E</w:t>
      </w:r>
      <w:r w:rsidR="005F14AC">
        <w:rPr>
          <w:sz w:val="24"/>
          <w:szCs w:val="24"/>
        </w:rPr>
        <w:t xml:space="preserve">nvironmental review preparers would have to conduct traditional, “paper” environmental reviews, which often take longer to complete due to the administrative time savings that HEROS provides. </w:t>
      </w:r>
    </w:p>
    <w:p w:rsidR="009E13B1" w:rsidRPr="006C7FAE" w14:paraId="71E449A8" w14:textId="77777777">
      <w:pPr>
        <w:keepLines/>
        <w:tabs>
          <w:tab w:val="left" w:pos="360"/>
          <w:tab w:val="left" w:pos="720"/>
        </w:tabs>
        <w:ind w:left="360"/>
        <w:rPr>
          <w:sz w:val="24"/>
          <w:szCs w:val="24"/>
        </w:rPr>
      </w:pPr>
    </w:p>
    <w:p w:rsidR="00A65F9E" w14:paraId="5DEA9ADB" w14:textId="77777777">
      <w:pPr>
        <w:numPr>
          <w:ilvl w:val="0"/>
          <w:numId w:val="13"/>
        </w:numPr>
        <w:tabs>
          <w:tab w:val="left" w:pos="360"/>
        </w:tabs>
        <w:rPr>
          <w:sz w:val="24"/>
          <w:szCs w:val="24"/>
        </w:rPr>
      </w:pPr>
      <w:r w:rsidRPr="006C7FAE">
        <w:rPr>
          <w:sz w:val="24"/>
          <w:szCs w:val="24"/>
        </w:rPr>
        <w:t>Explain any special circumstances that would cause an information collection to be conducted in a manner:</w:t>
      </w:r>
    </w:p>
    <w:p w:rsidR="009E13B1" w:rsidRPr="006C7FAE" w:rsidP="00A65F9E" w14:paraId="0C43A1E6" w14:textId="77777777">
      <w:pPr>
        <w:tabs>
          <w:tab w:val="left" w:pos="360"/>
        </w:tabs>
        <w:ind w:left="360"/>
        <w:rPr>
          <w:sz w:val="24"/>
          <w:szCs w:val="24"/>
        </w:rPr>
      </w:pPr>
      <w:r w:rsidRPr="006C7FAE">
        <w:rPr>
          <w:sz w:val="24"/>
          <w:szCs w:val="24"/>
        </w:rPr>
        <w:t xml:space="preserve"> </w:t>
      </w:r>
    </w:p>
    <w:p w:rsidR="009E13B1" w14:paraId="19A69BF8" w14:textId="77777777">
      <w:pPr>
        <w:numPr>
          <w:ilvl w:val="0"/>
          <w:numId w:val="14"/>
        </w:numPr>
        <w:tabs>
          <w:tab w:val="left" w:pos="600"/>
        </w:tabs>
        <w:rPr>
          <w:sz w:val="24"/>
          <w:szCs w:val="24"/>
        </w:rPr>
      </w:pPr>
      <w:r w:rsidRPr="006C7FAE">
        <w:rPr>
          <w:sz w:val="24"/>
          <w:szCs w:val="24"/>
        </w:rPr>
        <w:t xml:space="preserve">requiring respondents to report information to the agency more than quarterly; </w:t>
      </w:r>
    </w:p>
    <w:p w:rsidR="00E11B4C" w:rsidRPr="006C7FAE" w:rsidP="00E11B4C" w14:paraId="27BA4167" w14:textId="77777777">
      <w:pPr>
        <w:tabs>
          <w:tab w:val="left" w:pos="600"/>
        </w:tabs>
        <w:ind w:left="684"/>
        <w:rPr>
          <w:sz w:val="24"/>
          <w:szCs w:val="24"/>
        </w:rPr>
      </w:pPr>
    </w:p>
    <w:p w:rsidR="00A65F9E" w:rsidP="00E11B4C" w14:paraId="2F6BCAC2" w14:textId="77777777">
      <w:pPr>
        <w:tabs>
          <w:tab w:val="left" w:pos="600"/>
        </w:tabs>
        <w:ind w:left="540"/>
        <w:rPr>
          <w:sz w:val="24"/>
          <w:szCs w:val="24"/>
        </w:rPr>
      </w:pPr>
      <w:r>
        <w:rPr>
          <w:sz w:val="24"/>
          <w:szCs w:val="24"/>
        </w:rPr>
        <w:t>There are no special circumstances that would cause information to be collected in this manner.</w:t>
      </w:r>
    </w:p>
    <w:p w:rsidR="00E11B4C" w:rsidP="00A65F9E" w14:paraId="554E531C" w14:textId="77777777">
      <w:pPr>
        <w:tabs>
          <w:tab w:val="left" w:pos="600"/>
        </w:tabs>
        <w:ind w:left="684"/>
        <w:rPr>
          <w:sz w:val="24"/>
          <w:szCs w:val="24"/>
        </w:rPr>
      </w:pPr>
    </w:p>
    <w:p w:rsidR="009E13B1" w14:paraId="38D742D2" w14:textId="77777777">
      <w:pPr>
        <w:numPr>
          <w:ilvl w:val="0"/>
          <w:numId w:val="14"/>
        </w:numPr>
        <w:tabs>
          <w:tab w:val="left" w:pos="600"/>
        </w:tabs>
        <w:rPr>
          <w:sz w:val="24"/>
          <w:szCs w:val="24"/>
        </w:rPr>
      </w:pPr>
      <w:r w:rsidRPr="006C7FAE">
        <w:rPr>
          <w:sz w:val="24"/>
          <w:szCs w:val="24"/>
        </w:rPr>
        <w:t xml:space="preserve">requiring respondents to prepare a written response to a collection of information in fewer than 30 days after receipt of it; </w:t>
      </w:r>
    </w:p>
    <w:p w:rsidR="00A65F9E" w:rsidP="00A65F9E" w14:paraId="352B507A" w14:textId="77777777">
      <w:pPr>
        <w:pStyle w:val="ListParagraph"/>
        <w:rPr>
          <w:sz w:val="24"/>
          <w:szCs w:val="24"/>
        </w:rPr>
      </w:pPr>
    </w:p>
    <w:p w:rsidR="00E11B4C" w:rsidP="00E11B4C" w14:paraId="59BB1828" w14:textId="77777777">
      <w:pPr>
        <w:pStyle w:val="ListParagraph"/>
        <w:ind w:left="0" w:firstLine="540"/>
        <w:rPr>
          <w:sz w:val="24"/>
          <w:szCs w:val="24"/>
        </w:rPr>
      </w:pPr>
      <w:r w:rsidRPr="00E11B4C">
        <w:rPr>
          <w:sz w:val="24"/>
          <w:szCs w:val="24"/>
        </w:rPr>
        <w:t>There are no special circumstances that would cause information to be collected in this manner.</w:t>
      </w:r>
    </w:p>
    <w:p w:rsidR="00E11B4C" w:rsidP="00E11B4C" w14:paraId="799AAD70" w14:textId="77777777">
      <w:pPr>
        <w:pStyle w:val="ListParagraph"/>
        <w:ind w:left="0" w:firstLine="540"/>
        <w:rPr>
          <w:sz w:val="24"/>
          <w:szCs w:val="24"/>
        </w:rPr>
      </w:pPr>
    </w:p>
    <w:p w:rsidR="009E13B1" w14:paraId="3DFCAC01" w14:textId="77777777">
      <w:pPr>
        <w:numPr>
          <w:ilvl w:val="0"/>
          <w:numId w:val="14"/>
        </w:numPr>
        <w:tabs>
          <w:tab w:val="left" w:pos="600"/>
        </w:tabs>
        <w:rPr>
          <w:sz w:val="24"/>
          <w:szCs w:val="24"/>
        </w:rPr>
      </w:pPr>
      <w:r w:rsidRPr="006C7FAE">
        <w:rPr>
          <w:sz w:val="24"/>
          <w:szCs w:val="24"/>
        </w:rPr>
        <w:t xml:space="preserve">requiring respondents to submit more than an original and two copies of any document; </w:t>
      </w:r>
    </w:p>
    <w:p w:rsidR="00A65F9E" w:rsidP="00A65F9E" w14:paraId="215F8831" w14:textId="77777777">
      <w:pPr>
        <w:pStyle w:val="ListParagraph"/>
        <w:rPr>
          <w:sz w:val="24"/>
          <w:szCs w:val="24"/>
        </w:rPr>
      </w:pPr>
    </w:p>
    <w:p w:rsidR="00E11B4C" w:rsidP="00E11B4C" w14:paraId="68F893DE" w14:textId="77777777">
      <w:pPr>
        <w:pStyle w:val="ListParagraph"/>
        <w:ind w:left="0" w:firstLine="540"/>
        <w:rPr>
          <w:sz w:val="24"/>
          <w:szCs w:val="24"/>
        </w:rPr>
      </w:pPr>
      <w:r w:rsidRPr="00E11B4C">
        <w:rPr>
          <w:sz w:val="24"/>
          <w:szCs w:val="24"/>
        </w:rPr>
        <w:t>There are no special circumstances that would cause information to be collected in this manner.</w:t>
      </w:r>
    </w:p>
    <w:p w:rsidR="00E11B4C" w:rsidP="00E11B4C" w14:paraId="234DA436" w14:textId="77777777">
      <w:pPr>
        <w:pStyle w:val="ListParagraph"/>
        <w:ind w:left="0" w:firstLine="540"/>
        <w:rPr>
          <w:sz w:val="24"/>
          <w:szCs w:val="24"/>
        </w:rPr>
      </w:pPr>
    </w:p>
    <w:p w:rsidR="009E13B1" w:rsidRPr="006C7FAE" w14:paraId="74A1690E" w14:textId="77777777">
      <w:pPr>
        <w:numPr>
          <w:ilvl w:val="0"/>
          <w:numId w:val="14"/>
        </w:numPr>
        <w:tabs>
          <w:tab w:val="left" w:pos="600"/>
        </w:tabs>
        <w:rPr>
          <w:sz w:val="24"/>
          <w:szCs w:val="24"/>
        </w:rPr>
      </w:pPr>
      <w:r w:rsidRPr="006C7FAE">
        <w:rPr>
          <w:sz w:val="24"/>
          <w:szCs w:val="24"/>
        </w:rPr>
        <w:t xml:space="preserve">requiring respondents to retain records other than health, medical, government contract, grant-in-aid, or tax records for more than three years; </w:t>
      </w:r>
    </w:p>
    <w:p w:rsidR="00E11B4C" w:rsidP="00E11B4C" w14:paraId="6F483C30" w14:textId="77777777">
      <w:pPr>
        <w:tabs>
          <w:tab w:val="left" w:pos="600"/>
        </w:tabs>
        <w:ind w:left="540"/>
        <w:rPr>
          <w:sz w:val="24"/>
          <w:szCs w:val="24"/>
        </w:rPr>
      </w:pPr>
    </w:p>
    <w:p w:rsidR="00E11B4C" w:rsidP="00E11B4C" w14:paraId="4139F240" w14:textId="77777777">
      <w:pPr>
        <w:tabs>
          <w:tab w:val="left" w:pos="600"/>
        </w:tabs>
        <w:ind w:left="540"/>
        <w:rPr>
          <w:sz w:val="24"/>
          <w:szCs w:val="24"/>
        </w:rPr>
      </w:pPr>
      <w:r>
        <w:rPr>
          <w:sz w:val="24"/>
          <w:szCs w:val="24"/>
        </w:rPr>
        <w:t>There are no special circumstances that would cause information to be collected in this manner.</w:t>
      </w:r>
    </w:p>
    <w:p w:rsidR="00A65F9E" w:rsidP="00A65F9E" w14:paraId="670F61FB" w14:textId="77777777">
      <w:pPr>
        <w:tabs>
          <w:tab w:val="left" w:pos="600"/>
        </w:tabs>
        <w:ind w:left="684"/>
        <w:rPr>
          <w:sz w:val="24"/>
          <w:szCs w:val="24"/>
        </w:rPr>
      </w:pPr>
    </w:p>
    <w:p w:rsidR="009E13B1" w14:paraId="542EC721" w14:textId="77777777">
      <w:pPr>
        <w:numPr>
          <w:ilvl w:val="0"/>
          <w:numId w:val="14"/>
        </w:numPr>
        <w:tabs>
          <w:tab w:val="left" w:pos="600"/>
        </w:tabs>
        <w:rPr>
          <w:sz w:val="24"/>
          <w:szCs w:val="24"/>
        </w:rPr>
      </w:pPr>
      <w:r w:rsidRPr="006C7FAE">
        <w:rPr>
          <w:sz w:val="24"/>
          <w:szCs w:val="24"/>
        </w:rPr>
        <w:t xml:space="preserve">in connection with a statistical survey, that is not designed to produce valid and reliable results than can be generalized to the universe of study; </w:t>
      </w:r>
    </w:p>
    <w:p w:rsidR="00E11B4C" w:rsidP="00E11B4C" w14:paraId="219A1AE0" w14:textId="77777777">
      <w:pPr>
        <w:tabs>
          <w:tab w:val="left" w:pos="600"/>
        </w:tabs>
        <w:ind w:left="684"/>
        <w:rPr>
          <w:sz w:val="24"/>
          <w:szCs w:val="24"/>
        </w:rPr>
      </w:pPr>
    </w:p>
    <w:p w:rsidR="00E11B4C" w:rsidP="00E11B4C" w14:paraId="3005CDB5" w14:textId="77777777">
      <w:pPr>
        <w:tabs>
          <w:tab w:val="left" w:pos="600"/>
        </w:tabs>
        <w:rPr>
          <w:sz w:val="24"/>
          <w:szCs w:val="24"/>
        </w:rPr>
      </w:pPr>
      <w:r>
        <w:rPr>
          <w:sz w:val="24"/>
          <w:szCs w:val="24"/>
        </w:rPr>
        <w:tab/>
      </w:r>
      <w:r w:rsidRPr="00E11B4C">
        <w:rPr>
          <w:sz w:val="24"/>
          <w:szCs w:val="24"/>
        </w:rPr>
        <w:t>There are no special circumstances that would cause information to be collected in this manner.</w:t>
      </w:r>
    </w:p>
    <w:p w:rsidR="00E11B4C" w:rsidRPr="006C7FAE" w:rsidP="00E11B4C" w14:paraId="69B1536C" w14:textId="77777777">
      <w:pPr>
        <w:tabs>
          <w:tab w:val="left" w:pos="600"/>
        </w:tabs>
        <w:ind w:left="684"/>
        <w:rPr>
          <w:sz w:val="24"/>
          <w:szCs w:val="24"/>
        </w:rPr>
      </w:pPr>
    </w:p>
    <w:p w:rsidR="00A65F9E" w14:paraId="52DA38B0" w14:textId="77777777">
      <w:pPr>
        <w:numPr>
          <w:ilvl w:val="0"/>
          <w:numId w:val="14"/>
        </w:numPr>
        <w:tabs>
          <w:tab w:val="left" w:pos="600"/>
        </w:tabs>
        <w:rPr>
          <w:sz w:val="24"/>
          <w:szCs w:val="24"/>
        </w:rPr>
      </w:pPr>
      <w:r w:rsidRPr="006C7FAE">
        <w:rPr>
          <w:sz w:val="24"/>
          <w:szCs w:val="24"/>
        </w:rPr>
        <w:t>requiring the use of a statistical data classification that has not been reviewed and approved by OMB;</w:t>
      </w:r>
    </w:p>
    <w:p w:rsidR="00E11B4C" w:rsidP="00E11B4C" w14:paraId="18BDABB4" w14:textId="77777777">
      <w:pPr>
        <w:tabs>
          <w:tab w:val="left" w:pos="600"/>
        </w:tabs>
        <w:ind w:left="540"/>
        <w:rPr>
          <w:sz w:val="24"/>
          <w:szCs w:val="24"/>
        </w:rPr>
      </w:pPr>
    </w:p>
    <w:p w:rsidR="00E11B4C" w:rsidP="00E11B4C" w14:paraId="3F70E438" w14:textId="77777777">
      <w:pPr>
        <w:tabs>
          <w:tab w:val="left" w:pos="600"/>
        </w:tabs>
        <w:ind w:left="540"/>
        <w:rPr>
          <w:sz w:val="24"/>
          <w:szCs w:val="24"/>
        </w:rPr>
      </w:pPr>
      <w:r w:rsidRPr="00E11B4C">
        <w:rPr>
          <w:sz w:val="24"/>
          <w:szCs w:val="24"/>
        </w:rPr>
        <w:t>There are no special circumstances that would cause information to be collected in this manner.</w:t>
      </w:r>
    </w:p>
    <w:p w:rsidR="00E11B4C" w:rsidRPr="006C7FAE" w:rsidP="00A65F9E" w14:paraId="68F00B4A" w14:textId="77777777">
      <w:pPr>
        <w:tabs>
          <w:tab w:val="left" w:pos="600"/>
        </w:tabs>
        <w:ind w:left="684"/>
        <w:rPr>
          <w:sz w:val="24"/>
          <w:szCs w:val="24"/>
        </w:rPr>
      </w:pPr>
    </w:p>
    <w:p w:rsidR="009E13B1" w:rsidRPr="006C7FAE" w14:paraId="5BEDF2A5" w14:textId="77777777">
      <w:pPr>
        <w:numPr>
          <w:ilvl w:val="0"/>
          <w:numId w:val="14"/>
        </w:numPr>
        <w:tabs>
          <w:tab w:val="left" w:pos="600"/>
        </w:tabs>
        <w:rPr>
          <w:sz w:val="24"/>
          <w:szCs w:val="24"/>
        </w:rPr>
      </w:pPr>
      <w:r w:rsidRPr="006C7FAE">
        <w:rPr>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E11B4C" w:rsidP="00E11B4C" w14:paraId="528278D6" w14:textId="77777777">
      <w:pPr>
        <w:keepLines/>
        <w:tabs>
          <w:tab w:val="left" w:pos="600"/>
        </w:tabs>
        <w:spacing w:after="80"/>
        <w:ind w:left="540"/>
        <w:rPr>
          <w:sz w:val="24"/>
          <w:szCs w:val="24"/>
        </w:rPr>
      </w:pPr>
    </w:p>
    <w:p w:rsidR="00E11B4C" w:rsidP="00E11B4C" w14:paraId="72627BDC" w14:textId="77777777">
      <w:pPr>
        <w:keepLines/>
        <w:tabs>
          <w:tab w:val="left" w:pos="600"/>
        </w:tabs>
        <w:spacing w:after="80"/>
        <w:ind w:left="540"/>
        <w:rPr>
          <w:sz w:val="24"/>
          <w:szCs w:val="24"/>
        </w:rPr>
      </w:pPr>
      <w:r w:rsidRPr="00E11B4C">
        <w:rPr>
          <w:sz w:val="24"/>
          <w:szCs w:val="24"/>
        </w:rPr>
        <w:t>There are no special circumstances that would cause information to be collected in this manner.</w:t>
      </w:r>
    </w:p>
    <w:p w:rsidR="00E11B4C" w:rsidP="00A65F9E" w14:paraId="4736AA1F" w14:textId="77777777">
      <w:pPr>
        <w:keepLines/>
        <w:tabs>
          <w:tab w:val="left" w:pos="600"/>
        </w:tabs>
        <w:spacing w:after="80"/>
        <w:ind w:left="684"/>
        <w:rPr>
          <w:sz w:val="24"/>
          <w:szCs w:val="24"/>
        </w:rPr>
      </w:pPr>
    </w:p>
    <w:p w:rsidR="009E13B1" w14:paraId="17294334" w14:textId="77777777">
      <w:pPr>
        <w:keepLines/>
        <w:numPr>
          <w:ilvl w:val="0"/>
          <w:numId w:val="14"/>
        </w:numPr>
        <w:tabs>
          <w:tab w:val="left" w:pos="600"/>
        </w:tabs>
        <w:spacing w:after="80"/>
        <w:rPr>
          <w:sz w:val="24"/>
          <w:szCs w:val="24"/>
        </w:rPr>
      </w:pPr>
      <w:r w:rsidRPr="006C7FAE">
        <w:rPr>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C135BA" w:rsidP="00C135BA" w14:paraId="2503D07F" w14:textId="77777777">
      <w:pPr>
        <w:pStyle w:val="ListParagraph"/>
        <w:rPr>
          <w:sz w:val="24"/>
          <w:szCs w:val="24"/>
        </w:rPr>
      </w:pPr>
    </w:p>
    <w:p w:rsidR="009E13B1" w:rsidP="00F9797E" w14:paraId="1E62713B" w14:textId="77777777">
      <w:pPr>
        <w:tabs>
          <w:tab w:val="left" w:pos="360"/>
          <w:tab w:val="left" w:pos="540"/>
        </w:tabs>
        <w:ind w:left="360" w:firstLine="90"/>
        <w:rPr>
          <w:sz w:val="24"/>
          <w:szCs w:val="24"/>
        </w:rPr>
      </w:pPr>
      <w:r>
        <w:rPr>
          <w:sz w:val="24"/>
          <w:szCs w:val="24"/>
        </w:rPr>
        <w:tab/>
      </w:r>
      <w:r w:rsidRPr="00E11B4C" w:rsidR="00E11B4C">
        <w:rPr>
          <w:sz w:val="24"/>
          <w:szCs w:val="24"/>
        </w:rPr>
        <w:t>There are no special circumstances that would cause information to be collected in this manner.</w:t>
      </w:r>
    </w:p>
    <w:p w:rsidR="00E11B4C" w:rsidRPr="006C7FAE" w14:paraId="419E96C9" w14:textId="77777777">
      <w:pPr>
        <w:tabs>
          <w:tab w:val="left" w:pos="360"/>
        </w:tabs>
        <w:ind w:left="360" w:hanging="360"/>
        <w:rPr>
          <w:sz w:val="24"/>
          <w:szCs w:val="24"/>
        </w:rPr>
      </w:pPr>
    </w:p>
    <w:p w:rsidR="00A65F9E" w:rsidP="00A65F9E" w14:paraId="7C0B7941" w14:textId="77777777">
      <w:pPr>
        <w:numPr>
          <w:ilvl w:val="0"/>
          <w:numId w:val="13"/>
        </w:numPr>
        <w:tabs>
          <w:tab w:val="left" w:pos="360"/>
        </w:tabs>
        <w:rPr>
          <w:sz w:val="24"/>
          <w:szCs w:val="24"/>
        </w:rPr>
      </w:pPr>
      <w:r w:rsidRPr="006C7FAE">
        <w:rPr>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C6745" w:rsidP="003C6745" w14:paraId="2E79FCA8" w14:textId="77777777">
      <w:pPr>
        <w:tabs>
          <w:tab w:val="left" w:pos="360"/>
        </w:tabs>
        <w:ind w:left="360"/>
        <w:rPr>
          <w:sz w:val="24"/>
          <w:szCs w:val="24"/>
        </w:rPr>
      </w:pPr>
    </w:p>
    <w:p w:rsidR="009E13B1" w:rsidRPr="006C7FAE" w:rsidP="00A65F9E" w14:paraId="5F37A374" w14:textId="6A5CB0A7">
      <w:pPr>
        <w:tabs>
          <w:tab w:val="left" w:pos="360"/>
        </w:tabs>
        <w:ind w:left="360"/>
        <w:rPr>
          <w:sz w:val="24"/>
          <w:szCs w:val="24"/>
        </w:rPr>
      </w:pPr>
    </w:p>
    <w:p w:rsidR="009E13B1" w:rsidRPr="006C7FAE" w14:paraId="74868842" w14:textId="77777777">
      <w:pPr>
        <w:numPr>
          <w:ilvl w:val="0"/>
          <w:numId w:val="14"/>
        </w:numPr>
        <w:tabs>
          <w:tab w:val="left" w:pos="360"/>
        </w:tabs>
        <w:ind w:left="480"/>
        <w:rPr>
          <w:sz w:val="24"/>
          <w:szCs w:val="24"/>
        </w:rPr>
      </w:pPr>
      <w:r w:rsidRPr="006C7FAE">
        <w:rPr>
          <w:sz w:val="24"/>
          <w:szCs w:val="24"/>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A65F9E" w:rsidP="00A65F9E" w14:paraId="68263420" w14:textId="77777777">
      <w:pPr>
        <w:keepLines/>
        <w:tabs>
          <w:tab w:val="left" w:pos="360"/>
        </w:tabs>
        <w:spacing w:after="80"/>
        <w:ind w:left="480"/>
        <w:rPr>
          <w:sz w:val="24"/>
          <w:szCs w:val="24"/>
        </w:rPr>
      </w:pPr>
    </w:p>
    <w:p w:rsidR="009E13B1" w:rsidRPr="006C7FAE" w14:paraId="1CAA9C0C" w14:textId="77777777">
      <w:pPr>
        <w:keepLines/>
        <w:numPr>
          <w:ilvl w:val="0"/>
          <w:numId w:val="14"/>
        </w:numPr>
        <w:tabs>
          <w:tab w:val="left" w:pos="360"/>
        </w:tabs>
        <w:spacing w:after="80"/>
        <w:ind w:left="480"/>
        <w:rPr>
          <w:sz w:val="24"/>
          <w:szCs w:val="24"/>
        </w:rPr>
      </w:pPr>
      <w:r w:rsidRPr="006C7FAE">
        <w:rPr>
          <w:sz w:val="24"/>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009E13B1" w14:paraId="58314BD4" w14:textId="77777777">
      <w:pPr>
        <w:tabs>
          <w:tab w:val="left" w:pos="360"/>
        </w:tabs>
        <w:ind w:left="360" w:hanging="360"/>
        <w:rPr>
          <w:sz w:val="24"/>
          <w:szCs w:val="24"/>
        </w:rPr>
      </w:pPr>
    </w:p>
    <w:p w:rsidR="0093217D" w:rsidP="00C135BA" w14:paraId="525614C0" w14:textId="730E4093">
      <w:pPr>
        <w:tabs>
          <w:tab w:val="left" w:pos="360"/>
        </w:tabs>
        <w:ind w:left="480"/>
        <w:rPr>
          <w:sz w:val="24"/>
          <w:szCs w:val="24"/>
        </w:rPr>
      </w:pPr>
      <w:r w:rsidRPr="00276268">
        <w:rPr>
          <w:sz w:val="24"/>
          <w:szCs w:val="24"/>
        </w:rPr>
        <w:t xml:space="preserve">HUD solicited public comment on this information collection through publication of a 60-Day Notice of Proposed Information Collection in the Federal Register, per 5 CFR 1320.8(d). This notice was published in the Federal Register on February 28, </w:t>
      </w:r>
      <w:r w:rsidRPr="00276268" w:rsidR="001E7506">
        <w:rPr>
          <w:sz w:val="24"/>
          <w:szCs w:val="24"/>
        </w:rPr>
        <w:t>2024,</w:t>
      </w:r>
      <w:r w:rsidRPr="00276268">
        <w:rPr>
          <w:sz w:val="24"/>
          <w:szCs w:val="24"/>
        </w:rPr>
        <w:t xml:space="preserve"> at </w:t>
      </w:r>
      <w:r>
        <w:rPr>
          <w:sz w:val="24"/>
          <w:szCs w:val="24"/>
        </w:rPr>
        <w:t>volume 89, page</w:t>
      </w:r>
      <w:r w:rsidRPr="00276268">
        <w:rPr>
          <w:sz w:val="24"/>
          <w:szCs w:val="24"/>
        </w:rPr>
        <w:t xml:space="preserve"> 14676. There were </w:t>
      </w:r>
      <w:r w:rsidRPr="00276268">
        <w:rPr>
          <w:b/>
          <w:bCs/>
          <w:i/>
          <w:iCs/>
          <w:sz w:val="24"/>
          <w:szCs w:val="24"/>
        </w:rPr>
        <w:t>no</w:t>
      </w:r>
      <w:r w:rsidRPr="00276268">
        <w:rPr>
          <w:sz w:val="24"/>
          <w:szCs w:val="24"/>
        </w:rPr>
        <w:t xml:space="preserve"> public comments received.</w:t>
      </w:r>
      <w:r w:rsidR="00481D56">
        <w:rPr>
          <w:sz w:val="24"/>
          <w:szCs w:val="24"/>
        </w:rPr>
        <w:t xml:space="preserve"> </w:t>
      </w:r>
    </w:p>
    <w:p w:rsidR="0093217D" w:rsidP="00C135BA" w14:paraId="4609300F" w14:textId="77777777">
      <w:pPr>
        <w:tabs>
          <w:tab w:val="left" w:pos="360"/>
        </w:tabs>
        <w:ind w:left="480"/>
        <w:rPr>
          <w:sz w:val="24"/>
          <w:szCs w:val="24"/>
        </w:rPr>
      </w:pPr>
    </w:p>
    <w:p w:rsidR="00276268" w:rsidP="00C135BA" w14:paraId="58F84FF7" w14:textId="527D1840">
      <w:pPr>
        <w:tabs>
          <w:tab w:val="left" w:pos="360"/>
        </w:tabs>
        <w:ind w:left="480"/>
        <w:rPr>
          <w:sz w:val="24"/>
          <w:szCs w:val="24"/>
        </w:rPr>
      </w:pPr>
      <w:r>
        <w:rPr>
          <w:sz w:val="24"/>
          <w:szCs w:val="24"/>
        </w:rPr>
        <w:t xml:space="preserve">Although HUD does not additionally formally consult with or solicit public views on this information collection, HUD </w:t>
      </w:r>
      <w:r w:rsidR="00F5219B">
        <w:rPr>
          <w:sz w:val="24"/>
          <w:szCs w:val="24"/>
        </w:rPr>
        <w:t xml:space="preserve">environmental staff regularly provide technical assistance and support to environmental review preparers on using HEROS, and </w:t>
      </w:r>
      <w:r w:rsidR="0093217D">
        <w:rPr>
          <w:sz w:val="24"/>
          <w:szCs w:val="24"/>
        </w:rPr>
        <w:t xml:space="preserve">these opportunities allow for environmental review preparers to provide </w:t>
      </w:r>
      <w:r w:rsidR="00F5219B">
        <w:rPr>
          <w:sz w:val="24"/>
          <w:szCs w:val="24"/>
        </w:rPr>
        <w:t xml:space="preserve">specific comments/feedback on </w:t>
      </w:r>
      <w:r w:rsidR="0093217D">
        <w:rPr>
          <w:sz w:val="24"/>
          <w:szCs w:val="24"/>
        </w:rPr>
        <w:t>HEROS</w:t>
      </w:r>
      <w:r w:rsidR="00F5219B">
        <w:rPr>
          <w:sz w:val="24"/>
          <w:szCs w:val="24"/>
        </w:rPr>
        <w:t xml:space="preserve"> and how it collects information</w:t>
      </w:r>
      <w:r w:rsidR="0093217D">
        <w:rPr>
          <w:sz w:val="24"/>
          <w:szCs w:val="24"/>
        </w:rPr>
        <w:t>.</w:t>
      </w:r>
    </w:p>
    <w:p w:rsidR="00C135BA" w:rsidRPr="006C7FAE" w:rsidP="00C135BA" w14:paraId="33E99536" w14:textId="77777777">
      <w:pPr>
        <w:tabs>
          <w:tab w:val="left" w:pos="360"/>
        </w:tabs>
        <w:ind w:left="480"/>
        <w:rPr>
          <w:sz w:val="24"/>
          <w:szCs w:val="24"/>
        </w:rPr>
      </w:pPr>
    </w:p>
    <w:p w:rsidR="009E13B1" w:rsidRPr="006C7FAE" w14:paraId="230E0D5D" w14:textId="77777777">
      <w:pPr>
        <w:keepLines/>
        <w:tabs>
          <w:tab w:val="left" w:pos="360"/>
        </w:tabs>
        <w:spacing w:after="80"/>
        <w:ind w:left="360" w:hanging="360"/>
        <w:rPr>
          <w:sz w:val="24"/>
          <w:szCs w:val="24"/>
        </w:rPr>
      </w:pPr>
      <w:r w:rsidRPr="006C7FAE">
        <w:rPr>
          <w:sz w:val="24"/>
          <w:szCs w:val="24"/>
        </w:rPr>
        <w:t>9.</w:t>
      </w:r>
      <w:r w:rsidRPr="006C7FAE">
        <w:rPr>
          <w:sz w:val="24"/>
          <w:szCs w:val="24"/>
        </w:rPr>
        <w:tab/>
        <w:t>Explain any decision to provide any payment or gift to respondents, other than renumeration of contractors or grantees.</w:t>
      </w:r>
    </w:p>
    <w:p w:rsidR="00C135BA" w14:paraId="6D236CF8" w14:textId="77777777">
      <w:pPr>
        <w:tabs>
          <w:tab w:val="left" w:pos="360"/>
        </w:tabs>
        <w:ind w:left="360" w:hanging="360"/>
        <w:rPr>
          <w:sz w:val="24"/>
          <w:szCs w:val="24"/>
        </w:rPr>
      </w:pPr>
    </w:p>
    <w:p w:rsidR="009E13B1" w14:paraId="03184B2D" w14:textId="77777777">
      <w:pPr>
        <w:tabs>
          <w:tab w:val="left" w:pos="360"/>
        </w:tabs>
        <w:ind w:left="360" w:hanging="360"/>
        <w:rPr>
          <w:sz w:val="24"/>
          <w:szCs w:val="24"/>
        </w:rPr>
      </w:pPr>
      <w:r>
        <w:rPr>
          <w:sz w:val="24"/>
          <w:szCs w:val="24"/>
        </w:rPr>
        <w:tab/>
      </w:r>
      <w:r w:rsidRPr="00C135BA">
        <w:rPr>
          <w:sz w:val="24"/>
          <w:szCs w:val="24"/>
        </w:rPr>
        <w:t xml:space="preserve">This is not applicable, because HUD does not provide any payment or gifts as remuneration for this information collection. The funds awarded are </w:t>
      </w:r>
      <w:r w:rsidRPr="00C135BA">
        <w:rPr>
          <w:sz w:val="24"/>
          <w:szCs w:val="24"/>
        </w:rPr>
        <w:t>on the basis of</w:t>
      </w:r>
      <w:r w:rsidRPr="00C135BA">
        <w:rPr>
          <w:sz w:val="24"/>
          <w:szCs w:val="24"/>
        </w:rPr>
        <w:t xml:space="preserve"> a formula-allocation or national competition, but fund recipients must certify compliance with statutory and regulatory requirements and receive HUD approval (or State approval as appropriate) for the release of funds for proposed projects and activities.</w:t>
      </w:r>
    </w:p>
    <w:p w:rsidR="00C135BA" w:rsidRPr="006C7FAE" w14:paraId="5608B22C" w14:textId="77777777">
      <w:pPr>
        <w:tabs>
          <w:tab w:val="left" w:pos="360"/>
        </w:tabs>
        <w:ind w:left="360" w:hanging="360"/>
        <w:rPr>
          <w:sz w:val="24"/>
          <w:szCs w:val="24"/>
        </w:rPr>
      </w:pPr>
    </w:p>
    <w:p w:rsidR="009E13B1" w14:paraId="26A81E00" w14:textId="77777777">
      <w:pPr>
        <w:keepLines/>
        <w:tabs>
          <w:tab w:val="left" w:pos="360"/>
        </w:tabs>
        <w:spacing w:after="80"/>
        <w:ind w:left="360" w:hanging="360"/>
        <w:rPr>
          <w:sz w:val="24"/>
          <w:szCs w:val="24"/>
        </w:rPr>
      </w:pPr>
      <w:r w:rsidRPr="006C7FAE">
        <w:rPr>
          <w:sz w:val="24"/>
          <w:szCs w:val="24"/>
        </w:rPr>
        <w:t>10.</w:t>
      </w:r>
      <w:r w:rsidRPr="006C7FAE">
        <w:rPr>
          <w:sz w:val="24"/>
          <w:szCs w:val="24"/>
        </w:rPr>
        <w:tab/>
        <w:t>Describe any assurance of confidentiality provided to respondents and the basis for assurance in statute, regulation or agency policy.</w:t>
      </w:r>
      <w:r w:rsidRPr="000D5079" w:rsidR="000D5079">
        <w:t xml:space="preserve"> </w:t>
      </w:r>
      <w:r w:rsidRPr="000D5079" w:rsidR="000D5079">
        <w:rPr>
          <w:sz w:val="24"/>
          <w:szCs w:val="24"/>
        </w:rPr>
        <w:t xml:space="preserve">If the collection requires a </w:t>
      </w:r>
      <w:r w:rsidRPr="000D5079" w:rsidR="00BB2518">
        <w:rPr>
          <w:sz w:val="24"/>
          <w:szCs w:val="24"/>
        </w:rPr>
        <w:t>system of records notice (SORN)</w:t>
      </w:r>
      <w:r w:rsidRPr="000D5079" w:rsidR="000D5079">
        <w:rPr>
          <w:sz w:val="24"/>
          <w:szCs w:val="24"/>
        </w:rPr>
        <w:t xml:space="preserve"> or privacy impact assessment (PIA), those should be cited and described here.</w:t>
      </w:r>
    </w:p>
    <w:p w:rsidR="00C135BA" w14:paraId="1A93B294" w14:textId="77777777">
      <w:pPr>
        <w:keepLines/>
        <w:tabs>
          <w:tab w:val="left" w:pos="360"/>
        </w:tabs>
        <w:spacing w:after="80"/>
        <w:ind w:left="360" w:hanging="360"/>
        <w:rPr>
          <w:sz w:val="24"/>
          <w:szCs w:val="24"/>
        </w:rPr>
      </w:pPr>
      <w:r>
        <w:rPr>
          <w:sz w:val="24"/>
          <w:szCs w:val="24"/>
        </w:rPr>
        <w:tab/>
      </w:r>
    </w:p>
    <w:p w:rsidR="009E13B1" w:rsidRPr="006C7FAE" w:rsidP="006D52AC" w14:paraId="2F36A3AB" w14:textId="2DFC3D2C">
      <w:pPr>
        <w:keepLines/>
        <w:tabs>
          <w:tab w:val="left" w:pos="360"/>
        </w:tabs>
        <w:spacing w:after="80"/>
        <w:ind w:left="360" w:hanging="360"/>
        <w:rPr>
          <w:sz w:val="24"/>
          <w:szCs w:val="24"/>
        </w:rPr>
      </w:pPr>
      <w:r>
        <w:rPr>
          <w:sz w:val="24"/>
          <w:szCs w:val="24"/>
        </w:rPr>
        <w:tab/>
      </w:r>
      <w:r w:rsidRPr="00C135BA">
        <w:rPr>
          <w:sz w:val="24"/>
          <w:szCs w:val="24"/>
        </w:rPr>
        <w:t>Environmental reviews are public documents that must be made available upon request to any member of the public, and therefore HEROS provides no assurance of confidentiality under HUD environmental review procedures.</w:t>
      </w:r>
      <w:r w:rsidR="00712A29">
        <w:rPr>
          <w:sz w:val="24"/>
          <w:szCs w:val="24"/>
        </w:rPr>
        <w:t xml:space="preserve"> </w:t>
      </w:r>
    </w:p>
    <w:p w:rsidR="009E13B1" w:rsidRPr="006C7FAE" w14:paraId="5E31B109" w14:textId="77777777">
      <w:pPr>
        <w:keepLines/>
        <w:tabs>
          <w:tab w:val="left" w:pos="360"/>
        </w:tabs>
        <w:spacing w:after="80"/>
        <w:ind w:left="360" w:hanging="360"/>
        <w:rPr>
          <w:sz w:val="24"/>
          <w:szCs w:val="24"/>
        </w:rPr>
      </w:pPr>
      <w:r w:rsidRPr="006C7FAE">
        <w:rPr>
          <w:sz w:val="24"/>
          <w:szCs w:val="24"/>
        </w:rPr>
        <w:t>11.</w:t>
      </w:r>
      <w:r w:rsidRPr="006C7FAE">
        <w:rPr>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E13B1" w14:paraId="33617EE9" w14:textId="77777777">
      <w:pPr>
        <w:tabs>
          <w:tab w:val="left" w:pos="360"/>
        </w:tabs>
        <w:ind w:left="360" w:hanging="360"/>
        <w:rPr>
          <w:sz w:val="24"/>
          <w:szCs w:val="24"/>
        </w:rPr>
      </w:pPr>
    </w:p>
    <w:p w:rsidR="00A65F9E" w:rsidP="006D52AC" w14:paraId="3E4E85EA" w14:textId="5C5D0970">
      <w:pPr>
        <w:tabs>
          <w:tab w:val="left" w:pos="360"/>
        </w:tabs>
        <w:ind w:left="360" w:hanging="360"/>
        <w:rPr>
          <w:sz w:val="24"/>
          <w:szCs w:val="24"/>
        </w:rPr>
      </w:pPr>
      <w:r>
        <w:rPr>
          <w:sz w:val="24"/>
          <w:szCs w:val="24"/>
        </w:rPr>
        <w:tab/>
      </w:r>
      <w:r w:rsidRPr="006D52AC" w:rsidR="006D52AC">
        <w:rPr>
          <w:sz w:val="24"/>
          <w:szCs w:val="24"/>
        </w:rPr>
        <w:t>HEROS does not involve questions of a sensitive nature as described above</w:t>
      </w:r>
      <w:r w:rsidR="009651D6">
        <w:rPr>
          <w:sz w:val="24"/>
          <w:szCs w:val="24"/>
        </w:rPr>
        <w:t>.</w:t>
      </w:r>
    </w:p>
    <w:p w:rsidR="00A65F9E" w14:paraId="6574309B" w14:textId="77777777">
      <w:pPr>
        <w:tabs>
          <w:tab w:val="left" w:pos="360"/>
        </w:tabs>
        <w:ind w:left="360" w:hanging="360"/>
        <w:rPr>
          <w:sz w:val="24"/>
          <w:szCs w:val="24"/>
        </w:rPr>
      </w:pPr>
    </w:p>
    <w:p w:rsidR="009E13B1" w:rsidRPr="006C7FAE" w:rsidP="00790DEE" w14:paraId="14EBB3A8" w14:textId="2BEB90DA">
      <w:pPr>
        <w:tabs>
          <w:tab w:val="left" w:pos="360"/>
        </w:tabs>
        <w:ind w:left="360" w:hanging="360"/>
        <w:rPr>
          <w:sz w:val="24"/>
          <w:szCs w:val="24"/>
        </w:rPr>
      </w:pPr>
      <w:r w:rsidRPr="006C7FAE">
        <w:rPr>
          <w:sz w:val="24"/>
          <w:szCs w:val="24"/>
        </w:rPr>
        <w:t>12.</w:t>
      </w:r>
      <w:r w:rsidRPr="006C7FAE">
        <w:rPr>
          <w:sz w:val="24"/>
          <w:szCs w:val="24"/>
        </w:rPr>
        <w:tab/>
        <w:t>Provide estimates of the hour burden of the collection of information.  The statement should:</w:t>
      </w:r>
    </w:p>
    <w:p w:rsidR="009E13B1" w:rsidRPr="006C7FAE" w14:paraId="3157F06D" w14:textId="77777777">
      <w:pPr>
        <w:numPr>
          <w:ilvl w:val="0"/>
          <w:numId w:val="14"/>
        </w:numPr>
        <w:tabs>
          <w:tab w:val="left" w:pos="480"/>
        </w:tabs>
        <w:ind w:left="480"/>
        <w:rPr>
          <w:sz w:val="24"/>
          <w:szCs w:val="24"/>
        </w:rPr>
      </w:pPr>
      <w:r>
        <w:rPr>
          <w:sz w:val="24"/>
          <w:szCs w:val="24"/>
        </w:rPr>
        <w:t>I</w:t>
      </w:r>
      <w:r w:rsidRPr="006C7FAE">
        <w:rPr>
          <w:sz w:val="24"/>
          <w:szCs w:val="24"/>
        </w:rPr>
        <w:t xml:space="preserve">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w:t>
      </w:r>
      <w:r w:rsidRPr="006C7FAE" w:rsidR="006C7FAE">
        <w:rPr>
          <w:sz w:val="24"/>
          <w:szCs w:val="24"/>
        </w:rPr>
        <w:t>Generally,</w:t>
      </w:r>
      <w:r w:rsidRPr="006C7FAE">
        <w:rPr>
          <w:sz w:val="24"/>
          <w:szCs w:val="24"/>
        </w:rPr>
        <w:t xml:space="preserve"> estimates should not include burden hours for customary and usual business practices; </w:t>
      </w:r>
    </w:p>
    <w:p w:rsidR="009E13B1" w:rsidRPr="006C7FAE" w14:paraId="15AF4883" w14:textId="77777777">
      <w:pPr>
        <w:numPr>
          <w:ilvl w:val="0"/>
          <w:numId w:val="14"/>
        </w:numPr>
        <w:tabs>
          <w:tab w:val="left" w:pos="480"/>
        </w:tabs>
        <w:ind w:left="480"/>
        <w:rPr>
          <w:sz w:val="24"/>
          <w:szCs w:val="24"/>
        </w:rPr>
      </w:pPr>
      <w:r>
        <w:rPr>
          <w:sz w:val="24"/>
          <w:szCs w:val="24"/>
        </w:rPr>
        <w:t>I</w:t>
      </w:r>
      <w:r w:rsidRPr="006C7FAE">
        <w:rPr>
          <w:sz w:val="24"/>
          <w:szCs w:val="24"/>
        </w:rPr>
        <w:t xml:space="preserve">f this request covers more than one form, provide separate hour burden estimates for each form and aggregate the hour burdens in </w:t>
      </w:r>
      <w:r w:rsidR="00CA06CC">
        <w:rPr>
          <w:sz w:val="24"/>
          <w:szCs w:val="24"/>
        </w:rPr>
        <w:t>chart below</w:t>
      </w:r>
      <w:r w:rsidRPr="006C7FAE">
        <w:rPr>
          <w:sz w:val="24"/>
          <w:szCs w:val="24"/>
        </w:rPr>
        <w:t xml:space="preserve">; and </w:t>
      </w:r>
    </w:p>
    <w:p w:rsidR="009E13B1" w14:paraId="007D84F0" w14:textId="77777777">
      <w:pPr>
        <w:keepLines/>
        <w:numPr>
          <w:ilvl w:val="0"/>
          <w:numId w:val="14"/>
        </w:numPr>
        <w:tabs>
          <w:tab w:val="left" w:pos="480"/>
        </w:tabs>
        <w:spacing w:after="80"/>
        <w:ind w:left="480"/>
        <w:rPr>
          <w:sz w:val="24"/>
          <w:szCs w:val="24"/>
        </w:rPr>
      </w:pPr>
      <w:r>
        <w:rPr>
          <w:sz w:val="24"/>
          <w:szCs w:val="24"/>
        </w:rPr>
        <w:t>P</w:t>
      </w:r>
      <w:r w:rsidRPr="006C7FAE">
        <w:rPr>
          <w:sz w:val="24"/>
          <w:szCs w:val="24"/>
        </w:rPr>
        <w:t xml:space="preserve">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r w:rsidRPr="006C7FAE" w:rsidR="00CA06CC">
        <w:rPr>
          <w:sz w:val="24"/>
          <w:szCs w:val="24"/>
        </w:rPr>
        <w:t>Instead,</w:t>
      </w:r>
      <w:r w:rsidRPr="006C7FAE">
        <w:rPr>
          <w:sz w:val="24"/>
          <w:szCs w:val="24"/>
        </w:rPr>
        <w:t xml:space="preserve"> this cost should be included in Item 13.</w:t>
      </w:r>
    </w:p>
    <w:p w:rsidR="00576C0F" w:rsidP="00576C0F" w14:paraId="103CFEA6" w14:textId="77777777">
      <w:pPr>
        <w:keepLines/>
        <w:tabs>
          <w:tab w:val="left" w:pos="480"/>
        </w:tabs>
        <w:spacing w:after="80"/>
        <w:ind w:left="480"/>
        <w:rPr>
          <w:sz w:val="24"/>
          <w:szCs w:val="24"/>
          <w:u w:val="single"/>
        </w:rPr>
      </w:pPr>
    </w:p>
    <w:p w:rsidR="000A423A" w:rsidRPr="00E2406C" w:rsidP="00576C0F" w14:paraId="6A619944" w14:textId="37E967B9">
      <w:pPr>
        <w:keepLines/>
        <w:tabs>
          <w:tab w:val="left" w:pos="480"/>
        </w:tabs>
        <w:spacing w:after="80"/>
        <w:ind w:left="480"/>
        <w:rPr>
          <w:sz w:val="24"/>
          <w:szCs w:val="24"/>
          <w:u w:val="single"/>
        </w:rPr>
      </w:pPr>
      <w:r w:rsidRPr="00E2406C">
        <w:rPr>
          <w:sz w:val="24"/>
          <w:szCs w:val="24"/>
          <w:u w:val="single"/>
        </w:rPr>
        <w:t>HEROS</w:t>
      </w:r>
    </w:p>
    <w:tbl>
      <w:tblPr>
        <w:tblW w:w="9662" w:type="dxa"/>
        <w:tblInd w:w="588" w:type="dxa"/>
        <w:tblLayout w:type="fixed"/>
        <w:tblCellMar>
          <w:left w:w="0" w:type="dxa"/>
          <w:right w:w="0" w:type="dxa"/>
        </w:tblCellMar>
        <w:tblLook w:val="04A0"/>
      </w:tblPr>
      <w:tblGrid>
        <w:gridCol w:w="1680"/>
        <w:gridCol w:w="1260"/>
        <w:gridCol w:w="1127"/>
        <w:gridCol w:w="1164"/>
        <w:gridCol w:w="1080"/>
        <w:gridCol w:w="921"/>
        <w:gridCol w:w="1080"/>
        <w:gridCol w:w="1350"/>
      </w:tblGrid>
      <w:tr w14:paraId="2F6543DB" w14:textId="77777777" w:rsidTr="00D35AC3">
        <w:tblPrEx>
          <w:tblW w:w="9662" w:type="dxa"/>
          <w:tblInd w:w="588" w:type="dxa"/>
          <w:tblLayout w:type="fixed"/>
          <w:tblCellMar>
            <w:left w:w="0" w:type="dxa"/>
            <w:right w:w="0" w:type="dxa"/>
          </w:tblCellMar>
          <w:tblLook w:val="04A0"/>
        </w:tblPrEx>
        <w:tc>
          <w:tcPr>
            <w:tcW w:w="16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66667" w:rsidRPr="006C7FAE" w:rsidP="00480F1E" w14:paraId="3D41BABE" w14:textId="77777777">
            <w:pPr>
              <w:adjustRightInd/>
              <w:jc w:val="center"/>
              <w:textAlignment w:val="auto"/>
              <w:rPr>
                <w:rFonts w:eastAsia="Calibri"/>
                <w:b/>
                <w:bCs/>
                <w:color w:val="000000"/>
              </w:rPr>
            </w:pPr>
            <w:bookmarkStart w:id="4" w:name="_Hlk155956330"/>
            <w:r w:rsidRPr="006C7FAE">
              <w:rPr>
                <w:rFonts w:eastAsia="Calibri"/>
                <w:b/>
                <w:bCs/>
                <w:color w:val="000000"/>
              </w:rPr>
              <w:t>Information Collection</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66667" w:rsidRPr="006C7FAE" w:rsidP="00480F1E" w14:paraId="1DA5E5B0" w14:textId="77777777">
            <w:pPr>
              <w:adjustRightInd/>
              <w:jc w:val="center"/>
              <w:textAlignment w:val="auto"/>
              <w:rPr>
                <w:rFonts w:eastAsia="Calibri"/>
                <w:b/>
                <w:bCs/>
                <w:color w:val="000000"/>
              </w:rPr>
            </w:pPr>
            <w:r w:rsidRPr="006C7FAE">
              <w:rPr>
                <w:rFonts w:eastAsia="Calibri"/>
                <w:b/>
                <w:bCs/>
                <w:color w:val="000000"/>
              </w:rPr>
              <w:t>Number of Respondents</w:t>
            </w:r>
          </w:p>
        </w:tc>
        <w:tc>
          <w:tcPr>
            <w:tcW w:w="1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66667" w:rsidRPr="006C7FAE" w:rsidP="00480F1E" w14:paraId="0069628A" w14:textId="77777777">
            <w:pPr>
              <w:adjustRightInd/>
              <w:jc w:val="center"/>
              <w:textAlignment w:val="auto"/>
              <w:rPr>
                <w:rFonts w:eastAsia="Calibri"/>
                <w:b/>
                <w:bCs/>
                <w:color w:val="000000"/>
              </w:rPr>
            </w:pPr>
            <w:r w:rsidRPr="006C7FAE">
              <w:rPr>
                <w:rFonts w:eastAsia="Calibri"/>
                <w:b/>
                <w:bCs/>
                <w:color w:val="000000"/>
              </w:rPr>
              <w:t>Frequency of Response</w:t>
            </w:r>
          </w:p>
        </w:tc>
        <w:tc>
          <w:tcPr>
            <w:tcW w:w="11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66667" w:rsidRPr="006C7FAE" w:rsidP="00480F1E" w14:paraId="65F5F430" w14:textId="77777777">
            <w:pPr>
              <w:overflowPunct/>
              <w:autoSpaceDE/>
              <w:autoSpaceDN/>
              <w:adjustRightInd/>
              <w:jc w:val="center"/>
              <w:textAlignment w:val="auto"/>
              <w:rPr>
                <w:rFonts w:eastAsia="Calibri"/>
                <w:b/>
                <w:bCs/>
                <w:color w:val="000000"/>
              </w:rPr>
            </w:pPr>
            <w:r w:rsidRPr="006C7FAE">
              <w:rPr>
                <w:rFonts w:eastAsia="Calibri"/>
                <w:b/>
                <w:bCs/>
                <w:color w:val="000000"/>
              </w:rPr>
              <w:t>Responses</w:t>
            </w:r>
          </w:p>
          <w:p w:rsidR="00F66667" w:rsidRPr="006C7FAE" w:rsidP="00480F1E" w14:paraId="27A5CE26" w14:textId="77777777">
            <w:pPr>
              <w:adjustRightInd/>
              <w:jc w:val="center"/>
              <w:textAlignment w:val="auto"/>
              <w:rPr>
                <w:rFonts w:eastAsia="Calibri"/>
                <w:b/>
                <w:bCs/>
                <w:color w:val="000000"/>
              </w:rPr>
            </w:pPr>
            <w:r w:rsidRPr="006C7FAE">
              <w:rPr>
                <w:rFonts w:eastAsia="Calibri"/>
                <w:b/>
                <w:bCs/>
                <w:color w:val="000000"/>
              </w:rPr>
              <w:t>Per Annum</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66667" w:rsidRPr="006C7FAE" w:rsidP="00480F1E" w14:paraId="1EE26192" w14:textId="77777777">
            <w:pPr>
              <w:adjustRightInd/>
              <w:jc w:val="center"/>
              <w:textAlignment w:val="auto"/>
              <w:rPr>
                <w:rFonts w:eastAsia="Calibri"/>
                <w:b/>
                <w:bCs/>
                <w:color w:val="000000"/>
              </w:rPr>
            </w:pPr>
            <w:r w:rsidRPr="006C7FAE">
              <w:rPr>
                <w:rFonts w:eastAsia="Calibri"/>
                <w:b/>
                <w:bCs/>
                <w:color w:val="000000"/>
              </w:rPr>
              <w:t>Burden Hour Per Response</w:t>
            </w:r>
          </w:p>
        </w:tc>
        <w:tc>
          <w:tcPr>
            <w:tcW w:w="92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66667" w:rsidRPr="006C7FAE" w:rsidP="00480F1E" w14:paraId="6DC5E8BD" w14:textId="77777777">
            <w:pPr>
              <w:adjustRightInd/>
              <w:jc w:val="center"/>
              <w:textAlignment w:val="auto"/>
              <w:rPr>
                <w:rFonts w:eastAsia="Calibri"/>
                <w:b/>
                <w:bCs/>
                <w:color w:val="000000"/>
              </w:rPr>
            </w:pPr>
            <w:r w:rsidRPr="006C7FAE">
              <w:rPr>
                <w:rFonts w:eastAsia="Calibri"/>
                <w:b/>
                <w:bCs/>
                <w:color w:val="000000"/>
              </w:rPr>
              <w:t>Annual Burden Hours</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66667" w:rsidRPr="006C7FAE" w:rsidP="00480F1E" w14:paraId="5C7E9E88" w14:textId="4196A700">
            <w:pPr>
              <w:adjustRightInd/>
              <w:jc w:val="center"/>
              <w:textAlignment w:val="auto"/>
              <w:rPr>
                <w:rFonts w:eastAsia="Calibri"/>
                <w:b/>
                <w:bCs/>
                <w:color w:val="000000"/>
              </w:rPr>
            </w:pPr>
            <w:r w:rsidRPr="006C7FAE">
              <w:rPr>
                <w:rFonts w:eastAsia="Calibri"/>
                <w:b/>
                <w:bCs/>
                <w:color w:val="000000"/>
              </w:rPr>
              <w:t>Hourly Cost Per Response</w:t>
            </w:r>
            <w:r>
              <w:rPr>
                <w:rStyle w:val="FootnoteReference"/>
                <w:rFonts w:eastAsia="Calibri"/>
                <w:b/>
                <w:bCs/>
                <w:color w:val="000000"/>
              </w:rPr>
              <w:footnoteReference w:id="2"/>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66667" w:rsidRPr="006C7FAE" w:rsidP="00480F1E" w14:paraId="0094BBA0" w14:textId="77777777">
            <w:pPr>
              <w:overflowPunct/>
              <w:autoSpaceDE/>
              <w:autoSpaceDN/>
              <w:adjustRightInd/>
              <w:jc w:val="center"/>
              <w:textAlignment w:val="auto"/>
              <w:rPr>
                <w:rFonts w:eastAsia="Calibri"/>
                <w:b/>
                <w:bCs/>
                <w:color w:val="000000"/>
              </w:rPr>
            </w:pPr>
            <w:r w:rsidRPr="006C7FAE">
              <w:rPr>
                <w:rFonts w:eastAsia="Calibri"/>
                <w:b/>
                <w:bCs/>
                <w:color w:val="000000"/>
              </w:rPr>
              <w:t>Annual Cost</w:t>
            </w:r>
          </w:p>
          <w:p w:rsidR="00F66667" w:rsidRPr="006C7FAE" w:rsidP="00480F1E" w14:paraId="64EE9209" w14:textId="77777777">
            <w:pPr>
              <w:adjustRightInd/>
              <w:jc w:val="center"/>
              <w:textAlignment w:val="auto"/>
              <w:rPr>
                <w:rFonts w:eastAsia="Calibri"/>
                <w:b/>
                <w:bCs/>
                <w:color w:val="000000"/>
              </w:rPr>
            </w:pPr>
          </w:p>
        </w:tc>
      </w:tr>
      <w:tr w14:paraId="4AD5055A" w14:textId="77777777" w:rsidTr="00D35AC3">
        <w:tblPrEx>
          <w:tblW w:w="9662" w:type="dxa"/>
          <w:tblInd w:w="588" w:type="dxa"/>
          <w:tblLayout w:type="fixed"/>
          <w:tblCellMar>
            <w:left w:w="0" w:type="dxa"/>
            <w:right w:w="0" w:type="dxa"/>
          </w:tblCellMar>
          <w:tblLook w:val="04A0"/>
        </w:tblPrEx>
        <w:tc>
          <w:tcPr>
            <w:tcW w:w="16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66667" w:rsidRPr="006C7FAE" w:rsidP="00480F1E" w14:paraId="5AE8ECAB" w14:textId="77777777">
            <w:pPr>
              <w:adjustRightInd/>
              <w:textAlignment w:val="auto"/>
              <w:rPr>
                <w:rFonts w:eastAsia="Calibri"/>
                <w:b/>
                <w:bCs/>
                <w:color w:val="000000"/>
              </w:rPr>
            </w:pPr>
            <w:r>
              <w:rPr>
                <w:bCs/>
                <w:color w:val="000000"/>
              </w:rPr>
              <w:t>Exempt/ CENST reviews</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rsidR="00F66667" w:rsidRPr="006C7FAE" w:rsidP="00480F1E" w14:paraId="34CC3A3B" w14:textId="77777777">
            <w:pPr>
              <w:adjustRightInd/>
              <w:jc w:val="center"/>
              <w:textAlignment w:val="auto"/>
              <w:rPr>
                <w:rFonts w:eastAsia="Calibri"/>
                <w:b/>
                <w:bCs/>
                <w:color w:val="000000"/>
              </w:rPr>
            </w:pPr>
            <w:r>
              <w:rPr>
                <w:bCs/>
                <w:color w:val="000000"/>
              </w:rPr>
              <w:t>500</w:t>
            </w:r>
          </w:p>
        </w:tc>
        <w:tc>
          <w:tcPr>
            <w:tcW w:w="1127" w:type="dxa"/>
            <w:tcBorders>
              <w:top w:val="nil"/>
              <w:left w:val="nil"/>
              <w:bottom w:val="single" w:sz="8" w:space="0" w:color="auto"/>
              <w:right w:val="single" w:sz="8" w:space="0" w:color="auto"/>
            </w:tcBorders>
            <w:tcMar>
              <w:top w:w="0" w:type="dxa"/>
              <w:left w:w="108" w:type="dxa"/>
              <w:bottom w:w="0" w:type="dxa"/>
              <w:right w:w="108" w:type="dxa"/>
            </w:tcMar>
            <w:vAlign w:val="center"/>
          </w:tcPr>
          <w:p w:rsidR="00F66667" w:rsidRPr="006C7FAE" w:rsidP="00480F1E" w14:paraId="19E2C8AC" w14:textId="77777777">
            <w:pPr>
              <w:adjustRightInd/>
              <w:jc w:val="center"/>
              <w:textAlignment w:val="auto"/>
              <w:rPr>
                <w:rFonts w:eastAsia="Calibri"/>
                <w:b/>
                <w:bCs/>
                <w:color w:val="000000"/>
              </w:rPr>
            </w:pPr>
            <w:r>
              <w:rPr>
                <w:rFonts w:eastAsia="Calibri"/>
                <w:color w:val="000000"/>
              </w:rPr>
              <w:t>34.75</w:t>
            </w:r>
          </w:p>
        </w:tc>
        <w:tc>
          <w:tcPr>
            <w:tcW w:w="1164" w:type="dxa"/>
            <w:tcBorders>
              <w:top w:val="nil"/>
              <w:left w:val="nil"/>
              <w:bottom w:val="single" w:sz="8" w:space="0" w:color="auto"/>
              <w:right w:val="single" w:sz="8" w:space="0" w:color="auto"/>
            </w:tcBorders>
            <w:tcMar>
              <w:top w:w="0" w:type="dxa"/>
              <w:left w:w="108" w:type="dxa"/>
              <w:bottom w:w="0" w:type="dxa"/>
              <w:right w:w="108" w:type="dxa"/>
            </w:tcMar>
            <w:vAlign w:val="center"/>
          </w:tcPr>
          <w:p w:rsidR="00F66667" w:rsidRPr="006C7FAE" w:rsidP="00480F1E" w14:paraId="2C391CCB" w14:textId="5B5BF3EA">
            <w:pPr>
              <w:adjustRightInd/>
              <w:jc w:val="center"/>
              <w:textAlignment w:val="auto"/>
              <w:rPr>
                <w:rFonts w:eastAsia="Calibri"/>
                <w:b/>
                <w:bCs/>
                <w:color w:val="000000"/>
              </w:rPr>
            </w:pPr>
            <w:r>
              <w:rPr>
                <w:rFonts w:eastAsia="Calibri"/>
                <w:bCs/>
                <w:color w:val="000000"/>
              </w:rPr>
              <w:t>17375</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F66667" w:rsidRPr="006C7FAE" w:rsidP="00480F1E" w14:paraId="261254F7" w14:textId="77777777">
            <w:pPr>
              <w:adjustRightInd/>
              <w:jc w:val="center"/>
              <w:textAlignment w:val="auto"/>
              <w:rPr>
                <w:rFonts w:eastAsia="Calibri"/>
                <w:b/>
                <w:bCs/>
                <w:color w:val="000000"/>
              </w:rPr>
            </w:pPr>
            <w:r>
              <w:rPr>
                <w:rFonts w:eastAsia="Calibri"/>
                <w:bCs/>
                <w:color w:val="000000"/>
              </w:rPr>
              <w:t>0.75</w:t>
            </w:r>
          </w:p>
        </w:tc>
        <w:tc>
          <w:tcPr>
            <w:tcW w:w="921" w:type="dxa"/>
            <w:tcBorders>
              <w:top w:val="nil"/>
              <w:left w:val="nil"/>
              <w:bottom w:val="single" w:sz="8" w:space="0" w:color="auto"/>
              <w:right w:val="single" w:sz="8" w:space="0" w:color="auto"/>
            </w:tcBorders>
            <w:tcMar>
              <w:top w:w="0" w:type="dxa"/>
              <w:left w:w="108" w:type="dxa"/>
              <w:bottom w:w="0" w:type="dxa"/>
              <w:right w:w="108" w:type="dxa"/>
            </w:tcMar>
            <w:vAlign w:val="center"/>
          </w:tcPr>
          <w:p w:rsidR="00F66667" w:rsidRPr="006C7FAE" w:rsidP="00480F1E" w14:paraId="28524A91" w14:textId="06009FF1">
            <w:pPr>
              <w:adjustRightInd/>
              <w:jc w:val="center"/>
              <w:textAlignment w:val="auto"/>
              <w:rPr>
                <w:rFonts w:eastAsia="Calibri"/>
                <w:b/>
                <w:bCs/>
                <w:color w:val="000000"/>
              </w:rPr>
            </w:pPr>
            <w:r>
              <w:rPr>
                <w:rFonts w:eastAsia="Calibri"/>
                <w:color w:val="000000"/>
              </w:rPr>
              <w:t>13,03</w:t>
            </w:r>
            <w:r w:rsidR="00DC12DD">
              <w:rPr>
                <w:rFonts w:eastAsia="Calibri"/>
                <w:color w:val="000000"/>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F66667" w:rsidRPr="0030283E" w:rsidP="00480F1E" w14:paraId="78037769" w14:textId="372A0353">
            <w:pPr>
              <w:adjustRightInd/>
              <w:jc w:val="center"/>
              <w:textAlignment w:val="auto"/>
              <w:rPr>
                <w:rFonts w:eastAsia="Calibri"/>
                <w:b/>
                <w:bCs/>
                <w:color w:val="000000"/>
                <w:highlight w:val="yellow"/>
              </w:rPr>
            </w:pPr>
            <w:r>
              <w:rPr>
                <w:rFonts w:eastAsia="Calibri"/>
                <w:bCs/>
                <w:color w:val="000000"/>
              </w:rPr>
              <w:t>$</w:t>
            </w:r>
            <w:r w:rsidR="00E54CF1">
              <w:rPr>
                <w:rFonts w:eastAsia="Calibri"/>
                <w:bCs/>
                <w:color w:val="000000"/>
              </w:rPr>
              <w:t>39.63</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rsidR="00F66667" w:rsidRPr="006C7FAE" w:rsidP="00480F1E" w14:paraId="3808F613" w14:textId="42BC1AE9">
            <w:pPr>
              <w:adjustRightInd/>
              <w:jc w:val="center"/>
              <w:textAlignment w:val="auto"/>
              <w:rPr>
                <w:rFonts w:eastAsia="Calibri"/>
                <w:b/>
                <w:bCs/>
                <w:color w:val="000000"/>
              </w:rPr>
            </w:pPr>
            <w:r w:rsidRPr="00A32C51">
              <w:rPr>
                <w:rFonts w:eastAsia="Calibri"/>
                <w:bCs/>
                <w:color w:val="000000"/>
              </w:rPr>
              <w:t>$</w:t>
            </w:r>
            <w:r w:rsidR="00DC12DD">
              <w:rPr>
                <w:rFonts w:eastAsia="Calibri"/>
                <w:bCs/>
                <w:color w:val="000000"/>
              </w:rPr>
              <w:t>516428.43</w:t>
            </w:r>
          </w:p>
        </w:tc>
      </w:tr>
      <w:tr w14:paraId="7CDCD835" w14:textId="77777777" w:rsidTr="00D35AC3">
        <w:tblPrEx>
          <w:tblW w:w="9662" w:type="dxa"/>
          <w:tblInd w:w="588" w:type="dxa"/>
          <w:tblLayout w:type="fixed"/>
          <w:tblCellMar>
            <w:left w:w="0" w:type="dxa"/>
            <w:right w:w="0" w:type="dxa"/>
          </w:tblCellMar>
          <w:tblLook w:val="04A0"/>
        </w:tblPrEx>
        <w:tc>
          <w:tcPr>
            <w:tcW w:w="16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66667" w:rsidRPr="00D978AC" w:rsidP="00480F1E" w14:paraId="693B2E5A" w14:textId="77777777">
            <w:pPr>
              <w:adjustRightInd/>
              <w:textAlignment w:val="auto"/>
              <w:rPr>
                <w:bCs/>
                <w:color w:val="000000"/>
              </w:rPr>
            </w:pPr>
            <w:r>
              <w:rPr>
                <w:color w:val="000000"/>
              </w:rPr>
              <w:t>Reviews that convert to exempt</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rsidR="00F66667" w:rsidRPr="00D978AC" w:rsidP="00480F1E" w14:paraId="1E6E18AD" w14:textId="77777777">
            <w:pPr>
              <w:adjustRightInd/>
              <w:jc w:val="center"/>
              <w:textAlignment w:val="auto"/>
              <w:rPr>
                <w:bCs/>
                <w:color w:val="000000"/>
              </w:rPr>
            </w:pPr>
            <w:r>
              <w:rPr>
                <w:color w:val="000000"/>
              </w:rPr>
              <w:t>500</w:t>
            </w:r>
          </w:p>
        </w:tc>
        <w:tc>
          <w:tcPr>
            <w:tcW w:w="1127" w:type="dxa"/>
            <w:tcBorders>
              <w:top w:val="nil"/>
              <w:left w:val="nil"/>
              <w:bottom w:val="single" w:sz="8" w:space="0" w:color="auto"/>
              <w:right w:val="single" w:sz="8" w:space="0" w:color="auto"/>
            </w:tcBorders>
            <w:tcMar>
              <w:top w:w="0" w:type="dxa"/>
              <w:left w:w="108" w:type="dxa"/>
              <w:bottom w:w="0" w:type="dxa"/>
              <w:right w:w="108" w:type="dxa"/>
            </w:tcMar>
            <w:vAlign w:val="center"/>
          </w:tcPr>
          <w:p w:rsidR="00F66667" w:rsidRPr="00D978AC" w:rsidP="00480F1E" w14:paraId="00B5607F" w14:textId="77777777">
            <w:pPr>
              <w:adjustRightInd/>
              <w:jc w:val="center"/>
              <w:textAlignment w:val="auto"/>
              <w:rPr>
                <w:rFonts w:eastAsia="Calibri"/>
                <w:bCs/>
                <w:color w:val="000000"/>
              </w:rPr>
            </w:pPr>
            <w:r>
              <w:rPr>
                <w:color w:val="000000"/>
              </w:rPr>
              <w:t>12.35</w:t>
            </w:r>
          </w:p>
        </w:tc>
        <w:tc>
          <w:tcPr>
            <w:tcW w:w="1164" w:type="dxa"/>
            <w:tcBorders>
              <w:top w:val="nil"/>
              <w:left w:val="nil"/>
              <w:bottom w:val="single" w:sz="8" w:space="0" w:color="auto"/>
              <w:right w:val="single" w:sz="8" w:space="0" w:color="auto"/>
            </w:tcBorders>
            <w:tcMar>
              <w:top w:w="0" w:type="dxa"/>
              <w:left w:w="108" w:type="dxa"/>
              <w:bottom w:w="0" w:type="dxa"/>
              <w:right w:w="108" w:type="dxa"/>
            </w:tcMar>
            <w:vAlign w:val="center"/>
          </w:tcPr>
          <w:p w:rsidR="00F66667" w:rsidRPr="00D978AC" w:rsidP="00480F1E" w14:paraId="49438BBA" w14:textId="2EEF8093">
            <w:pPr>
              <w:adjustRightInd/>
              <w:jc w:val="center"/>
              <w:textAlignment w:val="auto"/>
              <w:rPr>
                <w:rFonts w:eastAsia="Calibri"/>
                <w:bCs/>
                <w:color w:val="000000"/>
              </w:rPr>
            </w:pPr>
            <w:r>
              <w:rPr>
                <w:color w:val="000000"/>
              </w:rPr>
              <w:t>6175</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F66667" w:rsidP="00480F1E" w14:paraId="3F544320" w14:textId="77777777">
            <w:pPr>
              <w:adjustRightInd/>
              <w:jc w:val="center"/>
              <w:textAlignment w:val="auto"/>
              <w:rPr>
                <w:rFonts w:eastAsia="Calibri"/>
                <w:bCs/>
                <w:color w:val="000000"/>
              </w:rPr>
            </w:pPr>
            <w:r>
              <w:rPr>
                <w:color w:val="000000"/>
              </w:rPr>
              <w:t>2</w:t>
            </w:r>
          </w:p>
        </w:tc>
        <w:tc>
          <w:tcPr>
            <w:tcW w:w="921" w:type="dxa"/>
            <w:tcBorders>
              <w:top w:val="nil"/>
              <w:left w:val="nil"/>
              <w:bottom w:val="single" w:sz="8" w:space="0" w:color="auto"/>
              <w:right w:val="single" w:sz="8" w:space="0" w:color="auto"/>
            </w:tcBorders>
            <w:tcMar>
              <w:top w:w="0" w:type="dxa"/>
              <w:left w:w="108" w:type="dxa"/>
              <w:bottom w:w="0" w:type="dxa"/>
              <w:right w:w="108" w:type="dxa"/>
            </w:tcMar>
            <w:vAlign w:val="center"/>
          </w:tcPr>
          <w:p w:rsidR="00F66667" w:rsidRPr="00D978AC" w:rsidP="00480F1E" w14:paraId="1E9FFECA" w14:textId="0FD74A99">
            <w:pPr>
              <w:adjustRightInd/>
              <w:jc w:val="center"/>
              <w:textAlignment w:val="auto"/>
              <w:rPr>
                <w:rFonts w:eastAsia="Calibri"/>
                <w:bCs/>
                <w:color w:val="000000"/>
              </w:rPr>
            </w:pPr>
            <w:r>
              <w:rPr>
                <w:color w:val="000000"/>
              </w:rPr>
              <w:t>12,</w:t>
            </w:r>
            <w:r w:rsidR="00A54B92">
              <w:rPr>
                <w:color w:val="000000"/>
              </w:rPr>
              <w:t>350</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F66667" w:rsidP="00480F1E" w14:paraId="7AFE4EE4" w14:textId="10850A0B">
            <w:pPr>
              <w:adjustRightInd/>
              <w:jc w:val="center"/>
              <w:textAlignment w:val="auto"/>
              <w:rPr>
                <w:rFonts w:eastAsia="Calibri"/>
                <w:bCs/>
                <w:color w:val="000000"/>
              </w:rPr>
            </w:pPr>
            <w:r w:rsidRPr="00A32C51">
              <w:rPr>
                <w:rFonts w:eastAsia="Calibri"/>
                <w:bCs/>
                <w:color w:val="000000"/>
              </w:rPr>
              <w:t>$</w:t>
            </w:r>
            <w:r w:rsidR="00E54CF1">
              <w:rPr>
                <w:rFonts w:eastAsia="Calibri"/>
                <w:bCs/>
                <w:color w:val="000000"/>
              </w:rPr>
              <w:t>39.63</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rsidR="00F66667" w:rsidP="00480F1E" w14:paraId="092573EC" w14:textId="5C7B77DA">
            <w:pPr>
              <w:adjustRightInd/>
              <w:jc w:val="center"/>
              <w:textAlignment w:val="auto"/>
              <w:rPr>
                <w:rFonts w:eastAsia="Calibri"/>
                <w:bCs/>
                <w:color w:val="000000"/>
              </w:rPr>
            </w:pPr>
            <w:r w:rsidRPr="00A32C51">
              <w:rPr>
                <w:color w:val="000000"/>
              </w:rPr>
              <w:t>$</w:t>
            </w:r>
            <w:r w:rsidR="00A54B92">
              <w:rPr>
                <w:color w:val="000000"/>
              </w:rPr>
              <w:t>489430.50</w:t>
            </w:r>
          </w:p>
        </w:tc>
      </w:tr>
      <w:tr w14:paraId="554550E3" w14:textId="77777777" w:rsidTr="00D35AC3">
        <w:tblPrEx>
          <w:tblW w:w="9662" w:type="dxa"/>
          <w:tblInd w:w="588" w:type="dxa"/>
          <w:tblLayout w:type="fixed"/>
          <w:tblCellMar>
            <w:left w:w="0" w:type="dxa"/>
            <w:right w:w="0" w:type="dxa"/>
          </w:tblCellMar>
          <w:tblLook w:val="04A0"/>
        </w:tblPrEx>
        <w:tc>
          <w:tcPr>
            <w:tcW w:w="1680" w:type="dxa"/>
            <w:tcBorders>
              <w:top w:val="nil"/>
              <w:left w:val="single" w:sz="8" w:space="0" w:color="auto"/>
              <w:bottom w:val="double" w:sz="4" w:space="0" w:color="auto"/>
              <w:right w:val="single" w:sz="8" w:space="0" w:color="auto"/>
            </w:tcBorders>
            <w:tcMar>
              <w:top w:w="0" w:type="dxa"/>
              <w:left w:w="108" w:type="dxa"/>
              <w:bottom w:w="0" w:type="dxa"/>
              <w:right w:w="108" w:type="dxa"/>
            </w:tcMar>
            <w:vAlign w:val="center"/>
          </w:tcPr>
          <w:p w:rsidR="00F66667" w:rsidRPr="00616FC6" w:rsidP="00480F1E" w14:paraId="3F5F614A" w14:textId="77777777">
            <w:pPr>
              <w:adjustRightInd/>
              <w:textAlignment w:val="auto"/>
              <w:rPr>
                <w:color w:val="000000"/>
              </w:rPr>
            </w:pPr>
            <w:r w:rsidRPr="00616FC6">
              <w:rPr>
                <w:color w:val="000000"/>
              </w:rPr>
              <w:t>CEST/EA reviews</w:t>
            </w:r>
          </w:p>
        </w:tc>
        <w:tc>
          <w:tcPr>
            <w:tcW w:w="1260" w:type="dxa"/>
            <w:tcBorders>
              <w:top w:val="nil"/>
              <w:left w:val="nil"/>
              <w:bottom w:val="double" w:sz="4" w:space="0" w:color="auto"/>
              <w:right w:val="single" w:sz="8" w:space="0" w:color="auto"/>
            </w:tcBorders>
            <w:tcMar>
              <w:top w:w="0" w:type="dxa"/>
              <w:left w:w="108" w:type="dxa"/>
              <w:bottom w:w="0" w:type="dxa"/>
              <w:right w:w="108" w:type="dxa"/>
            </w:tcMar>
            <w:vAlign w:val="center"/>
          </w:tcPr>
          <w:p w:rsidR="00F66667" w:rsidRPr="00616FC6" w:rsidP="00480F1E" w14:paraId="49242D6C" w14:textId="77777777">
            <w:pPr>
              <w:adjustRightInd/>
              <w:jc w:val="center"/>
              <w:textAlignment w:val="auto"/>
              <w:rPr>
                <w:color w:val="000000"/>
              </w:rPr>
            </w:pPr>
            <w:r w:rsidRPr="00616FC6">
              <w:rPr>
                <w:color w:val="000000"/>
              </w:rPr>
              <w:t>250</w:t>
            </w:r>
          </w:p>
        </w:tc>
        <w:tc>
          <w:tcPr>
            <w:tcW w:w="1127" w:type="dxa"/>
            <w:tcBorders>
              <w:top w:val="nil"/>
              <w:left w:val="nil"/>
              <w:bottom w:val="double" w:sz="4" w:space="0" w:color="auto"/>
              <w:right w:val="single" w:sz="8" w:space="0" w:color="auto"/>
            </w:tcBorders>
            <w:tcMar>
              <w:top w:w="0" w:type="dxa"/>
              <w:left w:w="108" w:type="dxa"/>
              <w:bottom w:w="0" w:type="dxa"/>
              <w:right w:w="108" w:type="dxa"/>
            </w:tcMar>
            <w:vAlign w:val="center"/>
          </w:tcPr>
          <w:p w:rsidR="00F66667" w:rsidRPr="00616FC6" w:rsidP="00480F1E" w14:paraId="0BEF6466" w14:textId="77777777">
            <w:pPr>
              <w:adjustRightInd/>
              <w:jc w:val="center"/>
              <w:textAlignment w:val="auto"/>
              <w:rPr>
                <w:color w:val="000000"/>
              </w:rPr>
            </w:pPr>
            <w:r>
              <w:rPr>
                <w:color w:val="000000"/>
              </w:rPr>
              <w:t>11.34</w:t>
            </w:r>
          </w:p>
        </w:tc>
        <w:tc>
          <w:tcPr>
            <w:tcW w:w="1164" w:type="dxa"/>
            <w:tcBorders>
              <w:top w:val="nil"/>
              <w:left w:val="nil"/>
              <w:bottom w:val="double" w:sz="4" w:space="0" w:color="auto"/>
              <w:right w:val="single" w:sz="8" w:space="0" w:color="auto"/>
            </w:tcBorders>
            <w:tcMar>
              <w:top w:w="0" w:type="dxa"/>
              <w:left w:w="108" w:type="dxa"/>
              <w:bottom w:w="0" w:type="dxa"/>
              <w:right w:w="108" w:type="dxa"/>
            </w:tcMar>
            <w:vAlign w:val="center"/>
          </w:tcPr>
          <w:p w:rsidR="00F66667" w:rsidRPr="00616FC6" w:rsidP="00480F1E" w14:paraId="79EB6090" w14:textId="4A969A21">
            <w:pPr>
              <w:adjustRightInd/>
              <w:jc w:val="center"/>
              <w:textAlignment w:val="auto"/>
              <w:rPr>
                <w:color w:val="000000"/>
              </w:rPr>
            </w:pPr>
            <w:r>
              <w:rPr>
                <w:color w:val="000000"/>
              </w:rPr>
              <w:t>2,83</w:t>
            </w:r>
            <w:r w:rsidR="00A54B92">
              <w:rPr>
                <w:color w:val="000000"/>
              </w:rPr>
              <w:t>5</w:t>
            </w:r>
          </w:p>
        </w:tc>
        <w:tc>
          <w:tcPr>
            <w:tcW w:w="1080" w:type="dxa"/>
            <w:tcBorders>
              <w:top w:val="nil"/>
              <w:left w:val="nil"/>
              <w:bottom w:val="double" w:sz="4" w:space="0" w:color="auto"/>
              <w:right w:val="single" w:sz="8" w:space="0" w:color="auto"/>
            </w:tcBorders>
            <w:tcMar>
              <w:top w:w="0" w:type="dxa"/>
              <w:left w:w="108" w:type="dxa"/>
              <w:bottom w:w="0" w:type="dxa"/>
              <w:right w:w="108" w:type="dxa"/>
            </w:tcMar>
            <w:vAlign w:val="center"/>
          </w:tcPr>
          <w:p w:rsidR="00F66667" w:rsidRPr="00616FC6" w:rsidP="00480F1E" w14:paraId="55E46767" w14:textId="77777777">
            <w:pPr>
              <w:adjustRightInd/>
              <w:jc w:val="center"/>
              <w:textAlignment w:val="auto"/>
              <w:rPr>
                <w:color w:val="000000"/>
              </w:rPr>
            </w:pPr>
            <w:r w:rsidRPr="00616FC6">
              <w:rPr>
                <w:color w:val="000000"/>
              </w:rPr>
              <w:t>4</w:t>
            </w:r>
          </w:p>
        </w:tc>
        <w:tc>
          <w:tcPr>
            <w:tcW w:w="921" w:type="dxa"/>
            <w:tcBorders>
              <w:top w:val="nil"/>
              <w:left w:val="nil"/>
              <w:bottom w:val="double" w:sz="4" w:space="0" w:color="auto"/>
              <w:right w:val="single" w:sz="8" w:space="0" w:color="auto"/>
            </w:tcBorders>
            <w:tcMar>
              <w:top w:w="0" w:type="dxa"/>
              <w:left w:w="108" w:type="dxa"/>
              <w:bottom w:w="0" w:type="dxa"/>
              <w:right w:w="108" w:type="dxa"/>
            </w:tcMar>
            <w:vAlign w:val="center"/>
          </w:tcPr>
          <w:p w:rsidR="00F66667" w:rsidRPr="00616FC6" w:rsidP="00480F1E" w14:paraId="365FB442" w14:textId="28031304">
            <w:pPr>
              <w:adjustRightInd/>
              <w:jc w:val="center"/>
              <w:textAlignment w:val="auto"/>
              <w:rPr>
                <w:color w:val="000000"/>
              </w:rPr>
            </w:pPr>
            <w:r>
              <w:rPr>
                <w:color w:val="000000"/>
              </w:rPr>
              <w:t>11,3</w:t>
            </w:r>
            <w:r w:rsidR="00A54B92">
              <w:rPr>
                <w:color w:val="000000"/>
              </w:rPr>
              <w:t>40</w:t>
            </w:r>
          </w:p>
        </w:tc>
        <w:tc>
          <w:tcPr>
            <w:tcW w:w="1080" w:type="dxa"/>
            <w:tcBorders>
              <w:top w:val="nil"/>
              <w:left w:val="nil"/>
              <w:bottom w:val="double" w:sz="4" w:space="0" w:color="auto"/>
              <w:right w:val="single" w:sz="8" w:space="0" w:color="auto"/>
            </w:tcBorders>
            <w:tcMar>
              <w:top w:w="0" w:type="dxa"/>
              <w:left w:w="108" w:type="dxa"/>
              <w:bottom w:w="0" w:type="dxa"/>
              <w:right w:w="108" w:type="dxa"/>
            </w:tcMar>
            <w:vAlign w:val="center"/>
          </w:tcPr>
          <w:p w:rsidR="00F66667" w:rsidRPr="00616FC6" w:rsidP="00480F1E" w14:paraId="109319A7" w14:textId="35ECF277">
            <w:pPr>
              <w:adjustRightInd/>
              <w:jc w:val="center"/>
              <w:textAlignment w:val="auto"/>
              <w:rPr>
                <w:color w:val="000000"/>
              </w:rPr>
            </w:pPr>
            <w:r w:rsidRPr="00A32C51">
              <w:rPr>
                <w:color w:val="000000"/>
              </w:rPr>
              <w:t>$</w:t>
            </w:r>
            <w:r w:rsidR="00E54CF1">
              <w:rPr>
                <w:color w:val="000000"/>
              </w:rPr>
              <w:t>39.63</w:t>
            </w:r>
          </w:p>
        </w:tc>
        <w:tc>
          <w:tcPr>
            <w:tcW w:w="1350" w:type="dxa"/>
            <w:tcBorders>
              <w:top w:val="nil"/>
              <w:left w:val="nil"/>
              <w:bottom w:val="double" w:sz="4" w:space="0" w:color="auto"/>
              <w:right w:val="single" w:sz="8" w:space="0" w:color="auto"/>
            </w:tcBorders>
            <w:tcMar>
              <w:top w:w="0" w:type="dxa"/>
              <w:left w:w="108" w:type="dxa"/>
              <w:bottom w:w="0" w:type="dxa"/>
              <w:right w:w="108" w:type="dxa"/>
            </w:tcMar>
            <w:vAlign w:val="center"/>
          </w:tcPr>
          <w:p w:rsidR="00F66667" w:rsidRPr="00616FC6" w:rsidP="00480F1E" w14:paraId="764BCEB1" w14:textId="50AA2214">
            <w:pPr>
              <w:adjustRightInd/>
              <w:jc w:val="center"/>
              <w:textAlignment w:val="auto"/>
              <w:rPr>
                <w:color w:val="000000"/>
              </w:rPr>
            </w:pPr>
            <w:r w:rsidRPr="00A32C51">
              <w:rPr>
                <w:color w:val="000000"/>
              </w:rPr>
              <w:t>$</w:t>
            </w:r>
            <w:r w:rsidR="00A54B92">
              <w:rPr>
                <w:color w:val="000000"/>
              </w:rPr>
              <w:t>449404.20</w:t>
            </w:r>
          </w:p>
        </w:tc>
      </w:tr>
      <w:tr w14:paraId="5D1F49F9" w14:textId="77777777" w:rsidTr="00D35AC3">
        <w:tblPrEx>
          <w:tblW w:w="9662" w:type="dxa"/>
          <w:tblInd w:w="588" w:type="dxa"/>
          <w:tblLayout w:type="fixed"/>
          <w:tblCellMar>
            <w:left w:w="0" w:type="dxa"/>
            <w:right w:w="0" w:type="dxa"/>
          </w:tblCellMar>
          <w:tblLook w:val="04A0"/>
        </w:tblPrEx>
        <w:trPr>
          <w:trHeight w:val="303"/>
        </w:trPr>
        <w:tc>
          <w:tcPr>
            <w:tcW w:w="1680" w:type="dxa"/>
            <w:tcBorders>
              <w:top w:val="doub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F66667" w:rsidRPr="00616FC6" w:rsidP="00480F1E" w14:paraId="5F3D0694" w14:textId="77777777">
            <w:pPr>
              <w:adjustRightInd/>
              <w:textAlignment w:val="auto"/>
              <w:rPr>
                <w:b/>
                <w:bCs/>
                <w:color w:val="000000"/>
              </w:rPr>
            </w:pPr>
            <w:r w:rsidRPr="00616FC6">
              <w:rPr>
                <w:b/>
                <w:bCs/>
                <w:color w:val="000000"/>
              </w:rPr>
              <w:t>Total</w:t>
            </w:r>
          </w:p>
        </w:tc>
        <w:tc>
          <w:tcPr>
            <w:tcW w:w="1260" w:type="dxa"/>
            <w:tcBorders>
              <w:top w:val="double" w:sz="4" w:space="0" w:color="auto"/>
              <w:left w:val="nil"/>
              <w:bottom w:val="single" w:sz="8" w:space="0" w:color="auto"/>
              <w:right w:val="single" w:sz="8" w:space="0" w:color="auto"/>
            </w:tcBorders>
            <w:tcMar>
              <w:top w:w="0" w:type="dxa"/>
              <w:left w:w="108" w:type="dxa"/>
              <w:bottom w:w="0" w:type="dxa"/>
              <w:right w:w="108" w:type="dxa"/>
            </w:tcMar>
            <w:vAlign w:val="center"/>
          </w:tcPr>
          <w:p w:rsidR="00F66667" w:rsidRPr="00616FC6" w:rsidP="00480F1E" w14:paraId="43324E1B" w14:textId="77777777">
            <w:pPr>
              <w:adjustRightInd/>
              <w:jc w:val="center"/>
              <w:textAlignment w:val="auto"/>
              <w:rPr>
                <w:b/>
                <w:bCs/>
                <w:color w:val="000000"/>
              </w:rPr>
            </w:pPr>
            <w:r w:rsidRPr="00616FC6">
              <w:rPr>
                <w:b/>
                <w:bCs/>
                <w:color w:val="000000"/>
              </w:rPr>
              <w:t>500</w:t>
            </w:r>
          </w:p>
        </w:tc>
        <w:tc>
          <w:tcPr>
            <w:tcW w:w="1127" w:type="dxa"/>
            <w:tcBorders>
              <w:top w:val="double" w:sz="4" w:space="0" w:color="auto"/>
              <w:left w:val="nil"/>
              <w:bottom w:val="single" w:sz="8" w:space="0" w:color="auto"/>
              <w:right w:val="single" w:sz="8" w:space="0" w:color="auto"/>
            </w:tcBorders>
            <w:tcMar>
              <w:top w:w="0" w:type="dxa"/>
              <w:left w:w="108" w:type="dxa"/>
              <w:bottom w:w="0" w:type="dxa"/>
              <w:right w:w="108" w:type="dxa"/>
            </w:tcMar>
            <w:vAlign w:val="center"/>
          </w:tcPr>
          <w:p w:rsidR="00F66667" w:rsidRPr="00616FC6" w:rsidP="00480F1E" w14:paraId="7BEB42B0" w14:textId="77777777">
            <w:pPr>
              <w:adjustRightInd/>
              <w:jc w:val="center"/>
              <w:textAlignment w:val="auto"/>
              <w:rPr>
                <w:b/>
                <w:bCs/>
                <w:color w:val="000000"/>
              </w:rPr>
            </w:pPr>
            <w:r>
              <w:rPr>
                <w:b/>
                <w:bCs/>
                <w:color w:val="000000"/>
              </w:rPr>
              <w:t>58.44</w:t>
            </w:r>
          </w:p>
        </w:tc>
        <w:tc>
          <w:tcPr>
            <w:tcW w:w="1164" w:type="dxa"/>
            <w:tcBorders>
              <w:top w:val="double" w:sz="4" w:space="0" w:color="auto"/>
              <w:left w:val="nil"/>
              <w:bottom w:val="single" w:sz="8" w:space="0" w:color="auto"/>
              <w:right w:val="single" w:sz="8" w:space="0" w:color="auto"/>
            </w:tcBorders>
            <w:tcMar>
              <w:top w:w="0" w:type="dxa"/>
              <w:left w:w="108" w:type="dxa"/>
              <w:bottom w:w="0" w:type="dxa"/>
              <w:right w:w="108" w:type="dxa"/>
            </w:tcMar>
            <w:vAlign w:val="center"/>
          </w:tcPr>
          <w:p w:rsidR="00F66667" w:rsidRPr="00616FC6" w:rsidP="00480F1E" w14:paraId="0B6A54D3" w14:textId="3828FD36">
            <w:pPr>
              <w:adjustRightInd/>
              <w:jc w:val="center"/>
              <w:textAlignment w:val="auto"/>
              <w:rPr>
                <w:b/>
                <w:bCs/>
                <w:color w:val="000000"/>
              </w:rPr>
            </w:pPr>
            <w:r>
              <w:rPr>
                <w:b/>
                <w:bCs/>
                <w:color w:val="000000"/>
              </w:rPr>
              <w:t>26,3</w:t>
            </w:r>
            <w:r w:rsidR="00A54B92">
              <w:rPr>
                <w:b/>
                <w:bCs/>
                <w:color w:val="000000"/>
              </w:rPr>
              <w:t>85</w:t>
            </w:r>
          </w:p>
        </w:tc>
        <w:tc>
          <w:tcPr>
            <w:tcW w:w="1080" w:type="dxa"/>
            <w:tcBorders>
              <w:top w:val="double" w:sz="4" w:space="0" w:color="auto"/>
              <w:left w:val="nil"/>
              <w:bottom w:val="single" w:sz="8" w:space="0" w:color="auto"/>
              <w:right w:val="single" w:sz="8" w:space="0" w:color="auto"/>
            </w:tcBorders>
            <w:tcMar>
              <w:top w:w="0" w:type="dxa"/>
              <w:left w:w="108" w:type="dxa"/>
              <w:bottom w:w="0" w:type="dxa"/>
              <w:right w:w="108" w:type="dxa"/>
            </w:tcMar>
            <w:vAlign w:val="center"/>
          </w:tcPr>
          <w:p w:rsidR="00F66667" w:rsidRPr="00616FC6" w:rsidP="00480F1E" w14:paraId="0944D1F0" w14:textId="77777777">
            <w:pPr>
              <w:adjustRightInd/>
              <w:jc w:val="center"/>
              <w:textAlignment w:val="auto"/>
              <w:rPr>
                <w:b/>
                <w:bCs/>
                <w:color w:val="000000"/>
              </w:rPr>
            </w:pPr>
            <w:r>
              <w:rPr>
                <w:b/>
                <w:bCs/>
                <w:color w:val="000000"/>
              </w:rPr>
              <w:t>varies</w:t>
            </w:r>
          </w:p>
        </w:tc>
        <w:tc>
          <w:tcPr>
            <w:tcW w:w="921" w:type="dxa"/>
            <w:tcBorders>
              <w:top w:val="double" w:sz="4" w:space="0" w:color="auto"/>
              <w:left w:val="nil"/>
              <w:bottom w:val="single" w:sz="8" w:space="0" w:color="auto"/>
              <w:right w:val="single" w:sz="8" w:space="0" w:color="auto"/>
            </w:tcBorders>
            <w:tcMar>
              <w:top w:w="0" w:type="dxa"/>
              <w:left w:w="108" w:type="dxa"/>
              <w:bottom w:w="0" w:type="dxa"/>
              <w:right w:w="108" w:type="dxa"/>
            </w:tcMar>
            <w:vAlign w:val="center"/>
          </w:tcPr>
          <w:p w:rsidR="00F66667" w:rsidRPr="00616FC6" w:rsidP="00480F1E" w14:paraId="303688E7" w14:textId="75BCF0A8">
            <w:pPr>
              <w:adjustRightInd/>
              <w:jc w:val="center"/>
              <w:textAlignment w:val="auto"/>
              <w:rPr>
                <w:b/>
                <w:bCs/>
                <w:color w:val="000000"/>
              </w:rPr>
            </w:pPr>
            <w:r>
              <w:rPr>
                <w:b/>
                <w:bCs/>
                <w:color w:val="000000"/>
              </w:rPr>
              <w:t>36,</w:t>
            </w:r>
            <w:r w:rsidR="00A54B92">
              <w:rPr>
                <w:b/>
                <w:bCs/>
                <w:color w:val="000000"/>
              </w:rPr>
              <w:t>721</w:t>
            </w:r>
          </w:p>
        </w:tc>
        <w:tc>
          <w:tcPr>
            <w:tcW w:w="1080" w:type="dxa"/>
            <w:tcBorders>
              <w:top w:val="double" w:sz="4" w:space="0" w:color="auto"/>
              <w:left w:val="nil"/>
              <w:bottom w:val="single" w:sz="8" w:space="0" w:color="auto"/>
              <w:right w:val="single" w:sz="8" w:space="0" w:color="auto"/>
            </w:tcBorders>
            <w:tcMar>
              <w:top w:w="0" w:type="dxa"/>
              <w:left w:w="108" w:type="dxa"/>
              <w:bottom w:w="0" w:type="dxa"/>
              <w:right w:w="108" w:type="dxa"/>
            </w:tcMar>
            <w:vAlign w:val="center"/>
          </w:tcPr>
          <w:p w:rsidR="00F66667" w:rsidRPr="00616FC6" w:rsidP="00480F1E" w14:paraId="372EDFE8" w14:textId="2A546826">
            <w:pPr>
              <w:adjustRightInd/>
              <w:jc w:val="center"/>
              <w:textAlignment w:val="auto"/>
              <w:rPr>
                <w:b/>
                <w:bCs/>
                <w:color w:val="000000"/>
              </w:rPr>
            </w:pPr>
            <w:r w:rsidRPr="00A32C51">
              <w:rPr>
                <w:b/>
                <w:bCs/>
                <w:color w:val="000000"/>
              </w:rPr>
              <w:t>$</w:t>
            </w:r>
            <w:r w:rsidR="00E54CF1">
              <w:rPr>
                <w:b/>
                <w:bCs/>
                <w:color w:val="000000"/>
              </w:rPr>
              <w:t>39.63</w:t>
            </w:r>
          </w:p>
        </w:tc>
        <w:tc>
          <w:tcPr>
            <w:tcW w:w="1350" w:type="dxa"/>
            <w:tcBorders>
              <w:top w:val="double" w:sz="4" w:space="0" w:color="auto"/>
              <w:left w:val="nil"/>
              <w:bottom w:val="single" w:sz="8" w:space="0" w:color="auto"/>
              <w:right w:val="single" w:sz="8" w:space="0" w:color="auto"/>
            </w:tcBorders>
            <w:tcMar>
              <w:top w:w="0" w:type="dxa"/>
              <w:left w:w="108" w:type="dxa"/>
              <w:bottom w:w="0" w:type="dxa"/>
              <w:right w:w="108" w:type="dxa"/>
            </w:tcMar>
            <w:vAlign w:val="center"/>
          </w:tcPr>
          <w:p w:rsidR="00F66667" w:rsidRPr="00616FC6" w:rsidP="00480F1E" w14:paraId="1C50A6E4" w14:textId="72A2155B">
            <w:pPr>
              <w:adjustRightInd/>
              <w:jc w:val="center"/>
              <w:textAlignment w:val="auto"/>
              <w:rPr>
                <w:b/>
                <w:bCs/>
                <w:color w:val="000000"/>
              </w:rPr>
            </w:pPr>
            <w:r w:rsidRPr="00A32C51">
              <w:rPr>
                <w:b/>
                <w:bCs/>
                <w:color w:val="000000"/>
              </w:rPr>
              <w:t>$</w:t>
            </w:r>
            <w:r w:rsidR="00E54CF1">
              <w:rPr>
                <w:b/>
                <w:bCs/>
                <w:color w:val="000000"/>
              </w:rPr>
              <w:t>1,45</w:t>
            </w:r>
            <w:r w:rsidR="00A54B92">
              <w:rPr>
                <w:b/>
                <w:bCs/>
                <w:color w:val="000000"/>
              </w:rPr>
              <w:t>5</w:t>
            </w:r>
            <w:r w:rsidR="00571334">
              <w:rPr>
                <w:b/>
                <w:bCs/>
                <w:color w:val="000000"/>
              </w:rPr>
              <w:t>,263.1</w:t>
            </w:r>
          </w:p>
        </w:tc>
      </w:tr>
      <w:bookmarkEnd w:id="4"/>
    </w:tbl>
    <w:p w:rsidR="00BC50C0" w:rsidP="00BC50C0" w14:paraId="1465CACC" w14:textId="77777777">
      <w:pPr>
        <w:keepLines/>
        <w:tabs>
          <w:tab w:val="left" w:pos="480"/>
        </w:tabs>
        <w:spacing w:after="80"/>
        <w:ind w:left="480"/>
        <w:rPr>
          <w:sz w:val="24"/>
          <w:szCs w:val="24"/>
        </w:rPr>
      </w:pPr>
    </w:p>
    <w:p w:rsidR="00E2406C" w:rsidRPr="00E2406C" w:rsidP="00BC50C0" w14:paraId="2021B8D2" w14:textId="77777777">
      <w:pPr>
        <w:keepLines/>
        <w:tabs>
          <w:tab w:val="left" w:pos="480"/>
        </w:tabs>
        <w:spacing w:after="80"/>
        <w:ind w:left="480"/>
        <w:rPr>
          <w:sz w:val="24"/>
          <w:szCs w:val="24"/>
          <w:u w:val="single"/>
        </w:rPr>
      </w:pPr>
      <w:bookmarkStart w:id="5" w:name="_Hlk162890062"/>
      <w:r>
        <w:rPr>
          <w:sz w:val="24"/>
          <w:szCs w:val="24"/>
          <w:u w:val="single"/>
        </w:rPr>
        <w:t>HEROS Access Form</w:t>
      </w:r>
    </w:p>
    <w:tbl>
      <w:tblPr>
        <w:tblW w:w="0" w:type="auto"/>
        <w:tblInd w:w="588" w:type="dxa"/>
        <w:tblLayout w:type="fixed"/>
        <w:tblCellMar>
          <w:left w:w="0" w:type="dxa"/>
          <w:right w:w="0" w:type="dxa"/>
        </w:tblCellMar>
        <w:tblLook w:val="04A0"/>
      </w:tblPr>
      <w:tblGrid>
        <w:gridCol w:w="1680"/>
        <w:gridCol w:w="1260"/>
        <w:gridCol w:w="1127"/>
        <w:gridCol w:w="1164"/>
        <w:gridCol w:w="1080"/>
        <w:gridCol w:w="921"/>
        <w:gridCol w:w="1080"/>
        <w:gridCol w:w="1216"/>
      </w:tblGrid>
      <w:tr w14:paraId="58CAB6EC" w14:textId="77777777" w:rsidTr="00EC3654">
        <w:tblPrEx>
          <w:tblW w:w="0" w:type="auto"/>
          <w:tblInd w:w="588" w:type="dxa"/>
          <w:tblLayout w:type="fixed"/>
          <w:tblCellMar>
            <w:left w:w="0" w:type="dxa"/>
            <w:right w:w="0" w:type="dxa"/>
          </w:tblCellMar>
          <w:tblLook w:val="04A0"/>
        </w:tblPrEx>
        <w:tc>
          <w:tcPr>
            <w:tcW w:w="16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406C" w:rsidRPr="006C7FAE" w:rsidP="00EC3654" w14:paraId="48BC196B" w14:textId="77777777">
            <w:pPr>
              <w:adjustRightInd/>
              <w:jc w:val="center"/>
              <w:textAlignment w:val="auto"/>
              <w:rPr>
                <w:rFonts w:eastAsia="Calibri"/>
                <w:b/>
                <w:bCs/>
                <w:color w:val="000000"/>
              </w:rPr>
            </w:pPr>
            <w:r w:rsidRPr="006C7FAE">
              <w:rPr>
                <w:rFonts w:eastAsia="Calibri"/>
                <w:b/>
                <w:bCs/>
                <w:color w:val="000000"/>
              </w:rPr>
              <w:t>Information Collection</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2406C" w:rsidRPr="006C7FAE" w:rsidP="00EC3654" w14:paraId="7328027F" w14:textId="77777777">
            <w:pPr>
              <w:adjustRightInd/>
              <w:jc w:val="center"/>
              <w:textAlignment w:val="auto"/>
              <w:rPr>
                <w:rFonts w:eastAsia="Calibri"/>
                <w:b/>
                <w:bCs/>
                <w:color w:val="000000"/>
              </w:rPr>
            </w:pPr>
            <w:r w:rsidRPr="006C7FAE">
              <w:rPr>
                <w:rFonts w:eastAsia="Calibri"/>
                <w:b/>
                <w:bCs/>
                <w:color w:val="000000"/>
              </w:rPr>
              <w:t>Number of Respondents</w:t>
            </w:r>
          </w:p>
        </w:tc>
        <w:tc>
          <w:tcPr>
            <w:tcW w:w="1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2406C" w:rsidRPr="006C7FAE" w:rsidP="00EC3654" w14:paraId="60F4C02A" w14:textId="77777777">
            <w:pPr>
              <w:adjustRightInd/>
              <w:jc w:val="center"/>
              <w:textAlignment w:val="auto"/>
              <w:rPr>
                <w:rFonts w:eastAsia="Calibri"/>
                <w:b/>
                <w:bCs/>
                <w:color w:val="000000"/>
              </w:rPr>
            </w:pPr>
            <w:r w:rsidRPr="006C7FAE">
              <w:rPr>
                <w:rFonts w:eastAsia="Calibri"/>
                <w:b/>
                <w:bCs/>
                <w:color w:val="000000"/>
              </w:rPr>
              <w:t>Frequency of Response</w:t>
            </w:r>
          </w:p>
        </w:tc>
        <w:tc>
          <w:tcPr>
            <w:tcW w:w="11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2406C" w:rsidRPr="006C7FAE" w:rsidP="00EC3654" w14:paraId="287CF92E" w14:textId="77777777">
            <w:pPr>
              <w:overflowPunct/>
              <w:autoSpaceDE/>
              <w:autoSpaceDN/>
              <w:adjustRightInd/>
              <w:jc w:val="center"/>
              <w:textAlignment w:val="auto"/>
              <w:rPr>
                <w:rFonts w:eastAsia="Calibri"/>
                <w:b/>
                <w:bCs/>
                <w:color w:val="000000"/>
              </w:rPr>
            </w:pPr>
            <w:r w:rsidRPr="006C7FAE">
              <w:rPr>
                <w:rFonts w:eastAsia="Calibri"/>
                <w:b/>
                <w:bCs/>
                <w:color w:val="000000"/>
              </w:rPr>
              <w:t>Responses</w:t>
            </w:r>
          </w:p>
          <w:p w:rsidR="00E2406C" w:rsidRPr="006C7FAE" w:rsidP="00EC3654" w14:paraId="5D701F18" w14:textId="77777777">
            <w:pPr>
              <w:adjustRightInd/>
              <w:jc w:val="center"/>
              <w:textAlignment w:val="auto"/>
              <w:rPr>
                <w:rFonts w:eastAsia="Calibri"/>
                <w:b/>
                <w:bCs/>
                <w:color w:val="000000"/>
              </w:rPr>
            </w:pPr>
            <w:r w:rsidRPr="006C7FAE">
              <w:rPr>
                <w:rFonts w:eastAsia="Calibri"/>
                <w:b/>
                <w:bCs/>
                <w:color w:val="000000"/>
              </w:rPr>
              <w:t>Per Annum</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2406C" w:rsidRPr="006C7FAE" w:rsidP="00EC3654" w14:paraId="3165BD34" w14:textId="77777777">
            <w:pPr>
              <w:adjustRightInd/>
              <w:jc w:val="center"/>
              <w:textAlignment w:val="auto"/>
              <w:rPr>
                <w:rFonts w:eastAsia="Calibri"/>
                <w:b/>
                <w:bCs/>
                <w:color w:val="000000"/>
              </w:rPr>
            </w:pPr>
            <w:r w:rsidRPr="006C7FAE">
              <w:rPr>
                <w:rFonts w:eastAsia="Calibri"/>
                <w:b/>
                <w:bCs/>
                <w:color w:val="000000"/>
              </w:rPr>
              <w:t>Burden Hour Per Response</w:t>
            </w:r>
          </w:p>
        </w:tc>
        <w:tc>
          <w:tcPr>
            <w:tcW w:w="92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2406C" w:rsidRPr="006C7FAE" w:rsidP="00EC3654" w14:paraId="2718336F" w14:textId="77777777">
            <w:pPr>
              <w:adjustRightInd/>
              <w:jc w:val="center"/>
              <w:textAlignment w:val="auto"/>
              <w:rPr>
                <w:rFonts w:eastAsia="Calibri"/>
                <w:b/>
                <w:bCs/>
                <w:color w:val="000000"/>
              </w:rPr>
            </w:pPr>
            <w:r w:rsidRPr="006C7FAE">
              <w:rPr>
                <w:rFonts w:eastAsia="Calibri"/>
                <w:b/>
                <w:bCs/>
                <w:color w:val="000000"/>
              </w:rPr>
              <w:t>Annual Burden Hours</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2406C" w:rsidRPr="006C7FAE" w:rsidP="00EC3654" w14:paraId="6679DDFF" w14:textId="77777777">
            <w:pPr>
              <w:adjustRightInd/>
              <w:jc w:val="center"/>
              <w:textAlignment w:val="auto"/>
              <w:rPr>
                <w:rFonts w:eastAsia="Calibri"/>
                <w:b/>
                <w:bCs/>
                <w:color w:val="000000"/>
              </w:rPr>
            </w:pPr>
            <w:r w:rsidRPr="006C7FAE">
              <w:rPr>
                <w:rFonts w:eastAsia="Calibri"/>
                <w:b/>
                <w:bCs/>
                <w:color w:val="000000"/>
              </w:rPr>
              <w:t>Hourly Cost Per Response</w:t>
            </w:r>
          </w:p>
        </w:tc>
        <w:tc>
          <w:tcPr>
            <w:tcW w:w="121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2406C" w:rsidRPr="006C7FAE" w:rsidP="00EC3654" w14:paraId="6C467413" w14:textId="77777777">
            <w:pPr>
              <w:overflowPunct/>
              <w:autoSpaceDE/>
              <w:autoSpaceDN/>
              <w:adjustRightInd/>
              <w:jc w:val="center"/>
              <w:textAlignment w:val="auto"/>
              <w:rPr>
                <w:rFonts w:eastAsia="Calibri"/>
                <w:b/>
                <w:bCs/>
                <w:color w:val="000000"/>
              </w:rPr>
            </w:pPr>
            <w:r w:rsidRPr="006C7FAE">
              <w:rPr>
                <w:rFonts w:eastAsia="Calibri"/>
                <w:b/>
                <w:bCs/>
                <w:color w:val="000000"/>
              </w:rPr>
              <w:t>Annual Cost</w:t>
            </w:r>
          </w:p>
          <w:p w:rsidR="00E2406C" w:rsidRPr="006C7FAE" w:rsidP="00EC3654" w14:paraId="65DFE114" w14:textId="77777777">
            <w:pPr>
              <w:adjustRightInd/>
              <w:jc w:val="center"/>
              <w:textAlignment w:val="auto"/>
              <w:rPr>
                <w:rFonts w:eastAsia="Calibri"/>
                <w:b/>
                <w:bCs/>
                <w:color w:val="000000"/>
              </w:rPr>
            </w:pPr>
          </w:p>
        </w:tc>
      </w:tr>
      <w:tr w14:paraId="3EF8EEFB" w14:textId="77777777" w:rsidTr="00EC3654">
        <w:tblPrEx>
          <w:tblW w:w="0" w:type="auto"/>
          <w:tblInd w:w="588" w:type="dxa"/>
          <w:tblLayout w:type="fixed"/>
          <w:tblCellMar>
            <w:left w:w="0" w:type="dxa"/>
            <w:right w:w="0" w:type="dxa"/>
          </w:tblCellMar>
          <w:tblLook w:val="04A0"/>
        </w:tblPrEx>
        <w:tc>
          <w:tcPr>
            <w:tcW w:w="16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E7506" w:rsidP="00EC3654" w14:paraId="6AA6C7BA" w14:textId="77777777">
            <w:pPr>
              <w:adjustRightInd/>
              <w:textAlignment w:val="auto"/>
              <w:rPr>
                <w:bCs/>
                <w:color w:val="000000"/>
              </w:rPr>
            </w:pPr>
            <w:r>
              <w:rPr>
                <w:bCs/>
                <w:color w:val="000000"/>
              </w:rPr>
              <w:t>HEROS Access Form</w:t>
            </w:r>
            <w:r>
              <w:rPr>
                <w:bCs/>
                <w:color w:val="000000"/>
              </w:rPr>
              <w:t xml:space="preserve"> </w:t>
            </w:r>
          </w:p>
          <w:p w:rsidR="00E2406C" w:rsidRPr="006C7FAE" w:rsidP="00EC3654" w14:paraId="73D862D5" w14:textId="1BECE8AC">
            <w:pPr>
              <w:adjustRightInd/>
              <w:textAlignment w:val="auto"/>
              <w:rPr>
                <w:rFonts w:eastAsia="Calibri"/>
                <w:b/>
                <w:bCs/>
                <w:color w:val="000000"/>
              </w:rPr>
            </w:pPr>
            <w:r>
              <w:rPr>
                <w:bCs/>
                <w:color w:val="000000"/>
              </w:rPr>
              <w:t>HUD 4755</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rsidR="00E2406C" w:rsidRPr="006C7FAE" w:rsidP="00EC3654" w14:paraId="4F54832F" w14:textId="77777777">
            <w:pPr>
              <w:adjustRightInd/>
              <w:jc w:val="center"/>
              <w:textAlignment w:val="auto"/>
              <w:rPr>
                <w:rFonts w:eastAsia="Calibri"/>
                <w:b/>
                <w:bCs/>
                <w:color w:val="000000"/>
              </w:rPr>
            </w:pPr>
            <w:r>
              <w:rPr>
                <w:bCs/>
                <w:color w:val="000000"/>
              </w:rPr>
              <w:t>2,</w:t>
            </w:r>
            <w:r w:rsidR="00301E30">
              <w:rPr>
                <w:bCs/>
                <w:color w:val="000000"/>
              </w:rPr>
              <w:t>870</w:t>
            </w:r>
          </w:p>
        </w:tc>
        <w:tc>
          <w:tcPr>
            <w:tcW w:w="1127" w:type="dxa"/>
            <w:tcBorders>
              <w:top w:val="nil"/>
              <w:left w:val="nil"/>
              <w:bottom w:val="single" w:sz="8" w:space="0" w:color="auto"/>
              <w:right w:val="single" w:sz="8" w:space="0" w:color="auto"/>
            </w:tcBorders>
            <w:tcMar>
              <w:top w:w="0" w:type="dxa"/>
              <w:left w:w="108" w:type="dxa"/>
              <w:bottom w:w="0" w:type="dxa"/>
              <w:right w:w="108" w:type="dxa"/>
            </w:tcMar>
            <w:vAlign w:val="center"/>
          </w:tcPr>
          <w:p w:rsidR="00E2406C" w:rsidRPr="006C7FAE" w:rsidP="00EC3654" w14:paraId="78397B03" w14:textId="77777777">
            <w:pPr>
              <w:adjustRightInd/>
              <w:jc w:val="center"/>
              <w:textAlignment w:val="auto"/>
              <w:rPr>
                <w:rFonts w:eastAsia="Calibri"/>
                <w:b/>
                <w:bCs/>
                <w:color w:val="000000"/>
              </w:rPr>
            </w:pPr>
            <w:r>
              <w:rPr>
                <w:rFonts w:eastAsia="Calibri"/>
                <w:color w:val="000000"/>
              </w:rPr>
              <w:t>1.05</w:t>
            </w:r>
          </w:p>
        </w:tc>
        <w:tc>
          <w:tcPr>
            <w:tcW w:w="1164" w:type="dxa"/>
            <w:tcBorders>
              <w:top w:val="nil"/>
              <w:left w:val="nil"/>
              <w:bottom w:val="single" w:sz="8" w:space="0" w:color="auto"/>
              <w:right w:val="single" w:sz="8" w:space="0" w:color="auto"/>
            </w:tcBorders>
            <w:tcMar>
              <w:top w:w="0" w:type="dxa"/>
              <w:left w:w="108" w:type="dxa"/>
              <w:bottom w:w="0" w:type="dxa"/>
              <w:right w:w="108" w:type="dxa"/>
            </w:tcMar>
            <w:vAlign w:val="center"/>
          </w:tcPr>
          <w:p w:rsidR="00E2406C" w:rsidRPr="006C7FAE" w:rsidP="00EC3654" w14:paraId="5031133B" w14:textId="77777777">
            <w:pPr>
              <w:adjustRightInd/>
              <w:jc w:val="center"/>
              <w:textAlignment w:val="auto"/>
              <w:rPr>
                <w:rFonts w:eastAsia="Calibri"/>
                <w:b/>
                <w:bCs/>
                <w:color w:val="000000"/>
              </w:rPr>
            </w:pPr>
            <w:r>
              <w:rPr>
                <w:rFonts w:eastAsia="Calibri"/>
                <w:bCs/>
                <w:color w:val="000000"/>
              </w:rPr>
              <w:t>3,013</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E2406C" w:rsidRPr="006C7FAE" w:rsidP="00EC3654" w14:paraId="05BBA311" w14:textId="77777777">
            <w:pPr>
              <w:adjustRightInd/>
              <w:jc w:val="center"/>
              <w:textAlignment w:val="auto"/>
              <w:rPr>
                <w:rFonts w:eastAsia="Calibri"/>
                <w:b/>
                <w:bCs/>
                <w:color w:val="000000"/>
              </w:rPr>
            </w:pPr>
            <w:r>
              <w:rPr>
                <w:rFonts w:eastAsia="Calibri"/>
                <w:bCs/>
                <w:color w:val="000000"/>
              </w:rPr>
              <w:t>.10</w:t>
            </w:r>
          </w:p>
        </w:tc>
        <w:tc>
          <w:tcPr>
            <w:tcW w:w="921" w:type="dxa"/>
            <w:tcBorders>
              <w:top w:val="nil"/>
              <w:left w:val="nil"/>
              <w:bottom w:val="single" w:sz="8" w:space="0" w:color="auto"/>
              <w:right w:val="single" w:sz="8" w:space="0" w:color="auto"/>
            </w:tcBorders>
            <w:tcMar>
              <w:top w:w="0" w:type="dxa"/>
              <w:left w:w="108" w:type="dxa"/>
              <w:bottom w:w="0" w:type="dxa"/>
              <w:right w:w="108" w:type="dxa"/>
            </w:tcMar>
            <w:vAlign w:val="center"/>
          </w:tcPr>
          <w:p w:rsidR="00E2406C" w:rsidRPr="006C7FAE" w:rsidP="00EC3654" w14:paraId="0A6B747B" w14:textId="77777777">
            <w:pPr>
              <w:adjustRightInd/>
              <w:jc w:val="center"/>
              <w:textAlignment w:val="auto"/>
              <w:rPr>
                <w:rFonts w:eastAsia="Calibri"/>
                <w:b/>
                <w:bCs/>
                <w:color w:val="000000"/>
              </w:rPr>
            </w:pPr>
            <w:r>
              <w:rPr>
                <w:rFonts w:eastAsia="Calibri"/>
                <w:color w:val="000000"/>
              </w:rPr>
              <w:t>301.3</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E2406C" w:rsidRPr="0030283E" w:rsidP="00EC3654" w14:paraId="57605A17" w14:textId="77777777">
            <w:pPr>
              <w:adjustRightInd/>
              <w:jc w:val="center"/>
              <w:textAlignment w:val="auto"/>
              <w:rPr>
                <w:rFonts w:eastAsia="Calibri"/>
                <w:b/>
                <w:bCs/>
                <w:color w:val="000000"/>
                <w:highlight w:val="yellow"/>
              </w:rPr>
            </w:pPr>
            <w:r>
              <w:rPr>
                <w:rFonts w:eastAsia="Calibri"/>
                <w:bCs/>
                <w:color w:val="000000"/>
              </w:rPr>
              <w:t>$39.63</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tcPr>
          <w:p w:rsidR="00E2406C" w:rsidRPr="006C7FAE" w:rsidP="00EC3654" w14:paraId="266D022B" w14:textId="77777777">
            <w:pPr>
              <w:adjustRightInd/>
              <w:jc w:val="center"/>
              <w:textAlignment w:val="auto"/>
              <w:rPr>
                <w:rFonts w:eastAsia="Calibri"/>
                <w:b/>
                <w:bCs/>
                <w:color w:val="000000"/>
              </w:rPr>
            </w:pPr>
            <w:r>
              <w:rPr>
                <w:rFonts w:eastAsia="Calibri"/>
                <w:bCs/>
                <w:color w:val="000000"/>
              </w:rPr>
              <w:t>$11,940.52</w:t>
            </w:r>
          </w:p>
        </w:tc>
      </w:tr>
      <w:tr w14:paraId="5C538107" w14:textId="77777777" w:rsidTr="00EC3654">
        <w:tblPrEx>
          <w:tblW w:w="0" w:type="auto"/>
          <w:tblInd w:w="588" w:type="dxa"/>
          <w:tblLayout w:type="fixed"/>
          <w:tblCellMar>
            <w:left w:w="0" w:type="dxa"/>
            <w:right w:w="0" w:type="dxa"/>
          </w:tblCellMar>
          <w:tblLook w:val="04A0"/>
        </w:tblPrEx>
        <w:trPr>
          <w:trHeight w:val="303"/>
        </w:trPr>
        <w:tc>
          <w:tcPr>
            <w:tcW w:w="1680" w:type="dxa"/>
            <w:tcBorders>
              <w:top w:val="doub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2406C" w:rsidRPr="00616FC6" w:rsidP="00EC3654" w14:paraId="6EF4F856" w14:textId="77777777">
            <w:pPr>
              <w:adjustRightInd/>
              <w:textAlignment w:val="auto"/>
              <w:rPr>
                <w:b/>
                <w:bCs/>
                <w:color w:val="000000"/>
              </w:rPr>
            </w:pPr>
            <w:r w:rsidRPr="00616FC6">
              <w:rPr>
                <w:b/>
                <w:bCs/>
                <w:color w:val="000000"/>
              </w:rPr>
              <w:t>Total</w:t>
            </w:r>
          </w:p>
        </w:tc>
        <w:tc>
          <w:tcPr>
            <w:tcW w:w="1260" w:type="dxa"/>
            <w:tcBorders>
              <w:top w:val="double" w:sz="4" w:space="0" w:color="auto"/>
              <w:left w:val="nil"/>
              <w:bottom w:val="single" w:sz="8" w:space="0" w:color="auto"/>
              <w:right w:val="single" w:sz="8" w:space="0" w:color="auto"/>
            </w:tcBorders>
            <w:tcMar>
              <w:top w:w="0" w:type="dxa"/>
              <w:left w:w="108" w:type="dxa"/>
              <w:bottom w:w="0" w:type="dxa"/>
              <w:right w:w="108" w:type="dxa"/>
            </w:tcMar>
            <w:vAlign w:val="center"/>
          </w:tcPr>
          <w:p w:rsidR="00E2406C" w:rsidRPr="00616FC6" w:rsidP="00EC3654" w14:paraId="46E7DD53" w14:textId="77777777">
            <w:pPr>
              <w:adjustRightInd/>
              <w:jc w:val="center"/>
              <w:textAlignment w:val="auto"/>
              <w:rPr>
                <w:b/>
                <w:bCs/>
                <w:color w:val="000000"/>
              </w:rPr>
            </w:pPr>
            <w:r>
              <w:rPr>
                <w:b/>
                <w:bCs/>
                <w:color w:val="000000"/>
              </w:rPr>
              <w:t>2,</w:t>
            </w:r>
            <w:r w:rsidR="00301E30">
              <w:rPr>
                <w:b/>
                <w:bCs/>
                <w:color w:val="000000"/>
              </w:rPr>
              <w:t>870</w:t>
            </w:r>
          </w:p>
        </w:tc>
        <w:tc>
          <w:tcPr>
            <w:tcW w:w="1127" w:type="dxa"/>
            <w:tcBorders>
              <w:top w:val="double" w:sz="4" w:space="0" w:color="auto"/>
              <w:left w:val="nil"/>
              <w:bottom w:val="single" w:sz="8" w:space="0" w:color="auto"/>
              <w:right w:val="single" w:sz="8" w:space="0" w:color="auto"/>
            </w:tcBorders>
            <w:tcMar>
              <w:top w:w="0" w:type="dxa"/>
              <w:left w:w="108" w:type="dxa"/>
              <w:bottom w:w="0" w:type="dxa"/>
              <w:right w:w="108" w:type="dxa"/>
            </w:tcMar>
            <w:vAlign w:val="center"/>
          </w:tcPr>
          <w:p w:rsidR="00E2406C" w:rsidRPr="00616FC6" w:rsidP="00EC3654" w14:paraId="48228A26" w14:textId="77777777">
            <w:pPr>
              <w:adjustRightInd/>
              <w:jc w:val="center"/>
              <w:textAlignment w:val="auto"/>
              <w:rPr>
                <w:b/>
                <w:bCs/>
                <w:color w:val="000000"/>
              </w:rPr>
            </w:pPr>
            <w:r>
              <w:rPr>
                <w:b/>
                <w:bCs/>
                <w:color w:val="000000"/>
              </w:rPr>
              <w:t>1.05</w:t>
            </w:r>
          </w:p>
        </w:tc>
        <w:tc>
          <w:tcPr>
            <w:tcW w:w="1164" w:type="dxa"/>
            <w:tcBorders>
              <w:top w:val="double" w:sz="4" w:space="0" w:color="auto"/>
              <w:left w:val="nil"/>
              <w:bottom w:val="single" w:sz="8" w:space="0" w:color="auto"/>
              <w:right w:val="single" w:sz="8" w:space="0" w:color="auto"/>
            </w:tcBorders>
            <w:tcMar>
              <w:top w:w="0" w:type="dxa"/>
              <w:left w:w="108" w:type="dxa"/>
              <w:bottom w:w="0" w:type="dxa"/>
              <w:right w:w="108" w:type="dxa"/>
            </w:tcMar>
            <w:vAlign w:val="center"/>
          </w:tcPr>
          <w:p w:rsidR="00E2406C" w:rsidRPr="00616FC6" w:rsidP="00EC3654" w14:paraId="701ABB34" w14:textId="77777777">
            <w:pPr>
              <w:adjustRightInd/>
              <w:jc w:val="center"/>
              <w:textAlignment w:val="auto"/>
              <w:rPr>
                <w:b/>
                <w:bCs/>
                <w:color w:val="000000"/>
              </w:rPr>
            </w:pPr>
            <w:r>
              <w:rPr>
                <w:b/>
                <w:bCs/>
                <w:color w:val="000000"/>
              </w:rPr>
              <w:t>3,013</w:t>
            </w:r>
          </w:p>
        </w:tc>
        <w:tc>
          <w:tcPr>
            <w:tcW w:w="1080" w:type="dxa"/>
            <w:tcBorders>
              <w:top w:val="double" w:sz="4" w:space="0" w:color="auto"/>
              <w:left w:val="nil"/>
              <w:bottom w:val="single" w:sz="8" w:space="0" w:color="auto"/>
              <w:right w:val="single" w:sz="8" w:space="0" w:color="auto"/>
            </w:tcBorders>
            <w:tcMar>
              <w:top w:w="0" w:type="dxa"/>
              <w:left w:w="108" w:type="dxa"/>
              <w:bottom w:w="0" w:type="dxa"/>
              <w:right w:w="108" w:type="dxa"/>
            </w:tcMar>
            <w:vAlign w:val="center"/>
          </w:tcPr>
          <w:p w:rsidR="00E2406C" w:rsidRPr="00616FC6" w:rsidP="00EC3654" w14:paraId="4C8CAD34" w14:textId="77777777">
            <w:pPr>
              <w:adjustRightInd/>
              <w:jc w:val="center"/>
              <w:textAlignment w:val="auto"/>
              <w:rPr>
                <w:b/>
                <w:bCs/>
                <w:color w:val="000000"/>
              </w:rPr>
            </w:pPr>
            <w:r>
              <w:rPr>
                <w:b/>
                <w:bCs/>
                <w:color w:val="000000"/>
              </w:rPr>
              <w:t>.10</w:t>
            </w:r>
          </w:p>
        </w:tc>
        <w:tc>
          <w:tcPr>
            <w:tcW w:w="921" w:type="dxa"/>
            <w:tcBorders>
              <w:top w:val="double" w:sz="4" w:space="0" w:color="auto"/>
              <w:left w:val="nil"/>
              <w:bottom w:val="single" w:sz="8" w:space="0" w:color="auto"/>
              <w:right w:val="single" w:sz="8" w:space="0" w:color="auto"/>
            </w:tcBorders>
            <w:tcMar>
              <w:top w:w="0" w:type="dxa"/>
              <w:left w:w="108" w:type="dxa"/>
              <w:bottom w:w="0" w:type="dxa"/>
              <w:right w:w="108" w:type="dxa"/>
            </w:tcMar>
            <w:vAlign w:val="center"/>
          </w:tcPr>
          <w:p w:rsidR="00E2406C" w:rsidRPr="00616FC6" w:rsidP="00EC3654" w14:paraId="4BDD92B6" w14:textId="77777777">
            <w:pPr>
              <w:adjustRightInd/>
              <w:jc w:val="center"/>
              <w:textAlignment w:val="auto"/>
              <w:rPr>
                <w:b/>
                <w:bCs/>
                <w:color w:val="000000"/>
              </w:rPr>
            </w:pPr>
            <w:r>
              <w:rPr>
                <w:b/>
                <w:bCs/>
                <w:color w:val="000000"/>
              </w:rPr>
              <w:t>301.3</w:t>
            </w:r>
          </w:p>
        </w:tc>
        <w:tc>
          <w:tcPr>
            <w:tcW w:w="1080" w:type="dxa"/>
            <w:tcBorders>
              <w:top w:val="double" w:sz="4" w:space="0" w:color="auto"/>
              <w:left w:val="nil"/>
              <w:bottom w:val="single" w:sz="8" w:space="0" w:color="auto"/>
              <w:right w:val="single" w:sz="8" w:space="0" w:color="auto"/>
            </w:tcBorders>
            <w:tcMar>
              <w:top w:w="0" w:type="dxa"/>
              <w:left w:w="108" w:type="dxa"/>
              <w:bottom w:w="0" w:type="dxa"/>
              <w:right w:w="108" w:type="dxa"/>
            </w:tcMar>
            <w:vAlign w:val="center"/>
          </w:tcPr>
          <w:p w:rsidR="00E2406C" w:rsidRPr="00616FC6" w:rsidP="00EC3654" w14:paraId="0E521C66" w14:textId="77777777">
            <w:pPr>
              <w:adjustRightInd/>
              <w:jc w:val="center"/>
              <w:textAlignment w:val="auto"/>
              <w:rPr>
                <w:b/>
                <w:bCs/>
                <w:color w:val="000000"/>
              </w:rPr>
            </w:pPr>
            <w:r w:rsidRPr="00C0148C">
              <w:rPr>
                <w:b/>
                <w:bCs/>
                <w:color w:val="000000"/>
              </w:rPr>
              <w:t>$39.63</w:t>
            </w:r>
          </w:p>
        </w:tc>
        <w:tc>
          <w:tcPr>
            <w:tcW w:w="1216" w:type="dxa"/>
            <w:tcBorders>
              <w:top w:val="double" w:sz="4" w:space="0" w:color="auto"/>
              <w:left w:val="nil"/>
              <w:bottom w:val="single" w:sz="8" w:space="0" w:color="auto"/>
              <w:right w:val="single" w:sz="8" w:space="0" w:color="auto"/>
            </w:tcBorders>
            <w:tcMar>
              <w:top w:w="0" w:type="dxa"/>
              <w:left w:w="108" w:type="dxa"/>
              <w:bottom w:w="0" w:type="dxa"/>
              <w:right w:w="108" w:type="dxa"/>
            </w:tcMar>
            <w:vAlign w:val="center"/>
          </w:tcPr>
          <w:p w:rsidR="00E2406C" w:rsidRPr="00616FC6" w:rsidP="00EC3654" w14:paraId="7F182515" w14:textId="77777777">
            <w:pPr>
              <w:adjustRightInd/>
              <w:jc w:val="center"/>
              <w:textAlignment w:val="auto"/>
              <w:rPr>
                <w:b/>
                <w:bCs/>
                <w:color w:val="000000"/>
              </w:rPr>
            </w:pPr>
            <w:r w:rsidRPr="006A53CF">
              <w:rPr>
                <w:b/>
                <w:bCs/>
                <w:color w:val="000000"/>
              </w:rPr>
              <w:t>$11,940.52</w:t>
            </w:r>
          </w:p>
        </w:tc>
      </w:tr>
    </w:tbl>
    <w:bookmarkEnd w:id="5"/>
    <w:p w:rsidR="00461483" w:rsidP="005634F8" w14:paraId="61B1DCED" w14:textId="1EA05898">
      <w:pPr>
        <w:keepLines/>
        <w:tabs>
          <w:tab w:val="left" w:pos="360"/>
          <w:tab w:val="left" w:pos="720"/>
          <w:tab w:val="center" w:pos="1680"/>
          <w:tab w:val="center" w:pos="3120"/>
          <w:tab w:val="center" w:pos="4560"/>
          <w:tab w:val="center" w:pos="6000"/>
          <w:tab w:val="center" w:pos="7440"/>
          <w:tab w:val="center" w:pos="8880"/>
        </w:tabs>
        <w:spacing w:before="240"/>
        <w:ind w:left="360"/>
        <w:rPr>
          <w:color w:val="000000"/>
          <w:sz w:val="24"/>
          <w:szCs w:val="24"/>
        </w:rPr>
      </w:pPr>
      <w:r>
        <w:rPr>
          <w:color w:val="000000"/>
          <w:sz w:val="24"/>
          <w:szCs w:val="24"/>
        </w:rPr>
        <w:t xml:space="preserve">Average hours per response </w:t>
      </w:r>
      <w:r w:rsidR="00301E30">
        <w:rPr>
          <w:color w:val="000000"/>
          <w:sz w:val="24"/>
          <w:szCs w:val="24"/>
        </w:rPr>
        <w:t xml:space="preserve">for HEROS </w:t>
      </w:r>
      <w:r>
        <w:rPr>
          <w:color w:val="000000"/>
          <w:sz w:val="24"/>
          <w:szCs w:val="24"/>
        </w:rPr>
        <w:t xml:space="preserve">varies substantially depending on </w:t>
      </w:r>
      <w:r w:rsidR="00A052AC">
        <w:rPr>
          <w:color w:val="000000"/>
          <w:sz w:val="24"/>
          <w:szCs w:val="24"/>
        </w:rPr>
        <w:t>the level</w:t>
      </w:r>
      <w:r>
        <w:rPr>
          <w:color w:val="000000"/>
          <w:sz w:val="24"/>
          <w:szCs w:val="24"/>
        </w:rPr>
        <w:t xml:space="preserve"> of review. Reviews that are exempt or Categorically Excluded Not Subject To the related laws and authorities (CENST) take roughly 45 minutes to complete. Reviews that are Categorically Excluded Subject To the related laws (CEST) or require an Environmental Assessment (EA) take 4 hours to complete</w:t>
      </w:r>
      <w:r w:rsidR="002F2D27">
        <w:rPr>
          <w:color w:val="000000"/>
          <w:sz w:val="24"/>
          <w:szCs w:val="24"/>
        </w:rPr>
        <w:t xml:space="preserve"> on average</w:t>
      </w:r>
      <w:r>
        <w:rPr>
          <w:color w:val="000000"/>
          <w:sz w:val="24"/>
          <w:szCs w:val="24"/>
        </w:rPr>
        <w:t xml:space="preserve">. Some CEST reviews “convert to exempt,” and require roughly 2 hours to complete. </w:t>
      </w:r>
    </w:p>
    <w:p w:rsidR="00461483" w:rsidP="00461483" w14:paraId="7F756AC0" w14:textId="77777777">
      <w:pPr>
        <w:keepLines/>
        <w:tabs>
          <w:tab w:val="left" w:pos="360"/>
          <w:tab w:val="left" w:pos="720"/>
          <w:tab w:val="center" w:pos="1680"/>
          <w:tab w:val="center" w:pos="3120"/>
          <w:tab w:val="center" w:pos="4560"/>
          <w:tab w:val="center" w:pos="6000"/>
          <w:tab w:val="center" w:pos="7440"/>
          <w:tab w:val="center" w:pos="8880"/>
        </w:tabs>
        <w:ind w:left="720"/>
        <w:rPr>
          <w:color w:val="000000"/>
          <w:sz w:val="24"/>
          <w:szCs w:val="24"/>
        </w:rPr>
      </w:pPr>
    </w:p>
    <w:p w:rsidR="00461483" w:rsidP="006D6D87" w14:paraId="568D5537" w14:textId="49AB59B6">
      <w:pPr>
        <w:keepLines/>
        <w:ind w:left="360"/>
        <w:rPr>
          <w:sz w:val="24"/>
          <w:szCs w:val="24"/>
        </w:rPr>
      </w:pPr>
      <w:r w:rsidRPr="005C12BE">
        <w:rPr>
          <w:sz w:val="24"/>
          <w:szCs w:val="24"/>
        </w:rPr>
        <w:t xml:space="preserve">HUD grants cover all eligible costs including staff work. </w:t>
      </w:r>
      <w:r w:rsidR="00366424">
        <w:rPr>
          <w:sz w:val="24"/>
          <w:szCs w:val="24"/>
        </w:rPr>
        <w:t xml:space="preserve">HUD grants do </w:t>
      </w:r>
      <w:r w:rsidRPr="006B78CC" w:rsidR="00366424">
        <w:rPr>
          <w:i/>
          <w:iCs/>
          <w:sz w:val="24"/>
          <w:szCs w:val="24"/>
        </w:rPr>
        <w:t>not</w:t>
      </w:r>
      <w:r w:rsidR="00366424">
        <w:rPr>
          <w:sz w:val="24"/>
          <w:szCs w:val="24"/>
        </w:rPr>
        <w:t xml:space="preserve">, however, cover the cost for completing the HEROS Access Form. </w:t>
      </w:r>
      <w:r w:rsidRPr="00366424">
        <w:rPr>
          <w:sz w:val="24"/>
          <w:szCs w:val="24"/>
        </w:rPr>
        <w:t>Hourly</w:t>
      </w:r>
      <w:r w:rsidRPr="005C12BE">
        <w:rPr>
          <w:sz w:val="24"/>
          <w:szCs w:val="24"/>
        </w:rPr>
        <w:t xml:space="preserve"> cost per response based on hourly mean wage of urban planners working for local government (Bureau of Labor Statistics, </w:t>
      </w:r>
      <w:hyperlink r:id="rId9" w:history="1">
        <w:r w:rsidRPr="00383728">
          <w:rPr>
            <w:rStyle w:val="Hyperlink"/>
            <w:sz w:val="24"/>
            <w:szCs w:val="24"/>
          </w:rPr>
          <w:t>https://www.bls.gov/oes/current/oes193051.htm</w:t>
        </w:r>
      </w:hyperlink>
      <w:r w:rsidRPr="005C12BE">
        <w:rPr>
          <w:sz w:val="24"/>
          <w:szCs w:val="24"/>
        </w:rPr>
        <w:t>).</w:t>
      </w:r>
    </w:p>
    <w:p w:rsidR="00461483" w:rsidP="00461483" w14:paraId="070AF66D" w14:textId="77777777">
      <w:pPr>
        <w:keepLines/>
        <w:tabs>
          <w:tab w:val="left" w:pos="360"/>
          <w:tab w:val="left" w:pos="720"/>
          <w:tab w:val="center" w:pos="1680"/>
          <w:tab w:val="center" w:pos="3120"/>
          <w:tab w:val="center" w:pos="4560"/>
          <w:tab w:val="center" w:pos="6000"/>
          <w:tab w:val="center" w:pos="7440"/>
          <w:tab w:val="center" w:pos="8880"/>
        </w:tabs>
        <w:ind w:left="720"/>
        <w:rPr>
          <w:sz w:val="24"/>
          <w:szCs w:val="24"/>
        </w:rPr>
      </w:pPr>
    </w:p>
    <w:p w:rsidR="00461483" w:rsidP="00461483" w14:paraId="4A9C6619" w14:textId="68FFA46C">
      <w:pPr>
        <w:keepLines/>
        <w:tabs>
          <w:tab w:val="left" w:pos="360"/>
          <w:tab w:val="left" w:pos="720"/>
          <w:tab w:val="center" w:pos="1680"/>
          <w:tab w:val="center" w:pos="3120"/>
          <w:tab w:val="center" w:pos="4560"/>
          <w:tab w:val="center" w:pos="6000"/>
          <w:tab w:val="center" w:pos="7440"/>
          <w:tab w:val="center" w:pos="8880"/>
        </w:tabs>
        <w:ind w:left="360"/>
        <w:rPr>
          <w:sz w:val="24"/>
          <w:szCs w:val="24"/>
        </w:rPr>
      </w:pPr>
      <w:r>
        <w:rPr>
          <w:sz w:val="24"/>
          <w:szCs w:val="24"/>
        </w:rPr>
        <w:t xml:space="preserve">For HEROS, </w:t>
      </w:r>
      <w:r w:rsidRPr="00724A14">
        <w:rPr>
          <w:sz w:val="24"/>
          <w:szCs w:val="24"/>
        </w:rPr>
        <w:t>Number of respondents</w:t>
      </w:r>
      <w:r w:rsidR="00AA3459">
        <w:rPr>
          <w:sz w:val="24"/>
          <w:szCs w:val="24"/>
        </w:rPr>
        <w:t xml:space="preserve"> and </w:t>
      </w:r>
      <w:r w:rsidRPr="00724A14">
        <w:rPr>
          <w:sz w:val="24"/>
          <w:szCs w:val="24"/>
        </w:rPr>
        <w:t>responses per annum based on the number of reviews completed using HEROS in Fiscal Year 2020</w:t>
      </w:r>
      <w:r w:rsidR="00AA3459">
        <w:rPr>
          <w:sz w:val="24"/>
          <w:szCs w:val="24"/>
        </w:rPr>
        <w:t xml:space="preserve"> and Fiscal Year, 2024 respectively, </w:t>
      </w:r>
      <w:r w:rsidRPr="00ED7E86" w:rsidR="00ED7E86">
        <w:rPr>
          <w:sz w:val="24"/>
          <w:szCs w:val="24"/>
        </w:rPr>
        <w:t xml:space="preserve">which are the latest years data were </w:t>
      </w:r>
      <w:r w:rsidRPr="00ED7E86" w:rsidR="00B30375">
        <w:rPr>
          <w:sz w:val="24"/>
          <w:szCs w:val="24"/>
        </w:rPr>
        <w:t>collected.</w:t>
      </w:r>
      <w:r>
        <w:rPr>
          <w:sz w:val="24"/>
          <w:szCs w:val="24"/>
        </w:rPr>
        <w:t xml:space="preserve"> HUD has data on the number of active HEROS users and the number of completed environmental reviews, which it used to calculate the average responses per user. While most users will complete one or more exempt or CENST reviews, only about half of users would be expected to complete CEST- or EA-level reviews. </w:t>
      </w:r>
    </w:p>
    <w:p w:rsidR="009E13B1" w:rsidRPr="006C7FAE" w14:paraId="6D05B741" w14:textId="77777777">
      <w:pPr>
        <w:keepLines/>
        <w:tabs>
          <w:tab w:val="left" w:pos="360"/>
          <w:tab w:val="left" w:pos="720"/>
          <w:tab w:val="center" w:pos="1680"/>
          <w:tab w:val="center" w:pos="3120"/>
          <w:tab w:val="center" w:pos="4560"/>
          <w:tab w:val="center" w:pos="6000"/>
          <w:tab w:val="center" w:pos="7440"/>
          <w:tab w:val="center" w:pos="8880"/>
        </w:tabs>
        <w:ind w:left="360"/>
      </w:pPr>
    </w:p>
    <w:p w:rsidR="00167E53" w:rsidRPr="006C7FAE" w:rsidP="00167E53" w14:paraId="0F542137" w14:textId="77777777">
      <w:pPr>
        <w:keepLines/>
        <w:tabs>
          <w:tab w:val="left" w:pos="360"/>
          <w:tab w:val="left" w:pos="720"/>
          <w:tab w:val="center" w:pos="1680"/>
          <w:tab w:val="center" w:pos="3120"/>
          <w:tab w:val="center" w:pos="4560"/>
          <w:tab w:val="center" w:pos="6000"/>
          <w:tab w:val="center" w:pos="7440"/>
          <w:tab w:val="center" w:pos="8880"/>
        </w:tabs>
        <w:ind w:left="840"/>
        <w:rPr>
          <w:sz w:val="24"/>
          <w:szCs w:val="24"/>
        </w:rPr>
      </w:pPr>
    </w:p>
    <w:p w:rsidR="000D5079" w14:paraId="298B0456" w14:textId="77777777">
      <w:pPr>
        <w:tabs>
          <w:tab w:val="left" w:pos="360"/>
        </w:tabs>
        <w:ind w:left="360" w:hanging="360"/>
        <w:rPr>
          <w:sz w:val="24"/>
          <w:szCs w:val="24"/>
        </w:rPr>
      </w:pPr>
      <w:r w:rsidRPr="006C7FAE">
        <w:rPr>
          <w:sz w:val="24"/>
          <w:szCs w:val="24"/>
        </w:rPr>
        <w:t>13.</w:t>
      </w:r>
      <w:r w:rsidRPr="006C7FAE">
        <w:rPr>
          <w:sz w:val="24"/>
          <w:szCs w:val="24"/>
        </w:rPr>
        <w:tab/>
        <w:t>Provide an estimate of the total annual cost burden to respondents or recordkeepers resulting from the collection of information</w:t>
      </w:r>
      <w:r>
        <w:rPr>
          <w:sz w:val="24"/>
          <w:szCs w:val="24"/>
        </w:rPr>
        <w:t xml:space="preserve">. </w:t>
      </w:r>
      <w:r w:rsidRPr="000D5079">
        <w:rPr>
          <w:sz w:val="24"/>
          <w:szCs w:val="24"/>
        </w:rPr>
        <w:t>(Do not include the cost of any hour burden already reflected on the burden worksheet</w:t>
      </w:r>
      <w:r w:rsidRPr="006C7FAE">
        <w:rPr>
          <w:sz w:val="24"/>
          <w:szCs w:val="24"/>
        </w:rPr>
        <w:t xml:space="preserve"> shown in Items 12 and 14).</w:t>
      </w:r>
    </w:p>
    <w:p w:rsidR="009E13B1" w:rsidRPr="006C7FAE" w14:paraId="55322A69" w14:textId="77777777">
      <w:pPr>
        <w:tabs>
          <w:tab w:val="left" w:pos="360"/>
        </w:tabs>
        <w:ind w:left="360" w:hanging="360"/>
        <w:rPr>
          <w:sz w:val="24"/>
          <w:szCs w:val="24"/>
        </w:rPr>
      </w:pPr>
      <w:r w:rsidRPr="006C7FAE">
        <w:rPr>
          <w:sz w:val="24"/>
          <w:szCs w:val="24"/>
        </w:rPr>
        <w:t xml:space="preserve"> </w:t>
      </w:r>
    </w:p>
    <w:p w:rsidR="009E13B1" w:rsidRPr="006C7FAE" w14:paraId="0091EFD1" w14:textId="77777777">
      <w:pPr>
        <w:numPr>
          <w:ilvl w:val="0"/>
          <w:numId w:val="14"/>
        </w:numPr>
        <w:tabs>
          <w:tab w:val="left" w:pos="360"/>
        </w:tabs>
        <w:ind w:left="480"/>
        <w:rPr>
          <w:sz w:val="24"/>
          <w:szCs w:val="24"/>
        </w:rPr>
      </w:pPr>
      <w:r w:rsidRPr="006C7FAE">
        <w:rPr>
          <w:sz w:val="24"/>
          <w:szCs w:val="24"/>
        </w:rPr>
        <w:t xml:space="preserve">The cost estimate should be split into two components: (a) a total capital and start-up cost component (annualized over its expected useful life); and (b) a total operation and maintenance purchase of services component.  The estimates should </w:t>
      </w:r>
      <w:r w:rsidRPr="006C7FAE">
        <w:rPr>
          <w:sz w:val="24"/>
          <w:szCs w:val="24"/>
        </w:rPr>
        <w:t>take into account</w:t>
      </w:r>
      <w:r w:rsidRPr="006C7FAE">
        <w:rPr>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6C7FAE">
        <w:rPr>
          <w:sz w:val="24"/>
          <w:szCs w:val="24"/>
        </w:rPr>
        <w:t>time period</w:t>
      </w:r>
      <w:r w:rsidRPr="006C7FAE">
        <w:rPr>
          <w:sz w:val="24"/>
          <w:szCs w:val="24"/>
        </w:rPr>
        <w:t xml:space="preserve"> over which costs will be incurred.  Capital and start-up costs include, among other items, preparations for collecting information such as purchasing computers and software; monitoring, sampling, drilling and testing equipment; and record storage </w:t>
      </w:r>
      <w:r w:rsidRPr="006C7FAE">
        <w:rPr>
          <w:sz w:val="24"/>
          <w:szCs w:val="24"/>
        </w:rPr>
        <w:t>facilities;</w:t>
      </w:r>
      <w:r w:rsidRPr="006C7FAE">
        <w:rPr>
          <w:sz w:val="24"/>
          <w:szCs w:val="24"/>
        </w:rPr>
        <w:t xml:space="preserve"> </w:t>
      </w:r>
    </w:p>
    <w:p w:rsidR="009E13B1" w:rsidRPr="006C7FAE" w14:paraId="79A9C717" w14:textId="77777777">
      <w:pPr>
        <w:numPr>
          <w:ilvl w:val="0"/>
          <w:numId w:val="14"/>
        </w:numPr>
        <w:tabs>
          <w:tab w:val="left" w:pos="360"/>
        </w:tabs>
        <w:ind w:left="480"/>
        <w:rPr>
          <w:sz w:val="24"/>
          <w:szCs w:val="24"/>
        </w:rPr>
      </w:pPr>
      <w:r w:rsidRPr="006C7FAE">
        <w:rPr>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9E13B1" w14:paraId="0147B6F8" w14:textId="77777777">
      <w:pPr>
        <w:keepLines/>
        <w:numPr>
          <w:ilvl w:val="0"/>
          <w:numId w:val="14"/>
        </w:numPr>
        <w:tabs>
          <w:tab w:val="left" w:pos="360"/>
        </w:tabs>
        <w:spacing w:after="80"/>
        <w:ind w:left="480"/>
        <w:rPr>
          <w:sz w:val="24"/>
          <w:szCs w:val="24"/>
        </w:rPr>
      </w:pPr>
      <w:r>
        <w:rPr>
          <w:sz w:val="24"/>
          <w:szCs w:val="24"/>
        </w:rPr>
        <w:t>G</w:t>
      </w:r>
      <w:r w:rsidRPr="006C7FAE">
        <w:rPr>
          <w:sz w:val="24"/>
          <w:szCs w:val="24"/>
        </w:rPr>
        <w:t>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E17352" w:rsidP="00E17352" w14:paraId="3742FF9E" w14:textId="77777777">
      <w:pPr>
        <w:keepLines/>
        <w:tabs>
          <w:tab w:val="left" w:pos="360"/>
        </w:tabs>
        <w:spacing w:after="80"/>
        <w:rPr>
          <w:sz w:val="24"/>
          <w:szCs w:val="24"/>
        </w:rPr>
      </w:pPr>
    </w:p>
    <w:p w:rsidR="00DD2BBD" w:rsidP="00DD2BBD" w14:paraId="45FABF8B" w14:textId="77777777">
      <w:pPr>
        <w:keepLines/>
        <w:tabs>
          <w:tab w:val="left" w:pos="360"/>
        </w:tabs>
        <w:spacing w:after="80"/>
        <w:ind w:left="336"/>
        <w:rPr>
          <w:sz w:val="24"/>
          <w:szCs w:val="24"/>
        </w:rPr>
      </w:pPr>
      <w:r>
        <w:rPr>
          <w:sz w:val="24"/>
          <w:szCs w:val="24"/>
        </w:rPr>
        <w:tab/>
      </w:r>
      <w:r w:rsidRPr="00E17352">
        <w:rPr>
          <w:sz w:val="24"/>
          <w:szCs w:val="24"/>
        </w:rPr>
        <w:t>This is not applicable</w:t>
      </w:r>
      <w:r w:rsidR="00BD655C">
        <w:rPr>
          <w:sz w:val="24"/>
          <w:szCs w:val="24"/>
        </w:rPr>
        <w:t xml:space="preserve"> to HEROS</w:t>
      </w:r>
      <w:r w:rsidRPr="00E17352">
        <w:rPr>
          <w:sz w:val="24"/>
          <w:szCs w:val="24"/>
        </w:rPr>
        <w:t xml:space="preserve"> for these reasons: (1) generally the above listed items do not apply to this information collection; and (2) maintaining a copy of the environmental review record as part of the recipient’s environmental review is a nominal part of project costs which are eligible for reimbursement under the HUD grant.</w:t>
      </w:r>
    </w:p>
    <w:p w:rsidR="00BD655C" w:rsidRPr="00DD2BBD" w:rsidP="00DD2BBD" w14:paraId="242CEC9E" w14:textId="0F7992A0">
      <w:pPr>
        <w:keepLines/>
        <w:tabs>
          <w:tab w:val="left" w:pos="360"/>
        </w:tabs>
        <w:spacing w:after="80"/>
        <w:ind w:left="336"/>
        <w:rPr>
          <w:sz w:val="24"/>
          <w:szCs w:val="24"/>
        </w:rPr>
      </w:pPr>
      <w:r>
        <w:rPr>
          <w:sz w:val="24"/>
          <w:szCs w:val="24"/>
          <w:u w:val="single"/>
        </w:rPr>
        <w:t>HEROS Access Form</w:t>
      </w:r>
    </w:p>
    <w:p w:rsidR="00B5516F" w:rsidP="00BD655C" w14:paraId="6A7E262A" w14:textId="77777777">
      <w:pPr>
        <w:keepLines/>
        <w:tabs>
          <w:tab w:val="left" w:pos="480"/>
        </w:tabs>
        <w:spacing w:after="80"/>
        <w:ind w:left="480"/>
        <w:rPr>
          <w:sz w:val="24"/>
          <w:szCs w:val="24"/>
          <w:u w:val="single"/>
        </w:rPr>
      </w:pPr>
    </w:p>
    <w:p w:rsidR="00B5516F" w:rsidP="00BD655C" w14:paraId="048AFF04" w14:textId="77777777">
      <w:pPr>
        <w:keepLines/>
        <w:tabs>
          <w:tab w:val="left" w:pos="480"/>
        </w:tabs>
        <w:spacing w:after="80"/>
        <w:ind w:left="480"/>
        <w:rPr>
          <w:sz w:val="24"/>
          <w:szCs w:val="24"/>
        </w:rPr>
      </w:pPr>
      <w:r w:rsidRPr="00B5516F">
        <w:rPr>
          <w:sz w:val="24"/>
          <w:szCs w:val="24"/>
        </w:rPr>
        <w:t>For the HEROS Access Form, costs associated with completing the form are born by the respondents. The cost burden to respondents is displayed in the table below.</w:t>
      </w:r>
    </w:p>
    <w:p w:rsidR="00B5516F" w:rsidRPr="00B5516F" w:rsidP="00BD655C" w14:paraId="6365E330" w14:textId="77777777">
      <w:pPr>
        <w:keepLines/>
        <w:tabs>
          <w:tab w:val="left" w:pos="480"/>
        </w:tabs>
        <w:spacing w:after="80"/>
        <w:ind w:left="480"/>
        <w:rPr>
          <w:sz w:val="24"/>
          <w:szCs w:val="24"/>
        </w:rPr>
      </w:pPr>
    </w:p>
    <w:tbl>
      <w:tblPr>
        <w:tblW w:w="0" w:type="auto"/>
        <w:tblInd w:w="588" w:type="dxa"/>
        <w:tblLayout w:type="fixed"/>
        <w:tblCellMar>
          <w:left w:w="0" w:type="dxa"/>
          <w:right w:w="0" w:type="dxa"/>
        </w:tblCellMar>
        <w:tblLook w:val="04A0"/>
      </w:tblPr>
      <w:tblGrid>
        <w:gridCol w:w="1680"/>
        <w:gridCol w:w="1260"/>
        <w:gridCol w:w="1127"/>
        <w:gridCol w:w="1164"/>
        <w:gridCol w:w="1080"/>
        <w:gridCol w:w="921"/>
        <w:gridCol w:w="1080"/>
        <w:gridCol w:w="1216"/>
      </w:tblGrid>
      <w:tr w14:paraId="0B5FD652" w14:textId="77777777" w:rsidTr="00EC3654">
        <w:tblPrEx>
          <w:tblW w:w="0" w:type="auto"/>
          <w:tblInd w:w="588" w:type="dxa"/>
          <w:tblLayout w:type="fixed"/>
          <w:tblCellMar>
            <w:left w:w="0" w:type="dxa"/>
            <w:right w:w="0" w:type="dxa"/>
          </w:tblCellMar>
          <w:tblLook w:val="04A0"/>
        </w:tblPrEx>
        <w:tc>
          <w:tcPr>
            <w:tcW w:w="16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D655C" w:rsidRPr="006C7FAE" w:rsidP="00EC3654" w14:paraId="56C9A51E" w14:textId="77777777">
            <w:pPr>
              <w:adjustRightInd/>
              <w:jc w:val="center"/>
              <w:textAlignment w:val="auto"/>
              <w:rPr>
                <w:rFonts w:eastAsia="Calibri"/>
                <w:b/>
                <w:bCs/>
                <w:color w:val="000000"/>
              </w:rPr>
            </w:pPr>
            <w:r w:rsidRPr="006C7FAE">
              <w:rPr>
                <w:rFonts w:eastAsia="Calibri"/>
                <w:b/>
                <w:bCs/>
                <w:color w:val="000000"/>
              </w:rPr>
              <w:t>Information Collection</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D655C" w:rsidRPr="006C7FAE" w:rsidP="00EC3654" w14:paraId="10D05355" w14:textId="77777777">
            <w:pPr>
              <w:adjustRightInd/>
              <w:jc w:val="center"/>
              <w:textAlignment w:val="auto"/>
              <w:rPr>
                <w:rFonts w:eastAsia="Calibri"/>
                <w:b/>
                <w:bCs/>
                <w:color w:val="000000"/>
              </w:rPr>
            </w:pPr>
            <w:r w:rsidRPr="006C7FAE">
              <w:rPr>
                <w:rFonts w:eastAsia="Calibri"/>
                <w:b/>
                <w:bCs/>
                <w:color w:val="000000"/>
              </w:rPr>
              <w:t>Number of Respondents</w:t>
            </w:r>
          </w:p>
        </w:tc>
        <w:tc>
          <w:tcPr>
            <w:tcW w:w="1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D655C" w:rsidRPr="006C7FAE" w:rsidP="00EC3654" w14:paraId="231998C8" w14:textId="77777777">
            <w:pPr>
              <w:adjustRightInd/>
              <w:jc w:val="center"/>
              <w:textAlignment w:val="auto"/>
              <w:rPr>
                <w:rFonts w:eastAsia="Calibri"/>
                <w:b/>
                <w:bCs/>
                <w:color w:val="000000"/>
              </w:rPr>
            </w:pPr>
            <w:r w:rsidRPr="006C7FAE">
              <w:rPr>
                <w:rFonts w:eastAsia="Calibri"/>
                <w:b/>
                <w:bCs/>
                <w:color w:val="000000"/>
              </w:rPr>
              <w:t>Frequency of Response</w:t>
            </w:r>
          </w:p>
        </w:tc>
        <w:tc>
          <w:tcPr>
            <w:tcW w:w="11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D655C" w:rsidRPr="006C7FAE" w:rsidP="00EC3654" w14:paraId="2806ED46" w14:textId="77777777">
            <w:pPr>
              <w:overflowPunct/>
              <w:autoSpaceDE/>
              <w:autoSpaceDN/>
              <w:adjustRightInd/>
              <w:jc w:val="center"/>
              <w:textAlignment w:val="auto"/>
              <w:rPr>
                <w:rFonts w:eastAsia="Calibri"/>
                <w:b/>
                <w:bCs/>
                <w:color w:val="000000"/>
              </w:rPr>
            </w:pPr>
            <w:r w:rsidRPr="006C7FAE">
              <w:rPr>
                <w:rFonts w:eastAsia="Calibri"/>
                <w:b/>
                <w:bCs/>
                <w:color w:val="000000"/>
              </w:rPr>
              <w:t>Responses</w:t>
            </w:r>
          </w:p>
          <w:p w:rsidR="00BD655C" w:rsidRPr="006C7FAE" w:rsidP="00EC3654" w14:paraId="2CC96E3F" w14:textId="77777777">
            <w:pPr>
              <w:adjustRightInd/>
              <w:jc w:val="center"/>
              <w:textAlignment w:val="auto"/>
              <w:rPr>
                <w:rFonts w:eastAsia="Calibri"/>
                <w:b/>
                <w:bCs/>
                <w:color w:val="000000"/>
              </w:rPr>
            </w:pPr>
            <w:r w:rsidRPr="006C7FAE">
              <w:rPr>
                <w:rFonts w:eastAsia="Calibri"/>
                <w:b/>
                <w:bCs/>
                <w:color w:val="000000"/>
              </w:rPr>
              <w:t>Per Annum</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D655C" w:rsidRPr="006C7FAE" w:rsidP="00EC3654" w14:paraId="46973C3B" w14:textId="77777777">
            <w:pPr>
              <w:adjustRightInd/>
              <w:jc w:val="center"/>
              <w:textAlignment w:val="auto"/>
              <w:rPr>
                <w:rFonts w:eastAsia="Calibri"/>
                <w:b/>
                <w:bCs/>
                <w:color w:val="000000"/>
              </w:rPr>
            </w:pPr>
            <w:r w:rsidRPr="006C7FAE">
              <w:rPr>
                <w:rFonts w:eastAsia="Calibri"/>
                <w:b/>
                <w:bCs/>
                <w:color w:val="000000"/>
              </w:rPr>
              <w:t>Burden Hour Per Response</w:t>
            </w:r>
          </w:p>
        </w:tc>
        <w:tc>
          <w:tcPr>
            <w:tcW w:w="92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D655C" w:rsidRPr="006C7FAE" w:rsidP="00EC3654" w14:paraId="32EE7901" w14:textId="77777777">
            <w:pPr>
              <w:adjustRightInd/>
              <w:jc w:val="center"/>
              <w:textAlignment w:val="auto"/>
              <w:rPr>
                <w:rFonts w:eastAsia="Calibri"/>
                <w:b/>
                <w:bCs/>
                <w:color w:val="000000"/>
              </w:rPr>
            </w:pPr>
            <w:r w:rsidRPr="006C7FAE">
              <w:rPr>
                <w:rFonts w:eastAsia="Calibri"/>
                <w:b/>
                <w:bCs/>
                <w:color w:val="000000"/>
              </w:rPr>
              <w:t>Annual Burden Hours</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D655C" w:rsidRPr="006C7FAE" w:rsidP="00EC3654" w14:paraId="01A4DF7A" w14:textId="77777777">
            <w:pPr>
              <w:adjustRightInd/>
              <w:jc w:val="center"/>
              <w:textAlignment w:val="auto"/>
              <w:rPr>
                <w:rFonts w:eastAsia="Calibri"/>
                <w:b/>
                <w:bCs/>
                <w:color w:val="000000"/>
              </w:rPr>
            </w:pPr>
            <w:r w:rsidRPr="006C7FAE">
              <w:rPr>
                <w:rFonts w:eastAsia="Calibri"/>
                <w:b/>
                <w:bCs/>
                <w:color w:val="000000"/>
              </w:rPr>
              <w:t>Hourly Cost Per Response</w:t>
            </w:r>
          </w:p>
        </w:tc>
        <w:tc>
          <w:tcPr>
            <w:tcW w:w="121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D655C" w:rsidRPr="006C7FAE" w:rsidP="00EC3654" w14:paraId="2D1E0312" w14:textId="77777777">
            <w:pPr>
              <w:overflowPunct/>
              <w:autoSpaceDE/>
              <w:autoSpaceDN/>
              <w:adjustRightInd/>
              <w:jc w:val="center"/>
              <w:textAlignment w:val="auto"/>
              <w:rPr>
                <w:rFonts w:eastAsia="Calibri"/>
                <w:b/>
                <w:bCs/>
                <w:color w:val="000000"/>
              </w:rPr>
            </w:pPr>
            <w:r w:rsidRPr="006C7FAE">
              <w:rPr>
                <w:rFonts w:eastAsia="Calibri"/>
                <w:b/>
                <w:bCs/>
                <w:color w:val="000000"/>
              </w:rPr>
              <w:t>Annual Cost</w:t>
            </w:r>
          </w:p>
          <w:p w:rsidR="00BD655C" w:rsidRPr="006C7FAE" w:rsidP="00EC3654" w14:paraId="73688268" w14:textId="77777777">
            <w:pPr>
              <w:adjustRightInd/>
              <w:jc w:val="center"/>
              <w:textAlignment w:val="auto"/>
              <w:rPr>
                <w:rFonts w:eastAsia="Calibri"/>
                <w:b/>
                <w:bCs/>
                <w:color w:val="000000"/>
              </w:rPr>
            </w:pPr>
          </w:p>
        </w:tc>
      </w:tr>
      <w:tr w14:paraId="12DA36C7" w14:textId="77777777" w:rsidTr="00EC3654">
        <w:tblPrEx>
          <w:tblW w:w="0" w:type="auto"/>
          <w:tblInd w:w="588" w:type="dxa"/>
          <w:tblLayout w:type="fixed"/>
          <w:tblCellMar>
            <w:left w:w="0" w:type="dxa"/>
            <w:right w:w="0" w:type="dxa"/>
          </w:tblCellMar>
          <w:tblLook w:val="04A0"/>
        </w:tblPrEx>
        <w:tc>
          <w:tcPr>
            <w:tcW w:w="16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D655C" w:rsidP="00EC3654" w14:paraId="488A530F" w14:textId="77777777">
            <w:pPr>
              <w:adjustRightInd/>
              <w:textAlignment w:val="auto"/>
              <w:rPr>
                <w:bCs/>
                <w:color w:val="000000"/>
              </w:rPr>
            </w:pPr>
            <w:r>
              <w:rPr>
                <w:bCs/>
                <w:color w:val="000000"/>
              </w:rPr>
              <w:t>HEROS Access Form</w:t>
            </w:r>
          </w:p>
          <w:p w:rsidR="001E7506" w:rsidRPr="006C7FAE" w:rsidP="00EC3654" w14:paraId="76ADAD53" w14:textId="14084287">
            <w:pPr>
              <w:adjustRightInd/>
              <w:textAlignment w:val="auto"/>
              <w:rPr>
                <w:rFonts w:eastAsia="Calibri"/>
                <w:b/>
                <w:bCs/>
                <w:color w:val="000000"/>
              </w:rPr>
            </w:pPr>
            <w:r>
              <w:rPr>
                <w:bCs/>
                <w:color w:val="000000"/>
              </w:rPr>
              <w:t>HUD 4755</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rsidR="00BD655C" w:rsidRPr="006C7FAE" w:rsidP="00EC3654" w14:paraId="7FDF496D" w14:textId="77777777">
            <w:pPr>
              <w:adjustRightInd/>
              <w:jc w:val="center"/>
              <w:textAlignment w:val="auto"/>
              <w:rPr>
                <w:rFonts w:eastAsia="Calibri"/>
                <w:b/>
                <w:bCs/>
                <w:color w:val="000000"/>
              </w:rPr>
            </w:pPr>
            <w:r>
              <w:rPr>
                <w:bCs/>
                <w:color w:val="000000"/>
              </w:rPr>
              <w:t>2,870</w:t>
            </w:r>
          </w:p>
        </w:tc>
        <w:tc>
          <w:tcPr>
            <w:tcW w:w="1127" w:type="dxa"/>
            <w:tcBorders>
              <w:top w:val="nil"/>
              <w:left w:val="nil"/>
              <w:bottom w:val="single" w:sz="8" w:space="0" w:color="auto"/>
              <w:right w:val="single" w:sz="8" w:space="0" w:color="auto"/>
            </w:tcBorders>
            <w:tcMar>
              <w:top w:w="0" w:type="dxa"/>
              <w:left w:w="108" w:type="dxa"/>
              <w:bottom w:w="0" w:type="dxa"/>
              <w:right w:w="108" w:type="dxa"/>
            </w:tcMar>
            <w:vAlign w:val="center"/>
          </w:tcPr>
          <w:p w:rsidR="00BD655C" w:rsidRPr="006C7FAE" w:rsidP="00EC3654" w14:paraId="3410D99A" w14:textId="77777777">
            <w:pPr>
              <w:adjustRightInd/>
              <w:jc w:val="center"/>
              <w:textAlignment w:val="auto"/>
              <w:rPr>
                <w:rFonts w:eastAsia="Calibri"/>
                <w:b/>
                <w:bCs/>
                <w:color w:val="000000"/>
              </w:rPr>
            </w:pPr>
            <w:r>
              <w:rPr>
                <w:rFonts w:eastAsia="Calibri"/>
                <w:color w:val="000000"/>
              </w:rPr>
              <w:t>1.05</w:t>
            </w:r>
          </w:p>
        </w:tc>
        <w:tc>
          <w:tcPr>
            <w:tcW w:w="1164" w:type="dxa"/>
            <w:tcBorders>
              <w:top w:val="nil"/>
              <w:left w:val="nil"/>
              <w:bottom w:val="single" w:sz="8" w:space="0" w:color="auto"/>
              <w:right w:val="single" w:sz="8" w:space="0" w:color="auto"/>
            </w:tcBorders>
            <w:tcMar>
              <w:top w:w="0" w:type="dxa"/>
              <w:left w:w="108" w:type="dxa"/>
              <w:bottom w:w="0" w:type="dxa"/>
              <w:right w:w="108" w:type="dxa"/>
            </w:tcMar>
            <w:vAlign w:val="center"/>
          </w:tcPr>
          <w:p w:rsidR="00BD655C" w:rsidRPr="006C7FAE" w:rsidP="00EC3654" w14:paraId="0578BE4B" w14:textId="77777777">
            <w:pPr>
              <w:adjustRightInd/>
              <w:jc w:val="center"/>
              <w:textAlignment w:val="auto"/>
              <w:rPr>
                <w:rFonts w:eastAsia="Calibri"/>
                <w:b/>
                <w:bCs/>
                <w:color w:val="000000"/>
              </w:rPr>
            </w:pPr>
            <w:r>
              <w:rPr>
                <w:rFonts w:eastAsia="Calibri"/>
                <w:bCs/>
                <w:color w:val="000000"/>
              </w:rPr>
              <w:t>3,013</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BD655C" w:rsidRPr="006C7FAE" w:rsidP="00EC3654" w14:paraId="0428F274" w14:textId="77777777">
            <w:pPr>
              <w:adjustRightInd/>
              <w:jc w:val="center"/>
              <w:textAlignment w:val="auto"/>
              <w:rPr>
                <w:rFonts w:eastAsia="Calibri"/>
                <w:b/>
                <w:bCs/>
                <w:color w:val="000000"/>
              </w:rPr>
            </w:pPr>
            <w:r>
              <w:rPr>
                <w:rFonts w:eastAsia="Calibri"/>
                <w:bCs/>
                <w:color w:val="000000"/>
              </w:rPr>
              <w:t>.10</w:t>
            </w:r>
          </w:p>
        </w:tc>
        <w:tc>
          <w:tcPr>
            <w:tcW w:w="921" w:type="dxa"/>
            <w:tcBorders>
              <w:top w:val="nil"/>
              <w:left w:val="nil"/>
              <w:bottom w:val="single" w:sz="8" w:space="0" w:color="auto"/>
              <w:right w:val="single" w:sz="8" w:space="0" w:color="auto"/>
            </w:tcBorders>
            <w:tcMar>
              <w:top w:w="0" w:type="dxa"/>
              <w:left w:w="108" w:type="dxa"/>
              <w:bottom w:w="0" w:type="dxa"/>
              <w:right w:w="108" w:type="dxa"/>
            </w:tcMar>
            <w:vAlign w:val="center"/>
          </w:tcPr>
          <w:p w:rsidR="00BD655C" w:rsidRPr="006C7FAE" w:rsidP="00EC3654" w14:paraId="31EA1040" w14:textId="77777777">
            <w:pPr>
              <w:adjustRightInd/>
              <w:jc w:val="center"/>
              <w:textAlignment w:val="auto"/>
              <w:rPr>
                <w:rFonts w:eastAsia="Calibri"/>
                <w:b/>
                <w:bCs/>
                <w:color w:val="000000"/>
              </w:rPr>
            </w:pPr>
            <w:r>
              <w:rPr>
                <w:rFonts w:eastAsia="Calibri"/>
                <w:color w:val="000000"/>
              </w:rPr>
              <w:t>301.3</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BD655C" w:rsidRPr="0030283E" w:rsidP="00EC3654" w14:paraId="7B7E455B" w14:textId="77777777">
            <w:pPr>
              <w:adjustRightInd/>
              <w:jc w:val="center"/>
              <w:textAlignment w:val="auto"/>
              <w:rPr>
                <w:rFonts w:eastAsia="Calibri"/>
                <w:b/>
                <w:bCs/>
                <w:color w:val="000000"/>
                <w:highlight w:val="yellow"/>
              </w:rPr>
            </w:pPr>
            <w:r>
              <w:rPr>
                <w:rFonts w:eastAsia="Calibri"/>
                <w:bCs/>
                <w:color w:val="000000"/>
              </w:rPr>
              <w:t>$39.63</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tcPr>
          <w:p w:rsidR="00BD655C" w:rsidRPr="006C7FAE" w:rsidP="00EC3654" w14:paraId="3637B9A8" w14:textId="77777777">
            <w:pPr>
              <w:adjustRightInd/>
              <w:jc w:val="center"/>
              <w:textAlignment w:val="auto"/>
              <w:rPr>
                <w:rFonts w:eastAsia="Calibri"/>
                <w:b/>
                <w:bCs/>
                <w:color w:val="000000"/>
              </w:rPr>
            </w:pPr>
            <w:r>
              <w:rPr>
                <w:rFonts w:eastAsia="Calibri"/>
                <w:bCs/>
                <w:color w:val="000000"/>
              </w:rPr>
              <w:t>$11,940.52</w:t>
            </w:r>
          </w:p>
        </w:tc>
      </w:tr>
      <w:tr w14:paraId="10ACA850" w14:textId="77777777" w:rsidTr="00EC3654">
        <w:tblPrEx>
          <w:tblW w:w="0" w:type="auto"/>
          <w:tblInd w:w="588" w:type="dxa"/>
          <w:tblLayout w:type="fixed"/>
          <w:tblCellMar>
            <w:left w:w="0" w:type="dxa"/>
            <w:right w:w="0" w:type="dxa"/>
          </w:tblCellMar>
          <w:tblLook w:val="04A0"/>
        </w:tblPrEx>
        <w:trPr>
          <w:trHeight w:val="303"/>
        </w:trPr>
        <w:tc>
          <w:tcPr>
            <w:tcW w:w="1680" w:type="dxa"/>
            <w:tcBorders>
              <w:top w:val="doub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D655C" w:rsidRPr="00616FC6" w:rsidP="00EC3654" w14:paraId="5874347A" w14:textId="77777777">
            <w:pPr>
              <w:adjustRightInd/>
              <w:textAlignment w:val="auto"/>
              <w:rPr>
                <w:b/>
                <w:bCs/>
                <w:color w:val="000000"/>
              </w:rPr>
            </w:pPr>
            <w:r w:rsidRPr="00616FC6">
              <w:rPr>
                <w:b/>
                <w:bCs/>
                <w:color w:val="000000"/>
              </w:rPr>
              <w:t>Total</w:t>
            </w:r>
          </w:p>
        </w:tc>
        <w:tc>
          <w:tcPr>
            <w:tcW w:w="1260" w:type="dxa"/>
            <w:tcBorders>
              <w:top w:val="double" w:sz="4" w:space="0" w:color="auto"/>
              <w:left w:val="nil"/>
              <w:bottom w:val="single" w:sz="8" w:space="0" w:color="auto"/>
              <w:right w:val="single" w:sz="8" w:space="0" w:color="auto"/>
            </w:tcBorders>
            <w:tcMar>
              <w:top w:w="0" w:type="dxa"/>
              <w:left w:w="108" w:type="dxa"/>
              <w:bottom w:w="0" w:type="dxa"/>
              <w:right w:w="108" w:type="dxa"/>
            </w:tcMar>
            <w:vAlign w:val="center"/>
          </w:tcPr>
          <w:p w:rsidR="00BD655C" w:rsidRPr="00616FC6" w:rsidP="00EC3654" w14:paraId="7D0E1165" w14:textId="77777777">
            <w:pPr>
              <w:adjustRightInd/>
              <w:jc w:val="center"/>
              <w:textAlignment w:val="auto"/>
              <w:rPr>
                <w:b/>
                <w:bCs/>
                <w:color w:val="000000"/>
              </w:rPr>
            </w:pPr>
            <w:r>
              <w:rPr>
                <w:b/>
                <w:bCs/>
                <w:color w:val="000000"/>
              </w:rPr>
              <w:t>2,870</w:t>
            </w:r>
          </w:p>
        </w:tc>
        <w:tc>
          <w:tcPr>
            <w:tcW w:w="1127" w:type="dxa"/>
            <w:tcBorders>
              <w:top w:val="double" w:sz="4" w:space="0" w:color="auto"/>
              <w:left w:val="nil"/>
              <w:bottom w:val="single" w:sz="8" w:space="0" w:color="auto"/>
              <w:right w:val="single" w:sz="8" w:space="0" w:color="auto"/>
            </w:tcBorders>
            <w:tcMar>
              <w:top w:w="0" w:type="dxa"/>
              <w:left w:w="108" w:type="dxa"/>
              <w:bottom w:w="0" w:type="dxa"/>
              <w:right w:w="108" w:type="dxa"/>
            </w:tcMar>
            <w:vAlign w:val="center"/>
          </w:tcPr>
          <w:p w:rsidR="00BD655C" w:rsidRPr="00616FC6" w:rsidP="00EC3654" w14:paraId="1FBE512B" w14:textId="77777777">
            <w:pPr>
              <w:adjustRightInd/>
              <w:jc w:val="center"/>
              <w:textAlignment w:val="auto"/>
              <w:rPr>
                <w:b/>
                <w:bCs/>
                <w:color w:val="000000"/>
              </w:rPr>
            </w:pPr>
            <w:r>
              <w:rPr>
                <w:b/>
                <w:bCs/>
                <w:color w:val="000000"/>
              </w:rPr>
              <w:t>1.05</w:t>
            </w:r>
          </w:p>
        </w:tc>
        <w:tc>
          <w:tcPr>
            <w:tcW w:w="1164" w:type="dxa"/>
            <w:tcBorders>
              <w:top w:val="double" w:sz="4" w:space="0" w:color="auto"/>
              <w:left w:val="nil"/>
              <w:bottom w:val="single" w:sz="8" w:space="0" w:color="auto"/>
              <w:right w:val="single" w:sz="8" w:space="0" w:color="auto"/>
            </w:tcBorders>
            <w:tcMar>
              <w:top w:w="0" w:type="dxa"/>
              <w:left w:w="108" w:type="dxa"/>
              <w:bottom w:w="0" w:type="dxa"/>
              <w:right w:w="108" w:type="dxa"/>
            </w:tcMar>
            <w:vAlign w:val="center"/>
          </w:tcPr>
          <w:p w:rsidR="00BD655C" w:rsidRPr="00616FC6" w:rsidP="00EC3654" w14:paraId="633CB3AA" w14:textId="77777777">
            <w:pPr>
              <w:adjustRightInd/>
              <w:jc w:val="center"/>
              <w:textAlignment w:val="auto"/>
              <w:rPr>
                <w:b/>
                <w:bCs/>
                <w:color w:val="000000"/>
              </w:rPr>
            </w:pPr>
            <w:r>
              <w:rPr>
                <w:b/>
                <w:bCs/>
                <w:color w:val="000000"/>
              </w:rPr>
              <w:t>3,013</w:t>
            </w:r>
          </w:p>
        </w:tc>
        <w:tc>
          <w:tcPr>
            <w:tcW w:w="1080" w:type="dxa"/>
            <w:tcBorders>
              <w:top w:val="double" w:sz="4" w:space="0" w:color="auto"/>
              <w:left w:val="nil"/>
              <w:bottom w:val="single" w:sz="8" w:space="0" w:color="auto"/>
              <w:right w:val="single" w:sz="8" w:space="0" w:color="auto"/>
            </w:tcBorders>
            <w:tcMar>
              <w:top w:w="0" w:type="dxa"/>
              <w:left w:w="108" w:type="dxa"/>
              <w:bottom w:w="0" w:type="dxa"/>
              <w:right w:w="108" w:type="dxa"/>
            </w:tcMar>
            <w:vAlign w:val="center"/>
          </w:tcPr>
          <w:p w:rsidR="00BD655C" w:rsidRPr="00616FC6" w:rsidP="00EC3654" w14:paraId="2AC560D1" w14:textId="77777777">
            <w:pPr>
              <w:adjustRightInd/>
              <w:jc w:val="center"/>
              <w:textAlignment w:val="auto"/>
              <w:rPr>
                <w:b/>
                <w:bCs/>
                <w:color w:val="000000"/>
              </w:rPr>
            </w:pPr>
            <w:r>
              <w:rPr>
                <w:b/>
                <w:bCs/>
                <w:color w:val="000000"/>
              </w:rPr>
              <w:t>.10</w:t>
            </w:r>
          </w:p>
        </w:tc>
        <w:tc>
          <w:tcPr>
            <w:tcW w:w="921" w:type="dxa"/>
            <w:tcBorders>
              <w:top w:val="double" w:sz="4" w:space="0" w:color="auto"/>
              <w:left w:val="nil"/>
              <w:bottom w:val="single" w:sz="8" w:space="0" w:color="auto"/>
              <w:right w:val="single" w:sz="8" w:space="0" w:color="auto"/>
            </w:tcBorders>
            <w:tcMar>
              <w:top w:w="0" w:type="dxa"/>
              <w:left w:w="108" w:type="dxa"/>
              <w:bottom w:w="0" w:type="dxa"/>
              <w:right w:w="108" w:type="dxa"/>
            </w:tcMar>
            <w:vAlign w:val="center"/>
          </w:tcPr>
          <w:p w:rsidR="00BD655C" w:rsidRPr="00616FC6" w:rsidP="00EC3654" w14:paraId="71200684" w14:textId="77777777">
            <w:pPr>
              <w:adjustRightInd/>
              <w:jc w:val="center"/>
              <w:textAlignment w:val="auto"/>
              <w:rPr>
                <w:b/>
                <w:bCs/>
                <w:color w:val="000000"/>
              </w:rPr>
            </w:pPr>
            <w:r>
              <w:rPr>
                <w:b/>
                <w:bCs/>
                <w:color w:val="000000"/>
              </w:rPr>
              <w:t>301.3</w:t>
            </w:r>
          </w:p>
        </w:tc>
        <w:tc>
          <w:tcPr>
            <w:tcW w:w="1080" w:type="dxa"/>
            <w:tcBorders>
              <w:top w:val="double" w:sz="4" w:space="0" w:color="auto"/>
              <w:left w:val="nil"/>
              <w:bottom w:val="single" w:sz="8" w:space="0" w:color="auto"/>
              <w:right w:val="single" w:sz="8" w:space="0" w:color="auto"/>
            </w:tcBorders>
            <w:tcMar>
              <w:top w:w="0" w:type="dxa"/>
              <w:left w:w="108" w:type="dxa"/>
              <w:bottom w:w="0" w:type="dxa"/>
              <w:right w:w="108" w:type="dxa"/>
            </w:tcMar>
            <w:vAlign w:val="center"/>
          </w:tcPr>
          <w:p w:rsidR="00BD655C" w:rsidRPr="00616FC6" w:rsidP="00EC3654" w14:paraId="74A6F8ED" w14:textId="77777777">
            <w:pPr>
              <w:adjustRightInd/>
              <w:jc w:val="center"/>
              <w:textAlignment w:val="auto"/>
              <w:rPr>
                <w:b/>
                <w:bCs/>
                <w:color w:val="000000"/>
              </w:rPr>
            </w:pPr>
            <w:r w:rsidRPr="00C0148C">
              <w:rPr>
                <w:b/>
                <w:bCs/>
                <w:color w:val="000000"/>
              </w:rPr>
              <w:t>$39.63</w:t>
            </w:r>
          </w:p>
        </w:tc>
        <w:tc>
          <w:tcPr>
            <w:tcW w:w="1216" w:type="dxa"/>
            <w:tcBorders>
              <w:top w:val="double" w:sz="4" w:space="0" w:color="auto"/>
              <w:left w:val="nil"/>
              <w:bottom w:val="single" w:sz="8" w:space="0" w:color="auto"/>
              <w:right w:val="single" w:sz="8" w:space="0" w:color="auto"/>
            </w:tcBorders>
            <w:tcMar>
              <w:top w:w="0" w:type="dxa"/>
              <w:left w:w="108" w:type="dxa"/>
              <w:bottom w:w="0" w:type="dxa"/>
              <w:right w:w="108" w:type="dxa"/>
            </w:tcMar>
            <w:vAlign w:val="center"/>
          </w:tcPr>
          <w:p w:rsidR="00BD655C" w:rsidRPr="00616FC6" w:rsidP="00EC3654" w14:paraId="44A8896B" w14:textId="77777777">
            <w:pPr>
              <w:adjustRightInd/>
              <w:jc w:val="center"/>
              <w:textAlignment w:val="auto"/>
              <w:rPr>
                <w:b/>
                <w:bCs/>
                <w:color w:val="000000"/>
              </w:rPr>
            </w:pPr>
            <w:r w:rsidRPr="006A53CF">
              <w:rPr>
                <w:b/>
                <w:bCs/>
                <w:color w:val="000000"/>
              </w:rPr>
              <w:t>$11,940.52</w:t>
            </w:r>
          </w:p>
        </w:tc>
      </w:tr>
    </w:tbl>
    <w:p w:rsidR="00BD655C" w:rsidP="00E17352" w14:paraId="4AC1C1C1" w14:textId="77777777">
      <w:pPr>
        <w:keepLines/>
        <w:tabs>
          <w:tab w:val="left" w:pos="360"/>
        </w:tabs>
        <w:spacing w:after="80"/>
        <w:ind w:left="336"/>
        <w:rPr>
          <w:sz w:val="24"/>
          <w:szCs w:val="24"/>
        </w:rPr>
      </w:pPr>
    </w:p>
    <w:p w:rsidR="00E17352" w:rsidRPr="006C7FAE" w:rsidP="00E17352" w14:paraId="0632E7E7" w14:textId="77777777">
      <w:pPr>
        <w:keepLines/>
        <w:tabs>
          <w:tab w:val="left" w:pos="360"/>
        </w:tabs>
        <w:spacing w:after="80"/>
        <w:ind w:left="336"/>
        <w:rPr>
          <w:sz w:val="24"/>
          <w:szCs w:val="24"/>
        </w:rPr>
      </w:pPr>
    </w:p>
    <w:p w:rsidR="00167E53" w:rsidP="009D7A60" w14:paraId="69F733C6" w14:textId="77777777">
      <w:pPr>
        <w:keepLines/>
        <w:tabs>
          <w:tab w:val="left" w:pos="360"/>
        </w:tabs>
        <w:spacing w:after="80"/>
        <w:ind w:left="360" w:hanging="360"/>
        <w:rPr>
          <w:sz w:val="24"/>
          <w:szCs w:val="24"/>
        </w:rPr>
      </w:pPr>
      <w:r w:rsidRPr="000A423A">
        <w:rPr>
          <w:sz w:val="24"/>
          <w:szCs w:val="24"/>
        </w:rPr>
        <w:t>14.</w:t>
      </w:r>
      <w:r w:rsidRPr="000A423A">
        <w:rPr>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36B0F" w:rsidRPr="009D7A60" w:rsidP="009D7A60" w14:paraId="4B8A2F3C" w14:textId="77777777">
      <w:pPr>
        <w:keepLines/>
        <w:tabs>
          <w:tab w:val="left" w:pos="360"/>
        </w:tabs>
        <w:spacing w:after="80"/>
        <w:ind w:left="360" w:hanging="360"/>
        <w:rPr>
          <w:sz w:val="24"/>
          <w:szCs w:val="24"/>
        </w:rPr>
      </w:pPr>
    </w:p>
    <w:p w:rsidR="000A423A" w:rsidP="00B83FCD" w14:paraId="0F42F7C0" w14:textId="41CC6992">
      <w:pPr>
        <w:keepLines/>
        <w:ind w:left="360"/>
        <w:rPr>
          <w:sz w:val="24"/>
          <w:szCs w:val="24"/>
          <w:u w:val="single"/>
        </w:rPr>
      </w:pPr>
      <w:r w:rsidRPr="006A53CF">
        <w:rPr>
          <w:sz w:val="24"/>
          <w:szCs w:val="24"/>
          <w:u w:val="single"/>
        </w:rPr>
        <w:t>HEROS</w:t>
      </w:r>
      <w:r w:rsidR="00E74689">
        <w:rPr>
          <w:sz w:val="24"/>
          <w:szCs w:val="24"/>
          <w:u w:val="single"/>
        </w:rPr>
        <w:t>- Information Collection</w:t>
      </w:r>
    </w:p>
    <w:p w:rsidR="00B83FCD" w:rsidRPr="006A53CF" w:rsidP="006A53CF" w14:paraId="17274A42" w14:textId="77777777">
      <w:pPr>
        <w:keepLines/>
        <w:tabs>
          <w:tab w:val="left" w:pos="360"/>
          <w:tab w:val="left" w:pos="720"/>
        </w:tabs>
        <w:rPr>
          <w:sz w:val="24"/>
          <w:szCs w:val="24"/>
          <w:u w:val="single"/>
        </w:rPr>
      </w:pPr>
    </w:p>
    <w:tbl>
      <w:tblPr>
        <w:tblW w:w="10510" w:type="dxa"/>
        <w:tblInd w:w="588" w:type="dxa"/>
        <w:tblLayout w:type="fixed"/>
        <w:tblCellMar>
          <w:left w:w="0" w:type="dxa"/>
          <w:right w:w="0" w:type="dxa"/>
        </w:tblCellMar>
        <w:tblLook w:val="04A0"/>
      </w:tblPr>
      <w:tblGrid>
        <w:gridCol w:w="1613"/>
        <w:gridCol w:w="1209"/>
        <w:gridCol w:w="1209"/>
        <w:gridCol w:w="1082"/>
        <w:gridCol w:w="1117"/>
        <w:gridCol w:w="1037"/>
        <w:gridCol w:w="884"/>
        <w:gridCol w:w="977"/>
        <w:gridCol w:w="1382"/>
      </w:tblGrid>
      <w:tr w14:paraId="6278543E" w14:textId="77777777" w:rsidTr="00336B0F">
        <w:tblPrEx>
          <w:tblW w:w="10510" w:type="dxa"/>
          <w:tblInd w:w="588" w:type="dxa"/>
          <w:tblLayout w:type="fixed"/>
          <w:tblCellMar>
            <w:left w:w="0" w:type="dxa"/>
            <w:right w:w="0" w:type="dxa"/>
          </w:tblCellMar>
          <w:tblLook w:val="04A0"/>
        </w:tblPrEx>
        <w:trPr>
          <w:trHeight w:val="706"/>
        </w:trPr>
        <w:tc>
          <w:tcPr>
            <w:tcW w:w="16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4726A" w:rsidRPr="006C7FAE" w:rsidP="00480F1E" w14:paraId="595880B8" w14:textId="77777777">
            <w:pPr>
              <w:adjustRightInd/>
              <w:jc w:val="center"/>
              <w:textAlignment w:val="auto"/>
              <w:rPr>
                <w:rFonts w:eastAsia="Calibri"/>
                <w:b/>
                <w:bCs/>
                <w:color w:val="000000"/>
              </w:rPr>
            </w:pPr>
            <w:r w:rsidRPr="006C7FAE">
              <w:rPr>
                <w:rFonts w:eastAsia="Calibri"/>
                <w:b/>
                <w:bCs/>
                <w:color w:val="000000"/>
              </w:rPr>
              <w:t>Information Collection</w:t>
            </w:r>
          </w:p>
        </w:tc>
        <w:tc>
          <w:tcPr>
            <w:tcW w:w="1209" w:type="dxa"/>
            <w:tcBorders>
              <w:top w:val="single" w:sz="8" w:space="0" w:color="auto"/>
              <w:left w:val="nil"/>
              <w:bottom w:val="single" w:sz="8" w:space="0" w:color="auto"/>
              <w:right w:val="nil"/>
            </w:tcBorders>
          </w:tcPr>
          <w:p w:rsidR="00D4726A" w:rsidRPr="006C7FAE" w:rsidP="00480F1E" w14:paraId="334EFC45" w14:textId="77777777">
            <w:pPr>
              <w:adjustRightInd/>
              <w:jc w:val="center"/>
              <w:textAlignment w:val="auto"/>
              <w:rPr>
                <w:rFonts w:eastAsia="Calibri"/>
                <w:b/>
                <w:bCs/>
                <w:color w:val="000000"/>
              </w:rPr>
            </w:pPr>
          </w:p>
        </w:tc>
        <w:tc>
          <w:tcPr>
            <w:tcW w:w="12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4726A" w:rsidRPr="006C7FAE" w:rsidP="00327540" w14:paraId="7830AC58" w14:textId="77777777">
            <w:pPr>
              <w:adjustRightInd/>
              <w:jc w:val="both"/>
              <w:textAlignment w:val="auto"/>
              <w:rPr>
                <w:rFonts w:eastAsia="Calibri"/>
                <w:b/>
                <w:bCs/>
                <w:color w:val="000000"/>
              </w:rPr>
            </w:pPr>
            <w:r w:rsidRPr="006C7FAE">
              <w:rPr>
                <w:rFonts w:eastAsia="Calibri"/>
                <w:b/>
                <w:bCs/>
                <w:color w:val="000000"/>
              </w:rPr>
              <w:t>Number of Respondents</w:t>
            </w:r>
          </w:p>
        </w:tc>
        <w:tc>
          <w:tcPr>
            <w:tcW w:w="108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4726A" w:rsidRPr="006C7FAE" w:rsidP="00480F1E" w14:paraId="7E509E88" w14:textId="77777777">
            <w:pPr>
              <w:adjustRightInd/>
              <w:jc w:val="center"/>
              <w:textAlignment w:val="auto"/>
              <w:rPr>
                <w:rFonts w:eastAsia="Calibri"/>
                <w:b/>
                <w:bCs/>
                <w:color w:val="000000"/>
              </w:rPr>
            </w:pPr>
            <w:r w:rsidRPr="006C7FAE">
              <w:rPr>
                <w:rFonts w:eastAsia="Calibri"/>
                <w:b/>
                <w:bCs/>
                <w:color w:val="000000"/>
              </w:rPr>
              <w:t>Frequency of Response</w:t>
            </w:r>
          </w:p>
        </w:tc>
        <w:tc>
          <w:tcPr>
            <w:tcW w:w="11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4726A" w:rsidRPr="006C7FAE" w:rsidP="00480F1E" w14:paraId="75DEBD44" w14:textId="77777777">
            <w:pPr>
              <w:overflowPunct/>
              <w:autoSpaceDE/>
              <w:autoSpaceDN/>
              <w:adjustRightInd/>
              <w:jc w:val="center"/>
              <w:textAlignment w:val="auto"/>
              <w:rPr>
                <w:rFonts w:eastAsia="Calibri"/>
                <w:b/>
                <w:bCs/>
                <w:color w:val="000000"/>
              </w:rPr>
            </w:pPr>
            <w:r w:rsidRPr="006C7FAE">
              <w:rPr>
                <w:rFonts w:eastAsia="Calibri"/>
                <w:b/>
                <w:bCs/>
                <w:color w:val="000000"/>
              </w:rPr>
              <w:t>Responses</w:t>
            </w:r>
          </w:p>
          <w:p w:rsidR="00D4726A" w:rsidRPr="006C7FAE" w:rsidP="00480F1E" w14:paraId="7D0FCF43" w14:textId="77777777">
            <w:pPr>
              <w:adjustRightInd/>
              <w:jc w:val="center"/>
              <w:textAlignment w:val="auto"/>
              <w:rPr>
                <w:rFonts w:eastAsia="Calibri"/>
                <w:b/>
                <w:bCs/>
                <w:color w:val="000000"/>
              </w:rPr>
            </w:pPr>
            <w:r w:rsidRPr="006C7FAE">
              <w:rPr>
                <w:rFonts w:eastAsia="Calibri"/>
                <w:b/>
                <w:bCs/>
                <w:color w:val="000000"/>
              </w:rPr>
              <w:t>Per Annum</w:t>
            </w:r>
          </w:p>
        </w:tc>
        <w:tc>
          <w:tcPr>
            <w:tcW w:w="10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4726A" w:rsidRPr="006C7FAE" w:rsidP="00480F1E" w14:paraId="628F3D64" w14:textId="77777777">
            <w:pPr>
              <w:adjustRightInd/>
              <w:jc w:val="center"/>
              <w:textAlignment w:val="auto"/>
              <w:rPr>
                <w:rFonts w:eastAsia="Calibri"/>
                <w:b/>
                <w:bCs/>
                <w:color w:val="000000"/>
              </w:rPr>
            </w:pPr>
            <w:r w:rsidRPr="006C7FAE">
              <w:rPr>
                <w:rFonts w:eastAsia="Calibri"/>
                <w:b/>
                <w:bCs/>
                <w:color w:val="000000"/>
              </w:rPr>
              <w:t>Burden Hour Per Response</w:t>
            </w:r>
          </w:p>
        </w:tc>
        <w:tc>
          <w:tcPr>
            <w:tcW w:w="8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4726A" w:rsidRPr="006C7FAE" w:rsidP="00480F1E" w14:paraId="2C330F81" w14:textId="77777777">
            <w:pPr>
              <w:adjustRightInd/>
              <w:jc w:val="center"/>
              <w:textAlignment w:val="auto"/>
              <w:rPr>
                <w:rFonts w:eastAsia="Calibri"/>
                <w:b/>
                <w:bCs/>
                <w:color w:val="000000"/>
              </w:rPr>
            </w:pPr>
            <w:r w:rsidRPr="006C7FAE">
              <w:rPr>
                <w:rFonts w:eastAsia="Calibri"/>
                <w:b/>
                <w:bCs/>
                <w:color w:val="000000"/>
              </w:rPr>
              <w:t>Annual Burden Hours</w:t>
            </w:r>
          </w:p>
        </w:tc>
        <w:tc>
          <w:tcPr>
            <w:tcW w:w="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4726A" w:rsidRPr="006C7FAE" w:rsidP="00480F1E" w14:paraId="3DE68A1A" w14:textId="77777777">
            <w:pPr>
              <w:adjustRightInd/>
              <w:jc w:val="center"/>
              <w:textAlignment w:val="auto"/>
              <w:rPr>
                <w:rFonts w:eastAsia="Calibri"/>
                <w:b/>
                <w:bCs/>
                <w:color w:val="000000"/>
              </w:rPr>
            </w:pPr>
            <w:r w:rsidRPr="006C7FAE">
              <w:rPr>
                <w:rFonts w:eastAsia="Calibri"/>
                <w:b/>
                <w:bCs/>
                <w:color w:val="000000"/>
              </w:rPr>
              <w:t>Hourly Cost Per Response</w:t>
            </w:r>
          </w:p>
        </w:tc>
        <w:tc>
          <w:tcPr>
            <w:tcW w:w="138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4726A" w:rsidRPr="006C7FAE" w:rsidP="00480F1E" w14:paraId="504CD0CD" w14:textId="77777777">
            <w:pPr>
              <w:overflowPunct/>
              <w:autoSpaceDE/>
              <w:autoSpaceDN/>
              <w:adjustRightInd/>
              <w:jc w:val="center"/>
              <w:textAlignment w:val="auto"/>
              <w:rPr>
                <w:rFonts w:eastAsia="Calibri"/>
                <w:b/>
                <w:bCs/>
                <w:color w:val="000000"/>
              </w:rPr>
            </w:pPr>
            <w:r w:rsidRPr="006C7FAE">
              <w:rPr>
                <w:rFonts w:eastAsia="Calibri"/>
                <w:b/>
                <w:bCs/>
                <w:color w:val="000000"/>
              </w:rPr>
              <w:t>Annual Cost</w:t>
            </w:r>
          </w:p>
          <w:p w:rsidR="00D4726A" w:rsidRPr="006C7FAE" w:rsidP="00480F1E" w14:paraId="2DF31BA5" w14:textId="77777777">
            <w:pPr>
              <w:adjustRightInd/>
              <w:jc w:val="center"/>
              <w:textAlignment w:val="auto"/>
              <w:rPr>
                <w:rFonts w:eastAsia="Calibri"/>
                <w:b/>
                <w:bCs/>
                <w:color w:val="000000"/>
              </w:rPr>
            </w:pPr>
          </w:p>
        </w:tc>
      </w:tr>
      <w:tr w14:paraId="72EA83E0" w14:textId="77777777" w:rsidTr="00336B0F">
        <w:tblPrEx>
          <w:tblW w:w="10510" w:type="dxa"/>
          <w:tblInd w:w="588" w:type="dxa"/>
          <w:tblLayout w:type="fixed"/>
          <w:tblCellMar>
            <w:left w:w="0" w:type="dxa"/>
            <w:right w:w="0" w:type="dxa"/>
          </w:tblCellMar>
          <w:tblLook w:val="04A0"/>
        </w:tblPrEx>
        <w:trPr>
          <w:trHeight w:val="476"/>
        </w:trPr>
        <w:tc>
          <w:tcPr>
            <w:tcW w:w="161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4726A" w:rsidRPr="006C7FAE" w:rsidP="00480F1E" w14:paraId="3D44BD6B" w14:textId="77777777">
            <w:pPr>
              <w:adjustRightInd/>
              <w:textAlignment w:val="auto"/>
              <w:rPr>
                <w:rFonts w:eastAsia="Calibri"/>
                <w:b/>
                <w:bCs/>
                <w:color w:val="000000"/>
              </w:rPr>
            </w:pPr>
            <w:r>
              <w:rPr>
                <w:bCs/>
                <w:color w:val="000000"/>
              </w:rPr>
              <w:t>Exempt/ CENST reviews</w:t>
            </w:r>
          </w:p>
        </w:tc>
        <w:tc>
          <w:tcPr>
            <w:tcW w:w="1209" w:type="dxa"/>
            <w:tcBorders>
              <w:top w:val="nil"/>
              <w:left w:val="nil"/>
              <w:bottom w:val="single" w:sz="8" w:space="0" w:color="auto"/>
              <w:right w:val="nil"/>
            </w:tcBorders>
          </w:tcPr>
          <w:p w:rsidR="00D4726A" w:rsidP="00480F1E" w14:paraId="1123851F" w14:textId="77777777">
            <w:pPr>
              <w:adjustRightInd/>
              <w:jc w:val="center"/>
              <w:textAlignment w:val="auto"/>
              <w:rPr>
                <w:bCs/>
                <w:color w:val="000000"/>
              </w:rPr>
            </w:pPr>
          </w:p>
        </w:tc>
        <w:tc>
          <w:tcPr>
            <w:tcW w:w="1209" w:type="dxa"/>
            <w:tcBorders>
              <w:top w:val="nil"/>
              <w:left w:val="nil"/>
              <w:bottom w:val="single" w:sz="8" w:space="0" w:color="auto"/>
              <w:right w:val="single" w:sz="8" w:space="0" w:color="auto"/>
            </w:tcBorders>
            <w:tcMar>
              <w:top w:w="0" w:type="dxa"/>
              <w:left w:w="108" w:type="dxa"/>
              <w:bottom w:w="0" w:type="dxa"/>
              <w:right w:w="108" w:type="dxa"/>
            </w:tcMar>
            <w:vAlign w:val="center"/>
          </w:tcPr>
          <w:p w:rsidR="00D4726A" w:rsidRPr="006C7FAE" w:rsidP="00480F1E" w14:paraId="1AB6A22C" w14:textId="77777777">
            <w:pPr>
              <w:adjustRightInd/>
              <w:jc w:val="center"/>
              <w:textAlignment w:val="auto"/>
              <w:rPr>
                <w:rFonts w:eastAsia="Calibri"/>
                <w:b/>
                <w:bCs/>
                <w:color w:val="000000"/>
              </w:rPr>
            </w:pPr>
            <w:r>
              <w:rPr>
                <w:bCs/>
                <w:color w:val="000000"/>
              </w:rPr>
              <w:t>500</w:t>
            </w:r>
          </w:p>
        </w:tc>
        <w:tc>
          <w:tcPr>
            <w:tcW w:w="1082" w:type="dxa"/>
            <w:tcBorders>
              <w:top w:val="nil"/>
              <w:left w:val="nil"/>
              <w:bottom w:val="single" w:sz="8" w:space="0" w:color="auto"/>
              <w:right w:val="single" w:sz="8" w:space="0" w:color="auto"/>
            </w:tcBorders>
            <w:tcMar>
              <w:top w:w="0" w:type="dxa"/>
              <w:left w:w="108" w:type="dxa"/>
              <w:bottom w:w="0" w:type="dxa"/>
              <w:right w:w="108" w:type="dxa"/>
            </w:tcMar>
            <w:vAlign w:val="center"/>
          </w:tcPr>
          <w:p w:rsidR="00D4726A" w:rsidRPr="006C7FAE" w:rsidP="00480F1E" w14:paraId="6B783664" w14:textId="77777777">
            <w:pPr>
              <w:adjustRightInd/>
              <w:jc w:val="center"/>
              <w:textAlignment w:val="auto"/>
              <w:rPr>
                <w:rFonts w:eastAsia="Calibri"/>
                <w:b/>
                <w:bCs/>
                <w:color w:val="000000"/>
              </w:rPr>
            </w:pPr>
            <w:r>
              <w:rPr>
                <w:rFonts w:eastAsia="Calibri"/>
                <w:color w:val="000000"/>
              </w:rPr>
              <w:t>34.75</w:t>
            </w:r>
          </w:p>
        </w:tc>
        <w:tc>
          <w:tcPr>
            <w:tcW w:w="1117" w:type="dxa"/>
            <w:tcBorders>
              <w:top w:val="nil"/>
              <w:left w:val="nil"/>
              <w:bottom w:val="single" w:sz="8" w:space="0" w:color="auto"/>
              <w:right w:val="single" w:sz="8" w:space="0" w:color="auto"/>
            </w:tcBorders>
            <w:tcMar>
              <w:top w:w="0" w:type="dxa"/>
              <w:left w:w="108" w:type="dxa"/>
              <w:bottom w:w="0" w:type="dxa"/>
              <w:right w:w="108" w:type="dxa"/>
            </w:tcMar>
            <w:vAlign w:val="center"/>
          </w:tcPr>
          <w:p w:rsidR="00D4726A" w:rsidRPr="006C7FAE" w:rsidP="00480F1E" w14:paraId="7DCB944F" w14:textId="10BDCD7A">
            <w:pPr>
              <w:adjustRightInd/>
              <w:jc w:val="center"/>
              <w:textAlignment w:val="auto"/>
              <w:rPr>
                <w:rFonts w:eastAsia="Calibri"/>
                <w:b/>
                <w:bCs/>
                <w:color w:val="000000"/>
              </w:rPr>
            </w:pPr>
            <w:r>
              <w:rPr>
                <w:rFonts w:eastAsia="Calibri"/>
                <w:bCs/>
                <w:color w:val="000000"/>
              </w:rPr>
              <w:t>17,37</w:t>
            </w:r>
            <w:r w:rsidR="009C1C31">
              <w:rPr>
                <w:rFonts w:eastAsia="Calibri"/>
                <w:bCs/>
                <w:color w:val="000000"/>
              </w:rPr>
              <w:t>5</w:t>
            </w:r>
          </w:p>
        </w:tc>
        <w:tc>
          <w:tcPr>
            <w:tcW w:w="1037" w:type="dxa"/>
            <w:tcBorders>
              <w:top w:val="nil"/>
              <w:left w:val="nil"/>
              <w:bottom w:val="single" w:sz="8" w:space="0" w:color="auto"/>
              <w:right w:val="single" w:sz="8" w:space="0" w:color="auto"/>
            </w:tcBorders>
            <w:tcMar>
              <w:top w:w="0" w:type="dxa"/>
              <w:left w:w="108" w:type="dxa"/>
              <w:bottom w:w="0" w:type="dxa"/>
              <w:right w:w="108" w:type="dxa"/>
            </w:tcMar>
            <w:vAlign w:val="center"/>
          </w:tcPr>
          <w:p w:rsidR="00D4726A" w:rsidRPr="006C7FAE" w:rsidP="00480F1E" w14:paraId="06058FD1" w14:textId="77777777">
            <w:pPr>
              <w:adjustRightInd/>
              <w:jc w:val="center"/>
              <w:textAlignment w:val="auto"/>
              <w:rPr>
                <w:rFonts w:eastAsia="Calibri"/>
                <w:b/>
                <w:bCs/>
                <w:color w:val="000000"/>
              </w:rPr>
            </w:pPr>
            <w:r>
              <w:rPr>
                <w:rFonts w:eastAsia="Calibri"/>
                <w:bCs/>
                <w:color w:val="000000"/>
              </w:rPr>
              <w:t>0.75</w:t>
            </w:r>
          </w:p>
        </w:tc>
        <w:tc>
          <w:tcPr>
            <w:tcW w:w="884" w:type="dxa"/>
            <w:tcBorders>
              <w:top w:val="nil"/>
              <w:left w:val="nil"/>
              <w:bottom w:val="single" w:sz="8" w:space="0" w:color="auto"/>
              <w:right w:val="single" w:sz="8" w:space="0" w:color="auto"/>
            </w:tcBorders>
            <w:tcMar>
              <w:top w:w="0" w:type="dxa"/>
              <w:left w:w="108" w:type="dxa"/>
              <w:bottom w:w="0" w:type="dxa"/>
              <w:right w:w="108" w:type="dxa"/>
            </w:tcMar>
            <w:vAlign w:val="center"/>
          </w:tcPr>
          <w:p w:rsidR="00D4726A" w:rsidRPr="006C7FAE" w:rsidP="00480F1E" w14:paraId="1E6AF4CF" w14:textId="0463E299">
            <w:pPr>
              <w:adjustRightInd/>
              <w:jc w:val="center"/>
              <w:textAlignment w:val="auto"/>
              <w:rPr>
                <w:rFonts w:eastAsia="Calibri"/>
                <w:b/>
                <w:bCs/>
                <w:color w:val="000000"/>
              </w:rPr>
            </w:pPr>
            <w:r>
              <w:rPr>
                <w:rFonts w:eastAsia="Calibri"/>
                <w:color w:val="000000"/>
              </w:rPr>
              <w:t>13,03</w:t>
            </w:r>
            <w:r w:rsidR="00D517E6">
              <w:rPr>
                <w:rFonts w:eastAsia="Calibri"/>
                <w:color w:val="000000"/>
              </w:rPr>
              <w:t>1</w:t>
            </w:r>
          </w:p>
        </w:tc>
        <w:tc>
          <w:tcPr>
            <w:tcW w:w="977" w:type="dxa"/>
            <w:tcBorders>
              <w:top w:val="nil"/>
              <w:left w:val="nil"/>
              <w:bottom w:val="single" w:sz="8" w:space="0" w:color="auto"/>
              <w:right w:val="single" w:sz="8" w:space="0" w:color="auto"/>
            </w:tcBorders>
            <w:tcMar>
              <w:top w:w="0" w:type="dxa"/>
              <w:left w:w="108" w:type="dxa"/>
              <w:bottom w:w="0" w:type="dxa"/>
              <w:right w:w="108" w:type="dxa"/>
            </w:tcMar>
            <w:vAlign w:val="center"/>
          </w:tcPr>
          <w:p w:rsidR="00D4726A" w:rsidRPr="0030283E" w:rsidP="00480F1E" w14:paraId="083E5F4D" w14:textId="77777777">
            <w:pPr>
              <w:adjustRightInd/>
              <w:jc w:val="center"/>
              <w:textAlignment w:val="auto"/>
              <w:rPr>
                <w:rFonts w:eastAsia="Calibri"/>
                <w:b/>
                <w:bCs/>
                <w:color w:val="000000"/>
                <w:highlight w:val="yellow"/>
              </w:rPr>
            </w:pPr>
            <w:r>
              <w:rPr>
                <w:rFonts w:eastAsia="Calibri"/>
                <w:bCs/>
                <w:color w:val="000000"/>
              </w:rPr>
              <w:t>$39.63</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center"/>
          </w:tcPr>
          <w:p w:rsidR="00D4726A" w:rsidRPr="006C7FAE" w:rsidP="00480F1E" w14:paraId="5BDAC5FE" w14:textId="03635C23">
            <w:pPr>
              <w:adjustRightInd/>
              <w:jc w:val="center"/>
              <w:textAlignment w:val="auto"/>
              <w:rPr>
                <w:rFonts w:eastAsia="Calibri"/>
                <w:b/>
                <w:bCs/>
                <w:color w:val="000000"/>
              </w:rPr>
            </w:pPr>
            <w:r w:rsidRPr="00A750DD">
              <w:rPr>
                <w:rFonts w:eastAsia="Calibri"/>
                <w:bCs/>
                <w:color w:val="000000"/>
              </w:rPr>
              <w:t>$516,4</w:t>
            </w:r>
            <w:r w:rsidR="00D517E6">
              <w:rPr>
                <w:rFonts w:eastAsia="Calibri"/>
                <w:bCs/>
                <w:color w:val="000000"/>
              </w:rPr>
              <w:t>28</w:t>
            </w:r>
            <w:r w:rsidRPr="00A750DD">
              <w:rPr>
                <w:rFonts w:eastAsia="Calibri"/>
                <w:bCs/>
                <w:color w:val="000000"/>
              </w:rPr>
              <w:t>.16</w:t>
            </w:r>
          </w:p>
        </w:tc>
      </w:tr>
      <w:tr w14:paraId="5EE5446D" w14:textId="77777777" w:rsidTr="00336B0F">
        <w:tblPrEx>
          <w:tblW w:w="10510" w:type="dxa"/>
          <w:tblInd w:w="588" w:type="dxa"/>
          <w:tblLayout w:type="fixed"/>
          <w:tblCellMar>
            <w:left w:w="0" w:type="dxa"/>
            <w:right w:w="0" w:type="dxa"/>
          </w:tblCellMar>
          <w:tblLook w:val="04A0"/>
        </w:tblPrEx>
        <w:trPr>
          <w:trHeight w:val="476"/>
        </w:trPr>
        <w:tc>
          <w:tcPr>
            <w:tcW w:w="161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4726A" w:rsidRPr="00D978AC" w:rsidP="00480F1E" w14:paraId="29D22A14" w14:textId="77777777">
            <w:pPr>
              <w:adjustRightInd/>
              <w:textAlignment w:val="auto"/>
              <w:rPr>
                <w:bCs/>
                <w:color w:val="000000"/>
              </w:rPr>
            </w:pPr>
            <w:r>
              <w:rPr>
                <w:color w:val="000000"/>
              </w:rPr>
              <w:t>Reviews that convert to exempt</w:t>
            </w:r>
          </w:p>
        </w:tc>
        <w:tc>
          <w:tcPr>
            <w:tcW w:w="1209" w:type="dxa"/>
            <w:tcBorders>
              <w:top w:val="nil"/>
              <w:left w:val="nil"/>
              <w:bottom w:val="single" w:sz="8" w:space="0" w:color="auto"/>
              <w:right w:val="nil"/>
            </w:tcBorders>
          </w:tcPr>
          <w:p w:rsidR="00D4726A" w:rsidP="00480F1E" w14:paraId="7EA504EC" w14:textId="77777777">
            <w:pPr>
              <w:adjustRightInd/>
              <w:jc w:val="center"/>
              <w:textAlignment w:val="auto"/>
              <w:rPr>
                <w:color w:val="000000"/>
              </w:rPr>
            </w:pPr>
          </w:p>
        </w:tc>
        <w:tc>
          <w:tcPr>
            <w:tcW w:w="1209" w:type="dxa"/>
            <w:tcBorders>
              <w:top w:val="nil"/>
              <w:left w:val="nil"/>
              <w:bottom w:val="single" w:sz="8" w:space="0" w:color="auto"/>
              <w:right w:val="single" w:sz="8" w:space="0" w:color="auto"/>
            </w:tcBorders>
            <w:tcMar>
              <w:top w:w="0" w:type="dxa"/>
              <w:left w:w="108" w:type="dxa"/>
              <w:bottom w:w="0" w:type="dxa"/>
              <w:right w:w="108" w:type="dxa"/>
            </w:tcMar>
            <w:vAlign w:val="center"/>
          </w:tcPr>
          <w:p w:rsidR="00D4726A" w:rsidRPr="00D978AC" w:rsidP="00480F1E" w14:paraId="1BBAD2C3" w14:textId="77777777">
            <w:pPr>
              <w:adjustRightInd/>
              <w:jc w:val="center"/>
              <w:textAlignment w:val="auto"/>
              <w:rPr>
                <w:bCs/>
                <w:color w:val="000000"/>
              </w:rPr>
            </w:pPr>
            <w:r>
              <w:rPr>
                <w:color w:val="000000"/>
              </w:rPr>
              <w:t>500</w:t>
            </w:r>
          </w:p>
        </w:tc>
        <w:tc>
          <w:tcPr>
            <w:tcW w:w="1082" w:type="dxa"/>
            <w:tcBorders>
              <w:top w:val="nil"/>
              <w:left w:val="nil"/>
              <w:bottom w:val="single" w:sz="8" w:space="0" w:color="auto"/>
              <w:right w:val="single" w:sz="8" w:space="0" w:color="auto"/>
            </w:tcBorders>
            <w:tcMar>
              <w:top w:w="0" w:type="dxa"/>
              <w:left w:w="108" w:type="dxa"/>
              <w:bottom w:w="0" w:type="dxa"/>
              <w:right w:w="108" w:type="dxa"/>
            </w:tcMar>
            <w:vAlign w:val="center"/>
          </w:tcPr>
          <w:p w:rsidR="00D4726A" w:rsidRPr="00D978AC" w:rsidP="00480F1E" w14:paraId="69345496" w14:textId="77777777">
            <w:pPr>
              <w:adjustRightInd/>
              <w:jc w:val="center"/>
              <w:textAlignment w:val="auto"/>
              <w:rPr>
                <w:rFonts w:eastAsia="Calibri"/>
                <w:bCs/>
                <w:color w:val="000000"/>
              </w:rPr>
            </w:pPr>
            <w:r>
              <w:rPr>
                <w:color w:val="000000"/>
              </w:rPr>
              <w:t>12.35</w:t>
            </w:r>
          </w:p>
        </w:tc>
        <w:tc>
          <w:tcPr>
            <w:tcW w:w="1117" w:type="dxa"/>
            <w:tcBorders>
              <w:top w:val="nil"/>
              <w:left w:val="nil"/>
              <w:bottom w:val="single" w:sz="8" w:space="0" w:color="auto"/>
              <w:right w:val="single" w:sz="8" w:space="0" w:color="auto"/>
            </w:tcBorders>
            <w:tcMar>
              <w:top w:w="0" w:type="dxa"/>
              <w:left w:w="108" w:type="dxa"/>
              <w:bottom w:w="0" w:type="dxa"/>
              <w:right w:w="108" w:type="dxa"/>
            </w:tcMar>
            <w:vAlign w:val="center"/>
          </w:tcPr>
          <w:p w:rsidR="00D4726A" w:rsidRPr="00D978AC" w:rsidP="00480F1E" w14:paraId="179DDEDA" w14:textId="6BC94CE9">
            <w:pPr>
              <w:adjustRightInd/>
              <w:jc w:val="center"/>
              <w:textAlignment w:val="auto"/>
              <w:rPr>
                <w:rFonts w:eastAsia="Calibri"/>
                <w:bCs/>
                <w:color w:val="000000"/>
              </w:rPr>
            </w:pPr>
            <w:r>
              <w:rPr>
                <w:color w:val="000000"/>
              </w:rPr>
              <w:t>6,1</w:t>
            </w:r>
            <w:r w:rsidR="009C1C31">
              <w:rPr>
                <w:color w:val="000000"/>
              </w:rPr>
              <w:t>75</w:t>
            </w:r>
          </w:p>
        </w:tc>
        <w:tc>
          <w:tcPr>
            <w:tcW w:w="1037" w:type="dxa"/>
            <w:tcBorders>
              <w:top w:val="nil"/>
              <w:left w:val="nil"/>
              <w:bottom w:val="single" w:sz="8" w:space="0" w:color="auto"/>
              <w:right w:val="single" w:sz="8" w:space="0" w:color="auto"/>
            </w:tcBorders>
            <w:tcMar>
              <w:top w:w="0" w:type="dxa"/>
              <w:left w:w="108" w:type="dxa"/>
              <w:bottom w:w="0" w:type="dxa"/>
              <w:right w:w="108" w:type="dxa"/>
            </w:tcMar>
            <w:vAlign w:val="center"/>
          </w:tcPr>
          <w:p w:rsidR="00D4726A" w:rsidP="00480F1E" w14:paraId="1E7B1B4D" w14:textId="77777777">
            <w:pPr>
              <w:adjustRightInd/>
              <w:jc w:val="center"/>
              <w:textAlignment w:val="auto"/>
              <w:rPr>
                <w:rFonts w:eastAsia="Calibri"/>
                <w:bCs/>
                <w:color w:val="000000"/>
              </w:rPr>
            </w:pPr>
            <w:r>
              <w:rPr>
                <w:color w:val="000000"/>
              </w:rPr>
              <w:t>2</w:t>
            </w:r>
          </w:p>
        </w:tc>
        <w:tc>
          <w:tcPr>
            <w:tcW w:w="884" w:type="dxa"/>
            <w:tcBorders>
              <w:top w:val="nil"/>
              <w:left w:val="nil"/>
              <w:bottom w:val="single" w:sz="8" w:space="0" w:color="auto"/>
              <w:right w:val="single" w:sz="8" w:space="0" w:color="auto"/>
            </w:tcBorders>
            <w:tcMar>
              <w:top w:w="0" w:type="dxa"/>
              <w:left w:w="108" w:type="dxa"/>
              <w:bottom w:w="0" w:type="dxa"/>
              <w:right w:w="108" w:type="dxa"/>
            </w:tcMar>
            <w:vAlign w:val="center"/>
          </w:tcPr>
          <w:p w:rsidR="00D4726A" w:rsidRPr="00D978AC" w:rsidP="00480F1E" w14:paraId="73D32519" w14:textId="58A594C2">
            <w:pPr>
              <w:adjustRightInd/>
              <w:jc w:val="center"/>
              <w:textAlignment w:val="auto"/>
              <w:rPr>
                <w:rFonts w:eastAsia="Calibri"/>
                <w:bCs/>
                <w:color w:val="000000"/>
              </w:rPr>
            </w:pPr>
            <w:r>
              <w:rPr>
                <w:color w:val="000000"/>
              </w:rPr>
              <w:t>12,</w:t>
            </w:r>
            <w:r w:rsidR="00D517E6">
              <w:rPr>
                <w:color w:val="000000"/>
              </w:rPr>
              <w:t>350</w:t>
            </w:r>
          </w:p>
        </w:tc>
        <w:tc>
          <w:tcPr>
            <w:tcW w:w="977" w:type="dxa"/>
            <w:tcBorders>
              <w:top w:val="nil"/>
              <w:left w:val="nil"/>
              <w:bottom w:val="single" w:sz="8" w:space="0" w:color="auto"/>
              <w:right w:val="single" w:sz="8" w:space="0" w:color="auto"/>
            </w:tcBorders>
            <w:tcMar>
              <w:top w:w="0" w:type="dxa"/>
              <w:left w:w="108" w:type="dxa"/>
              <w:bottom w:w="0" w:type="dxa"/>
              <w:right w:w="108" w:type="dxa"/>
            </w:tcMar>
            <w:vAlign w:val="center"/>
          </w:tcPr>
          <w:p w:rsidR="00D4726A" w:rsidP="00480F1E" w14:paraId="06431EE8" w14:textId="77777777">
            <w:pPr>
              <w:adjustRightInd/>
              <w:jc w:val="center"/>
              <w:textAlignment w:val="auto"/>
              <w:rPr>
                <w:rFonts w:eastAsia="Calibri"/>
                <w:bCs/>
                <w:color w:val="000000"/>
              </w:rPr>
            </w:pPr>
            <w:r w:rsidRPr="00C0148C">
              <w:rPr>
                <w:rFonts w:eastAsia="Calibri"/>
                <w:bCs/>
                <w:color w:val="000000"/>
              </w:rPr>
              <w:t>$39.63</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center"/>
          </w:tcPr>
          <w:p w:rsidR="00D4726A" w:rsidP="00480F1E" w14:paraId="58055045" w14:textId="28550296">
            <w:pPr>
              <w:adjustRightInd/>
              <w:jc w:val="center"/>
              <w:textAlignment w:val="auto"/>
              <w:rPr>
                <w:rFonts w:eastAsia="Calibri"/>
                <w:bCs/>
                <w:color w:val="000000"/>
              </w:rPr>
            </w:pPr>
            <w:r w:rsidRPr="00A750DD">
              <w:rPr>
                <w:color w:val="000000"/>
              </w:rPr>
              <w:t>$</w:t>
            </w:r>
            <w:r w:rsidR="00D517E6">
              <w:rPr>
                <w:color w:val="000000"/>
              </w:rPr>
              <w:t>489,430.50</w:t>
            </w:r>
          </w:p>
        </w:tc>
      </w:tr>
      <w:tr w14:paraId="79747947" w14:textId="77777777" w:rsidTr="00336B0F">
        <w:tblPrEx>
          <w:tblW w:w="10510" w:type="dxa"/>
          <w:tblInd w:w="588" w:type="dxa"/>
          <w:tblLayout w:type="fixed"/>
          <w:tblCellMar>
            <w:left w:w="0" w:type="dxa"/>
            <w:right w:w="0" w:type="dxa"/>
          </w:tblCellMar>
          <w:tblLook w:val="04A0"/>
        </w:tblPrEx>
        <w:trPr>
          <w:trHeight w:val="476"/>
        </w:trPr>
        <w:tc>
          <w:tcPr>
            <w:tcW w:w="1613" w:type="dxa"/>
            <w:tcBorders>
              <w:top w:val="nil"/>
              <w:left w:val="single" w:sz="8" w:space="0" w:color="auto"/>
              <w:bottom w:val="double" w:sz="4" w:space="0" w:color="auto"/>
              <w:right w:val="single" w:sz="8" w:space="0" w:color="auto"/>
            </w:tcBorders>
            <w:tcMar>
              <w:top w:w="0" w:type="dxa"/>
              <w:left w:w="108" w:type="dxa"/>
              <w:bottom w:w="0" w:type="dxa"/>
              <w:right w:w="108" w:type="dxa"/>
            </w:tcMar>
            <w:vAlign w:val="center"/>
          </w:tcPr>
          <w:p w:rsidR="00D4726A" w:rsidRPr="00616FC6" w:rsidP="00480F1E" w14:paraId="1C7EEFE1" w14:textId="77777777">
            <w:pPr>
              <w:adjustRightInd/>
              <w:textAlignment w:val="auto"/>
              <w:rPr>
                <w:color w:val="000000"/>
              </w:rPr>
            </w:pPr>
            <w:r w:rsidRPr="00616FC6">
              <w:rPr>
                <w:color w:val="000000"/>
              </w:rPr>
              <w:t>CEST/EA reviews</w:t>
            </w:r>
          </w:p>
        </w:tc>
        <w:tc>
          <w:tcPr>
            <w:tcW w:w="1209" w:type="dxa"/>
            <w:tcBorders>
              <w:top w:val="nil"/>
              <w:left w:val="nil"/>
              <w:bottom w:val="double" w:sz="4" w:space="0" w:color="auto"/>
              <w:right w:val="nil"/>
            </w:tcBorders>
          </w:tcPr>
          <w:p w:rsidR="00D4726A" w:rsidRPr="00616FC6" w:rsidP="00480F1E" w14:paraId="4CC53BE4" w14:textId="77777777">
            <w:pPr>
              <w:adjustRightInd/>
              <w:jc w:val="center"/>
              <w:textAlignment w:val="auto"/>
              <w:rPr>
                <w:color w:val="000000"/>
              </w:rPr>
            </w:pPr>
          </w:p>
        </w:tc>
        <w:tc>
          <w:tcPr>
            <w:tcW w:w="1209" w:type="dxa"/>
            <w:tcBorders>
              <w:top w:val="nil"/>
              <w:left w:val="nil"/>
              <w:bottom w:val="double" w:sz="4" w:space="0" w:color="auto"/>
              <w:right w:val="single" w:sz="8" w:space="0" w:color="auto"/>
            </w:tcBorders>
            <w:tcMar>
              <w:top w:w="0" w:type="dxa"/>
              <w:left w:w="108" w:type="dxa"/>
              <w:bottom w:w="0" w:type="dxa"/>
              <w:right w:w="108" w:type="dxa"/>
            </w:tcMar>
            <w:vAlign w:val="center"/>
          </w:tcPr>
          <w:p w:rsidR="00D4726A" w:rsidRPr="00616FC6" w:rsidP="00480F1E" w14:paraId="459779A9" w14:textId="77777777">
            <w:pPr>
              <w:adjustRightInd/>
              <w:jc w:val="center"/>
              <w:textAlignment w:val="auto"/>
              <w:rPr>
                <w:color w:val="000000"/>
              </w:rPr>
            </w:pPr>
            <w:r w:rsidRPr="00616FC6">
              <w:rPr>
                <w:color w:val="000000"/>
              </w:rPr>
              <w:t>250</w:t>
            </w:r>
          </w:p>
        </w:tc>
        <w:tc>
          <w:tcPr>
            <w:tcW w:w="1082" w:type="dxa"/>
            <w:tcBorders>
              <w:top w:val="nil"/>
              <w:left w:val="nil"/>
              <w:bottom w:val="double" w:sz="4" w:space="0" w:color="auto"/>
              <w:right w:val="single" w:sz="8" w:space="0" w:color="auto"/>
            </w:tcBorders>
            <w:tcMar>
              <w:top w:w="0" w:type="dxa"/>
              <w:left w:w="108" w:type="dxa"/>
              <w:bottom w:w="0" w:type="dxa"/>
              <w:right w:w="108" w:type="dxa"/>
            </w:tcMar>
            <w:vAlign w:val="center"/>
          </w:tcPr>
          <w:p w:rsidR="00D4726A" w:rsidRPr="00616FC6" w:rsidP="00480F1E" w14:paraId="5F232E72" w14:textId="77777777">
            <w:pPr>
              <w:adjustRightInd/>
              <w:jc w:val="center"/>
              <w:textAlignment w:val="auto"/>
              <w:rPr>
                <w:color w:val="000000"/>
              </w:rPr>
            </w:pPr>
            <w:r>
              <w:rPr>
                <w:color w:val="000000"/>
              </w:rPr>
              <w:t>11.34</w:t>
            </w:r>
          </w:p>
        </w:tc>
        <w:tc>
          <w:tcPr>
            <w:tcW w:w="1117" w:type="dxa"/>
            <w:tcBorders>
              <w:top w:val="nil"/>
              <w:left w:val="nil"/>
              <w:bottom w:val="double" w:sz="4" w:space="0" w:color="auto"/>
              <w:right w:val="single" w:sz="8" w:space="0" w:color="auto"/>
            </w:tcBorders>
            <w:tcMar>
              <w:top w:w="0" w:type="dxa"/>
              <w:left w:w="108" w:type="dxa"/>
              <w:bottom w:w="0" w:type="dxa"/>
              <w:right w:w="108" w:type="dxa"/>
            </w:tcMar>
            <w:vAlign w:val="center"/>
          </w:tcPr>
          <w:p w:rsidR="00D4726A" w:rsidRPr="00616FC6" w:rsidP="00480F1E" w14:paraId="63B9B463" w14:textId="0715EBA4">
            <w:pPr>
              <w:adjustRightInd/>
              <w:jc w:val="center"/>
              <w:textAlignment w:val="auto"/>
              <w:rPr>
                <w:color w:val="000000"/>
              </w:rPr>
            </w:pPr>
            <w:r>
              <w:rPr>
                <w:color w:val="000000"/>
              </w:rPr>
              <w:t>2,83</w:t>
            </w:r>
            <w:r w:rsidR="009C1C31">
              <w:rPr>
                <w:color w:val="000000"/>
              </w:rPr>
              <w:t>5</w:t>
            </w:r>
          </w:p>
        </w:tc>
        <w:tc>
          <w:tcPr>
            <w:tcW w:w="1037" w:type="dxa"/>
            <w:tcBorders>
              <w:top w:val="nil"/>
              <w:left w:val="nil"/>
              <w:bottom w:val="double" w:sz="4" w:space="0" w:color="auto"/>
              <w:right w:val="single" w:sz="8" w:space="0" w:color="auto"/>
            </w:tcBorders>
            <w:tcMar>
              <w:top w:w="0" w:type="dxa"/>
              <w:left w:w="108" w:type="dxa"/>
              <w:bottom w:w="0" w:type="dxa"/>
              <w:right w:w="108" w:type="dxa"/>
            </w:tcMar>
            <w:vAlign w:val="center"/>
          </w:tcPr>
          <w:p w:rsidR="00D4726A" w:rsidRPr="00616FC6" w:rsidP="00480F1E" w14:paraId="664A2629" w14:textId="77777777">
            <w:pPr>
              <w:adjustRightInd/>
              <w:jc w:val="center"/>
              <w:textAlignment w:val="auto"/>
              <w:rPr>
                <w:color w:val="000000"/>
              </w:rPr>
            </w:pPr>
            <w:r w:rsidRPr="00616FC6">
              <w:rPr>
                <w:color w:val="000000"/>
              </w:rPr>
              <w:t>4</w:t>
            </w:r>
          </w:p>
        </w:tc>
        <w:tc>
          <w:tcPr>
            <w:tcW w:w="884" w:type="dxa"/>
            <w:tcBorders>
              <w:top w:val="nil"/>
              <w:left w:val="nil"/>
              <w:bottom w:val="double" w:sz="4" w:space="0" w:color="auto"/>
              <w:right w:val="single" w:sz="8" w:space="0" w:color="auto"/>
            </w:tcBorders>
            <w:tcMar>
              <w:top w:w="0" w:type="dxa"/>
              <w:left w:w="108" w:type="dxa"/>
              <w:bottom w:w="0" w:type="dxa"/>
              <w:right w:w="108" w:type="dxa"/>
            </w:tcMar>
            <w:vAlign w:val="center"/>
          </w:tcPr>
          <w:p w:rsidR="00D4726A" w:rsidRPr="00616FC6" w:rsidP="00480F1E" w14:paraId="45A6D7D3" w14:textId="4C7355D4">
            <w:pPr>
              <w:adjustRightInd/>
              <w:jc w:val="center"/>
              <w:textAlignment w:val="auto"/>
              <w:rPr>
                <w:color w:val="000000"/>
              </w:rPr>
            </w:pPr>
            <w:r>
              <w:rPr>
                <w:color w:val="000000"/>
              </w:rPr>
              <w:t>11,3</w:t>
            </w:r>
            <w:r w:rsidR="00D517E6">
              <w:rPr>
                <w:color w:val="000000"/>
              </w:rPr>
              <w:t>40</w:t>
            </w:r>
          </w:p>
        </w:tc>
        <w:tc>
          <w:tcPr>
            <w:tcW w:w="977" w:type="dxa"/>
            <w:tcBorders>
              <w:top w:val="nil"/>
              <w:left w:val="nil"/>
              <w:bottom w:val="double" w:sz="4" w:space="0" w:color="auto"/>
              <w:right w:val="single" w:sz="8" w:space="0" w:color="auto"/>
            </w:tcBorders>
            <w:tcMar>
              <w:top w:w="0" w:type="dxa"/>
              <w:left w:w="108" w:type="dxa"/>
              <w:bottom w:w="0" w:type="dxa"/>
              <w:right w:w="108" w:type="dxa"/>
            </w:tcMar>
            <w:vAlign w:val="center"/>
          </w:tcPr>
          <w:p w:rsidR="00D4726A" w:rsidRPr="00616FC6" w:rsidP="00480F1E" w14:paraId="2CB286D4" w14:textId="77777777">
            <w:pPr>
              <w:adjustRightInd/>
              <w:jc w:val="center"/>
              <w:textAlignment w:val="auto"/>
              <w:rPr>
                <w:color w:val="000000"/>
              </w:rPr>
            </w:pPr>
            <w:r w:rsidRPr="00C0148C">
              <w:rPr>
                <w:color w:val="000000"/>
              </w:rPr>
              <w:t>$39.63</w:t>
            </w:r>
          </w:p>
        </w:tc>
        <w:tc>
          <w:tcPr>
            <w:tcW w:w="1382" w:type="dxa"/>
            <w:tcBorders>
              <w:top w:val="nil"/>
              <w:left w:val="nil"/>
              <w:bottom w:val="double" w:sz="4" w:space="0" w:color="auto"/>
              <w:right w:val="single" w:sz="8" w:space="0" w:color="auto"/>
            </w:tcBorders>
            <w:tcMar>
              <w:top w:w="0" w:type="dxa"/>
              <w:left w:w="108" w:type="dxa"/>
              <w:bottom w:w="0" w:type="dxa"/>
              <w:right w:w="108" w:type="dxa"/>
            </w:tcMar>
            <w:vAlign w:val="center"/>
          </w:tcPr>
          <w:p w:rsidR="00D4726A" w:rsidRPr="00616FC6" w:rsidP="00480F1E" w14:paraId="57EB504D" w14:textId="33A7628C">
            <w:pPr>
              <w:adjustRightInd/>
              <w:jc w:val="center"/>
              <w:textAlignment w:val="auto"/>
              <w:rPr>
                <w:color w:val="000000"/>
              </w:rPr>
            </w:pPr>
            <w:r w:rsidRPr="00A750DD">
              <w:rPr>
                <w:color w:val="000000"/>
              </w:rPr>
              <w:t>$449,</w:t>
            </w:r>
            <w:r w:rsidR="00DE2863">
              <w:rPr>
                <w:color w:val="000000"/>
              </w:rPr>
              <w:t>404,.20</w:t>
            </w:r>
          </w:p>
        </w:tc>
      </w:tr>
      <w:tr w14:paraId="2F477EE8" w14:textId="77777777" w:rsidTr="00336B0F">
        <w:tblPrEx>
          <w:tblW w:w="10510" w:type="dxa"/>
          <w:tblInd w:w="588" w:type="dxa"/>
          <w:tblLayout w:type="fixed"/>
          <w:tblCellMar>
            <w:left w:w="0" w:type="dxa"/>
            <w:right w:w="0" w:type="dxa"/>
          </w:tblCellMar>
          <w:tblLook w:val="04A0"/>
        </w:tblPrEx>
        <w:trPr>
          <w:trHeight w:val="310"/>
        </w:trPr>
        <w:tc>
          <w:tcPr>
            <w:tcW w:w="1613" w:type="dxa"/>
            <w:tcBorders>
              <w:top w:val="doub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4726A" w:rsidRPr="00616FC6" w:rsidP="00480F1E" w14:paraId="045D9ACC" w14:textId="77777777">
            <w:pPr>
              <w:adjustRightInd/>
              <w:textAlignment w:val="auto"/>
              <w:rPr>
                <w:b/>
                <w:bCs/>
                <w:color w:val="000000"/>
              </w:rPr>
            </w:pPr>
            <w:r w:rsidRPr="00616FC6">
              <w:rPr>
                <w:b/>
                <w:bCs/>
                <w:color w:val="000000"/>
              </w:rPr>
              <w:t>Total</w:t>
            </w:r>
          </w:p>
        </w:tc>
        <w:tc>
          <w:tcPr>
            <w:tcW w:w="1209" w:type="dxa"/>
            <w:tcBorders>
              <w:top w:val="double" w:sz="4" w:space="0" w:color="auto"/>
              <w:left w:val="nil"/>
              <w:bottom w:val="single" w:sz="8" w:space="0" w:color="auto"/>
              <w:right w:val="nil"/>
            </w:tcBorders>
          </w:tcPr>
          <w:p w:rsidR="00D4726A" w:rsidRPr="00616FC6" w:rsidP="00480F1E" w14:paraId="16083D48" w14:textId="77777777">
            <w:pPr>
              <w:adjustRightInd/>
              <w:jc w:val="center"/>
              <w:textAlignment w:val="auto"/>
              <w:rPr>
                <w:b/>
                <w:bCs/>
                <w:color w:val="000000"/>
              </w:rPr>
            </w:pPr>
          </w:p>
        </w:tc>
        <w:tc>
          <w:tcPr>
            <w:tcW w:w="1209" w:type="dxa"/>
            <w:tcBorders>
              <w:top w:val="double" w:sz="4" w:space="0" w:color="auto"/>
              <w:left w:val="nil"/>
              <w:bottom w:val="single" w:sz="8" w:space="0" w:color="auto"/>
              <w:right w:val="single" w:sz="8" w:space="0" w:color="auto"/>
            </w:tcBorders>
            <w:tcMar>
              <w:top w:w="0" w:type="dxa"/>
              <w:left w:w="108" w:type="dxa"/>
              <w:bottom w:w="0" w:type="dxa"/>
              <w:right w:w="108" w:type="dxa"/>
            </w:tcMar>
            <w:vAlign w:val="center"/>
          </w:tcPr>
          <w:p w:rsidR="00D4726A" w:rsidRPr="00616FC6" w:rsidP="00480F1E" w14:paraId="5523BD56" w14:textId="77777777">
            <w:pPr>
              <w:adjustRightInd/>
              <w:jc w:val="center"/>
              <w:textAlignment w:val="auto"/>
              <w:rPr>
                <w:b/>
                <w:bCs/>
                <w:color w:val="000000"/>
              </w:rPr>
            </w:pPr>
            <w:r w:rsidRPr="00616FC6">
              <w:rPr>
                <w:b/>
                <w:bCs/>
                <w:color w:val="000000"/>
              </w:rPr>
              <w:t>500</w:t>
            </w:r>
          </w:p>
        </w:tc>
        <w:tc>
          <w:tcPr>
            <w:tcW w:w="1082" w:type="dxa"/>
            <w:tcBorders>
              <w:top w:val="double" w:sz="4" w:space="0" w:color="auto"/>
              <w:left w:val="nil"/>
              <w:bottom w:val="single" w:sz="8" w:space="0" w:color="auto"/>
              <w:right w:val="single" w:sz="8" w:space="0" w:color="auto"/>
            </w:tcBorders>
            <w:tcMar>
              <w:top w:w="0" w:type="dxa"/>
              <w:left w:w="108" w:type="dxa"/>
              <w:bottom w:w="0" w:type="dxa"/>
              <w:right w:w="108" w:type="dxa"/>
            </w:tcMar>
            <w:vAlign w:val="center"/>
          </w:tcPr>
          <w:p w:rsidR="00D4726A" w:rsidRPr="00616FC6" w:rsidP="00480F1E" w14:paraId="57235F56" w14:textId="77777777">
            <w:pPr>
              <w:adjustRightInd/>
              <w:jc w:val="center"/>
              <w:textAlignment w:val="auto"/>
              <w:rPr>
                <w:b/>
                <w:bCs/>
                <w:color w:val="000000"/>
              </w:rPr>
            </w:pPr>
            <w:r>
              <w:rPr>
                <w:b/>
                <w:bCs/>
                <w:color w:val="000000"/>
              </w:rPr>
              <w:t>varies</w:t>
            </w:r>
          </w:p>
        </w:tc>
        <w:tc>
          <w:tcPr>
            <w:tcW w:w="1117" w:type="dxa"/>
            <w:tcBorders>
              <w:top w:val="double" w:sz="4" w:space="0" w:color="auto"/>
              <w:left w:val="nil"/>
              <w:bottom w:val="single" w:sz="8" w:space="0" w:color="auto"/>
              <w:right w:val="single" w:sz="8" w:space="0" w:color="auto"/>
            </w:tcBorders>
            <w:tcMar>
              <w:top w:w="0" w:type="dxa"/>
              <w:left w:w="108" w:type="dxa"/>
              <w:bottom w:w="0" w:type="dxa"/>
              <w:right w:w="108" w:type="dxa"/>
            </w:tcMar>
            <w:vAlign w:val="center"/>
          </w:tcPr>
          <w:p w:rsidR="00D4726A" w:rsidRPr="00616FC6" w:rsidP="00480F1E" w14:paraId="030D50F2" w14:textId="312DD925">
            <w:pPr>
              <w:adjustRightInd/>
              <w:jc w:val="center"/>
              <w:textAlignment w:val="auto"/>
              <w:rPr>
                <w:b/>
                <w:bCs/>
                <w:color w:val="000000"/>
              </w:rPr>
            </w:pPr>
            <w:r>
              <w:rPr>
                <w:b/>
                <w:bCs/>
                <w:color w:val="000000"/>
              </w:rPr>
              <w:t>26,</w:t>
            </w:r>
            <w:r w:rsidR="00D517E6">
              <w:rPr>
                <w:b/>
                <w:bCs/>
                <w:color w:val="000000"/>
              </w:rPr>
              <w:t>385</w:t>
            </w:r>
          </w:p>
        </w:tc>
        <w:tc>
          <w:tcPr>
            <w:tcW w:w="1037" w:type="dxa"/>
            <w:tcBorders>
              <w:top w:val="double" w:sz="4" w:space="0" w:color="auto"/>
              <w:left w:val="nil"/>
              <w:bottom w:val="single" w:sz="8" w:space="0" w:color="auto"/>
              <w:right w:val="single" w:sz="8" w:space="0" w:color="auto"/>
            </w:tcBorders>
            <w:tcMar>
              <w:top w:w="0" w:type="dxa"/>
              <w:left w:w="108" w:type="dxa"/>
              <w:bottom w:w="0" w:type="dxa"/>
              <w:right w:w="108" w:type="dxa"/>
            </w:tcMar>
            <w:vAlign w:val="center"/>
          </w:tcPr>
          <w:p w:rsidR="00D4726A" w:rsidRPr="00616FC6" w:rsidP="00480F1E" w14:paraId="30E6FA34" w14:textId="77777777">
            <w:pPr>
              <w:adjustRightInd/>
              <w:jc w:val="center"/>
              <w:textAlignment w:val="auto"/>
              <w:rPr>
                <w:b/>
                <w:bCs/>
                <w:color w:val="000000"/>
              </w:rPr>
            </w:pPr>
            <w:r>
              <w:rPr>
                <w:b/>
                <w:bCs/>
                <w:color w:val="000000"/>
              </w:rPr>
              <w:t>varies</w:t>
            </w:r>
          </w:p>
        </w:tc>
        <w:tc>
          <w:tcPr>
            <w:tcW w:w="884" w:type="dxa"/>
            <w:tcBorders>
              <w:top w:val="double" w:sz="4" w:space="0" w:color="auto"/>
              <w:left w:val="nil"/>
              <w:bottom w:val="single" w:sz="8" w:space="0" w:color="auto"/>
              <w:right w:val="single" w:sz="8" w:space="0" w:color="auto"/>
            </w:tcBorders>
            <w:tcMar>
              <w:top w:w="0" w:type="dxa"/>
              <w:left w:w="108" w:type="dxa"/>
              <w:bottom w:w="0" w:type="dxa"/>
              <w:right w:w="108" w:type="dxa"/>
            </w:tcMar>
            <w:vAlign w:val="center"/>
          </w:tcPr>
          <w:p w:rsidR="00D4726A" w:rsidRPr="00616FC6" w:rsidP="00480F1E" w14:paraId="28196FC4" w14:textId="77777777">
            <w:pPr>
              <w:adjustRightInd/>
              <w:jc w:val="center"/>
              <w:textAlignment w:val="auto"/>
              <w:rPr>
                <w:b/>
                <w:bCs/>
                <w:color w:val="000000"/>
              </w:rPr>
            </w:pPr>
            <w:r>
              <w:rPr>
                <w:b/>
                <w:bCs/>
                <w:color w:val="000000"/>
              </w:rPr>
              <w:t>36,662</w:t>
            </w:r>
          </w:p>
        </w:tc>
        <w:tc>
          <w:tcPr>
            <w:tcW w:w="977" w:type="dxa"/>
            <w:tcBorders>
              <w:top w:val="double" w:sz="4" w:space="0" w:color="auto"/>
              <w:left w:val="nil"/>
              <w:bottom w:val="single" w:sz="8" w:space="0" w:color="auto"/>
              <w:right w:val="single" w:sz="8" w:space="0" w:color="auto"/>
            </w:tcBorders>
            <w:tcMar>
              <w:top w:w="0" w:type="dxa"/>
              <w:left w:w="108" w:type="dxa"/>
              <w:bottom w:w="0" w:type="dxa"/>
              <w:right w:w="108" w:type="dxa"/>
            </w:tcMar>
            <w:vAlign w:val="center"/>
          </w:tcPr>
          <w:p w:rsidR="00D4726A" w:rsidRPr="00616FC6" w:rsidP="00480F1E" w14:paraId="72E178A2" w14:textId="77777777">
            <w:pPr>
              <w:adjustRightInd/>
              <w:jc w:val="center"/>
              <w:textAlignment w:val="auto"/>
              <w:rPr>
                <w:b/>
                <w:bCs/>
                <w:color w:val="000000"/>
              </w:rPr>
            </w:pPr>
            <w:r w:rsidRPr="00C0148C">
              <w:rPr>
                <w:b/>
                <w:bCs/>
                <w:color w:val="000000"/>
              </w:rPr>
              <w:t>$39.63</w:t>
            </w:r>
          </w:p>
        </w:tc>
        <w:tc>
          <w:tcPr>
            <w:tcW w:w="1382" w:type="dxa"/>
            <w:tcBorders>
              <w:top w:val="double" w:sz="4" w:space="0" w:color="auto"/>
              <w:left w:val="nil"/>
              <w:bottom w:val="single" w:sz="8" w:space="0" w:color="auto"/>
              <w:right w:val="single" w:sz="8" w:space="0" w:color="auto"/>
            </w:tcBorders>
            <w:tcMar>
              <w:top w:w="0" w:type="dxa"/>
              <w:left w:w="108" w:type="dxa"/>
              <w:bottom w:w="0" w:type="dxa"/>
              <w:right w:w="108" w:type="dxa"/>
            </w:tcMar>
            <w:vAlign w:val="center"/>
          </w:tcPr>
          <w:p w:rsidR="00D4726A" w:rsidRPr="00616FC6" w:rsidP="00480F1E" w14:paraId="4EDDD52A" w14:textId="739D2F45">
            <w:pPr>
              <w:adjustRightInd/>
              <w:jc w:val="center"/>
              <w:textAlignment w:val="auto"/>
              <w:rPr>
                <w:b/>
                <w:bCs/>
                <w:color w:val="000000"/>
              </w:rPr>
            </w:pPr>
            <w:r w:rsidRPr="00616FC6">
              <w:rPr>
                <w:b/>
                <w:bCs/>
                <w:color w:val="000000"/>
              </w:rPr>
              <w:t>$</w:t>
            </w:r>
            <w:r>
              <w:rPr>
                <w:b/>
                <w:bCs/>
                <w:color w:val="000000"/>
              </w:rPr>
              <w:t>1,45</w:t>
            </w:r>
            <w:r w:rsidR="00DE2863">
              <w:rPr>
                <w:b/>
                <w:bCs/>
                <w:color w:val="000000"/>
              </w:rPr>
              <w:t>5</w:t>
            </w:r>
            <w:r>
              <w:rPr>
                <w:b/>
                <w:bCs/>
                <w:color w:val="000000"/>
              </w:rPr>
              <w:t>,</w:t>
            </w:r>
            <w:r w:rsidR="00DE2863">
              <w:rPr>
                <w:b/>
                <w:bCs/>
                <w:color w:val="000000"/>
              </w:rPr>
              <w:t>263</w:t>
            </w:r>
            <w:r>
              <w:rPr>
                <w:b/>
                <w:bCs/>
                <w:color w:val="000000"/>
              </w:rPr>
              <w:t>.</w:t>
            </w:r>
            <w:r w:rsidR="00DE2863">
              <w:rPr>
                <w:b/>
                <w:bCs/>
                <w:color w:val="000000"/>
              </w:rPr>
              <w:t>10</w:t>
            </w:r>
          </w:p>
        </w:tc>
      </w:tr>
    </w:tbl>
    <w:p w:rsidR="009E13B1" w:rsidP="000A423A" w14:paraId="64DC4B2B" w14:textId="77777777">
      <w:pPr>
        <w:tabs>
          <w:tab w:val="left" w:pos="1290"/>
        </w:tabs>
        <w:ind w:left="360" w:hanging="360"/>
        <w:rPr>
          <w:sz w:val="24"/>
          <w:szCs w:val="24"/>
        </w:rPr>
      </w:pPr>
      <w:r>
        <w:rPr>
          <w:sz w:val="24"/>
          <w:szCs w:val="24"/>
        </w:rPr>
        <w:tab/>
      </w:r>
      <w:r>
        <w:rPr>
          <w:sz w:val="24"/>
          <w:szCs w:val="24"/>
        </w:rPr>
        <w:tab/>
      </w:r>
    </w:p>
    <w:p w:rsidR="006A53CF" w:rsidP="000A423A" w14:paraId="723C95FF" w14:textId="77777777">
      <w:pPr>
        <w:tabs>
          <w:tab w:val="left" w:pos="1290"/>
        </w:tabs>
        <w:ind w:left="360" w:hanging="360"/>
        <w:rPr>
          <w:sz w:val="24"/>
          <w:szCs w:val="24"/>
        </w:rPr>
      </w:pPr>
    </w:p>
    <w:p w:rsidR="000A423A" w:rsidRPr="000A423A" w:rsidP="000A423A" w14:paraId="19534EA0" w14:textId="77777777">
      <w:pPr>
        <w:tabs>
          <w:tab w:val="left" w:pos="1290"/>
        </w:tabs>
        <w:ind w:left="360" w:hanging="360"/>
        <w:rPr>
          <w:sz w:val="24"/>
          <w:szCs w:val="24"/>
        </w:rPr>
      </w:pPr>
      <w:r>
        <w:rPr>
          <w:sz w:val="24"/>
          <w:szCs w:val="24"/>
        </w:rPr>
        <w:tab/>
      </w:r>
      <w:r w:rsidRPr="000A423A">
        <w:rPr>
          <w:sz w:val="24"/>
          <w:szCs w:val="24"/>
        </w:rPr>
        <w:t xml:space="preserve">Average hours per response varies substantially depending on </w:t>
      </w:r>
      <w:r w:rsidR="00A052AC">
        <w:rPr>
          <w:sz w:val="24"/>
          <w:szCs w:val="24"/>
        </w:rPr>
        <w:t xml:space="preserve">the </w:t>
      </w:r>
      <w:r w:rsidRPr="000A423A">
        <w:rPr>
          <w:sz w:val="24"/>
          <w:szCs w:val="24"/>
        </w:rPr>
        <w:t xml:space="preserve">level of review. Reviews that are exempt or Categorically Excluded Not Subject To the related laws and authorities (CENST) take roughly 45 minutes to complete. Reviews that are Categorically Excluded Subject To the related laws (CEST) or require an Environmental Assessment (EA) take an average of 4 hours to complete. Some CEST reviews “convert to exempt,” and require roughly 2 hours to complete. </w:t>
      </w:r>
    </w:p>
    <w:p w:rsidR="000A423A" w:rsidRPr="000A423A" w:rsidP="000A423A" w14:paraId="2BFC14B0" w14:textId="77777777">
      <w:pPr>
        <w:tabs>
          <w:tab w:val="left" w:pos="1290"/>
        </w:tabs>
        <w:ind w:left="360" w:hanging="360"/>
        <w:rPr>
          <w:sz w:val="24"/>
          <w:szCs w:val="24"/>
        </w:rPr>
      </w:pPr>
    </w:p>
    <w:p w:rsidR="000A423A" w:rsidP="000A423A" w14:paraId="00B25F23" w14:textId="77777777">
      <w:pPr>
        <w:tabs>
          <w:tab w:val="left" w:pos="1290"/>
        </w:tabs>
        <w:ind w:left="360" w:hanging="360"/>
        <w:rPr>
          <w:sz w:val="24"/>
          <w:szCs w:val="24"/>
        </w:rPr>
      </w:pPr>
      <w:r>
        <w:rPr>
          <w:sz w:val="24"/>
          <w:szCs w:val="24"/>
        </w:rPr>
        <w:tab/>
      </w:r>
      <w:r w:rsidRPr="000A423A">
        <w:rPr>
          <w:sz w:val="24"/>
          <w:szCs w:val="24"/>
        </w:rPr>
        <w:t xml:space="preserve">HUD grants cover all eligible costs including staff work. Hourly cost per response based on hourly mean wage of urban planners working for local government (Bureau of Labor Statistics, </w:t>
      </w:r>
      <w:hyperlink r:id="rId9" w:history="1">
        <w:r w:rsidRPr="006F7355" w:rsidR="00D4726A">
          <w:rPr>
            <w:rStyle w:val="Hyperlink"/>
            <w:sz w:val="24"/>
            <w:szCs w:val="24"/>
          </w:rPr>
          <w:t>https://www.bls.gov/oes/current/oes193051.htm</w:t>
        </w:r>
      </w:hyperlink>
      <w:r w:rsidRPr="000A423A">
        <w:rPr>
          <w:sz w:val="24"/>
          <w:szCs w:val="24"/>
        </w:rPr>
        <w:t>).</w:t>
      </w:r>
    </w:p>
    <w:p w:rsidR="00D4726A" w:rsidP="000A423A" w14:paraId="55F861DC" w14:textId="77777777">
      <w:pPr>
        <w:tabs>
          <w:tab w:val="left" w:pos="1290"/>
        </w:tabs>
        <w:ind w:left="360" w:hanging="360"/>
        <w:rPr>
          <w:sz w:val="24"/>
          <w:szCs w:val="24"/>
        </w:rPr>
      </w:pPr>
    </w:p>
    <w:p w:rsidR="00040AEC" w:rsidP="00336B0F" w14:paraId="2563F0BE" w14:textId="77777777">
      <w:pPr>
        <w:keepLines/>
        <w:spacing w:after="80"/>
        <w:ind w:left="360"/>
        <w:rPr>
          <w:sz w:val="24"/>
          <w:szCs w:val="24"/>
          <w:u w:val="single"/>
        </w:rPr>
      </w:pPr>
    </w:p>
    <w:p w:rsidR="00336B0F" w:rsidRPr="00E2406C" w:rsidP="00336B0F" w14:paraId="34CF0BD7" w14:textId="53D17435">
      <w:pPr>
        <w:keepLines/>
        <w:spacing w:after="80"/>
        <w:ind w:left="360"/>
        <w:rPr>
          <w:sz w:val="24"/>
          <w:szCs w:val="24"/>
          <w:u w:val="single"/>
        </w:rPr>
      </w:pPr>
      <w:r>
        <w:rPr>
          <w:sz w:val="24"/>
          <w:szCs w:val="24"/>
          <w:u w:val="single"/>
        </w:rPr>
        <w:t>HEROS Access Form</w:t>
      </w:r>
    </w:p>
    <w:p w:rsidR="00D4726A" w:rsidP="000A423A" w14:paraId="06061106" w14:textId="77777777">
      <w:pPr>
        <w:tabs>
          <w:tab w:val="left" w:pos="1290"/>
        </w:tabs>
        <w:ind w:left="360" w:hanging="360"/>
        <w:rPr>
          <w:sz w:val="24"/>
          <w:szCs w:val="24"/>
        </w:rPr>
      </w:pPr>
      <w:r>
        <w:rPr>
          <w:sz w:val="24"/>
          <w:szCs w:val="24"/>
        </w:rPr>
        <w:tab/>
        <w:t>For the HEROS Access Form, the only costs to the federal government are staff costs. This cost is equivalent to 25 percent of the annual salary of a GS-13</w:t>
      </w:r>
      <w:r w:rsidR="00B83FCD">
        <w:rPr>
          <w:sz w:val="24"/>
          <w:szCs w:val="24"/>
        </w:rPr>
        <w:t xml:space="preserve"> employee</w:t>
      </w:r>
      <w:r>
        <w:rPr>
          <w:sz w:val="24"/>
          <w:szCs w:val="24"/>
        </w:rPr>
        <w:t xml:space="preserve"> in the </w:t>
      </w:r>
      <w:r w:rsidRPr="00D4726A">
        <w:rPr>
          <w:sz w:val="24"/>
          <w:szCs w:val="24"/>
        </w:rPr>
        <w:t>Washington-Baltimore-Arlington</w:t>
      </w:r>
      <w:r>
        <w:rPr>
          <w:sz w:val="24"/>
          <w:szCs w:val="24"/>
        </w:rPr>
        <w:t xml:space="preserve"> locality area. This cost equals</w:t>
      </w:r>
      <w:r w:rsidR="00B83FCD">
        <w:rPr>
          <w:sz w:val="24"/>
          <w:szCs w:val="24"/>
        </w:rPr>
        <w:t xml:space="preserve"> roughly</w:t>
      </w:r>
      <w:r>
        <w:rPr>
          <w:sz w:val="24"/>
          <w:szCs w:val="24"/>
        </w:rPr>
        <w:t xml:space="preserve"> </w:t>
      </w:r>
      <w:r w:rsidR="00B83FCD">
        <w:rPr>
          <w:sz w:val="24"/>
          <w:szCs w:val="24"/>
        </w:rPr>
        <w:t>$29,490.50.</w:t>
      </w:r>
    </w:p>
    <w:p w:rsidR="006C7FAE" w14:paraId="31C7C575" w14:textId="77777777">
      <w:pPr>
        <w:tabs>
          <w:tab w:val="left" w:pos="360"/>
        </w:tabs>
        <w:ind w:left="360" w:hanging="360"/>
        <w:rPr>
          <w:sz w:val="24"/>
          <w:szCs w:val="24"/>
        </w:rPr>
      </w:pPr>
    </w:p>
    <w:p w:rsidR="00E74689" w14:paraId="1FD63DBA" w14:textId="59DDBA29">
      <w:pPr>
        <w:tabs>
          <w:tab w:val="left" w:pos="360"/>
        </w:tabs>
        <w:ind w:left="360" w:hanging="360"/>
        <w:rPr>
          <w:sz w:val="24"/>
          <w:szCs w:val="24"/>
          <w:u w:val="single"/>
        </w:rPr>
      </w:pPr>
      <w:r>
        <w:rPr>
          <w:sz w:val="24"/>
          <w:szCs w:val="24"/>
        </w:rPr>
        <w:tab/>
      </w:r>
      <w:r>
        <w:rPr>
          <w:sz w:val="24"/>
          <w:szCs w:val="24"/>
          <w:u w:val="single"/>
        </w:rPr>
        <w:t xml:space="preserve">Operation and Maintenance </w:t>
      </w:r>
    </w:p>
    <w:p w:rsidR="00E74689" w14:paraId="0833AF39" w14:textId="77777777">
      <w:pPr>
        <w:tabs>
          <w:tab w:val="left" w:pos="360"/>
        </w:tabs>
        <w:ind w:left="360" w:hanging="360"/>
        <w:rPr>
          <w:sz w:val="24"/>
          <w:szCs w:val="24"/>
          <w:u w:val="single"/>
        </w:rPr>
      </w:pPr>
    </w:p>
    <w:p w:rsidR="00C57BED" w:rsidP="004362F3" w14:paraId="09891C6A" w14:textId="36C4CC4D">
      <w:pPr>
        <w:tabs>
          <w:tab w:val="left" w:pos="360"/>
        </w:tabs>
        <w:ind w:left="360" w:hanging="360"/>
        <w:rPr>
          <w:sz w:val="24"/>
          <w:szCs w:val="24"/>
        </w:rPr>
      </w:pPr>
      <w:r>
        <w:rPr>
          <w:sz w:val="24"/>
          <w:szCs w:val="24"/>
        </w:rPr>
        <w:tab/>
        <w:t xml:space="preserve">The </w:t>
      </w:r>
      <w:r w:rsidR="00A65D38">
        <w:rPr>
          <w:sz w:val="24"/>
          <w:szCs w:val="24"/>
        </w:rPr>
        <w:t xml:space="preserve">annual operations and maintenance costs for HEROS are estimated at </w:t>
      </w:r>
      <w:r w:rsidR="00A65D38">
        <w:rPr>
          <w:b/>
          <w:bCs/>
          <w:sz w:val="24"/>
          <w:szCs w:val="24"/>
        </w:rPr>
        <w:t>$553</w:t>
      </w:r>
      <w:r w:rsidR="000C5691">
        <w:rPr>
          <w:b/>
          <w:bCs/>
          <w:sz w:val="24"/>
          <w:szCs w:val="24"/>
        </w:rPr>
        <w:t xml:space="preserve">, 500. </w:t>
      </w:r>
      <w:r w:rsidR="000C5691">
        <w:rPr>
          <w:sz w:val="24"/>
          <w:szCs w:val="24"/>
        </w:rPr>
        <w:t xml:space="preserve">This was derived by </w:t>
      </w:r>
      <w:r w:rsidR="00D41CC8">
        <w:rPr>
          <w:sz w:val="24"/>
          <w:szCs w:val="24"/>
        </w:rPr>
        <w:t xml:space="preserve">taking 25 percent of the total </w:t>
      </w:r>
      <w:r w:rsidR="00DC3020">
        <w:rPr>
          <w:sz w:val="24"/>
          <w:szCs w:val="24"/>
        </w:rPr>
        <w:t xml:space="preserve">annual </w:t>
      </w:r>
      <w:r w:rsidR="00D41CC8">
        <w:rPr>
          <w:sz w:val="24"/>
          <w:szCs w:val="24"/>
        </w:rPr>
        <w:t xml:space="preserve">corrective maintenance and </w:t>
      </w:r>
      <w:r w:rsidR="00DC3020">
        <w:rPr>
          <w:sz w:val="24"/>
          <w:szCs w:val="24"/>
        </w:rPr>
        <w:t>steady state operations support and program management contract costs for the HUD Office of Community Planning and Development</w:t>
      </w:r>
      <w:r w:rsidR="004362F3">
        <w:rPr>
          <w:sz w:val="24"/>
          <w:szCs w:val="24"/>
        </w:rPr>
        <w:t xml:space="preserve">’s </w:t>
      </w:r>
      <w:r w:rsidRPr="004362F3" w:rsidR="004362F3">
        <w:rPr>
          <w:sz w:val="24"/>
          <w:szCs w:val="24"/>
        </w:rPr>
        <w:t xml:space="preserve"> Integrated Disbursement and Information System</w:t>
      </w:r>
      <w:r w:rsidR="00DC3020">
        <w:rPr>
          <w:sz w:val="24"/>
          <w:szCs w:val="24"/>
        </w:rPr>
        <w:t xml:space="preserve"> </w:t>
      </w:r>
      <w:r w:rsidR="004362F3">
        <w:rPr>
          <w:sz w:val="24"/>
          <w:szCs w:val="24"/>
        </w:rPr>
        <w:t>(</w:t>
      </w:r>
      <w:r w:rsidR="00DC3020">
        <w:rPr>
          <w:sz w:val="24"/>
          <w:szCs w:val="24"/>
        </w:rPr>
        <w:t>IDIS</w:t>
      </w:r>
      <w:r w:rsidR="004362F3">
        <w:rPr>
          <w:sz w:val="24"/>
          <w:szCs w:val="24"/>
        </w:rPr>
        <w:t>), of which HEROS is a part of. HEROS represents a</w:t>
      </w:r>
      <w:r w:rsidR="001A78C1">
        <w:rPr>
          <w:sz w:val="24"/>
          <w:szCs w:val="24"/>
        </w:rPr>
        <w:t xml:space="preserve">pproximately 25% of the IDIS contract. </w:t>
      </w:r>
    </w:p>
    <w:p w:rsidR="00396A8C" w14:paraId="5FBCAD0D" w14:textId="77777777">
      <w:pPr>
        <w:tabs>
          <w:tab w:val="left" w:pos="360"/>
        </w:tabs>
        <w:ind w:left="360" w:hanging="360"/>
        <w:rPr>
          <w:sz w:val="24"/>
          <w:szCs w:val="24"/>
        </w:rPr>
      </w:pPr>
    </w:p>
    <w:p w:rsidR="00D621E8" w14:paraId="212A4B81" w14:textId="77777777">
      <w:pPr>
        <w:tabs>
          <w:tab w:val="left" w:pos="360"/>
        </w:tabs>
        <w:ind w:left="360" w:hanging="360"/>
        <w:rPr>
          <w:sz w:val="24"/>
          <w:szCs w:val="24"/>
        </w:rPr>
      </w:pPr>
      <w:r>
        <w:rPr>
          <w:sz w:val="24"/>
          <w:szCs w:val="24"/>
        </w:rPr>
        <w:tab/>
      </w:r>
    </w:p>
    <w:tbl>
      <w:tblPr>
        <w:tblStyle w:val="TableGrid"/>
        <w:tblW w:w="0" w:type="auto"/>
        <w:tblInd w:w="360" w:type="dxa"/>
        <w:tblLook w:val="04A0"/>
      </w:tblPr>
      <w:tblGrid>
        <w:gridCol w:w="2384"/>
        <w:gridCol w:w="2364"/>
        <w:gridCol w:w="2382"/>
        <w:gridCol w:w="2400"/>
      </w:tblGrid>
      <w:tr w14:paraId="39D364FE" w14:textId="77777777" w:rsidTr="009B3A8C">
        <w:tblPrEx>
          <w:tblW w:w="0" w:type="auto"/>
          <w:tblInd w:w="360" w:type="dxa"/>
          <w:tblLook w:val="04A0"/>
        </w:tblPrEx>
        <w:tc>
          <w:tcPr>
            <w:tcW w:w="2472" w:type="dxa"/>
          </w:tcPr>
          <w:p w:rsidR="00D621E8" w:rsidRPr="009B3A8C" w:rsidP="009B3A8C" w14:paraId="3C713EAB" w14:textId="15C8575E">
            <w:pPr>
              <w:tabs>
                <w:tab w:val="left" w:pos="360"/>
              </w:tabs>
              <w:jc w:val="center"/>
              <w:rPr>
                <w:b/>
                <w:bCs/>
              </w:rPr>
            </w:pPr>
            <w:r w:rsidRPr="009B3A8C">
              <w:rPr>
                <w:b/>
                <w:bCs/>
              </w:rPr>
              <w:t>HEROS Information Collection</w:t>
            </w:r>
          </w:p>
        </w:tc>
        <w:tc>
          <w:tcPr>
            <w:tcW w:w="2472" w:type="dxa"/>
          </w:tcPr>
          <w:p w:rsidR="00D621E8" w:rsidRPr="009B3A8C" w:rsidP="009B3A8C" w14:paraId="5F7DFD90" w14:textId="7BA04948">
            <w:pPr>
              <w:tabs>
                <w:tab w:val="left" w:pos="360"/>
              </w:tabs>
              <w:jc w:val="center"/>
              <w:rPr>
                <w:b/>
                <w:bCs/>
              </w:rPr>
            </w:pPr>
            <w:r w:rsidRPr="009B3A8C">
              <w:rPr>
                <w:b/>
                <w:bCs/>
              </w:rPr>
              <w:t>HEROS Access Form</w:t>
            </w:r>
          </w:p>
        </w:tc>
        <w:tc>
          <w:tcPr>
            <w:tcW w:w="2473" w:type="dxa"/>
          </w:tcPr>
          <w:p w:rsidR="00D621E8" w:rsidRPr="009B3A8C" w:rsidP="009B3A8C" w14:paraId="7F75562D" w14:textId="17FDB89E">
            <w:pPr>
              <w:tabs>
                <w:tab w:val="left" w:pos="360"/>
              </w:tabs>
              <w:jc w:val="center"/>
              <w:rPr>
                <w:b/>
                <w:bCs/>
              </w:rPr>
            </w:pPr>
            <w:r w:rsidRPr="009B3A8C">
              <w:rPr>
                <w:b/>
                <w:bCs/>
              </w:rPr>
              <w:t>Operation and Maintenance</w:t>
            </w:r>
          </w:p>
        </w:tc>
        <w:tc>
          <w:tcPr>
            <w:tcW w:w="2473" w:type="dxa"/>
          </w:tcPr>
          <w:p w:rsidR="00D621E8" w:rsidRPr="009B3A8C" w:rsidP="009B3A8C" w14:paraId="5377E685" w14:textId="658CA796">
            <w:pPr>
              <w:tabs>
                <w:tab w:val="left" w:pos="360"/>
              </w:tabs>
              <w:jc w:val="center"/>
              <w:rPr>
                <w:b/>
                <w:bCs/>
              </w:rPr>
            </w:pPr>
            <w:r w:rsidRPr="009B3A8C">
              <w:rPr>
                <w:b/>
                <w:bCs/>
              </w:rPr>
              <w:t>Total</w:t>
            </w:r>
          </w:p>
        </w:tc>
      </w:tr>
      <w:tr w14:paraId="3DD64168" w14:textId="77777777" w:rsidTr="009B3A8C">
        <w:tblPrEx>
          <w:tblW w:w="0" w:type="auto"/>
          <w:tblInd w:w="360" w:type="dxa"/>
          <w:tblLook w:val="04A0"/>
        </w:tblPrEx>
        <w:tc>
          <w:tcPr>
            <w:tcW w:w="2472" w:type="dxa"/>
          </w:tcPr>
          <w:p w:rsidR="00D621E8" w:rsidRPr="009B3A8C" w:rsidP="009B3A8C" w14:paraId="7DD63498" w14:textId="371DC047">
            <w:pPr>
              <w:tabs>
                <w:tab w:val="left" w:pos="360"/>
              </w:tabs>
              <w:jc w:val="center"/>
              <w:rPr>
                <w:b/>
                <w:bCs/>
              </w:rPr>
            </w:pPr>
            <w:r w:rsidRPr="009B3A8C">
              <w:rPr>
                <w:b/>
                <w:bCs/>
              </w:rPr>
              <w:t>$1,452,915.06</w:t>
            </w:r>
          </w:p>
        </w:tc>
        <w:tc>
          <w:tcPr>
            <w:tcW w:w="2472" w:type="dxa"/>
          </w:tcPr>
          <w:p w:rsidR="00D621E8" w:rsidRPr="009B3A8C" w:rsidP="009B3A8C" w14:paraId="1DACA0A2" w14:textId="2D35A2EA">
            <w:pPr>
              <w:tabs>
                <w:tab w:val="left" w:pos="360"/>
              </w:tabs>
              <w:jc w:val="center"/>
              <w:rPr>
                <w:b/>
                <w:bCs/>
              </w:rPr>
            </w:pPr>
            <w:r w:rsidRPr="009B3A8C">
              <w:rPr>
                <w:b/>
                <w:bCs/>
              </w:rPr>
              <w:t>$29,490.50</w:t>
            </w:r>
          </w:p>
        </w:tc>
        <w:tc>
          <w:tcPr>
            <w:tcW w:w="2473" w:type="dxa"/>
          </w:tcPr>
          <w:p w:rsidR="00D621E8" w:rsidRPr="009B3A8C" w:rsidP="00040AEC" w14:paraId="029B329C" w14:textId="16B85137">
            <w:pPr>
              <w:tabs>
                <w:tab w:val="left" w:pos="360"/>
              </w:tabs>
              <w:jc w:val="center"/>
              <w:rPr>
                <w:b/>
                <w:bCs/>
              </w:rPr>
            </w:pPr>
            <w:r w:rsidRPr="009B3A8C">
              <w:rPr>
                <w:b/>
                <w:bCs/>
              </w:rPr>
              <w:t>$553,500</w:t>
            </w:r>
          </w:p>
        </w:tc>
        <w:tc>
          <w:tcPr>
            <w:tcW w:w="2473" w:type="dxa"/>
          </w:tcPr>
          <w:p w:rsidR="00D621E8" w:rsidRPr="009B3A8C" w:rsidP="009B3A8C" w14:paraId="16F1304A" w14:textId="3889F9D7">
            <w:pPr>
              <w:tabs>
                <w:tab w:val="left" w:pos="360"/>
                <w:tab w:val="left" w:pos="555"/>
              </w:tabs>
              <w:rPr>
                <w:b/>
                <w:bCs/>
              </w:rPr>
            </w:pPr>
            <w:r>
              <w:rPr>
                <w:b/>
                <w:bCs/>
              </w:rPr>
              <w:tab/>
            </w:r>
            <w:r>
              <w:rPr>
                <w:b/>
                <w:bCs/>
              </w:rPr>
              <w:tab/>
            </w:r>
            <w:r w:rsidR="00040AEC">
              <w:rPr>
                <w:b/>
                <w:bCs/>
              </w:rPr>
              <w:fldChar w:fldCharType="begin"/>
            </w:r>
            <w:r w:rsidR="00040AEC">
              <w:rPr>
                <w:b/>
                <w:bCs/>
              </w:rPr>
              <w:instrText xml:space="preserve"> =SUM(LEFT) \# "$#,##0.00;($#,##0.00)" </w:instrText>
            </w:r>
            <w:r w:rsidR="00040AEC">
              <w:rPr>
                <w:b/>
                <w:bCs/>
              </w:rPr>
              <w:fldChar w:fldCharType="separate"/>
            </w:r>
            <w:r w:rsidR="00040AEC">
              <w:rPr>
                <w:b/>
                <w:bCs/>
                <w:noProof/>
              </w:rPr>
              <w:t>$2,035,905.56</w:t>
            </w:r>
            <w:r w:rsidR="00040AEC">
              <w:rPr>
                <w:b/>
                <w:bCs/>
              </w:rPr>
              <w:fldChar w:fldCharType="end"/>
            </w:r>
          </w:p>
        </w:tc>
      </w:tr>
    </w:tbl>
    <w:p w:rsidR="00396A8C" w14:paraId="30925E57" w14:textId="565F4D6E">
      <w:pPr>
        <w:tabs>
          <w:tab w:val="left" w:pos="360"/>
        </w:tabs>
        <w:ind w:left="360" w:hanging="360"/>
        <w:rPr>
          <w:sz w:val="24"/>
          <w:szCs w:val="24"/>
        </w:rPr>
      </w:pPr>
    </w:p>
    <w:p w:rsidR="00C57BED" w:rsidP="00040AEC" w14:paraId="4BB56159" w14:textId="77777777">
      <w:pPr>
        <w:tabs>
          <w:tab w:val="left" w:pos="360"/>
        </w:tabs>
        <w:rPr>
          <w:sz w:val="24"/>
          <w:szCs w:val="24"/>
        </w:rPr>
      </w:pPr>
    </w:p>
    <w:p w:rsidR="00DC3020" w:rsidRPr="000C5691" w14:paraId="734BD8F0" w14:textId="77777777">
      <w:pPr>
        <w:tabs>
          <w:tab w:val="left" w:pos="360"/>
        </w:tabs>
        <w:ind w:left="360" w:hanging="360"/>
        <w:rPr>
          <w:sz w:val="24"/>
          <w:szCs w:val="24"/>
        </w:rPr>
      </w:pPr>
    </w:p>
    <w:p w:rsidR="009E13B1" w14:paraId="57EEEEC5" w14:textId="77777777">
      <w:pPr>
        <w:keepLines/>
        <w:tabs>
          <w:tab w:val="left" w:pos="360"/>
        </w:tabs>
        <w:spacing w:after="80"/>
        <w:ind w:left="360" w:hanging="360"/>
        <w:rPr>
          <w:sz w:val="24"/>
          <w:szCs w:val="24"/>
        </w:rPr>
      </w:pPr>
      <w:r w:rsidRPr="006C7FAE">
        <w:rPr>
          <w:sz w:val="24"/>
          <w:szCs w:val="24"/>
        </w:rPr>
        <w:t>15.</w:t>
      </w:r>
      <w:r w:rsidRPr="006C7FAE">
        <w:rPr>
          <w:sz w:val="24"/>
          <w:szCs w:val="24"/>
        </w:rPr>
        <w:tab/>
        <w:t>Explain the reasons for any program changes or adjustments reported in Items 1</w:t>
      </w:r>
      <w:r w:rsidR="000D5079">
        <w:rPr>
          <w:sz w:val="24"/>
          <w:szCs w:val="24"/>
        </w:rPr>
        <w:t>2</w:t>
      </w:r>
      <w:r w:rsidRPr="006C7FAE">
        <w:rPr>
          <w:sz w:val="24"/>
          <w:szCs w:val="24"/>
        </w:rPr>
        <w:t xml:space="preserve"> and 14 of the </w:t>
      </w:r>
      <w:r w:rsidR="00CA06CC">
        <w:rPr>
          <w:sz w:val="24"/>
          <w:szCs w:val="24"/>
        </w:rPr>
        <w:t>Supporting Statement</w:t>
      </w:r>
      <w:r w:rsidRPr="006C7FAE">
        <w:rPr>
          <w:sz w:val="24"/>
          <w:szCs w:val="24"/>
        </w:rPr>
        <w:t>.</w:t>
      </w:r>
    </w:p>
    <w:p w:rsidR="005B6113" w:rsidRPr="006C7FAE" w14:paraId="044AF089" w14:textId="77777777">
      <w:pPr>
        <w:keepLines/>
        <w:tabs>
          <w:tab w:val="left" w:pos="360"/>
        </w:tabs>
        <w:spacing w:after="80"/>
        <w:ind w:left="360" w:hanging="360"/>
        <w:rPr>
          <w:sz w:val="24"/>
          <w:szCs w:val="24"/>
        </w:rPr>
      </w:pPr>
    </w:p>
    <w:p w:rsidR="009E13B1" w14:paraId="49FA59A3" w14:textId="71610EC4">
      <w:pPr>
        <w:keepLines/>
        <w:tabs>
          <w:tab w:val="left" w:pos="360"/>
          <w:tab w:val="left" w:pos="720"/>
        </w:tabs>
        <w:ind w:left="360"/>
        <w:rPr>
          <w:sz w:val="24"/>
          <w:szCs w:val="24"/>
        </w:rPr>
      </w:pPr>
      <w:r>
        <w:rPr>
          <w:sz w:val="24"/>
          <w:szCs w:val="24"/>
        </w:rPr>
        <w:t xml:space="preserve">This is a revision of a previously approved collection.  </w:t>
      </w:r>
      <w:r w:rsidRPr="005B6113" w:rsidR="005B6113">
        <w:rPr>
          <w:sz w:val="24"/>
          <w:szCs w:val="24"/>
        </w:rPr>
        <w:t>HEROS was first put into production in early 2014, and it has been optional for most users since then. The values in Items 13 and 14 are based on data collected in HEROS during Fiscal Year</w:t>
      </w:r>
      <w:r w:rsidR="005B6113">
        <w:rPr>
          <w:sz w:val="24"/>
          <w:szCs w:val="24"/>
        </w:rPr>
        <w:t>s</w:t>
      </w:r>
      <w:r w:rsidRPr="005B6113" w:rsidR="005B6113">
        <w:rPr>
          <w:sz w:val="24"/>
          <w:szCs w:val="24"/>
        </w:rPr>
        <w:t xml:space="preserve"> 2020</w:t>
      </w:r>
      <w:r w:rsidR="005B6113">
        <w:rPr>
          <w:sz w:val="24"/>
          <w:szCs w:val="24"/>
        </w:rPr>
        <w:t xml:space="preserve"> (number of users) and 2024 (number of reviews)</w:t>
      </w:r>
      <w:r w:rsidRPr="005B6113" w:rsidR="005B6113">
        <w:rPr>
          <w:sz w:val="24"/>
          <w:szCs w:val="24"/>
        </w:rPr>
        <w:t>, which reflects an increased number of reviews compared to the last renewal of this clearance in 20</w:t>
      </w:r>
      <w:r w:rsidR="005B6113">
        <w:rPr>
          <w:sz w:val="24"/>
          <w:szCs w:val="24"/>
        </w:rPr>
        <w:t>20</w:t>
      </w:r>
      <w:r w:rsidRPr="005B6113" w:rsidR="005B6113">
        <w:rPr>
          <w:sz w:val="24"/>
          <w:szCs w:val="24"/>
        </w:rPr>
        <w:t>. The increase</w:t>
      </w:r>
      <w:r w:rsidR="005B6113">
        <w:rPr>
          <w:sz w:val="24"/>
          <w:szCs w:val="24"/>
        </w:rPr>
        <w:t xml:space="preserve"> mostly</w:t>
      </w:r>
      <w:r w:rsidRPr="005B6113" w:rsidR="005B6113">
        <w:rPr>
          <w:sz w:val="24"/>
          <w:szCs w:val="24"/>
        </w:rPr>
        <w:t xml:space="preserve"> reflects the increased popularity of HEROS as more users elect to use HEROS instead of paper formats to prepare their environmental reviews. </w:t>
      </w:r>
    </w:p>
    <w:p w:rsidR="005B6113" w:rsidRPr="006C7FAE" w14:paraId="244D9FF4" w14:textId="77777777">
      <w:pPr>
        <w:keepLines/>
        <w:tabs>
          <w:tab w:val="left" w:pos="360"/>
          <w:tab w:val="left" w:pos="720"/>
        </w:tabs>
        <w:ind w:left="360"/>
        <w:rPr>
          <w:sz w:val="24"/>
          <w:szCs w:val="24"/>
        </w:rPr>
      </w:pPr>
    </w:p>
    <w:p w:rsidR="009E13B1" w14:paraId="50FE1008" w14:textId="77777777">
      <w:pPr>
        <w:keepLines/>
        <w:tabs>
          <w:tab w:val="left" w:pos="360"/>
        </w:tabs>
        <w:spacing w:after="80"/>
        <w:ind w:left="360" w:hanging="360"/>
        <w:rPr>
          <w:sz w:val="24"/>
          <w:szCs w:val="24"/>
        </w:rPr>
      </w:pPr>
      <w:r w:rsidRPr="006C7FAE">
        <w:rPr>
          <w:sz w:val="24"/>
          <w:szCs w:val="24"/>
        </w:rPr>
        <w:t>16.</w:t>
      </w:r>
      <w:r w:rsidRPr="006C7FAE">
        <w:rPr>
          <w:sz w:val="24"/>
          <w:szCs w:val="24"/>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B6113" w:rsidRPr="006C7FAE" w14:paraId="3DB9EC2E" w14:textId="77777777">
      <w:pPr>
        <w:keepLines/>
        <w:tabs>
          <w:tab w:val="left" w:pos="360"/>
        </w:tabs>
        <w:spacing w:after="80"/>
        <w:ind w:left="360" w:hanging="360"/>
        <w:rPr>
          <w:sz w:val="24"/>
          <w:szCs w:val="24"/>
        </w:rPr>
      </w:pPr>
    </w:p>
    <w:p w:rsidR="009E13B1" w:rsidP="005B6113" w14:paraId="20A6826B" w14:textId="77777777">
      <w:pPr>
        <w:tabs>
          <w:tab w:val="left" w:pos="1080"/>
        </w:tabs>
        <w:ind w:left="360" w:hanging="360"/>
        <w:rPr>
          <w:sz w:val="24"/>
          <w:szCs w:val="24"/>
        </w:rPr>
      </w:pPr>
      <w:r>
        <w:rPr>
          <w:sz w:val="24"/>
          <w:szCs w:val="24"/>
        </w:rPr>
        <w:tab/>
      </w:r>
      <w:r w:rsidRPr="005B6113">
        <w:rPr>
          <w:sz w:val="24"/>
          <w:szCs w:val="24"/>
        </w:rPr>
        <w:t>The results will not be published.</w:t>
      </w:r>
    </w:p>
    <w:p w:rsidR="005B6113" w:rsidRPr="006C7FAE" w:rsidP="005B6113" w14:paraId="2EE61751" w14:textId="77777777">
      <w:pPr>
        <w:tabs>
          <w:tab w:val="left" w:pos="1080"/>
        </w:tabs>
        <w:ind w:left="360" w:hanging="360"/>
        <w:rPr>
          <w:sz w:val="24"/>
          <w:szCs w:val="24"/>
        </w:rPr>
      </w:pPr>
    </w:p>
    <w:p w:rsidR="009E13B1" w:rsidRPr="006C7FAE" w14:paraId="4C194D1A" w14:textId="77777777">
      <w:pPr>
        <w:keepLines/>
        <w:tabs>
          <w:tab w:val="left" w:pos="360"/>
        </w:tabs>
        <w:spacing w:after="80"/>
        <w:ind w:left="360" w:hanging="360"/>
        <w:rPr>
          <w:sz w:val="24"/>
          <w:szCs w:val="24"/>
        </w:rPr>
      </w:pPr>
      <w:r w:rsidRPr="006C7FAE">
        <w:rPr>
          <w:sz w:val="24"/>
          <w:szCs w:val="24"/>
        </w:rPr>
        <w:t>17.</w:t>
      </w:r>
      <w:r w:rsidRPr="006C7FAE">
        <w:rPr>
          <w:sz w:val="24"/>
          <w:szCs w:val="24"/>
        </w:rPr>
        <w:tab/>
        <w:t>If seeking approval to not display the expiration date for OMB approval of the information collection, explain the reasons that display would be inappropriate.</w:t>
      </w:r>
    </w:p>
    <w:p w:rsidR="009E13B1" w14:paraId="01AFADA6" w14:textId="77777777">
      <w:pPr>
        <w:keepLines/>
        <w:tabs>
          <w:tab w:val="left" w:pos="360"/>
          <w:tab w:val="left" w:pos="720"/>
        </w:tabs>
        <w:ind w:left="360"/>
        <w:rPr>
          <w:sz w:val="24"/>
          <w:szCs w:val="24"/>
        </w:rPr>
      </w:pPr>
    </w:p>
    <w:p w:rsidR="005B6113" w14:paraId="4BA56C8E" w14:textId="77777777">
      <w:pPr>
        <w:keepLines/>
        <w:tabs>
          <w:tab w:val="left" w:pos="360"/>
          <w:tab w:val="left" w:pos="720"/>
        </w:tabs>
        <w:ind w:left="360"/>
        <w:rPr>
          <w:sz w:val="24"/>
          <w:szCs w:val="24"/>
        </w:rPr>
      </w:pPr>
      <w:r w:rsidRPr="005B6113">
        <w:rPr>
          <w:sz w:val="24"/>
          <w:szCs w:val="24"/>
        </w:rPr>
        <w:t>The expiration date will be displayed.</w:t>
      </w:r>
    </w:p>
    <w:p w:rsidR="005B6113" w:rsidRPr="006C7FAE" w14:paraId="244266B8" w14:textId="77777777">
      <w:pPr>
        <w:keepLines/>
        <w:tabs>
          <w:tab w:val="left" w:pos="360"/>
          <w:tab w:val="left" w:pos="720"/>
        </w:tabs>
        <w:ind w:left="360"/>
        <w:rPr>
          <w:sz w:val="24"/>
          <w:szCs w:val="24"/>
        </w:rPr>
      </w:pPr>
    </w:p>
    <w:p w:rsidR="009E13B1" w:rsidRPr="006C7FAE" w14:paraId="226B773D" w14:textId="77777777">
      <w:pPr>
        <w:keepLines/>
        <w:tabs>
          <w:tab w:val="left" w:pos="360"/>
        </w:tabs>
        <w:spacing w:after="80"/>
        <w:ind w:left="360" w:hanging="360"/>
        <w:rPr>
          <w:rFonts w:ascii="Courier" w:hAnsi="Courier"/>
          <w:sz w:val="24"/>
          <w:szCs w:val="24"/>
        </w:rPr>
      </w:pPr>
      <w:r w:rsidRPr="006C7FAE">
        <w:rPr>
          <w:sz w:val="24"/>
          <w:szCs w:val="24"/>
        </w:rPr>
        <w:t>18.</w:t>
      </w:r>
      <w:r w:rsidRPr="006C7FAE">
        <w:rPr>
          <w:sz w:val="24"/>
          <w:szCs w:val="24"/>
        </w:rPr>
        <w:tab/>
        <w:t>Explain each exception to the certification statement identified in item 19.</w:t>
      </w:r>
    </w:p>
    <w:p w:rsidR="005B6113" w:rsidRPr="006C7FAE" w:rsidP="005B6113" w14:paraId="0FCA2333" w14:textId="77777777">
      <w:pPr>
        <w:keepLines/>
        <w:tabs>
          <w:tab w:val="left" w:pos="360"/>
          <w:tab w:val="left" w:pos="720"/>
        </w:tabs>
        <w:rPr>
          <w:sz w:val="24"/>
          <w:szCs w:val="24"/>
        </w:rPr>
      </w:pPr>
      <w:r w:rsidRPr="005B6113">
        <w:rPr>
          <w:sz w:val="24"/>
          <w:szCs w:val="24"/>
        </w:rPr>
        <w:tab/>
        <w:t>No exceptions were identified.</w:t>
      </w:r>
    </w:p>
    <w:p w:rsidR="009E13B1" w:rsidRPr="006C7FAE" w14:paraId="58B50C4E" w14:textId="77777777">
      <w:pPr>
        <w:tabs>
          <w:tab w:val="left" w:pos="360"/>
          <w:tab w:val="left" w:pos="720"/>
        </w:tabs>
        <w:rPr>
          <w:sz w:val="24"/>
          <w:szCs w:val="24"/>
        </w:rPr>
      </w:pPr>
    </w:p>
    <w:p w:rsidR="009E13B1" w:rsidRPr="006C7FAE" w:rsidP="00167E53" w14:paraId="34A5EFB1" w14:textId="77777777">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sidRPr="006C7FAE">
        <w:rPr>
          <w:rFonts w:ascii="Helvetica" w:hAnsi="Helvetica"/>
          <w:b/>
          <w:sz w:val="24"/>
          <w:szCs w:val="24"/>
        </w:rPr>
        <w:t xml:space="preserve">B. </w:t>
      </w:r>
      <w:r w:rsidRPr="006C7FAE">
        <w:rPr>
          <w:rFonts w:ascii="Helvetica" w:hAnsi="Helvetica"/>
          <w:b/>
          <w:sz w:val="24"/>
          <w:szCs w:val="24"/>
        </w:rPr>
        <w:tab/>
        <w:t>Collections of Information Employing Statistical Methods</w:t>
      </w:r>
    </w:p>
    <w:sectPr w:rsidSect="00B16210">
      <w:pgSz w:w="12240" w:h="15840"/>
      <w:pgMar w:top="1440" w:right="1440" w:bottom="1440" w:left="900" w:header="480" w:footer="480" w:gutter="0"/>
      <w:cols w:space="480" w:equalWidth="0">
        <w:col w:w="10080"/>
      </w:cols>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16210" w14:paraId="5C03E85C" w14:textId="77777777">
      <w:r>
        <w:separator/>
      </w:r>
    </w:p>
  </w:footnote>
  <w:footnote w:type="continuationSeparator" w:id="1">
    <w:p w:rsidR="00B16210" w14:paraId="253D4DC0" w14:textId="77777777">
      <w:r>
        <w:continuationSeparator/>
      </w:r>
    </w:p>
  </w:footnote>
  <w:footnote w:id="2">
    <w:p w:rsidR="00D35AC3" w14:paraId="4B918C8E" w14:textId="2E885D15">
      <w:pPr>
        <w:pStyle w:val="FootnoteText"/>
      </w:pPr>
      <w:r>
        <w:rPr>
          <w:rStyle w:val="FootnoteReference"/>
        </w:rPr>
        <w:footnoteRef/>
      </w:r>
      <w:r>
        <w:t xml:space="preserve"> Caveat to th</w:t>
      </w:r>
      <w:r w:rsidR="00CF3556">
        <w:t>e</w:t>
      </w:r>
      <w:r>
        <w:t xml:space="preserve"> monetary costs</w:t>
      </w:r>
      <w:r w:rsidR="00733A37">
        <w:t xml:space="preserve"> for HEROS</w:t>
      </w:r>
      <w:r>
        <w:t xml:space="preserve">: </w:t>
      </w:r>
      <w:r w:rsidRPr="00D35AC3">
        <w:t>HUD grants cover all eligible costs</w:t>
      </w:r>
      <w:r>
        <w:t>,</w:t>
      </w:r>
      <w:r w:rsidRPr="00D35AC3">
        <w:t xml:space="preserve"> including staff work for grant recipients</w:t>
      </w:r>
      <w:r>
        <w:t>, so for HUD grants</w:t>
      </w:r>
      <w:r w:rsidR="00733A37">
        <w:t xml:space="preserve"> (as opposed to other forms of HUD assistance, such as FHA-backed multifamily mortgages)</w:t>
      </w:r>
      <w:r>
        <w:t xml:space="preserve"> the </w:t>
      </w:r>
      <w:r w:rsidR="00CF3556">
        <w:t xml:space="preserve">monetary costs are typically $0 for all environmental review types.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B26EA4E0"/>
    <w:lvl w:ilvl="0">
      <w:start w:val="0"/>
      <w:numFmt w:val="decimal"/>
      <w:lvlText w:val="*"/>
      <w:lvlJc w:val="left"/>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0E0B7D28"/>
    <w:multiLevelType w:val="singleLevel"/>
    <w:tmpl w:val="1B20EFFC"/>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3">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nsid w:val="22C63940"/>
    <w:multiLevelType w:val="singleLevel"/>
    <w:tmpl w:val="1B20EFFC"/>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5">
    <w:nsid w:val="3B7248CD"/>
    <w:multiLevelType w:val="singleLevel"/>
    <w:tmpl w:val="389C343E"/>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6">
    <w:nsid w:val="409858BB"/>
    <w:multiLevelType w:val="singleLevel"/>
    <w:tmpl w:val="A8C62C48"/>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7">
    <w:nsid w:val="4B206095"/>
    <w:multiLevelType w:val="singleLevel"/>
    <w:tmpl w:val="2FA6477C"/>
    <w:lvl w:ilvl="0">
      <w:start w:val="7"/>
      <w:numFmt w:val="decimal"/>
      <w:lvlText w:val="%1. "/>
      <w:legacy w:legacy="1" w:legacySpace="0" w:legacyIndent="360"/>
      <w:lvlJc w:val="left"/>
      <w:pPr>
        <w:ind w:left="360" w:hanging="360"/>
      </w:pPr>
      <w:rPr>
        <w:rFonts w:ascii="Times New Roman" w:hAnsi="Times New Roman" w:hint="default"/>
        <w:b w:val="0"/>
        <w:i w:val="0"/>
        <w:sz w:val="24"/>
        <w:szCs w:val="24"/>
        <w:u w:val="none"/>
      </w:rPr>
    </w:lvl>
  </w:abstractNum>
  <w:abstractNum w:abstractNumId="8">
    <w:nsid w:val="5A220FD8"/>
    <w:multiLevelType w:val="singleLevel"/>
    <w:tmpl w:val="003EAA3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9">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1">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16cid:durableId="866066278">
    <w:abstractNumId w:val="4"/>
  </w:num>
  <w:num w:numId="2" w16cid:durableId="1322390702">
    <w:abstractNumId w:val="2"/>
  </w:num>
  <w:num w:numId="3" w16cid:durableId="2138059010">
    <w:abstractNumId w:val="8"/>
  </w:num>
  <w:num w:numId="4" w16cid:durableId="1241871111">
    <w:abstractNumId w:val="5"/>
  </w:num>
  <w:num w:numId="5" w16cid:durableId="649795268">
    <w:abstractNumId w:val="6"/>
  </w:num>
  <w:num w:numId="6" w16cid:durableId="220559337">
    <w:abstractNumId w:val="6"/>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16cid:durableId="1739396581">
    <w:abstractNumId w:val="3"/>
  </w:num>
  <w:num w:numId="8" w16cid:durableId="354775129">
    <w:abstractNumId w:val="11"/>
  </w:num>
  <w:num w:numId="9" w16cid:durableId="1661229692">
    <w:abstractNumId w:val="1"/>
  </w:num>
  <w:num w:numId="10" w16cid:durableId="592858505">
    <w:abstractNumId w:val="10"/>
  </w:num>
  <w:num w:numId="11" w16cid:durableId="981155947">
    <w:abstractNumId w:val="9"/>
  </w:num>
  <w:num w:numId="12" w16cid:durableId="494272775">
    <w:abstractNumId w:val="9"/>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13" w16cid:durableId="239483179">
    <w:abstractNumId w:val="7"/>
  </w:num>
  <w:num w:numId="14" w16cid:durableId="1417478236">
    <w:abstractNumId w:val="0"/>
    <w:lvlOverride w:ilvl="0">
      <w:lvl w:ilvl="0">
        <w:start w:val="1"/>
        <w:numFmt w:val="bullet"/>
        <w:lvlText w:val=""/>
        <w:legacy w:legacy="1" w:legacySpace="0" w:legacyIndent="144"/>
        <w:lvlJc w:val="left"/>
        <w:pPr>
          <w:ind w:left="684" w:hanging="144"/>
        </w:pPr>
        <w:rPr>
          <w:rFonts w:ascii="Symbol" w:hAnsi="Symbol" w:hint="default"/>
          <w:sz w:val="16"/>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footnotePr>
    <w:footnote w:id="0"/>
    <w:footnote w:id="1"/>
  </w:foot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940"/>
    <w:rsid w:val="00014570"/>
    <w:rsid w:val="0002570D"/>
    <w:rsid w:val="000327B4"/>
    <w:rsid w:val="00040AEC"/>
    <w:rsid w:val="0008140B"/>
    <w:rsid w:val="0008290A"/>
    <w:rsid w:val="0008559F"/>
    <w:rsid w:val="000A1639"/>
    <w:rsid w:val="000A423A"/>
    <w:rsid w:val="000C117C"/>
    <w:rsid w:val="000C38FD"/>
    <w:rsid w:val="000C5691"/>
    <w:rsid w:val="000D1ACD"/>
    <w:rsid w:val="000D1C09"/>
    <w:rsid w:val="000D5079"/>
    <w:rsid w:val="000D6C28"/>
    <w:rsid w:val="000E00A8"/>
    <w:rsid w:val="000E2A89"/>
    <w:rsid w:val="00130C3F"/>
    <w:rsid w:val="0015419C"/>
    <w:rsid w:val="00154E80"/>
    <w:rsid w:val="00167E53"/>
    <w:rsid w:val="001A78C1"/>
    <w:rsid w:val="001E7506"/>
    <w:rsid w:val="00202A11"/>
    <w:rsid w:val="00202DD1"/>
    <w:rsid w:val="00210830"/>
    <w:rsid w:val="00230A5D"/>
    <w:rsid w:val="0023256B"/>
    <w:rsid w:val="002334CB"/>
    <w:rsid w:val="0026369E"/>
    <w:rsid w:val="00263DD1"/>
    <w:rsid w:val="0027067F"/>
    <w:rsid w:val="00276268"/>
    <w:rsid w:val="002C5BA8"/>
    <w:rsid w:val="002F2D27"/>
    <w:rsid w:val="002F6CE8"/>
    <w:rsid w:val="00301E30"/>
    <w:rsid w:val="0030283E"/>
    <w:rsid w:val="00305C98"/>
    <w:rsid w:val="00321C9C"/>
    <w:rsid w:val="00327540"/>
    <w:rsid w:val="00336B0F"/>
    <w:rsid w:val="00355A6D"/>
    <w:rsid w:val="00360090"/>
    <w:rsid w:val="00366424"/>
    <w:rsid w:val="00383728"/>
    <w:rsid w:val="00396A8C"/>
    <w:rsid w:val="003A7CE7"/>
    <w:rsid w:val="003C1FAF"/>
    <w:rsid w:val="003C6745"/>
    <w:rsid w:val="00433E27"/>
    <w:rsid w:val="004362F3"/>
    <w:rsid w:val="00450591"/>
    <w:rsid w:val="004516C5"/>
    <w:rsid w:val="00454C6F"/>
    <w:rsid w:val="00461483"/>
    <w:rsid w:val="00480F1E"/>
    <w:rsid w:val="00481D56"/>
    <w:rsid w:val="004B4312"/>
    <w:rsid w:val="004B56ED"/>
    <w:rsid w:val="004D736F"/>
    <w:rsid w:val="0052745B"/>
    <w:rsid w:val="005310EB"/>
    <w:rsid w:val="00532200"/>
    <w:rsid w:val="0054376A"/>
    <w:rsid w:val="005468B1"/>
    <w:rsid w:val="005634F8"/>
    <w:rsid w:val="00571334"/>
    <w:rsid w:val="0057194A"/>
    <w:rsid w:val="00576C0F"/>
    <w:rsid w:val="0058747D"/>
    <w:rsid w:val="005B17BC"/>
    <w:rsid w:val="005B6113"/>
    <w:rsid w:val="005C12BE"/>
    <w:rsid w:val="005C5CCC"/>
    <w:rsid w:val="005F0147"/>
    <w:rsid w:val="005F14AC"/>
    <w:rsid w:val="005F19BC"/>
    <w:rsid w:val="005F34D3"/>
    <w:rsid w:val="00616FC6"/>
    <w:rsid w:val="00657670"/>
    <w:rsid w:val="006A53CF"/>
    <w:rsid w:val="006B7674"/>
    <w:rsid w:val="006B78CC"/>
    <w:rsid w:val="006C4830"/>
    <w:rsid w:val="006C7FAE"/>
    <w:rsid w:val="006D52AC"/>
    <w:rsid w:val="006D6D87"/>
    <w:rsid w:val="006E51B7"/>
    <w:rsid w:val="006F7355"/>
    <w:rsid w:val="00712A29"/>
    <w:rsid w:val="00724A14"/>
    <w:rsid w:val="00733A37"/>
    <w:rsid w:val="00747F20"/>
    <w:rsid w:val="00753FA6"/>
    <w:rsid w:val="00765309"/>
    <w:rsid w:val="00765D3F"/>
    <w:rsid w:val="00790DEE"/>
    <w:rsid w:val="007B3B06"/>
    <w:rsid w:val="007B4A33"/>
    <w:rsid w:val="007B71A3"/>
    <w:rsid w:val="007C2379"/>
    <w:rsid w:val="007C64E4"/>
    <w:rsid w:val="00817620"/>
    <w:rsid w:val="008314BA"/>
    <w:rsid w:val="00840D12"/>
    <w:rsid w:val="00862038"/>
    <w:rsid w:val="00870AC1"/>
    <w:rsid w:val="008746EA"/>
    <w:rsid w:val="00896CE5"/>
    <w:rsid w:val="008A7175"/>
    <w:rsid w:val="008E0D2C"/>
    <w:rsid w:val="0090170B"/>
    <w:rsid w:val="00922DE0"/>
    <w:rsid w:val="0093217D"/>
    <w:rsid w:val="009649EE"/>
    <w:rsid w:val="009651D6"/>
    <w:rsid w:val="00994C6D"/>
    <w:rsid w:val="009A41FE"/>
    <w:rsid w:val="009B08D1"/>
    <w:rsid w:val="009B3A8C"/>
    <w:rsid w:val="009C1C31"/>
    <w:rsid w:val="009D40B9"/>
    <w:rsid w:val="009D7A60"/>
    <w:rsid w:val="009E0C3E"/>
    <w:rsid w:val="009E13B1"/>
    <w:rsid w:val="009F7F0A"/>
    <w:rsid w:val="00A052AC"/>
    <w:rsid w:val="00A32C51"/>
    <w:rsid w:val="00A40CE6"/>
    <w:rsid w:val="00A42184"/>
    <w:rsid w:val="00A44ACB"/>
    <w:rsid w:val="00A52FD2"/>
    <w:rsid w:val="00A54B92"/>
    <w:rsid w:val="00A55E6C"/>
    <w:rsid w:val="00A65D38"/>
    <w:rsid w:val="00A65F9E"/>
    <w:rsid w:val="00A750DD"/>
    <w:rsid w:val="00A76F52"/>
    <w:rsid w:val="00A8280C"/>
    <w:rsid w:val="00A83E46"/>
    <w:rsid w:val="00AA3459"/>
    <w:rsid w:val="00AD2D5F"/>
    <w:rsid w:val="00B01940"/>
    <w:rsid w:val="00B03398"/>
    <w:rsid w:val="00B04BA6"/>
    <w:rsid w:val="00B16210"/>
    <w:rsid w:val="00B21BF9"/>
    <w:rsid w:val="00B30375"/>
    <w:rsid w:val="00B435F1"/>
    <w:rsid w:val="00B5516F"/>
    <w:rsid w:val="00B83262"/>
    <w:rsid w:val="00B83FCD"/>
    <w:rsid w:val="00B94401"/>
    <w:rsid w:val="00BB2518"/>
    <w:rsid w:val="00BC10AF"/>
    <w:rsid w:val="00BC50C0"/>
    <w:rsid w:val="00BD655C"/>
    <w:rsid w:val="00BE56D5"/>
    <w:rsid w:val="00C0148C"/>
    <w:rsid w:val="00C135BA"/>
    <w:rsid w:val="00C50F8A"/>
    <w:rsid w:val="00C57BED"/>
    <w:rsid w:val="00C60FA3"/>
    <w:rsid w:val="00C7098E"/>
    <w:rsid w:val="00C80041"/>
    <w:rsid w:val="00C80EC4"/>
    <w:rsid w:val="00CA06CC"/>
    <w:rsid w:val="00CA3738"/>
    <w:rsid w:val="00CE1567"/>
    <w:rsid w:val="00CF3556"/>
    <w:rsid w:val="00D1454E"/>
    <w:rsid w:val="00D35AC3"/>
    <w:rsid w:val="00D41CC8"/>
    <w:rsid w:val="00D46873"/>
    <w:rsid w:val="00D4726A"/>
    <w:rsid w:val="00D517E6"/>
    <w:rsid w:val="00D55F05"/>
    <w:rsid w:val="00D621E8"/>
    <w:rsid w:val="00D717DB"/>
    <w:rsid w:val="00D74136"/>
    <w:rsid w:val="00D978AC"/>
    <w:rsid w:val="00DB42A7"/>
    <w:rsid w:val="00DC12DD"/>
    <w:rsid w:val="00DC3020"/>
    <w:rsid w:val="00DC75A3"/>
    <w:rsid w:val="00DD2BBD"/>
    <w:rsid w:val="00DD3286"/>
    <w:rsid w:val="00DE1CCB"/>
    <w:rsid w:val="00DE2863"/>
    <w:rsid w:val="00E01140"/>
    <w:rsid w:val="00E03EA6"/>
    <w:rsid w:val="00E11B4C"/>
    <w:rsid w:val="00E1714D"/>
    <w:rsid w:val="00E17352"/>
    <w:rsid w:val="00E2406C"/>
    <w:rsid w:val="00E3785A"/>
    <w:rsid w:val="00E54CF1"/>
    <w:rsid w:val="00E573CC"/>
    <w:rsid w:val="00E74689"/>
    <w:rsid w:val="00E801C1"/>
    <w:rsid w:val="00E817A3"/>
    <w:rsid w:val="00EB5EAC"/>
    <w:rsid w:val="00EC1144"/>
    <w:rsid w:val="00EC3654"/>
    <w:rsid w:val="00ED2893"/>
    <w:rsid w:val="00ED7E86"/>
    <w:rsid w:val="00EF00A9"/>
    <w:rsid w:val="00EF318F"/>
    <w:rsid w:val="00F02A0A"/>
    <w:rsid w:val="00F132F1"/>
    <w:rsid w:val="00F23AE2"/>
    <w:rsid w:val="00F26784"/>
    <w:rsid w:val="00F27C8F"/>
    <w:rsid w:val="00F5145B"/>
    <w:rsid w:val="00F5219B"/>
    <w:rsid w:val="00F66667"/>
    <w:rsid w:val="00F9797E"/>
    <w:rsid w:val="00FC3EC8"/>
    <w:rsid w:val="00FD6610"/>
    <w:rsid w:val="00FD6F00"/>
    <w:rsid w:val="00FE23D2"/>
    <w:rsid w:val="00FF7AF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D5D7A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423A"/>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6C7FAE"/>
    <w:rPr>
      <w:rFonts w:ascii="Segoe UI" w:hAnsi="Segoe UI" w:cs="Segoe UI"/>
      <w:sz w:val="18"/>
      <w:szCs w:val="18"/>
    </w:rPr>
  </w:style>
  <w:style w:type="character" w:customStyle="1" w:styleId="BalloonTextChar">
    <w:name w:val="Balloon Text Char"/>
    <w:link w:val="BalloonText"/>
    <w:uiPriority w:val="99"/>
    <w:semiHidden/>
    <w:rsid w:val="006C7FAE"/>
    <w:rPr>
      <w:rFonts w:ascii="Segoe UI" w:hAnsi="Segoe UI" w:cs="Segoe UI"/>
      <w:sz w:val="18"/>
      <w:szCs w:val="18"/>
    </w:rPr>
  </w:style>
  <w:style w:type="paragraph" w:styleId="ListParagraph">
    <w:name w:val="List Paragraph"/>
    <w:basedOn w:val="Normal"/>
    <w:uiPriority w:val="34"/>
    <w:qFormat/>
    <w:rsid w:val="00A65F9E"/>
    <w:pPr>
      <w:ind w:left="720"/>
    </w:pPr>
  </w:style>
  <w:style w:type="character" w:styleId="CommentReference">
    <w:name w:val="annotation reference"/>
    <w:uiPriority w:val="99"/>
    <w:semiHidden/>
    <w:unhideWhenUsed/>
    <w:rsid w:val="00DB42A7"/>
    <w:rPr>
      <w:sz w:val="16"/>
      <w:szCs w:val="16"/>
    </w:rPr>
  </w:style>
  <w:style w:type="paragraph" w:styleId="CommentText">
    <w:name w:val="annotation text"/>
    <w:basedOn w:val="Normal"/>
    <w:link w:val="CommentTextChar"/>
    <w:unhideWhenUsed/>
    <w:rsid w:val="00DB42A7"/>
  </w:style>
  <w:style w:type="character" w:customStyle="1" w:styleId="CommentTextChar">
    <w:name w:val="Comment Text Char"/>
    <w:basedOn w:val="DefaultParagraphFont"/>
    <w:link w:val="CommentText"/>
    <w:rsid w:val="00DB42A7"/>
  </w:style>
  <w:style w:type="character" w:styleId="Hyperlink">
    <w:name w:val="Hyperlink"/>
    <w:uiPriority w:val="99"/>
    <w:unhideWhenUsed/>
    <w:rsid w:val="00461483"/>
    <w:rPr>
      <w:color w:val="0563C1"/>
      <w:u w:val="single"/>
    </w:rPr>
  </w:style>
  <w:style w:type="paragraph" w:styleId="CommentSubject">
    <w:name w:val="annotation subject"/>
    <w:basedOn w:val="CommentText"/>
    <w:next w:val="CommentText"/>
    <w:link w:val="CommentSubjectChar"/>
    <w:uiPriority w:val="99"/>
    <w:semiHidden/>
    <w:unhideWhenUsed/>
    <w:rsid w:val="00A44ACB"/>
    <w:rPr>
      <w:b/>
      <w:bCs/>
    </w:rPr>
  </w:style>
  <w:style w:type="character" w:customStyle="1" w:styleId="CommentSubjectChar">
    <w:name w:val="Comment Subject Char"/>
    <w:link w:val="CommentSubject"/>
    <w:uiPriority w:val="99"/>
    <w:semiHidden/>
    <w:rsid w:val="00A44ACB"/>
    <w:rPr>
      <w:b/>
      <w:bCs/>
    </w:rPr>
  </w:style>
  <w:style w:type="character" w:styleId="UnresolvedMention">
    <w:name w:val="Unresolved Mention"/>
    <w:uiPriority w:val="99"/>
    <w:semiHidden/>
    <w:unhideWhenUsed/>
    <w:rsid w:val="00D4726A"/>
    <w:rPr>
      <w:color w:val="605E5C"/>
      <w:shd w:val="clear" w:color="auto" w:fill="E1DFDD"/>
    </w:rPr>
  </w:style>
  <w:style w:type="table" w:styleId="TableGrid">
    <w:name w:val="Table Grid"/>
    <w:basedOn w:val="TableNormal"/>
    <w:uiPriority w:val="59"/>
    <w:rsid w:val="00D621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468B1"/>
  </w:style>
  <w:style w:type="paragraph" w:styleId="FootnoteText">
    <w:name w:val="footnote text"/>
    <w:basedOn w:val="Normal"/>
    <w:link w:val="FootnoteTextChar"/>
    <w:uiPriority w:val="99"/>
    <w:semiHidden/>
    <w:unhideWhenUsed/>
    <w:rsid w:val="00D35AC3"/>
  </w:style>
  <w:style w:type="character" w:customStyle="1" w:styleId="FootnoteTextChar">
    <w:name w:val="Footnote Text Char"/>
    <w:basedOn w:val="DefaultParagraphFont"/>
    <w:link w:val="FootnoteText"/>
    <w:uiPriority w:val="99"/>
    <w:semiHidden/>
    <w:rsid w:val="00D35AC3"/>
  </w:style>
  <w:style w:type="character" w:styleId="FootnoteReference">
    <w:name w:val="footnote reference"/>
    <w:basedOn w:val="DefaultParagraphFont"/>
    <w:uiPriority w:val="99"/>
    <w:semiHidden/>
    <w:unhideWhenUsed/>
    <w:rsid w:val="00D35A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19305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6CC59265DDB75041B6E828A556B6EC84" ma:contentTypeVersion="12" ma:contentTypeDescription="Create a new document." ma:contentTypeScope="" ma:versionID="bb55bdc32ba0288032e3170b7985f8e0">
  <xsd:schema xmlns:xsd="http://www.w3.org/2001/XMLSchema" xmlns:xs="http://www.w3.org/2001/XMLSchema" xmlns:p="http://schemas.microsoft.com/office/2006/metadata/properties" xmlns:ns2="d4a638c4-874f-49c0-bb2b-5cb8563c2b18" xmlns:ns3="1ea71733-1480-480c-8178-737b92910626" targetNamespace="http://schemas.microsoft.com/office/2006/metadata/properties" ma:root="true" ma:fieldsID="f640509e160786fbb16eb517f19ff599" ns2:_="" ns3:_="">
    <xsd:import namespace="d4a638c4-874f-49c0-bb2b-5cb8563c2b18"/>
    <xsd:import namespace="1ea71733-1480-480c-8178-737b9291062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993058fa-7323-40bc-bd77-93e31bfab044}" ma:internalName="TaxCatchAll" ma:showField="CatchAllData" ma:web="d4a638c4-874f-49c0-bb2b-5cb8563c2b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a71733-1480-480c-8178-737b9291062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106E80-04E6-46AA-A6B9-41BCF01685F9}">
  <ds:schemaRefs>
    <ds:schemaRef ds:uri="http://schemas.openxmlformats.org/officeDocument/2006/bibliography"/>
  </ds:schemaRefs>
</ds:datastoreItem>
</file>

<file path=customXml/itemProps2.xml><?xml version="1.0" encoding="utf-8"?>
<ds:datastoreItem xmlns:ds="http://schemas.openxmlformats.org/officeDocument/2006/customXml" ds:itemID="{0D3A8A23-807B-404E-89D3-15403D0E1418}">
  <ds:schemaRefs>
    <ds:schemaRef ds:uri="http://schemas.microsoft.com/sharepoint/v3/contenttype/forms"/>
  </ds:schemaRefs>
</ds:datastoreItem>
</file>

<file path=customXml/itemProps3.xml><?xml version="1.0" encoding="utf-8"?>
<ds:datastoreItem xmlns:ds="http://schemas.openxmlformats.org/officeDocument/2006/customXml" ds:itemID="{4D3A396F-F0A5-4873-BC4A-4CC8D3EDE4BE}">
  <ds:schemaRefs>
    <ds:schemaRef ds:uri="http://schemas.microsoft.com/sharepoint/events"/>
  </ds:schemaRefs>
</ds:datastoreItem>
</file>

<file path=customXml/itemProps4.xml><?xml version="1.0" encoding="utf-8"?>
<ds:datastoreItem xmlns:ds="http://schemas.openxmlformats.org/officeDocument/2006/customXml" ds:itemID="{E92FEBAA-3A99-47DE-981B-EF034FF5C1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638c4-874f-49c0-bb2b-5cb8563c2b18"/>
    <ds:schemaRef ds:uri="1ea71733-1480-480c-8178-737b92910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3214</Words>
  <Characters>18550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2024-05-09T15:00:00Z</dcterms:created>
  <dcterms:modified xsi:type="dcterms:W3CDTF">2024-05-09T15:15:00Z</dcterms:modified>
</cp:coreProperties>
</file>