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7D84" w:rsidRPr="00AF6BF3" w:rsidP="00CB7D84">
      <w:pPr>
        <w:pStyle w:val="Title"/>
        <w:rPr>
          <w:b w:val="0"/>
          <w:bCs w:val="0"/>
          <w:szCs w:val="24"/>
        </w:rPr>
      </w:pPr>
      <w:r w:rsidRPr="00AF6BF3">
        <w:rPr>
          <w:b w:val="0"/>
          <w:szCs w:val="24"/>
        </w:rPr>
        <w:t>SUPPORTING STATEMENT</w:t>
      </w:r>
    </w:p>
    <w:p w:rsidR="00823ED7" w:rsidP="00823ED7">
      <w:pPr>
        <w:jc w:val="center"/>
        <w:rPr>
          <w:rFonts w:ascii="Times New Roman" w:hAnsi="Times New Roman"/>
          <w:bCs/>
        </w:rPr>
      </w:pPr>
      <w:r w:rsidRPr="0084392A">
        <w:rPr>
          <w:rFonts w:ascii="Times New Roman" w:hAnsi="Times New Roman"/>
          <w:bCs/>
        </w:rPr>
        <w:t xml:space="preserve">LIQUIDITY COVERAGE RATIO: </w:t>
      </w:r>
    </w:p>
    <w:p w:rsidR="00823ED7" w:rsidRPr="00471381" w:rsidP="00823ED7">
      <w:pPr>
        <w:jc w:val="center"/>
        <w:rPr>
          <w:rFonts w:ascii="Times New Roman" w:hAnsi="Times New Roman"/>
        </w:rPr>
      </w:pPr>
      <w:r w:rsidRPr="0084392A">
        <w:rPr>
          <w:rFonts w:ascii="Times New Roman" w:hAnsi="Times New Roman"/>
          <w:bCs/>
        </w:rPr>
        <w:t xml:space="preserve">LIQUIDITY RISK MEASUREMENT, STANDARDS, </w:t>
      </w:r>
      <w:r>
        <w:rPr>
          <w:rFonts w:ascii="Times New Roman" w:hAnsi="Times New Roman"/>
          <w:bCs/>
        </w:rPr>
        <w:t>A</w:t>
      </w:r>
      <w:r w:rsidRPr="0084392A">
        <w:rPr>
          <w:rFonts w:ascii="Times New Roman" w:hAnsi="Times New Roman"/>
          <w:bCs/>
        </w:rPr>
        <w:t>ND MONITORING (LCR</w:t>
      </w:r>
      <w:r>
        <w:rPr>
          <w:rFonts w:ascii="Times New Roman" w:hAnsi="Times New Roman"/>
          <w:bCs/>
        </w:rPr>
        <w:t>)</w:t>
      </w:r>
      <w:r>
        <w:rPr>
          <w:rFonts w:ascii="Times New Roman" w:hAnsi="Times New Roman"/>
          <w:b/>
          <w:bCs/>
        </w:rPr>
        <w:br/>
      </w:r>
      <w:r>
        <w:rPr>
          <w:rFonts w:ascii="Times New Roman" w:hAnsi="Times New Roman"/>
        </w:rPr>
        <w:t>(O</w:t>
      </w:r>
      <w:r w:rsidRPr="00471381">
        <w:rPr>
          <w:rFonts w:ascii="Times New Roman" w:hAnsi="Times New Roman"/>
        </w:rPr>
        <w:t xml:space="preserve">MB Control No. </w:t>
      </w:r>
      <w:r>
        <w:rPr>
          <w:rFonts w:ascii="Times New Roman" w:hAnsi="Times New Roman"/>
        </w:rPr>
        <w:t>3064-0197)</w:t>
      </w:r>
    </w:p>
    <w:p w:rsidR="009F1BED" w:rsidRPr="00815948" w:rsidP="00815948">
      <w:pPr>
        <w:tabs>
          <w:tab w:val="left" w:pos="-1440"/>
        </w:tabs>
        <w:ind w:left="720" w:hanging="720"/>
        <w:rPr>
          <w:rFonts w:ascii="Times New Roman" w:hAnsi="Times New Roman"/>
        </w:rPr>
      </w:pPr>
    </w:p>
    <w:p w:rsidR="004441C3" w:rsidRPr="00815948" w:rsidP="00815948">
      <w:pPr>
        <w:tabs>
          <w:tab w:val="left" w:pos="-1440"/>
        </w:tabs>
        <w:rPr>
          <w:rFonts w:ascii="Times New Roman" w:hAnsi="Times New Roman"/>
          <w:u w:val="single"/>
        </w:rPr>
      </w:pPr>
      <w:r w:rsidRPr="00815948">
        <w:rPr>
          <w:rFonts w:ascii="Times New Roman" w:hAnsi="Times New Roman"/>
          <w:u w:val="single"/>
        </w:rPr>
        <w:t>INTRODUCTION</w:t>
      </w:r>
    </w:p>
    <w:p w:rsidR="004441C3" w:rsidRPr="00815948" w:rsidP="00815948">
      <w:pPr>
        <w:tabs>
          <w:tab w:val="left" w:pos="-1440"/>
        </w:tabs>
        <w:rPr>
          <w:rFonts w:ascii="Times New Roman" w:hAnsi="Times New Roman"/>
          <w:u w:val="single"/>
        </w:rPr>
      </w:pPr>
    </w:p>
    <w:p w:rsidR="00815948" w:rsidRPr="00815948" w:rsidP="00F555E5">
      <w:pPr>
        <w:rPr>
          <w:rFonts w:ascii="Times New Roman" w:hAnsi="Times New Roman"/>
        </w:rPr>
      </w:pPr>
      <w:r w:rsidRPr="00F555E5">
        <w:rPr>
          <w:rFonts w:ascii="Times New Roman" w:hAnsi="Times New Roman"/>
          <w:bCs/>
        </w:rPr>
        <w:t xml:space="preserve">This submission is being made in connection with </w:t>
      </w:r>
      <w:r w:rsidR="00EA7FF9">
        <w:rPr>
          <w:rFonts w:ascii="Times New Roman" w:hAnsi="Times New Roman"/>
          <w:bCs/>
        </w:rPr>
        <w:t>the extension</w:t>
      </w:r>
      <w:r w:rsidR="0085326D">
        <w:rPr>
          <w:rFonts w:ascii="Times New Roman" w:hAnsi="Times New Roman"/>
          <w:bCs/>
        </w:rPr>
        <w:t>, w</w:t>
      </w:r>
      <w:r w:rsidR="007D41D2">
        <w:rPr>
          <w:rFonts w:ascii="Times New Roman" w:hAnsi="Times New Roman"/>
          <w:bCs/>
        </w:rPr>
        <w:t>ith revisions</w:t>
      </w:r>
      <w:r w:rsidR="0085326D">
        <w:rPr>
          <w:rFonts w:ascii="Times New Roman" w:hAnsi="Times New Roman"/>
          <w:bCs/>
        </w:rPr>
        <w:t>,</w:t>
      </w:r>
      <w:r w:rsidR="00EA7FF9">
        <w:rPr>
          <w:rFonts w:ascii="Times New Roman" w:hAnsi="Times New Roman"/>
          <w:bCs/>
        </w:rPr>
        <w:t xml:space="preserve"> of the Liquidity Coverage Ratio, Liquidity Risk Measurement, Standards and Monitoring (LCR) information collection currently approved under OMB Control No. 3064-0197.</w:t>
      </w:r>
      <w:r w:rsidRPr="00F555E5">
        <w:rPr>
          <w:rFonts w:ascii="Times New Roman" w:hAnsi="Times New Roman"/>
          <w:bCs/>
        </w:rPr>
        <w:t xml:space="preserve">  The </w:t>
      </w:r>
      <w:r w:rsidR="00EA7FF9">
        <w:rPr>
          <w:rFonts w:ascii="Times New Roman" w:hAnsi="Times New Roman"/>
          <w:bCs/>
        </w:rPr>
        <w:t>information collection contains</w:t>
      </w:r>
      <w:r w:rsidRPr="00815948" w:rsidR="00153D04">
        <w:rPr>
          <w:rFonts w:ascii="Times New Roman" w:hAnsi="Times New Roman"/>
        </w:rPr>
        <w:t xml:space="preserve"> certain reporting and recordkeeping requirements </w:t>
      </w:r>
      <w:r w:rsidR="00EA7FF9">
        <w:rPr>
          <w:rFonts w:ascii="Times New Roman" w:hAnsi="Times New Roman"/>
        </w:rPr>
        <w:t xml:space="preserve">found in </w:t>
      </w:r>
      <w:r w:rsidR="00153D04">
        <w:rPr>
          <w:rFonts w:ascii="Times New Roman" w:hAnsi="Times New Roman"/>
        </w:rPr>
        <w:t xml:space="preserve"> the </w:t>
      </w:r>
      <w:r w:rsidRPr="00815948" w:rsidR="00153D04">
        <w:rPr>
          <w:rFonts w:ascii="Times New Roman" w:hAnsi="Times New Roman"/>
        </w:rPr>
        <w:t xml:space="preserve">LCR rule </w:t>
      </w:r>
      <w:r w:rsidR="00EA7FF9">
        <w:rPr>
          <w:rFonts w:ascii="Times New Roman" w:hAnsi="Times New Roman"/>
        </w:rPr>
        <w:t xml:space="preserve">codified </w:t>
      </w:r>
      <w:r w:rsidRPr="00815948" w:rsidR="00153D04">
        <w:rPr>
          <w:rFonts w:ascii="Times New Roman" w:hAnsi="Times New Roman"/>
        </w:rPr>
        <w:t>at 12 C.F.R. part 329</w:t>
      </w:r>
      <w:r w:rsidR="00EA7FF9">
        <w:rPr>
          <w:rFonts w:ascii="Times New Roman" w:hAnsi="Times New Roman"/>
        </w:rPr>
        <w:t>.</w:t>
      </w:r>
      <w:r w:rsidR="00153D04">
        <w:rPr>
          <w:rFonts w:ascii="Times New Roman" w:hAnsi="Times New Roman"/>
        </w:rPr>
        <w:t xml:space="preserve"> </w:t>
      </w:r>
      <w:r w:rsidR="00EA7FF9">
        <w:rPr>
          <w:rFonts w:ascii="Times New Roman" w:hAnsi="Times New Roman"/>
        </w:rPr>
        <w:t>The</w:t>
      </w:r>
      <w:r w:rsidR="007D41D2">
        <w:rPr>
          <w:rFonts w:ascii="Times New Roman" w:hAnsi="Times New Roman"/>
        </w:rPr>
        <w:t xml:space="preserve"> </w:t>
      </w:r>
      <w:r w:rsidR="00EA7FF9">
        <w:rPr>
          <w:rFonts w:ascii="Times New Roman" w:hAnsi="Times New Roman"/>
        </w:rPr>
        <w:t>information collection</w:t>
      </w:r>
      <w:r w:rsidRPr="00815948">
        <w:rPr>
          <w:rFonts w:ascii="Times New Roman" w:hAnsi="Times New Roman"/>
        </w:rPr>
        <w:t xml:space="preserve"> which expires on </w:t>
      </w:r>
      <w:r w:rsidR="00EA7FF9">
        <w:rPr>
          <w:rFonts w:ascii="Times New Roman" w:hAnsi="Times New Roman"/>
        </w:rPr>
        <w:t>March 31, 2024</w:t>
      </w:r>
      <w:r w:rsidRPr="00815948">
        <w:rPr>
          <w:rFonts w:ascii="Times New Roman" w:hAnsi="Times New Roman"/>
        </w:rPr>
        <w:t xml:space="preserve">.  </w:t>
      </w:r>
    </w:p>
    <w:p w:rsidR="009F1BED">
      <w:pPr>
        <w:tabs>
          <w:tab w:val="left" w:pos="-1440"/>
        </w:tabs>
        <w:ind w:left="720" w:hanging="720"/>
        <w:rPr>
          <w:rFonts w:ascii="Times New Roman" w:hAnsi="Times New Roman"/>
        </w:rPr>
      </w:pPr>
    </w:p>
    <w:p w:rsidR="009F1BED">
      <w:pPr>
        <w:tabs>
          <w:tab w:val="left" w:pos="-1440"/>
        </w:tabs>
        <w:ind w:left="720" w:hanging="720"/>
        <w:rPr>
          <w:rFonts w:ascii="Times New Roman" w:hAnsi="Times New Roman"/>
        </w:rPr>
      </w:pPr>
      <w:r>
        <w:rPr>
          <w:rFonts w:ascii="Times New Roman" w:hAnsi="Times New Roman"/>
        </w:rPr>
        <w:t>A.</w:t>
      </w:r>
      <w:r>
        <w:rPr>
          <w:rFonts w:ascii="Times New Roman" w:hAnsi="Times New Roman"/>
        </w:rPr>
        <w:tab/>
      </w:r>
      <w:r w:rsidR="00CB7D84">
        <w:rPr>
          <w:rFonts w:ascii="Times New Roman" w:hAnsi="Times New Roman"/>
          <w:u w:val="single"/>
        </w:rPr>
        <w:t>JUSTIFICATION</w:t>
      </w:r>
    </w:p>
    <w:p w:rsidR="009F1BED">
      <w:pPr>
        <w:rPr>
          <w:rFonts w:ascii="Times New Roman" w:hAnsi="Times New Roman"/>
        </w:rPr>
      </w:pPr>
    </w:p>
    <w:p w:rsidR="00CB7D84" w:rsidRPr="00CB7D84" w:rsidP="00CB7D84">
      <w:pPr>
        <w:widowControl/>
        <w:numPr>
          <w:ilvl w:val="0"/>
          <w:numId w:val="2"/>
        </w:numPr>
        <w:tabs>
          <w:tab w:val="left" w:pos="720"/>
        </w:tabs>
        <w:autoSpaceDE/>
        <w:autoSpaceDN/>
        <w:adjustRightInd/>
        <w:rPr>
          <w:rFonts w:ascii="Times New Roman" w:hAnsi="Times New Roman"/>
          <w:bCs/>
          <w:iCs/>
          <w:u w:val="single"/>
        </w:rPr>
      </w:pPr>
      <w:r w:rsidRPr="00CB7D84">
        <w:rPr>
          <w:rFonts w:ascii="Times New Roman" w:hAnsi="Times New Roman"/>
          <w:bCs/>
          <w:iCs/>
          <w:u w:val="single"/>
        </w:rPr>
        <w:t>Circumstances and Need</w:t>
      </w:r>
    </w:p>
    <w:p w:rsidR="009F1BED">
      <w:pPr>
        <w:rPr>
          <w:rFonts w:ascii="Times New Roman" w:hAnsi="Times New Roman"/>
        </w:rPr>
      </w:pPr>
    </w:p>
    <w:p w:rsidR="00F555E5" w:rsidRPr="00E629EB" w:rsidP="00314317">
      <w:pPr>
        <w:ind w:left="1440"/>
        <w:rPr>
          <w:rFonts w:ascii="Times New Roman" w:hAnsi="Times New Roman"/>
        </w:rPr>
      </w:pPr>
      <w:r>
        <w:rPr>
          <w:rFonts w:ascii="Times New Roman" w:hAnsi="Times New Roman"/>
        </w:rPr>
        <w:t>In 2014, t</w:t>
      </w:r>
      <w:r w:rsidRPr="00CE7268">
        <w:rPr>
          <w:rFonts w:ascii="Times New Roman" w:hAnsi="Times New Roman"/>
        </w:rPr>
        <w:t xml:space="preserve">he </w:t>
      </w:r>
      <w:r w:rsidR="00657175">
        <w:rPr>
          <w:rFonts w:ascii="Times New Roman" w:hAnsi="Times New Roman"/>
        </w:rPr>
        <w:t xml:space="preserve">OCC, </w:t>
      </w:r>
      <w:r w:rsidR="00724466">
        <w:rPr>
          <w:rFonts w:ascii="Times New Roman" w:hAnsi="Times New Roman"/>
        </w:rPr>
        <w:t>the FRB</w:t>
      </w:r>
      <w:r w:rsidRPr="00CE7268">
        <w:rPr>
          <w:rFonts w:ascii="Times New Roman" w:hAnsi="Times New Roman"/>
        </w:rPr>
        <w:t xml:space="preserve"> </w:t>
      </w:r>
      <w:r w:rsidR="00657175">
        <w:rPr>
          <w:rFonts w:ascii="Times New Roman" w:hAnsi="Times New Roman"/>
        </w:rPr>
        <w:t>and the FDIC</w:t>
      </w:r>
      <w:r w:rsidRPr="00CE7268">
        <w:rPr>
          <w:rFonts w:ascii="Times New Roman" w:hAnsi="Times New Roman"/>
        </w:rPr>
        <w:t xml:space="preserve"> </w:t>
      </w:r>
      <w:r>
        <w:rPr>
          <w:rFonts w:ascii="Times New Roman" w:hAnsi="Times New Roman"/>
        </w:rPr>
        <w:t xml:space="preserve">adopted the </w:t>
      </w:r>
      <w:r w:rsidRPr="0084392A">
        <w:rPr>
          <w:rFonts w:ascii="Times New Roman" w:hAnsi="Times New Roman"/>
        </w:rPr>
        <w:t>L</w:t>
      </w:r>
      <w:r>
        <w:rPr>
          <w:rFonts w:ascii="Times New Roman" w:hAnsi="Times New Roman"/>
        </w:rPr>
        <w:t xml:space="preserve">iquidity </w:t>
      </w:r>
      <w:r w:rsidRPr="0084392A">
        <w:rPr>
          <w:rFonts w:ascii="Times New Roman" w:hAnsi="Times New Roman"/>
        </w:rPr>
        <w:t>C</w:t>
      </w:r>
      <w:r>
        <w:rPr>
          <w:rFonts w:ascii="Times New Roman" w:hAnsi="Times New Roman"/>
        </w:rPr>
        <w:t xml:space="preserve">overage </w:t>
      </w:r>
      <w:r w:rsidRPr="0084392A">
        <w:rPr>
          <w:rFonts w:ascii="Times New Roman" w:hAnsi="Times New Roman"/>
        </w:rPr>
        <w:t>R</w:t>
      </w:r>
      <w:r>
        <w:rPr>
          <w:rFonts w:ascii="Times New Roman" w:hAnsi="Times New Roman"/>
        </w:rPr>
        <w:t>atio</w:t>
      </w:r>
      <w:r w:rsidRPr="0084392A">
        <w:rPr>
          <w:rFonts w:ascii="Times New Roman" w:hAnsi="Times New Roman"/>
        </w:rPr>
        <w:t xml:space="preserve"> </w:t>
      </w:r>
      <w:r>
        <w:rPr>
          <w:rFonts w:ascii="Times New Roman" w:hAnsi="Times New Roman"/>
        </w:rPr>
        <w:t>(LCR) rule that</w:t>
      </w:r>
      <w:r w:rsidRPr="00CE7268">
        <w:rPr>
          <w:rFonts w:ascii="Times New Roman" w:hAnsi="Times New Roman"/>
        </w:rPr>
        <w:t xml:space="preserve"> implement</w:t>
      </w:r>
      <w:r>
        <w:rPr>
          <w:rFonts w:ascii="Times New Roman" w:hAnsi="Times New Roman"/>
        </w:rPr>
        <w:t>ed</w:t>
      </w:r>
      <w:r w:rsidRPr="00CE7268">
        <w:rPr>
          <w:rFonts w:ascii="Times New Roman" w:hAnsi="Times New Roman"/>
        </w:rPr>
        <w:t xml:space="preserve"> a quantitative liquidity requirement</w:t>
      </w:r>
      <w:r>
        <w:rPr>
          <w:rFonts w:ascii="Times New Roman" w:hAnsi="Times New Roman"/>
        </w:rPr>
        <w:t xml:space="preserve"> </w:t>
      </w:r>
      <w:r w:rsidRPr="00CE7268">
        <w:rPr>
          <w:rFonts w:ascii="Times New Roman" w:hAnsi="Times New Roman"/>
        </w:rPr>
        <w:t xml:space="preserve">consistent with the liquidity coverage ratio standard established by the Basel Committee on Banking Supervision. </w:t>
      </w:r>
      <w:r>
        <w:rPr>
          <w:rFonts w:ascii="Times New Roman" w:hAnsi="Times New Roman"/>
        </w:rPr>
        <w:t xml:space="preserve"> </w:t>
      </w:r>
      <w:r w:rsidRPr="0084392A">
        <w:rPr>
          <w:rFonts w:ascii="Times New Roman" w:hAnsi="Times New Roman"/>
        </w:rPr>
        <w:t>The LCR rule establishes a quantitative minimum liquidity coverage ratio that requires a company subject to the rule to maintain an amount of high-quality liquid assets (the numerator of the ratio) that is no less than 100 percent of its total net cash outflows over a prospective 30 calendar-day period (the denominator of the ratio).</w:t>
      </w:r>
      <w:r>
        <w:rPr>
          <w:rFonts w:ascii="Times New Roman" w:hAnsi="Times New Roman"/>
        </w:rPr>
        <w:t xml:space="preserve">  The LCR</w:t>
      </w:r>
      <w:r w:rsidRPr="00CE7268">
        <w:rPr>
          <w:rFonts w:ascii="Times New Roman" w:hAnsi="Times New Roman"/>
        </w:rPr>
        <w:t xml:space="preserve"> rule </w:t>
      </w:r>
      <w:r>
        <w:rPr>
          <w:rFonts w:ascii="Times New Roman" w:hAnsi="Times New Roman"/>
        </w:rPr>
        <w:t>applies</w:t>
      </w:r>
      <w:r w:rsidRPr="00CE7268">
        <w:rPr>
          <w:rFonts w:ascii="Times New Roman" w:hAnsi="Times New Roman"/>
        </w:rPr>
        <w:t xml:space="preserve"> to all internationally active banking organizations, generally, bank holding companies, certain savings and loan holding companies, and depository institutions with more than $250 billion in total assets or more than $10 billion in on-balance sheet foreign exposure, and to their consolidated subsidiaries that are depository institutions with $10 billion or more in total consolidated assets.</w:t>
      </w:r>
      <w:r>
        <w:rPr>
          <w:rFonts w:ascii="Times New Roman" w:hAnsi="Times New Roman"/>
        </w:rPr>
        <w:t xml:space="preserve">   </w:t>
      </w:r>
      <w:r w:rsidRPr="0084392A">
        <w:rPr>
          <w:rFonts w:ascii="Times New Roman" w:hAnsi="Times New Roman"/>
        </w:rPr>
        <w:t xml:space="preserve">The </w:t>
      </w:r>
      <w:r>
        <w:rPr>
          <w:rFonts w:ascii="Times New Roman" w:hAnsi="Times New Roman"/>
        </w:rPr>
        <w:t xml:space="preserve">LCR </w:t>
      </w:r>
      <w:r w:rsidRPr="0084392A">
        <w:rPr>
          <w:rFonts w:ascii="Times New Roman" w:hAnsi="Times New Roman"/>
        </w:rPr>
        <w:t xml:space="preserve">rule contains reporting and </w:t>
      </w:r>
      <w:r w:rsidRPr="00F555E5">
        <w:rPr>
          <w:rFonts w:ascii="Times New Roman" w:hAnsi="Times New Roman"/>
        </w:rPr>
        <w:t>recordkeeping requirements</w:t>
      </w:r>
      <w:r>
        <w:rPr>
          <w:rFonts w:ascii="Times New Roman" w:hAnsi="Times New Roman"/>
        </w:rPr>
        <w:t>.</w:t>
      </w:r>
      <w:r w:rsidRPr="00F555E5" w:rsidR="00781597">
        <w:rPr>
          <w:rFonts w:ascii="Times New Roman" w:hAnsi="Times New Roman"/>
        </w:rPr>
        <w:t xml:space="preserve"> </w:t>
      </w:r>
    </w:p>
    <w:p w:rsidR="009F1BED">
      <w:pPr>
        <w:ind w:firstLine="720"/>
        <w:rPr>
          <w:rFonts w:ascii="Times New Roman" w:hAnsi="Times New Roman"/>
        </w:rPr>
      </w:pPr>
    </w:p>
    <w:p w:rsidR="009F1BED" w:rsidP="00CB7D84">
      <w:pPr>
        <w:numPr>
          <w:ilvl w:val="0"/>
          <w:numId w:val="2"/>
        </w:numPr>
        <w:tabs>
          <w:tab w:val="left" w:pos="-1440"/>
        </w:tabs>
        <w:rPr>
          <w:rFonts w:ascii="Times New Roman" w:hAnsi="Times New Roman"/>
        </w:rPr>
      </w:pPr>
      <w:r>
        <w:rPr>
          <w:rFonts w:ascii="Times New Roman" w:hAnsi="Times New Roman"/>
          <w:u w:val="single"/>
        </w:rPr>
        <w:t>Use of the I</w:t>
      </w:r>
      <w:r>
        <w:rPr>
          <w:rFonts w:ascii="Times New Roman" w:hAnsi="Times New Roman"/>
          <w:u w:val="single"/>
        </w:rPr>
        <w:t>nformation</w:t>
      </w:r>
      <w:r>
        <w:rPr>
          <w:rFonts w:ascii="Times New Roman" w:hAnsi="Times New Roman"/>
          <w:u w:val="single"/>
        </w:rPr>
        <w:t xml:space="preserve"> Collected</w:t>
      </w:r>
    </w:p>
    <w:p w:rsidR="009F1BED">
      <w:pPr>
        <w:rPr>
          <w:rFonts w:ascii="Times New Roman" w:hAnsi="Times New Roman"/>
        </w:rPr>
      </w:pPr>
    </w:p>
    <w:p w:rsidR="00086EBC" w:rsidP="00CB7D84">
      <w:pPr>
        <w:ind w:left="1440"/>
        <w:rPr>
          <w:rFonts w:ascii="Times New Roman" w:hAnsi="Times New Roman"/>
        </w:rPr>
      </w:pPr>
      <w:r w:rsidRPr="0084392A">
        <w:rPr>
          <w:rFonts w:ascii="Times New Roman" w:hAnsi="Times New Roman"/>
        </w:rPr>
        <w:t>The</w:t>
      </w:r>
      <w:r>
        <w:rPr>
          <w:rFonts w:ascii="Times New Roman" w:hAnsi="Times New Roman"/>
        </w:rPr>
        <w:t xml:space="preserve"> LCR rule</w:t>
      </w:r>
      <w:r w:rsidRPr="0084392A">
        <w:rPr>
          <w:rFonts w:ascii="Times New Roman" w:hAnsi="Times New Roman"/>
        </w:rPr>
        <w:t xml:space="preserve"> is designed to promote the short-term resilience of the liquidity risk profile of large and internationally active banking organizations, thereby improving the banking sector’s ability to absorb shocks arising from financial and economic stress, and to further improve the measurement and management of liquidity risk</w:t>
      </w:r>
      <w:r w:rsidR="009F1BED">
        <w:rPr>
          <w:rFonts w:ascii="Times New Roman" w:hAnsi="Times New Roman"/>
        </w:rPr>
        <w:t>.</w:t>
      </w:r>
    </w:p>
    <w:p w:rsidR="00781597" w:rsidP="00CB7D84">
      <w:pPr>
        <w:ind w:left="1440"/>
        <w:rPr>
          <w:rFonts w:ascii="Times New Roman" w:hAnsi="Times New Roman"/>
        </w:rPr>
      </w:pPr>
    </w:p>
    <w:p w:rsidR="009F1BED" w:rsidP="00CB7D84">
      <w:pPr>
        <w:numPr>
          <w:ilvl w:val="0"/>
          <w:numId w:val="2"/>
        </w:numPr>
        <w:tabs>
          <w:tab w:val="left" w:pos="-1440"/>
        </w:tabs>
        <w:rPr>
          <w:rFonts w:ascii="Times New Roman" w:hAnsi="Times New Roman"/>
        </w:rPr>
      </w:pPr>
      <w:r>
        <w:rPr>
          <w:rFonts w:ascii="Times New Roman" w:hAnsi="Times New Roman"/>
          <w:u w:val="single"/>
        </w:rPr>
        <w:t>Use of Technology to Reduce Burden</w:t>
      </w:r>
    </w:p>
    <w:p w:rsidR="009F1BED">
      <w:pPr>
        <w:rPr>
          <w:rFonts w:ascii="Times New Roman" w:hAnsi="Times New Roman"/>
        </w:rPr>
      </w:pPr>
    </w:p>
    <w:p w:rsidR="009F1BED" w:rsidP="00CB7D84">
      <w:pPr>
        <w:ind w:left="1440"/>
        <w:rPr>
          <w:rFonts w:ascii="Times New Roman" w:hAnsi="Times New Roman"/>
        </w:rPr>
      </w:pPr>
      <w:r w:rsidRPr="007377CE">
        <w:rPr>
          <w:rFonts w:ascii="Times New Roman" w:hAnsi="Times New Roman"/>
        </w:rPr>
        <w:t>Respondents may use any type of improved information technology they have available to meet the requirements of this regulation</w:t>
      </w:r>
      <w:r>
        <w:rPr>
          <w:rFonts w:ascii="Times New Roman" w:hAnsi="Times New Roman"/>
        </w:rPr>
        <w:t xml:space="preserve">.  </w:t>
      </w:r>
    </w:p>
    <w:p w:rsidR="009F1BED">
      <w:pPr>
        <w:rPr>
          <w:rFonts w:ascii="Times New Roman" w:hAnsi="Times New Roman"/>
        </w:rPr>
      </w:pPr>
    </w:p>
    <w:p w:rsidR="009F1BED" w:rsidP="00CB7D84">
      <w:pPr>
        <w:numPr>
          <w:ilvl w:val="0"/>
          <w:numId w:val="2"/>
        </w:numPr>
        <w:tabs>
          <w:tab w:val="left" w:pos="-1440"/>
        </w:tabs>
        <w:rPr>
          <w:rFonts w:ascii="Times New Roman" w:hAnsi="Times New Roman"/>
        </w:rPr>
      </w:pPr>
      <w:r>
        <w:rPr>
          <w:rFonts w:ascii="Times New Roman" w:hAnsi="Times New Roman"/>
          <w:u w:val="single"/>
        </w:rPr>
        <w:t>Efforts to I</w:t>
      </w:r>
      <w:r>
        <w:rPr>
          <w:rFonts w:ascii="Times New Roman" w:hAnsi="Times New Roman"/>
          <w:u w:val="single"/>
        </w:rPr>
        <w:t>d</w:t>
      </w:r>
      <w:r>
        <w:rPr>
          <w:rFonts w:ascii="Times New Roman" w:hAnsi="Times New Roman"/>
          <w:u w:val="single"/>
        </w:rPr>
        <w:t>entify D</w:t>
      </w:r>
      <w:r>
        <w:rPr>
          <w:rFonts w:ascii="Times New Roman" w:hAnsi="Times New Roman"/>
          <w:u w:val="single"/>
        </w:rPr>
        <w:t>uplication</w:t>
      </w:r>
    </w:p>
    <w:p w:rsidR="009F1BED">
      <w:pPr>
        <w:rPr>
          <w:rFonts w:ascii="Times New Roman" w:hAnsi="Times New Roman"/>
        </w:rPr>
      </w:pPr>
    </w:p>
    <w:p w:rsidR="009F1BED" w:rsidP="00CB7D84">
      <w:pPr>
        <w:ind w:left="1440"/>
        <w:rPr>
          <w:rFonts w:ascii="Times New Roman" w:hAnsi="Times New Roman"/>
        </w:rPr>
      </w:pPr>
      <w:r>
        <w:rPr>
          <w:rFonts w:ascii="Times New Roman" w:hAnsi="Times New Roman"/>
        </w:rPr>
        <w:t xml:space="preserve">There is no duplication.  </w:t>
      </w:r>
      <w:r w:rsidRPr="00471381" w:rsidR="00823ED7">
        <w:rPr>
          <w:rFonts w:ascii="Times New Roman" w:hAnsi="Times New Roman"/>
        </w:rPr>
        <w:t>This information is not available elsewhere</w:t>
      </w:r>
      <w:r>
        <w:rPr>
          <w:rFonts w:ascii="Times New Roman" w:hAnsi="Times New Roman"/>
        </w:rPr>
        <w:t>.</w:t>
      </w:r>
    </w:p>
    <w:p w:rsidR="009F1BED">
      <w:pPr>
        <w:rPr>
          <w:rFonts w:ascii="Times New Roman" w:hAnsi="Times New Roman"/>
        </w:rPr>
      </w:pPr>
    </w:p>
    <w:p w:rsidR="009F1BED" w:rsidP="00CB7D84">
      <w:pPr>
        <w:numPr>
          <w:ilvl w:val="0"/>
          <w:numId w:val="2"/>
        </w:numPr>
        <w:tabs>
          <w:tab w:val="left" w:pos="-1440"/>
        </w:tabs>
        <w:rPr>
          <w:rFonts w:ascii="Times New Roman" w:hAnsi="Times New Roman"/>
        </w:rPr>
      </w:pPr>
      <w:r>
        <w:rPr>
          <w:rFonts w:ascii="Times New Roman" w:hAnsi="Times New Roman"/>
          <w:u w:val="single"/>
        </w:rPr>
        <w:t>Mini</w:t>
      </w:r>
      <w:r w:rsidR="00CB7D84">
        <w:rPr>
          <w:rFonts w:ascii="Times New Roman" w:hAnsi="Times New Roman"/>
          <w:u w:val="single"/>
        </w:rPr>
        <w:t>mizing Burden on Small E</w:t>
      </w:r>
      <w:r>
        <w:rPr>
          <w:rFonts w:ascii="Times New Roman" w:hAnsi="Times New Roman"/>
          <w:u w:val="single"/>
        </w:rPr>
        <w:t>ntities</w:t>
      </w:r>
    </w:p>
    <w:p w:rsidR="009F1BED">
      <w:pPr>
        <w:rPr>
          <w:rFonts w:ascii="Times New Roman" w:hAnsi="Times New Roman"/>
        </w:rPr>
      </w:pPr>
    </w:p>
    <w:p w:rsidR="00304E52" w:rsidRPr="007D41D2" w:rsidP="007D41D2">
      <w:pPr>
        <w:ind w:left="1440"/>
        <w:rPr>
          <w:rFonts w:ascii="Times New Roman" w:hAnsi="Times New Roman"/>
          <w:i/>
        </w:rPr>
      </w:pPr>
      <w:r w:rsidRPr="007D41D2">
        <w:rPr>
          <w:rFonts w:ascii="Times New Roman" w:hAnsi="Times New Roman"/>
        </w:rPr>
        <w:t xml:space="preserve">This collection does not have a significant impact on a substantial number of small entities.  </w:t>
      </w:r>
      <w:r w:rsidRPr="007D41D2">
        <w:rPr>
          <w:rFonts w:ascii="Times New Roman" w:hAnsi="Times New Roman"/>
        </w:rPr>
        <w:t>As of September 30, 2023, the FDIC supervised 2,958 insured depository institutions (“IDIs”).</w:t>
      </w:r>
      <w:r>
        <w:rPr>
          <w:rStyle w:val="FootnoteReference"/>
          <w:rFonts w:ascii="Times New Roman" w:hAnsi="Times New Roman"/>
          <w:vertAlign w:val="superscript"/>
        </w:rPr>
        <w:footnoteReference w:id="2"/>
      </w:r>
      <w:r w:rsidRPr="007D41D2">
        <w:rPr>
          <w:rFonts w:ascii="Times New Roman" w:hAnsi="Times New Roman"/>
          <w:vertAlign w:val="superscript"/>
        </w:rPr>
        <w:t xml:space="preserve"> </w:t>
      </w:r>
      <w:r w:rsidRPr="007D41D2">
        <w:rPr>
          <w:rFonts w:ascii="Times New Roman" w:hAnsi="Times New Roman"/>
        </w:rPr>
        <w:t xml:space="preserve">Of these, three IDIs are covered IDIs under Part 329. </w:t>
      </w:r>
      <w:r w:rsidRPr="007D41D2">
        <w:rPr>
          <w:rFonts w:ascii="Times New Roman" w:hAnsi="Times New Roman"/>
          <w:vertAlign w:val="superscript"/>
        </w:rPr>
        <w:t xml:space="preserve"> </w:t>
      </w:r>
      <w:r w:rsidRPr="007D41D2">
        <w:rPr>
          <w:rFonts w:ascii="Times New Roman" w:hAnsi="Times New Roman"/>
        </w:rPr>
        <w:t>None of the three covered IDIs is a small entity for the purposes of the Regulatory Flexibility Act.</w:t>
      </w:r>
      <w:r>
        <w:rPr>
          <w:rStyle w:val="FootnoteReference"/>
          <w:rFonts w:ascii="Times New Roman" w:hAnsi="Times New Roman"/>
          <w:vertAlign w:val="superscript"/>
        </w:rPr>
        <w:footnoteReference w:id="3"/>
      </w:r>
      <w:r w:rsidRPr="007D41D2">
        <w:rPr>
          <w:rFonts w:ascii="Times New Roman" w:hAnsi="Times New Roman"/>
          <w:vertAlign w:val="superscript"/>
        </w:rPr>
        <w:t xml:space="preserve"> </w:t>
      </w:r>
      <w:r w:rsidRPr="007D41D2">
        <w:rPr>
          <w:rFonts w:ascii="Times New Roman" w:hAnsi="Times New Roman"/>
        </w:rPr>
        <w:t>The FDIC believes that all of the covered institutions have likely implemented the policies and procedures necessary to comply with Part 329, as of December 19, 2023.</w:t>
      </w:r>
    </w:p>
    <w:p w:rsidR="006A3DB3" w:rsidRPr="006A3DB3" w:rsidP="006A3DB3">
      <w:pPr>
        <w:ind w:left="1440"/>
        <w:rPr>
          <w:rFonts w:ascii="Times New Roman" w:hAnsi="Times New Roman"/>
          <w:color w:val="1F497D"/>
        </w:rPr>
      </w:pPr>
    </w:p>
    <w:p w:rsidR="009F1BED">
      <w:pPr>
        <w:tabs>
          <w:tab w:val="left" w:pos="-1440"/>
        </w:tabs>
        <w:ind w:left="720" w:hanging="720"/>
        <w:rPr>
          <w:rFonts w:ascii="Times New Roman" w:hAnsi="Times New Roman"/>
        </w:rPr>
      </w:pPr>
    </w:p>
    <w:p w:rsidR="00CB7D84" w:rsidRPr="004175A5" w:rsidP="00CB7D84">
      <w:pPr>
        <w:pStyle w:val="BodyText"/>
        <w:numPr>
          <w:ilvl w:val="0"/>
          <w:numId w:val="2"/>
        </w:numPr>
        <w:rPr>
          <w:bCs/>
          <w:i w:val="0"/>
          <w:szCs w:val="24"/>
          <w:u w:val="single"/>
        </w:rPr>
      </w:pPr>
      <w:r w:rsidRPr="004175A5">
        <w:rPr>
          <w:bCs/>
          <w:i w:val="0"/>
          <w:szCs w:val="24"/>
          <w:u w:val="single"/>
        </w:rPr>
        <w:t>Consequences of Less Frequent Collections</w:t>
      </w:r>
    </w:p>
    <w:p w:rsidR="009F1BED">
      <w:pPr>
        <w:rPr>
          <w:rFonts w:ascii="Times New Roman" w:hAnsi="Times New Roman"/>
        </w:rPr>
      </w:pPr>
    </w:p>
    <w:p w:rsidR="009F1BED" w:rsidRPr="00CB7D84" w:rsidP="00CB7D84">
      <w:pPr>
        <w:ind w:left="1440"/>
        <w:rPr>
          <w:rFonts w:ascii="Times New Roman" w:hAnsi="Times New Roman"/>
        </w:rPr>
      </w:pPr>
      <w:r w:rsidRPr="00471381">
        <w:rPr>
          <w:rFonts w:ascii="Times New Roman" w:hAnsi="Times New Roman"/>
        </w:rPr>
        <w:t>Less frequent collection would result in safety and soundness concerns</w:t>
      </w:r>
      <w:r w:rsidRPr="00CB7D84">
        <w:rPr>
          <w:rFonts w:ascii="Times New Roman" w:hAnsi="Times New Roman"/>
        </w:rPr>
        <w:t>.</w:t>
      </w:r>
    </w:p>
    <w:p w:rsidR="009F1BED" w:rsidRPr="00CB7D84">
      <w:pPr>
        <w:rPr>
          <w:rFonts w:ascii="Times New Roman" w:hAnsi="Times New Roman"/>
        </w:rPr>
      </w:pPr>
    </w:p>
    <w:p w:rsidR="00CB7D84" w:rsidRPr="00CB7D84" w:rsidP="00CB7D84">
      <w:pPr>
        <w:pStyle w:val="BodyText"/>
        <w:numPr>
          <w:ilvl w:val="0"/>
          <w:numId w:val="2"/>
        </w:numPr>
        <w:rPr>
          <w:bCs/>
          <w:i w:val="0"/>
          <w:szCs w:val="24"/>
          <w:u w:val="single"/>
        </w:rPr>
      </w:pPr>
      <w:r w:rsidRPr="00CB7D84">
        <w:rPr>
          <w:bCs/>
          <w:i w:val="0"/>
          <w:szCs w:val="24"/>
          <w:u w:val="single"/>
        </w:rPr>
        <w:t>Special Circumstances</w:t>
      </w:r>
    </w:p>
    <w:p w:rsidR="00CB7D84" w:rsidRPr="00CB7D84" w:rsidP="00CB7D84">
      <w:pPr>
        <w:rPr>
          <w:rFonts w:ascii="Times New Roman" w:hAnsi="Times New Roman"/>
        </w:rPr>
      </w:pPr>
    </w:p>
    <w:p w:rsidR="00CB7D84" w:rsidP="00CB7D84">
      <w:pPr>
        <w:ind w:left="720" w:firstLine="720"/>
        <w:rPr>
          <w:rFonts w:ascii="Times New Roman" w:hAnsi="Times New Roman"/>
        </w:rPr>
      </w:pPr>
      <w:r w:rsidRPr="00CB7D84">
        <w:rPr>
          <w:rFonts w:ascii="Times New Roman" w:hAnsi="Times New Roman"/>
        </w:rPr>
        <w:t>None.</w:t>
      </w:r>
    </w:p>
    <w:p w:rsidR="00304E52" w:rsidRPr="00CB7D84" w:rsidP="00CB7D84">
      <w:pPr>
        <w:ind w:left="720" w:firstLine="720"/>
        <w:rPr>
          <w:rFonts w:ascii="Times New Roman" w:hAnsi="Times New Roman"/>
        </w:rPr>
      </w:pPr>
    </w:p>
    <w:p w:rsidR="00CB7D84" w:rsidRPr="006A66D4" w:rsidP="00304E52">
      <w:pPr>
        <w:keepNext/>
        <w:widowControl/>
        <w:numPr>
          <w:ilvl w:val="0"/>
          <w:numId w:val="2"/>
        </w:numPr>
        <w:tabs>
          <w:tab w:val="left" w:pos="-720"/>
        </w:tabs>
        <w:suppressAutoHyphens/>
        <w:autoSpaceDE/>
        <w:autoSpaceDN/>
        <w:adjustRightInd/>
        <w:jc w:val="both"/>
        <w:rPr>
          <w:rFonts w:ascii="Times New Roman" w:hAnsi="Times New Roman"/>
          <w:bCs/>
          <w:u w:val="single"/>
        </w:rPr>
      </w:pPr>
      <w:r w:rsidRPr="006A66D4">
        <w:rPr>
          <w:rFonts w:ascii="Times New Roman" w:hAnsi="Times New Roman"/>
          <w:spacing w:val="-3"/>
          <w:u w:val="single"/>
        </w:rPr>
        <w:t>Consultation</w:t>
      </w:r>
      <w:r w:rsidRPr="006A66D4">
        <w:rPr>
          <w:rFonts w:ascii="Times New Roman" w:hAnsi="Times New Roman"/>
          <w:bCs/>
          <w:u w:val="single"/>
        </w:rPr>
        <w:t xml:space="preserve"> with Persons Outside the FDIC</w:t>
      </w:r>
    </w:p>
    <w:p w:rsidR="00CB7D84" w:rsidRPr="00304E52" w:rsidP="00CB7D84">
      <w:pPr>
        <w:pStyle w:val="BodyText"/>
        <w:rPr>
          <w:b/>
          <w:bCs/>
          <w:szCs w:val="24"/>
        </w:rPr>
      </w:pPr>
    </w:p>
    <w:p w:rsidR="00F57B3C" w:rsidP="006353E1">
      <w:pPr>
        <w:pStyle w:val="BodyTextIndent"/>
        <w:spacing w:after="0"/>
        <w:ind w:left="1440"/>
        <w:rPr>
          <w:szCs w:val="24"/>
        </w:rPr>
      </w:pPr>
      <w:r>
        <w:rPr>
          <w:szCs w:val="24"/>
        </w:rPr>
        <w:t>On January 17, 2024</w:t>
      </w:r>
      <w:r w:rsidR="006353E1">
        <w:rPr>
          <w:szCs w:val="24"/>
        </w:rPr>
        <w:t>, t</w:t>
      </w:r>
      <w:r w:rsidRPr="007831E2" w:rsidR="006353E1">
        <w:rPr>
          <w:szCs w:val="24"/>
        </w:rPr>
        <w:t xml:space="preserve">he </w:t>
      </w:r>
      <w:r>
        <w:rPr>
          <w:szCs w:val="24"/>
        </w:rPr>
        <w:t>FDIC</w:t>
      </w:r>
      <w:r w:rsidRPr="007831E2" w:rsidR="006353E1">
        <w:rPr>
          <w:szCs w:val="24"/>
        </w:rPr>
        <w:t xml:space="preserve"> published </w:t>
      </w:r>
      <w:r>
        <w:rPr>
          <w:szCs w:val="24"/>
        </w:rPr>
        <w:t xml:space="preserve">a notice </w:t>
      </w:r>
      <w:r w:rsidR="004E0454">
        <w:rPr>
          <w:szCs w:val="24"/>
        </w:rPr>
        <w:t xml:space="preserve">in </w:t>
      </w:r>
      <w:r w:rsidRPr="007831E2" w:rsidR="004E0454">
        <w:rPr>
          <w:szCs w:val="24"/>
        </w:rPr>
        <w:t>the</w:t>
      </w:r>
      <w:r w:rsidRPr="007831E2" w:rsidR="006353E1">
        <w:rPr>
          <w:szCs w:val="24"/>
        </w:rPr>
        <w:t xml:space="preserve"> </w:t>
      </w:r>
      <w:r w:rsidRPr="007831E2" w:rsidR="006353E1">
        <w:rPr>
          <w:i/>
          <w:szCs w:val="24"/>
        </w:rPr>
        <w:t>Federal Register</w:t>
      </w:r>
      <w:r w:rsidRPr="007831E2" w:rsidR="006353E1">
        <w:rPr>
          <w:szCs w:val="24"/>
        </w:rPr>
        <w:t xml:space="preserve"> </w:t>
      </w:r>
      <w:r w:rsidRPr="006353E1" w:rsidR="006353E1">
        <w:rPr>
          <w:szCs w:val="24"/>
        </w:rPr>
        <w:t>(8</w:t>
      </w:r>
      <w:r>
        <w:rPr>
          <w:szCs w:val="24"/>
        </w:rPr>
        <w:t>9</w:t>
      </w:r>
      <w:r w:rsidRPr="006353E1" w:rsidR="006353E1">
        <w:rPr>
          <w:szCs w:val="24"/>
        </w:rPr>
        <w:t xml:space="preserve"> FR </w:t>
      </w:r>
      <w:r>
        <w:rPr>
          <w:szCs w:val="24"/>
        </w:rPr>
        <w:t>2949</w:t>
      </w:r>
      <w:r w:rsidRPr="006353E1" w:rsidR="006353E1">
        <w:rPr>
          <w:szCs w:val="24"/>
        </w:rPr>
        <w:t>)</w:t>
      </w:r>
      <w:r>
        <w:rPr>
          <w:szCs w:val="24"/>
        </w:rPr>
        <w:t xml:space="preserve"> seeking comments on the renewal of this information collection for a period of 60 days</w:t>
      </w:r>
      <w:r w:rsidRPr="006353E1" w:rsidR="006353E1">
        <w:rPr>
          <w:szCs w:val="24"/>
        </w:rPr>
        <w:t xml:space="preserve">.  </w:t>
      </w:r>
      <w:r w:rsidRPr="006A3DB3" w:rsidR="006A3DB3">
        <w:rPr>
          <w:szCs w:val="24"/>
        </w:rPr>
        <w:t>No comments were received</w:t>
      </w:r>
      <w:r>
        <w:rPr>
          <w:szCs w:val="24"/>
        </w:rPr>
        <w:t>.</w:t>
      </w:r>
    </w:p>
    <w:p w:rsidR="00755927" w:rsidP="006353E1">
      <w:pPr>
        <w:pStyle w:val="BodyTextIndent"/>
        <w:spacing w:after="0"/>
        <w:ind w:left="1440"/>
        <w:rPr>
          <w:szCs w:val="24"/>
        </w:rPr>
      </w:pPr>
    </w:p>
    <w:p w:rsidR="00755927" w:rsidRPr="001F3C2F" w:rsidP="00755927">
      <w:pPr>
        <w:spacing w:after="120"/>
        <w:ind w:left="1440"/>
        <w:rPr>
          <w:rFonts w:ascii="Times New Roman" w:eastAsia="Source Sans Pro" w:hAnsi="Times New Roman"/>
          <w:color w:val="000000"/>
          <w:lang w:bidi="en-US"/>
        </w:rPr>
      </w:pPr>
      <w:r>
        <w:rPr>
          <w:rFonts w:ascii="Times New Roman" w:eastAsia="Source Sans Pro" w:hAnsi="Times New Roman"/>
          <w:color w:val="000000"/>
          <w:lang w:bidi="en-US"/>
        </w:rPr>
        <w:t>FDIC</w:t>
      </w:r>
      <w:r w:rsidRPr="001F3C2F">
        <w:rPr>
          <w:rFonts w:ascii="Times New Roman" w:eastAsia="Source Sans Pro" w:hAnsi="Times New Roman"/>
          <w:color w:val="000000"/>
          <w:lang w:bidi="en-US"/>
        </w:rPr>
        <w:t xml:space="preserve"> corresponded with representatives from the Federal Reserve Board and Office of the Comptroller of Currency (together with the FDIC, agencies). The three agencies agreed to reorganize the ICs for the agencies’ respective</w:t>
      </w:r>
      <w:r>
        <w:rPr>
          <w:rFonts w:ascii="Times New Roman" w:eastAsia="Source Sans Pro" w:hAnsi="Times New Roman"/>
          <w:color w:val="000000"/>
          <w:lang w:bidi="en-US"/>
        </w:rPr>
        <w:t xml:space="preserve"> Liquidity Coverage Ratio </w:t>
      </w:r>
      <w:r w:rsidRPr="001F3C2F">
        <w:rPr>
          <w:rFonts w:ascii="Times New Roman" w:eastAsia="Source Sans Pro" w:hAnsi="Times New Roman"/>
          <w:color w:val="000000"/>
          <w:lang w:bidi="en-US"/>
        </w:rPr>
        <w:t xml:space="preserve">ICRs in order to combine similar </w:t>
      </w:r>
      <w:r w:rsidRPr="001F3C2F">
        <w:rPr>
          <w:rFonts w:ascii="Times New Roman" w:hAnsi="Times New Roman"/>
        </w:rPr>
        <w:t>ICs</w:t>
      </w:r>
      <w:r w:rsidRPr="001F3C2F">
        <w:rPr>
          <w:rFonts w:ascii="Times New Roman" w:eastAsia="Source Sans Pro" w:hAnsi="Times New Roman"/>
          <w:color w:val="000000"/>
          <w:lang w:bidi="en-US"/>
        </w:rPr>
        <w:t xml:space="preserve"> and include a previously unaccounted IC. The revised set of ICs for OMB No. 3064-0197, with a description of changes from the 2021 ICR, </w:t>
      </w:r>
      <w:r>
        <w:rPr>
          <w:rFonts w:ascii="Times New Roman" w:eastAsia="Source Sans Pro" w:hAnsi="Times New Roman"/>
          <w:color w:val="000000"/>
          <w:lang w:bidi="en-US"/>
        </w:rPr>
        <w:t>are listed in Section 12.</w:t>
      </w:r>
    </w:p>
    <w:p w:rsidR="00755927" w:rsidP="006353E1">
      <w:pPr>
        <w:pStyle w:val="BodyTextIndent"/>
        <w:spacing w:after="0"/>
        <w:ind w:left="1440"/>
        <w:rPr>
          <w:szCs w:val="24"/>
        </w:rPr>
      </w:pPr>
    </w:p>
    <w:p w:rsidR="006353E1" w:rsidRPr="007831E2" w:rsidP="006353E1">
      <w:pPr>
        <w:pStyle w:val="BodyTextIndent"/>
        <w:spacing w:after="0"/>
        <w:ind w:left="1440"/>
        <w:rPr>
          <w:szCs w:val="24"/>
        </w:rPr>
      </w:pPr>
      <w:r w:rsidRPr="007831E2">
        <w:rPr>
          <w:szCs w:val="24"/>
        </w:rPr>
        <w:t xml:space="preserve"> </w:t>
      </w:r>
    </w:p>
    <w:p w:rsidR="00CB7D84" w:rsidRPr="00CB7D84" w:rsidP="00257F44">
      <w:pPr>
        <w:keepNext/>
        <w:widowControl/>
        <w:numPr>
          <w:ilvl w:val="0"/>
          <w:numId w:val="2"/>
        </w:numPr>
        <w:tabs>
          <w:tab w:val="left" w:pos="-720"/>
        </w:tabs>
        <w:suppressAutoHyphens/>
        <w:autoSpaceDE/>
        <w:autoSpaceDN/>
        <w:adjustRightInd/>
        <w:jc w:val="both"/>
        <w:rPr>
          <w:rFonts w:ascii="Times New Roman" w:hAnsi="Times New Roman"/>
          <w:spacing w:val="-3"/>
        </w:rPr>
      </w:pPr>
      <w:r w:rsidRPr="00CB7D84">
        <w:rPr>
          <w:rFonts w:ascii="Times New Roman" w:hAnsi="Times New Roman"/>
          <w:spacing w:val="-3"/>
          <w:u w:val="single"/>
        </w:rPr>
        <w:t>Payment or Gift to Respondents</w:t>
      </w:r>
    </w:p>
    <w:p w:rsidR="00CB7D84" w:rsidRPr="00CB7D84" w:rsidP="00257F44">
      <w:pPr>
        <w:keepNext/>
        <w:tabs>
          <w:tab w:val="left" w:pos="-720"/>
        </w:tabs>
        <w:suppressAutoHyphens/>
        <w:jc w:val="both"/>
        <w:rPr>
          <w:rFonts w:ascii="Times New Roman" w:hAnsi="Times New Roman"/>
          <w:spacing w:val="-3"/>
        </w:rPr>
      </w:pPr>
    </w:p>
    <w:p w:rsidR="00CB7D84" w:rsidRPr="00CB7D84" w:rsidP="00CB7D84">
      <w:pPr>
        <w:tabs>
          <w:tab w:val="left" w:pos="-720"/>
        </w:tabs>
        <w:suppressAutoHyphens/>
        <w:ind w:left="720"/>
        <w:jc w:val="both"/>
        <w:rPr>
          <w:rFonts w:ascii="Times New Roman" w:hAnsi="Times New Roman"/>
          <w:spacing w:val="-3"/>
        </w:rPr>
      </w:pPr>
      <w:r w:rsidRPr="00CB7D84">
        <w:rPr>
          <w:rFonts w:ascii="Times New Roman" w:hAnsi="Times New Roman"/>
          <w:spacing w:val="-3"/>
        </w:rPr>
        <w:tab/>
        <w:t>None.</w:t>
      </w:r>
    </w:p>
    <w:p w:rsidR="00495F2E" w:rsidRPr="00495F2E" w:rsidP="00495F2E">
      <w:pPr>
        <w:tabs>
          <w:tab w:val="left" w:pos="-1440"/>
        </w:tabs>
        <w:ind w:left="720"/>
        <w:rPr>
          <w:rFonts w:ascii="Times New Roman" w:hAnsi="Times New Roman"/>
        </w:rPr>
      </w:pPr>
    </w:p>
    <w:p w:rsidR="009F1BED" w:rsidP="00CB7D84">
      <w:pPr>
        <w:numPr>
          <w:ilvl w:val="0"/>
          <w:numId w:val="2"/>
        </w:numPr>
        <w:tabs>
          <w:tab w:val="left" w:pos="-1440"/>
        </w:tabs>
        <w:rPr>
          <w:rFonts w:ascii="Times New Roman" w:hAnsi="Times New Roman"/>
        </w:rPr>
      </w:pPr>
      <w:r>
        <w:rPr>
          <w:rFonts w:ascii="Times New Roman" w:hAnsi="Times New Roman"/>
          <w:u w:val="single"/>
        </w:rPr>
        <w:t>C</w:t>
      </w:r>
      <w:r>
        <w:rPr>
          <w:rFonts w:ascii="Times New Roman" w:hAnsi="Times New Roman"/>
          <w:u w:val="single"/>
        </w:rPr>
        <w:t>onfidentiality</w:t>
      </w:r>
    </w:p>
    <w:p w:rsidR="009F1BED">
      <w:pPr>
        <w:rPr>
          <w:rFonts w:ascii="Times New Roman" w:hAnsi="Times New Roman"/>
        </w:rPr>
      </w:pPr>
    </w:p>
    <w:p w:rsidR="00CB7D84" w:rsidP="00CB7D84">
      <w:pPr>
        <w:ind w:left="1440"/>
        <w:rPr>
          <w:rFonts w:ascii="Times New Roman" w:hAnsi="Times New Roman"/>
        </w:rPr>
      </w:pPr>
      <w:r>
        <w:rPr>
          <w:rFonts w:ascii="Times New Roman" w:hAnsi="Times New Roman"/>
        </w:rPr>
        <w:t xml:space="preserve">Information will be kept confidential to the extent permitted by law. </w:t>
      </w:r>
      <w:r w:rsidRPr="00CB7D84">
        <w:rPr>
          <w:rFonts w:ascii="Times New Roman" w:hAnsi="Times New Roman"/>
        </w:rPr>
        <w:t>Any information deemed to b</w:t>
      </w:r>
      <w:r>
        <w:rPr>
          <w:rFonts w:ascii="Times New Roman" w:hAnsi="Times New Roman"/>
        </w:rPr>
        <w:t>e of a confidential nature may</w:t>
      </w:r>
      <w:r w:rsidRPr="00CB7D84">
        <w:rPr>
          <w:rFonts w:ascii="Times New Roman" w:hAnsi="Times New Roman"/>
        </w:rPr>
        <w:t xml:space="preserve"> be exempt from public disclosure in accordance with the provisions of the Freedom of Information Act (5 U.S.C. 552).</w:t>
      </w:r>
    </w:p>
    <w:p w:rsidR="00781597" w:rsidRPr="00CB7D84">
      <w:pPr>
        <w:rPr>
          <w:rFonts w:ascii="Times New Roman" w:hAnsi="Times New Roman"/>
        </w:rPr>
      </w:pPr>
    </w:p>
    <w:p w:rsidR="00CB7D84" w:rsidRPr="00CB7D84" w:rsidP="00CB7D84">
      <w:pPr>
        <w:numPr>
          <w:ilvl w:val="0"/>
          <w:numId w:val="2"/>
        </w:numPr>
        <w:tabs>
          <w:tab w:val="left" w:pos="-720"/>
        </w:tabs>
        <w:suppressAutoHyphens/>
        <w:rPr>
          <w:rFonts w:ascii="Times New Roman" w:hAnsi="Times New Roman"/>
          <w:spacing w:val="-3"/>
        </w:rPr>
      </w:pPr>
      <w:r w:rsidRPr="00CB7D84">
        <w:rPr>
          <w:rFonts w:ascii="Times New Roman" w:hAnsi="Times New Roman"/>
          <w:spacing w:val="-3"/>
          <w:u w:val="single"/>
        </w:rPr>
        <w:t>Information of a Sensitive Nature</w:t>
      </w:r>
    </w:p>
    <w:p w:rsidR="00CB7D84" w:rsidRPr="00CB7D84" w:rsidP="00CB7D84">
      <w:pPr>
        <w:tabs>
          <w:tab w:val="left" w:pos="-720"/>
        </w:tabs>
        <w:suppressAutoHyphens/>
        <w:jc w:val="both"/>
        <w:rPr>
          <w:rFonts w:ascii="Times New Roman" w:hAnsi="Times New Roman"/>
          <w:spacing w:val="-3"/>
        </w:rPr>
      </w:pPr>
    </w:p>
    <w:p w:rsidR="00CB7D84" w:rsidRPr="00CB7D84" w:rsidP="00CB7D84">
      <w:pPr>
        <w:tabs>
          <w:tab w:val="left" w:pos="-720"/>
        </w:tabs>
        <w:suppressAutoHyphens/>
        <w:jc w:val="both"/>
        <w:rPr>
          <w:rFonts w:ascii="Times New Roman" w:hAnsi="Times New Roman"/>
          <w:spacing w:val="-3"/>
        </w:rPr>
      </w:pPr>
      <w:r w:rsidRPr="00CB7D84">
        <w:rPr>
          <w:rFonts w:ascii="Times New Roman" w:hAnsi="Times New Roman"/>
          <w:spacing w:val="-3"/>
        </w:rPr>
        <w:tab/>
      </w:r>
      <w:r w:rsidRPr="00CB7D84">
        <w:rPr>
          <w:rFonts w:ascii="Times New Roman" w:hAnsi="Times New Roman"/>
          <w:spacing w:val="-3"/>
        </w:rPr>
        <w:tab/>
        <w:t>This collection contains no sensitive information.</w:t>
      </w:r>
    </w:p>
    <w:p w:rsidR="00781597" w:rsidRPr="00781597" w:rsidP="00781597">
      <w:pPr>
        <w:ind w:left="720"/>
        <w:rPr>
          <w:rFonts w:ascii="Times New Roman" w:hAnsi="Times New Roman"/>
          <w:spacing w:val="-3"/>
        </w:rPr>
      </w:pPr>
    </w:p>
    <w:p w:rsidR="00CA37FE" w:rsidRPr="006A3DB3" w:rsidP="003670E1">
      <w:pPr>
        <w:numPr>
          <w:ilvl w:val="0"/>
          <w:numId w:val="2"/>
        </w:numPr>
        <w:rPr>
          <w:rFonts w:ascii="Times New Roman" w:hAnsi="Times New Roman"/>
          <w:spacing w:val="-3"/>
        </w:rPr>
      </w:pPr>
      <w:r w:rsidRPr="00CA37FE">
        <w:rPr>
          <w:rFonts w:ascii="Times New Roman" w:hAnsi="Times New Roman"/>
          <w:spacing w:val="-3"/>
          <w:u w:val="single"/>
        </w:rPr>
        <w:t>Estimates of Hour Burden and Annualized Cost</w:t>
      </w:r>
    </w:p>
    <w:p w:rsidR="006A3DB3" w:rsidP="006A3DB3">
      <w:pPr>
        <w:rPr>
          <w:rFonts w:ascii="Times New Roman" w:hAnsi="Times New Roman"/>
          <w:spacing w:val="-3"/>
          <w:u w:val="single"/>
        </w:rPr>
      </w:pPr>
    </w:p>
    <w:p w:rsidR="001F3C2F" w:rsidRPr="001F3C2F" w:rsidP="001F3C2F">
      <w:pPr>
        <w:spacing w:after="120"/>
        <w:ind w:left="1440"/>
        <w:rPr>
          <w:rFonts w:ascii="Times New Roman" w:eastAsia="Source Sans Pro" w:hAnsi="Times New Roman"/>
          <w:color w:val="000000"/>
          <w:lang w:bidi="en-US"/>
        </w:rPr>
      </w:pPr>
      <w:r>
        <w:rPr>
          <w:rFonts w:ascii="Times New Roman" w:eastAsia="Source Sans Pro" w:hAnsi="Times New Roman"/>
          <w:color w:val="000000"/>
          <w:lang w:bidi="en-US"/>
        </w:rPr>
        <w:t>The FDIC</w:t>
      </w:r>
      <w:r w:rsidRPr="001F3C2F">
        <w:rPr>
          <w:rFonts w:ascii="Times New Roman" w:eastAsia="Source Sans Pro" w:hAnsi="Times New Roman"/>
          <w:color w:val="000000"/>
          <w:lang w:bidi="en-US"/>
        </w:rPr>
        <w:t xml:space="preserve"> corresponded with representatives from the Federal Reserve Board and Office of the Comptroller of Currency (together with the FDIC, agencies). The three agencies agreed to reorganize the ICs for the agencies’ respective ICRs in order to combine similar </w:t>
      </w:r>
      <w:r w:rsidRPr="001F3C2F">
        <w:rPr>
          <w:rFonts w:ascii="Times New Roman" w:hAnsi="Times New Roman"/>
        </w:rPr>
        <w:t>ICs</w:t>
      </w:r>
      <w:r w:rsidRPr="001F3C2F">
        <w:rPr>
          <w:rFonts w:ascii="Times New Roman" w:eastAsia="Source Sans Pro" w:hAnsi="Times New Roman"/>
          <w:color w:val="000000"/>
          <w:lang w:bidi="en-US"/>
        </w:rPr>
        <w:t xml:space="preserve"> and include a previously unaccounted IC. The revised set of ICs for OMB No. 3064-0197, with a description of changes from the 2021 ICR, is as follows:</w:t>
      </w:r>
    </w:p>
    <w:p w:rsidR="001F3C2F" w:rsidRPr="001F3C2F" w:rsidP="001F3C2F">
      <w:pPr>
        <w:numPr>
          <w:ilvl w:val="0"/>
          <w:numId w:val="5"/>
        </w:numPr>
        <w:suppressAutoHyphens/>
        <w:adjustRightInd/>
        <w:spacing w:after="120"/>
        <w:ind w:right="-86"/>
        <w:rPr>
          <w:rFonts w:ascii="Times New Roman" w:eastAsia="Source Sans Pro" w:hAnsi="Times New Roman"/>
          <w:color w:val="000000"/>
          <w:lang w:bidi="en-US"/>
        </w:rPr>
      </w:pPr>
      <w:r w:rsidRPr="001F3C2F">
        <w:rPr>
          <w:rFonts w:ascii="Times New Roman" w:eastAsia="Source Sans Pro" w:hAnsi="Times New Roman"/>
          <w:color w:val="000000"/>
          <w:lang w:bidi="en-US"/>
        </w:rPr>
        <w:t>I</w:t>
      </w:r>
      <w:r w:rsidRPr="001F3C2F">
        <w:rPr>
          <w:rFonts w:ascii="Times New Roman" w:eastAsia="Source Sans Pro" w:hAnsi="Times New Roman"/>
          <w:b/>
          <w:color w:val="000000"/>
          <w:lang w:bidi="en-US"/>
        </w:rPr>
        <w:t>C1: 329.40(a) Notification that liquidity coverage ratio is less than minimum in 329.10; 329.110(a) NSFR shortfall notification.</w:t>
      </w:r>
      <w:r w:rsidRPr="001F3C2F">
        <w:rPr>
          <w:rFonts w:ascii="Times New Roman" w:eastAsia="Source Sans Pro" w:hAnsi="Times New Roman"/>
          <w:color w:val="000000"/>
          <w:lang w:bidi="en-US"/>
        </w:rPr>
        <w:t xml:space="preserve"> The first IC captures the reporting requirements described in sections 329.40(a) and 329.110(a), which require a covered IDI to calculate its LCR as of the same time on each business day</w:t>
      </w:r>
      <w:r>
        <w:rPr>
          <w:rFonts w:ascii="Times New Roman" w:eastAsia="Source Sans Pro" w:hAnsi="Times New Roman"/>
          <w:color w:val="000000"/>
          <w:vertAlign w:val="superscript"/>
          <w:lang w:bidi="en-US"/>
        </w:rPr>
        <w:footnoteReference w:id="4"/>
      </w:r>
      <w:r w:rsidRPr="001F3C2F">
        <w:rPr>
          <w:rFonts w:ascii="Times New Roman" w:eastAsia="Source Sans Pro" w:hAnsi="Times New Roman"/>
          <w:color w:val="000000"/>
          <w:lang w:bidi="en-US"/>
        </w:rPr>
        <w:t xml:space="preserve"> and notify the FDIC when its LCR</w:t>
      </w:r>
      <w:r>
        <w:rPr>
          <w:rFonts w:ascii="Times New Roman" w:eastAsia="Source Sans Pro" w:hAnsi="Times New Roman"/>
          <w:color w:val="000000"/>
          <w:vertAlign w:val="superscript"/>
          <w:lang w:bidi="en-US"/>
        </w:rPr>
        <w:footnoteReference w:id="5"/>
      </w:r>
      <w:r w:rsidRPr="001F3C2F">
        <w:rPr>
          <w:rFonts w:ascii="Times New Roman" w:eastAsia="Source Sans Pro" w:hAnsi="Times New Roman"/>
          <w:color w:val="000000"/>
          <w:lang w:bidi="en-US"/>
        </w:rPr>
        <w:t xml:space="preserve"> or </w:t>
      </w:r>
      <w:r w:rsidR="001E2785">
        <w:rPr>
          <w:rFonts w:ascii="Times New Roman" w:eastAsia="Source Sans Pro" w:hAnsi="Times New Roman"/>
          <w:color w:val="000000"/>
          <w:lang w:bidi="en-US"/>
        </w:rPr>
        <w:t>Net Stable Funding Ratio (</w:t>
      </w:r>
      <w:r w:rsidRPr="001F3C2F">
        <w:rPr>
          <w:rFonts w:ascii="Times New Roman" w:eastAsia="Source Sans Pro" w:hAnsi="Times New Roman"/>
          <w:color w:val="000000"/>
          <w:lang w:bidi="en-US"/>
        </w:rPr>
        <w:t>NSFR</w:t>
      </w:r>
      <w:r w:rsidR="001E2785">
        <w:rPr>
          <w:rFonts w:ascii="Times New Roman" w:eastAsia="Source Sans Pro" w:hAnsi="Times New Roman"/>
          <w:color w:val="000000"/>
          <w:lang w:bidi="en-US"/>
        </w:rPr>
        <w:t>)</w:t>
      </w:r>
      <w:r>
        <w:rPr>
          <w:rFonts w:ascii="Times New Roman" w:eastAsia="Source Sans Pro" w:hAnsi="Times New Roman"/>
          <w:color w:val="000000"/>
          <w:vertAlign w:val="superscript"/>
          <w:lang w:bidi="en-US"/>
        </w:rPr>
        <w:footnoteReference w:id="6"/>
      </w:r>
      <w:r w:rsidRPr="001F3C2F">
        <w:rPr>
          <w:rFonts w:ascii="Times New Roman" w:eastAsia="Source Sans Pro" w:hAnsi="Times New Roman"/>
          <w:color w:val="000000"/>
          <w:lang w:bidi="en-US"/>
        </w:rPr>
        <w:t xml:space="preserve"> is calculated to be less than the requirement set out in Part 329. </w:t>
      </w:r>
    </w:p>
    <w:p w:rsidR="001F3C2F" w:rsidRPr="001F3C2F" w:rsidP="001F3C2F">
      <w:pPr>
        <w:numPr>
          <w:ilvl w:val="0"/>
          <w:numId w:val="5"/>
        </w:numPr>
        <w:suppressAutoHyphens/>
        <w:adjustRightInd/>
        <w:spacing w:after="120"/>
        <w:ind w:right="-86"/>
        <w:rPr>
          <w:rFonts w:ascii="Times New Roman" w:eastAsia="Source Sans Pro" w:hAnsi="Times New Roman"/>
          <w:b/>
          <w:color w:val="000000"/>
          <w:lang w:bidi="en-US"/>
        </w:rPr>
      </w:pPr>
      <w:r w:rsidRPr="001F3C2F">
        <w:rPr>
          <w:rFonts w:ascii="Times New Roman" w:eastAsia="Source Sans Pro" w:hAnsi="Times New Roman"/>
          <w:b/>
          <w:color w:val="000000"/>
          <w:lang w:bidi="en-US"/>
        </w:rPr>
        <w:t>IC2: 329.40(b) and 329.110(b). LCR and NSFR Shortfall Reporting Requirements</w:t>
      </w:r>
      <w:r w:rsidRPr="001F3C2F">
        <w:rPr>
          <w:rFonts w:ascii="Times New Roman" w:eastAsia="Source Sans Pro" w:hAnsi="Times New Roman"/>
          <w:color w:val="000000"/>
          <w:lang w:bidi="en-US"/>
        </w:rPr>
        <w:t xml:space="preserve">. The second IC captures the reporting requirements described in sections 329.40(b) and 329.110(b), which mandate that a covered </w:t>
      </w:r>
      <w:r w:rsidR="001E2785">
        <w:rPr>
          <w:rFonts w:ascii="Times New Roman" w:eastAsia="Source Sans Pro" w:hAnsi="Times New Roman"/>
          <w:color w:val="000000"/>
          <w:lang w:bidi="en-US"/>
        </w:rPr>
        <w:t>insured depository institution (</w:t>
      </w:r>
      <w:r w:rsidRPr="001F3C2F">
        <w:rPr>
          <w:rFonts w:ascii="Times New Roman" w:eastAsia="Source Sans Pro" w:hAnsi="Times New Roman"/>
          <w:color w:val="000000"/>
          <w:lang w:bidi="en-US"/>
        </w:rPr>
        <w:t>IDI</w:t>
      </w:r>
      <w:r w:rsidR="001E2785">
        <w:rPr>
          <w:rFonts w:ascii="Times New Roman" w:eastAsia="Source Sans Pro" w:hAnsi="Times New Roman"/>
          <w:color w:val="000000"/>
          <w:lang w:bidi="en-US"/>
        </w:rPr>
        <w:t>)</w:t>
      </w:r>
      <w:r w:rsidRPr="001F3C2F">
        <w:rPr>
          <w:rFonts w:ascii="Times New Roman" w:eastAsia="Source Sans Pro" w:hAnsi="Times New Roman"/>
          <w:color w:val="000000"/>
          <w:lang w:bidi="en-US"/>
        </w:rPr>
        <w:t xml:space="preserve"> whose LCR</w:t>
      </w:r>
      <w:r>
        <w:rPr>
          <w:rFonts w:ascii="Times New Roman" w:eastAsia="Source Sans Pro" w:hAnsi="Times New Roman"/>
          <w:color w:val="000000"/>
          <w:vertAlign w:val="superscript"/>
          <w:lang w:bidi="en-US"/>
        </w:rPr>
        <w:footnoteReference w:id="7"/>
      </w:r>
      <w:r w:rsidRPr="001F3C2F">
        <w:rPr>
          <w:rFonts w:ascii="Times New Roman" w:eastAsia="Source Sans Pro" w:hAnsi="Times New Roman"/>
          <w:color w:val="000000"/>
          <w:lang w:bidi="en-US"/>
        </w:rPr>
        <w:t xml:space="preserve"> or NSFR</w:t>
      </w:r>
      <w:r>
        <w:rPr>
          <w:rFonts w:ascii="Times New Roman" w:eastAsia="Source Sans Pro" w:hAnsi="Times New Roman"/>
          <w:color w:val="000000"/>
          <w:vertAlign w:val="superscript"/>
          <w:lang w:bidi="en-US"/>
        </w:rPr>
        <w:footnoteReference w:id="8"/>
      </w:r>
      <w:r w:rsidRPr="001F3C2F">
        <w:rPr>
          <w:rFonts w:ascii="Times New Roman" w:eastAsia="Source Sans Pro" w:hAnsi="Times New Roman"/>
          <w:color w:val="000000"/>
          <w:lang w:bidi="en-US"/>
        </w:rPr>
        <w:t xml:space="preserve"> is below the minimum requirement set out in Part 329 shall provide the FDIC with a plan for achieving an LCR or NSFR equal to or greater than the minimum requirement. This IC was included in the 2021 ICR as two separate ICs: “329.40(b) Notification that liquidity coverage ratio is less than minimum in 329.10 for 3 consecutive days or otherwise noncompliant; 329.110(b) NSFR shortfall liquidity plan,” and “</w:t>
      </w:r>
      <w:hyperlink r:id="rId6" w:history="1">
        <w:r w:rsidRPr="001F3C2F">
          <w:rPr>
            <w:rFonts w:ascii="Times New Roman" w:eastAsia="Source Sans Pro" w:hAnsi="Times New Roman"/>
            <w:color w:val="000000"/>
            <w:lang w:bidi="en-US"/>
          </w:rPr>
          <w:t>329.40(b) and 329.110(b) Plan for achieving compliance</w:t>
        </w:r>
      </w:hyperlink>
      <w:r w:rsidRPr="001F3C2F">
        <w:rPr>
          <w:rFonts w:ascii="Times New Roman" w:eastAsia="Source Sans Pro" w:hAnsi="Times New Roman"/>
          <w:color w:val="000000"/>
          <w:lang w:bidi="en-US"/>
        </w:rPr>
        <w:t>.”</w:t>
      </w:r>
    </w:p>
    <w:p w:rsidR="001F3C2F" w:rsidRPr="001F3C2F" w:rsidP="001F3C2F">
      <w:pPr>
        <w:numPr>
          <w:ilvl w:val="0"/>
          <w:numId w:val="5"/>
        </w:numPr>
        <w:suppressAutoHyphens/>
        <w:adjustRightInd/>
        <w:spacing w:after="120"/>
        <w:ind w:right="-86"/>
        <w:rPr>
          <w:rFonts w:ascii="Times New Roman" w:eastAsia="Source Sans Pro" w:hAnsi="Times New Roman"/>
          <w:color w:val="000000"/>
          <w:lang w:bidi="en-US"/>
        </w:rPr>
      </w:pPr>
      <w:r w:rsidRPr="001F3C2F">
        <w:rPr>
          <w:rFonts w:ascii="Times New Roman" w:eastAsia="Source Sans Pro" w:hAnsi="Times New Roman"/>
          <w:b/>
          <w:color w:val="000000"/>
          <w:lang w:bidi="en-US"/>
        </w:rPr>
        <w:t>IC3: 329.40(b)(3)(iv) and 329.110(b)(3) Report of progress toward achieving compliance.</w:t>
      </w:r>
      <w:r w:rsidRPr="001F3C2F">
        <w:rPr>
          <w:rFonts w:ascii="Times New Roman" w:eastAsia="Source Sans Pro" w:hAnsi="Times New Roman"/>
          <w:color w:val="000000"/>
          <w:lang w:bidi="en-US"/>
        </w:rPr>
        <w:t xml:space="preserve"> The third IC captures the reporting requirements described in sections 329.40(b)(3)(iv) and 329.110(b)(3). These sections require a covered IDI whose LCR</w:t>
      </w:r>
      <w:r>
        <w:rPr>
          <w:rFonts w:ascii="Times New Roman" w:eastAsia="Source Sans Pro" w:hAnsi="Times New Roman"/>
          <w:color w:val="000000"/>
          <w:vertAlign w:val="superscript"/>
          <w:lang w:bidi="en-US"/>
        </w:rPr>
        <w:footnoteReference w:id="9"/>
      </w:r>
      <w:r w:rsidRPr="001F3C2F">
        <w:rPr>
          <w:rFonts w:ascii="Times New Roman" w:eastAsia="Source Sans Pro" w:hAnsi="Times New Roman"/>
          <w:color w:val="000000"/>
          <w:lang w:bidi="en-US"/>
        </w:rPr>
        <w:t xml:space="preserve"> or NSFR</w:t>
      </w:r>
      <w:r>
        <w:rPr>
          <w:rFonts w:ascii="Times New Roman" w:eastAsia="Source Sans Pro" w:hAnsi="Times New Roman"/>
          <w:color w:val="000000"/>
          <w:vertAlign w:val="superscript"/>
          <w:lang w:bidi="en-US"/>
        </w:rPr>
        <w:footnoteReference w:id="10"/>
      </w:r>
      <w:r w:rsidRPr="001F3C2F">
        <w:rPr>
          <w:rFonts w:ascii="Times New Roman" w:eastAsia="Source Sans Pro" w:hAnsi="Times New Roman"/>
          <w:color w:val="000000"/>
          <w:lang w:bidi="en-US"/>
        </w:rPr>
        <w:t xml:space="preserve"> is below the minimum requirement to report to the FDIC no less than weekly (under 40(b)(3)(iv)) or monthly (under 110(b(3))) on progress to achieve full compliance with the relevant section of part 329. </w:t>
      </w:r>
    </w:p>
    <w:p w:rsidR="001F3C2F" w:rsidRPr="001F3C2F" w:rsidP="001F3C2F">
      <w:pPr>
        <w:numPr>
          <w:ilvl w:val="0"/>
          <w:numId w:val="5"/>
        </w:numPr>
        <w:suppressAutoHyphens/>
        <w:adjustRightInd/>
        <w:spacing w:after="120"/>
        <w:ind w:right="-86"/>
        <w:rPr>
          <w:rFonts w:ascii="Times New Roman" w:eastAsia="Source Sans Pro" w:hAnsi="Times New Roman"/>
          <w:color w:val="000000"/>
          <w:lang w:bidi="en-US"/>
        </w:rPr>
      </w:pPr>
      <w:r w:rsidRPr="001F3C2F">
        <w:rPr>
          <w:rFonts w:ascii="Times New Roman" w:eastAsia="Source Sans Pro" w:hAnsi="Times New Roman"/>
          <w:b/>
          <w:color w:val="000000"/>
          <w:lang w:bidi="en-US"/>
        </w:rPr>
        <w:t>IC4: 329.22(a) and 329.109(b) Policies and Procedures.</w:t>
      </w:r>
      <w:r w:rsidRPr="001F3C2F">
        <w:rPr>
          <w:rFonts w:ascii="Times New Roman" w:eastAsia="Source Sans Pro" w:hAnsi="Times New Roman"/>
          <w:color w:val="000000"/>
          <w:lang w:bidi="en-US"/>
        </w:rPr>
        <w:t xml:space="preserve"> The fourth IC captures the recordkeeping burdens described in sections 329.22(a) and 329.109(b). Section 329.22(a) mandates that covered IDIs implement and maintain procedures to monetize</w:t>
      </w:r>
      <w:r>
        <w:rPr>
          <w:rFonts w:ascii="Times New Roman" w:eastAsia="Source Sans Pro" w:hAnsi="Times New Roman"/>
          <w:color w:val="000000"/>
          <w:vertAlign w:val="superscript"/>
          <w:lang w:bidi="en-US"/>
        </w:rPr>
        <w:footnoteReference w:id="11"/>
      </w:r>
      <w:r w:rsidRPr="001F3C2F">
        <w:rPr>
          <w:rFonts w:ascii="Times New Roman" w:eastAsia="Source Sans Pro" w:hAnsi="Times New Roman"/>
          <w:color w:val="000000"/>
          <w:lang w:bidi="en-US"/>
        </w:rPr>
        <w:t>, or determine the composition of, their HQLA on each LCR calculation date.</w:t>
      </w:r>
      <w:r>
        <w:rPr>
          <w:rFonts w:ascii="Times New Roman" w:eastAsia="Source Sans Pro" w:hAnsi="Times New Roman"/>
          <w:color w:val="000000"/>
          <w:vertAlign w:val="superscript"/>
          <w:lang w:bidi="en-US"/>
        </w:rPr>
        <w:footnoteReference w:id="12"/>
      </w:r>
      <w:r w:rsidRPr="001F3C2F">
        <w:rPr>
          <w:rFonts w:ascii="Times New Roman" w:eastAsia="Source Sans Pro" w:hAnsi="Times New Roman"/>
          <w:color w:val="000000"/>
          <w:lang w:bidi="en-US"/>
        </w:rPr>
        <w:t xml:space="preserve"> Section 329.22(a) also requires covered IDIs to have a documented methodology that ensures a consistent treatment for determining that their eligible HQLA</w:t>
      </w:r>
      <w:r>
        <w:rPr>
          <w:rStyle w:val="FootnoteReference"/>
          <w:rFonts w:ascii="Times New Roman" w:eastAsia="Source Sans Pro" w:hAnsi="Times New Roman"/>
          <w:color w:val="000000"/>
          <w:vertAlign w:val="superscript"/>
          <w:lang w:bidi="en-US"/>
        </w:rPr>
        <w:footnoteReference w:id="13"/>
      </w:r>
      <w:r w:rsidRPr="00D02884">
        <w:rPr>
          <w:rFonts w:ascii="Times New Roman" w:eastAsia="Source Sans Pro" w:hAnsi="Times New Roman"/>
          <w:color w:val="000000"/>
          <w:vertAlign w:val="superscript"/>
          <w:lang w:bidi="en-US"/>
        </w:rPr>
        <w:t xml:space="preserve"> </w:t>
      </w:r>
      <w:r w:rsidRPr="001F3C2F">
        <w:rPr>
          <w:rFonts w:ascii="Times New Roman" w:eastAsia="Source Sans Pro" w:hAnsi="Times New Roman"/>
          <w:color w:val="000000"/>
          <w:lang w:bidi="en-US"/>
        </w:rPr>
        <w:t>meets the requirements of Part 329</w:t>
      </w:r>
      <w:r>
        <w:rPr>
          <w:rFonts w:ascii="Times New Roman" w:eastAsia="Source Sans Pro" w:hAnsi="Times New Roman"/>
          <w:color w:val="000000"/>
          <w:vertAlign w:val="superscript"/>
          <w:lang w:bidi="en-US"/>
        </w:rPr>
        <w:footnoteReference w:id="14"/>
      </w:r>
      <w:r w:rsidRPr="001F3C2F">
        <w:rPr>
          <w:rFonts w:ascii="Times New Roman" w:eastAsia="Source Sans Pro" w:hAnsi="Times New Roman"/>
          <w:color w:val="000000"/>
          <w:lang w:bidi="en-US"/>
        </w:rPr>
        <w:t>, and implement and maintain policies that require eligible HQLA to be under the control of the liquidity risk management function of the covered IDI.</w:t>
      </w:r>
      <w:r>
        <w:rPr>
          <w:rFonts w:ascii="Times New Roman" w:eastAsia="Source Sans Pro" w:hAnsi="Times New Roman"/>
          <w:color w:val="000000"/>
          <w:vertAlign w:val="superscript"/>
          <w:lang w:bidi="en-US"/>
        </w:rPr>
        <w:footnoteReference w:id="15"/>
      </w:r>
      <w:r w:rsidRPr="001F3C2F">
        <w:rPr>
          <w:rFonts w:ascii="Times New Roman" w:eastAsia="Source Sans Pro" w:hAnsi="Times New Roman"/>
          <w:color w:val="000000"/>
          <w:lang w:bidi="en-US"/>
        </w:rPr>
        <w:t xml:space="preserve"> Section 329.109(b) requires a covered IDI that includes in its own available stable funding (ASF) the stable funding of a consolidated subsidiary to implement and maintain written procedures to identify and monitor applicable statutory, regulatory, contractual, supervisory, or other restrictions on transferring assets from any of its consolidated subsidiaries. This IC was included in the 2021 ICR as three separate ICs: “329.22(a)(2) Policies that require eligible HQLA to be under control of liquidity risk management function,” “329.22(a)(5) Documented methodology providing consistent treatment for determining whether eligible HQLA meets operational requirements,” and “329.108(b) - NSFR consolidation procedures.”</w:t>
      </w:r>
    </w:p>
    <w:p w:rsidR="001F3C2F" w:rsidRPr="00D02884" w:rsidP="00D02884">
      <w:pPr>
        <w:numPr>
          <w:ilvl w:val="0"/>
          <w:numId w:val="5"/>
        </w:numPr>
        <w:suppressAutoHyphens/>
        <w:adjustRightInd/>
        <w:spacing w:after="120"/>
        <w:ind w:right="-86"/>
        <w:rPr>
          <w:rFonts w:ascii="Times New Roman" w:eastAsia="Source Sans Pro" w:hAnsi="Times New Roman"/>
          <w:color w:val="000000"/>
          <w:lang w:bidi="en-US"/>
        </w:rPr>
      </w:pPr>
      <w:bookmarkStart w:id="0" w:name="_GoBack"/>
      <w:r w:rsidRPr="00012AF4">
        <w:rPr>
          <w:rFonts w:ascii="Times New Roman" w:eastAsia="Source Sans Pro" w:hAnsi="Times New Roman"/>
          <w:b/>
          <w:color w:val="000000"/>
          <w:lang w:bidi="en-US"/>
        </w:rPr>
        <w:t>IC5: 329.4(a) Qualified Master Netting Agreements</w:t>
      </w:r>
      <w:bookmarkEnd w:id="0"/>
      <w:r w:rsidRPr="00D02884">
        <w:rPr>
          <w:rFonts w:ascii="Times New Roman" w:eastAsia="Source Sans Pro" w:hAnsi="Times New Roman"/>
          <w:color w:val="000000"/>
          <w:lang w:bidi="en-US"/>
        </w:rPr>
        <w:t>.</w:t>
      </w:r>
      <w:r w:rsidRPr="001F3C2F">
        <w:rPr>
          <w:rFonts w:ascii="Times New Roman" w:eastAsia="Source Sans Pro" w:hAnsi="Times New Roman"/>
          <w:color w:val="000000"/>
          <w:lang w:bidi="en-US"/>
        </w:rPr>
        <w:t xml:space="preserve"> </w:t>
      </w:r>
      <w:r w:rsidRPr="00D02884">
        <w:rPr>
          <w:rFonts w:ascii="Times New Roman" w:eastAsia="Source Sans Pro" w:hAnsi="Times New Roman"/>
          <w:color w:val="000000"/>
          <w:lang w:bidi="en-US"/>
        </w:rPr>
        <w:t>The fifth IC captures the recordkeeping burdens described in sections 329.4(a), which requires covered IDIs to maintain sufficient written documentation of a legal review of a qualifying master netting agreement (QMNA) to ensure the agreement meets the requirements of the definition of a QMNA in Part 329. Section 329.4(a) also requires covered IDIs to establish and maintain written procedures to monitor possible changes in the law to ensure that the agreement continues to satisfy the requirements of Part 329.</w:t>
      </w:r>
      <w:r w:rsidRPr="00D02884" w:rsidR="00D02884">
        <w:rPr>
          <w:rFonts w:ascii="Times New Roman" w:eastAsia="Source Sans Pro" w:hAnsi="Times New Roman"/>
          <w:color w:val="000000"/>
          <w:lang w:bidi="en-US"/>
        </w:rPr>
        <w:t xml:space="preserve"> This IC was not included in the 2021 ICR.</w:t>
      </w:r>
    </w:p>
    <w:p w:rsidR="001F3C2F" w:rsidP="006A3DB3">
      <w:pPr>
        <w:rPr>
          <w:rFonts w:ascii="Times New Roman" w:hAnsi="Times New Roman"/>
          <w:spacing w:val="-3"/>
          <w:u w:val="single"/>
        </w:rPr>
      </w:pPr>
    </w:p>
    <w:p w:rsidR="00D02884" w:rsidRPr="00D02884" w:rsidP="001F4344">
      <w:pPr>
        <w:pStyle w:val="Heading2"/>
        <w:ind w:left="720" w:firstLine="720"/>
      </w:pPr>
      <w:r w:rsidRPr="00D02884">
        <w:t>Estimated Number of Respondents and Responses</w:t>
      </w:r>
    </w:p>
    <w:p w:rsidR="00D02884" w:rsidRPr="001F4344" w:rsidP="001F4344">
      <w:pPr>
        <w:spacing w:after="120"/>
        <w:ind w:left="1440"/>
        <w:rPr>
          <w:rFonts w:ascii="Times New Roman" w:hAnsi="Times New Roman"/>
        </w:rPr>
      </w:pPr>
      <w:r w:rsidRPr="001F4344">
        <w:rPr>
          <w:rFonts w:ascii="Times New Roman" w:hAnsi="Times New Roman"/>
        </w:rPr>
        <w:t xml:space="preserve">Potential respondents to OMB No. 3064-0197 are covered IDIs, as defined </w:t>
      </w:r>
      <w:r w:rsidR="001F4344">
        <w:rPr>
          <w:rFonts w:ascii="Times New Roman" w:hAnsi="Times New Roman"/>
        </w:rPr>
        <w:t>in Part 329</w:t>
      </w:r>
      <w:r w:rsidRPr="001F4344">
        <w:rPr>
          <w:rFonts w:ascii="Times New Roman" w:hAnsi="Times New Roman"/>
        </w:rPr>
        <w:t xml:space="preserve">. As of </w:t>
      </w:r>
      <w:r w:rsidRPr="001F4344">
        <w:rPr>
          <w:rFonts w:ascii="Times New Roman" w:eastAsia="Source Sans Pro" w:hAnsi="Times New Roman"/>
          <w:color w:val="000000"/>
          <w:lang w:bidi="en-US"/>
        </w:rPr>
        <w:t>September</w:t>
      </w:r>
      <w:r w:rsidRPr="001F4344">
        <w:rPr>
          <w:rFonts w:ascii="Times New Roman" w:hAnsi="Times New Roman"/>
        </w:rPr>
        <w:t xml:space="preserve"> 30, 2023, the FDIC supervised 2,958 IDIs.</w:t>
      </w:r>
      <w:r>
        <w:rPr>
          <w:rStyle w:val="FootnoteReference"/>
          <w:rFonts w:ascii="Times New Roman" w:hAnsi="Times New Roman"/>
          <w:vertAlign w:val="superscript"/>
        </w:rPr>
        <w:footnoteReference w:id="16"/>
      </w:r>
      <w:r w:rsidRPr="001F4344">
        <w:rPr>
          <w:rFonts w:ascii="Times New Roman" w:hAnsi="Times New Roman"/>
          <w:vertAlign w:val="superscript"/>
        </w:rPr>
        <w:t xml:space="preserve"> </w:t>
      </w:r>
      <w:r w:rsidRPr="001F4344">
        <w:rPr>
          <w:rFonts w:ascii="Times New Roman" w:hAnsi="Times New Roman"/>
        </w:rPr>
        <w:t xml:space="preserve">Of these, the </w:t>
      </w:r>
      <w:r w:rsidR="001F4344">
        <w:rPr>
          <w:rFonts w:ascii="Times New Roman" w:hAnsi="Times New Roman"/>
        </w:rPr>
        <w:t>FDIC</w:t>
      </w:r>
      <w:r w:rsidRPr="001F4344">
        <w:rPr>
          <w:rFonts w:ascii="Times New Roman" w:hAnsi="Times New Roman"/>
        </w:rPr>
        <w:t xml:space="preserve"> identified three IDIs that are covered IDIs under Part 329.</w:t>
      </w:r>
      <w:r>
        <w:rPr>
          <w:rStyle w:val="FootnoteReference"/>
          <w:rFonts w:ascii="Times New Roman" w:hAnsi="Times New Roman"/>
          <w:vertAlign w:val="superscript"/>
        </w:rPr>
        <w:footnoteReference w:id="17"/>
      </w:r>
      <w:r w:rsidRPr="001F4344">
        <w:rPr>
          <w:rFonts w:ascii="Times New Roman" w:hAnsi="Times New Roman"/>
        </w:rPr>
        <w:t xml:space="preserve"> None of the three covered IDIs is a small entity for the purposes of the Regulatory Flexibility Act.</w:t>
      </w:r>
      <w:r>
        <w:rPr>
          <w:rStyle w:val="FootnoteReference"/>
          <w:rFonts w:ascii="Times New Roman" w:hAnsi="Times New Roman"/>
          <w:vertAlign w:val="superscript"/>
        </w:rPr>
        <w:footnoteReference w:id="18"/>
      </w:r>
      <w:r w:rsidRPr="001F4344">
        <w:rPr>
          <w:rFonts w:ascii="Times New Roman" w:hAnsi="Times New Roman"/>
        </w:rPr>
        <w:t xml:space="preserve"> The </w:t>
      </w:r>
      <w:r w:rsidR="001F4344">
        <w:rPr>
          <w:rFonts w:ascii="Times New Roman" w:hAnsi="Times New Roman"/>
        </w:rPr>
        <w:t>FDIC believes</w:t>
      </w:r>
      <w:r w:rsidRPr="001F4344">
        <w:rPr>
          <w:rFonts w:ascii="Times New Roman" w:hAnsi="Times New Roman"/>
        </w:rPr>
        <w:t xml:space="preserve"> that all of the covered institutions have likely implemented the policies and procedures necessary to comply with Part 329, as of December 19, 2023.</w:t>
      </w:r>
    </w:p>
    <w:p w:rsidR="00D02884" w:rsidRPr="001F4344" w:rsidP="001F4344">
      <w:pPr>
        <w:spacing w:after="120"/>
        <w:ind w:left="1440"/>
        <w:rPr>
          <w:rFonts w:ascii="Times New Roman" w:hAnsi="Times New Roman"/>
        </w:rPr>
      </w:pPr>
      <w:r w:rsidRPr="001F4344">
        <w:rPr>
          <w:rFonts w:ascii="Times New Roman" w:hAnsi="Times New Roman"/>
        </w:rPr>
        <w:t>After reviewing the regulations, the agencies agreed that the activities captured by ICs 1-3 are conducted on the occasion when a covered IDI’s LCR or NSFR falls below the standards prescribed in Part 329. Since the agencies codified the standards in 2019 and 2021</w:t>
      </w:r>
      <w:r>
        <w:rPr>
          <w:rStyle w:val="FootnoteReference"/>
          <w:rFonts w:ascii="Times New Roman" w:hAnsi="Times New Roman"/>
          <w:vertAlign w:val="superscript"/>
        </w:rPr>
        <w:footnoteReference w:id="19"/>
      </w:r>
      <w:r w:rsidRPr="001F4344">
        <w:rPr>
          <w:rFonts w:ascii="Times New Roman" w:hAnsi="Times New Roman"/>
        </w:rPr>
        <w:t>, no covered IDI has ever fallen below the standards, and the agencies expect that this event is unlikely to occur in th</w:t>
      </w:r>
      <w:r w:rsidR="001F4344">
        <w:rPr>
          <w:rFonts w:ascii="Times New Roman" w:hAnsi="Times New Roman"/>
        </w:rPr>
        <w:t>e next three years. Therefore, FDIC</w:t>
      </w:r>
      <w:r w:rsidRPr="001F4344">
        <w:rPr>
          <w:rFonts w:ascii="Times New Roman" w:hAnsi="Times New Roman"/>
        </w:rPr>
        <w:t xml:space="preserve"> estimate</w:t>
      </w:r>
      <w:r w:rsidR="001F4344">
        <w:rPr>
          <w:rFonts w:ascii="Times New Roman" w:hAnsi="Times New Roman"/>
        </w:rPr>
        <w:t>s</w:t>
      </w:r>
      <w:r w:rsidRPr="001F4344">
        <w:rPr>
          <w:rFonts w:ascii="Times New Roman" w:hAnsi="Times New Roman"/>
        </w:rPr>
        <w:t xml:space="preserve"> zero respondents and zero responses for ICs 1-3. </w:t>
      </w:r>
      <w:r w:rsidR="001F4344">
        <w:rPr>
          <w:rFonts w:ascii="Times New Roman" w:hAnsi="Times New Roman"/>
        </w:rPr>
        <w:t>FDIC</w:t>
      </w:r>
      <w:r w:rsidRPr="001F4344">
        <w:rPr>
          <w:rFonts w:ascii="Times New Roman" w:hAnsi="Times New Roman"/>
        </w:rPr>
        <w:t xml:space="preserve"> use</w:t>
      </w:r>
      <w:r w:rsidR="001F4344">
        <w:rPr>
          <w:rFonts w:ascii="Times New Roman" w:hAnsi="Times New Roman"/>
        </w:rPr>
        <w:t>s</w:t>
      </w:r>
      <w:r w:rsidRPr="001F4344">
        <w:rPr>
          <w:rFonts w:ascii="Times New Roman" w:hAnsi="Times New Roman"/>
        </w:rPr>
        <w:t xml:space="preserve"> placeholder values of one for the estimated number of annual respondents and the estimated annual number of responses per respondent for ICs 1-3 in order to preserve the burden in OMB’s regulatory tracking system. These placeholder values also account for the possibility that a covered institution’s LCR or NSFR could fall below the minimum required level over the three-year renewal cycle for this ICR. </w:t>
      </w:r>
    </w:p>
    <w:p w:rsidR="00D02884" w:rsidRPr="001F4344" w:rsidP="001F4344">
      <w:pPr>
        <w:spacing w:after="120"/>
        <w:ind w:left="1440"/>
        <w:rPr>
          <w:rFonts w:ascii="Times New Roman" w:hAnsi="Times New Roman"/>
        </w:rPr>
      </w:pPr>
      <w:r w:rsidRPr="001F4344">
        <w:rPr>
          <w:rFonts w:ascii="Times New Roman" w:hAnsi="Times New Roman"/>
        </w:rPr>
        <w:t xml:space="preserve">The agencies also reviewed ICs 4 and 5 and agreed that all covered IDIs conduct the </w:t>
      </w:r>
      <w:r w:rsidRPr="001F4344">
        <w:rPr>
          <w:rFonts w:ascii="Times New Roman" w:eastAsia="Source Sans Pro" w:hAnsi="Times New Roman"/>
          <w:color w:val="000000"/>
          <w:lang w:bidi="en-US"/>
        </w:rPr>
        <w:t>recordkeeping</w:t>
      </w:r>
      <w:r w:rsidRPr="001F4344">
        <w:rPr>
          <w:rFonts w:ascii="Times New Roman" w:hAnsi="Times New Roman"/>
        </w:rPr>
        <w:t xml:space="preserve"> activities captured by these ICs every year. Given the set of three covered IDIs identified by</w:t>
      </w:r>
      <w:r w:rsidR="001F4344">
        <w:rPr>
          <w:rFonts w:ascii="Times New Roman" w:hAnsi="Times New Roman"/>
        </w:rPr>
        <w:t xml:space="preserve"> FDIC</w:t>
      </w:r>
      <w:r w:rsidRPr="001F4344">
        <w:rPr>
          <w:rFonts w:ascii="Times New Roman" w:hAnsi="Times New Roman"/>
        </w:rPr>
        <w:t xml:space="preserve">, </w:t>
      </w:r>
      <w:r w:rsidR="001F4344">
        <w:rPr>
          <w:rFonts w:ascii="Times New Roman" w:hAnsi="Times New Roman"/>
        </w:rPr>
        <w:t>it esti</w:t>
      </w:r>
      <w:r w:rsidRPr="001F4344">
        <w:rPr>
          <w:rFonts w:ascii="Times New Roman" w:hAnsi="Times New Roman"/>
        </w:rPr>
        <w:t>mate</w:t>
      </w:r>
      <w:r w:rsidR="001F4344">
        <w:rPr>
          <w:rFonts w:ascii="Times New Roman" w:hAnsi="Times New Roman"/>
        </w:rPr>
        <w:t>s</w:t>
      </w:r>
      <w:r w:rsidRPr="001F4344">
        <w:rPr>
          <w:rFonts w:ascii="Times New Roman" w:hAnsi="Times New Roman"/>
        </w:rPr>
        <w:t xml:space="preserve"> three respondents per year for ICs 4 and 5.</w:t>
      </w:r>
      <w:r>
        <w:t xml:space="preserve"> </w:t>
      </w:r>
      <w:r w:rsidRPr="001F4344">
        <w:rPr>
          <w:rFonts w:ascii="Times New Roman" w:hAnsi="Times New Roman"/>
        </w:rPr>
        <w:t xml:space="preserve">The activities throughout the year that are performed by respondents for ICs 4-5 can all be considered as parts of a single annual response. Therefore, </w:t>
      </w:r>
      <w:r w:rsidR="001F4344">
        <w:rPr>
          <w:rFonts w:ascii="Times New Roman" w:hAnsi="Times New Roman"/>
        </w:rPr>
        <w:t>FDIC</w:t>
      </w:r>
      <w:r w:rsidRPr="001F4344">
        <w:rPr>
          <w:rFonts w:ascii="Times New Roman" w:hAnsi="Times New Roman"/>
        </w:rPr>
        <w:t xml:space="preserve"> use</w:t>
      </w:r>
      <w:r w:rsidR="001F4344">
        <w:rPr>
          <w:rFonts w:ascii="Times New Roman" w:hAnsi="Times New Roman"/>
        </w:rPr>
        <w:t>s</w:t>
      </w:r>
      <w:r w:rsidRPr="001F4344">
        <w:rPr>
          <w:rFonts w:ascii="Times New Roman" w:hAnsi="Times New Roman"/>
        </w:rPr>
        <w:t xml:space="preserve"> one as the estimated number of annual responses per respondent for ICs 4-5. </w:t>
      </w:r>
    </w:p>
    <w:p w:rsidR="00D02884" w:rsidP="001F4344">
      <w:pPr>
        <w:pStyle w:val="Heading2"/>
        <w:ind w:left="720" w:firstLine="720"/>
      </w:pPr>
      <w:r>
        <w:t xml:space="preserve">Estimated Time per Response </w:t>
      </w:r>
    </w:p>
    <w:p w:rsidR="00D02884" w:rsidRPr="001F4344" w:rsidP="001F4344">
      <w:pPr>
        <w:spacing w:after="120"/>
        <w:ind w:left="1440"/>
        <w:rPr>
          <w:rFonts w:ascii="Times New Roman" w:hAnsi="Times New Roman"/>
        </w:rPr>
      </w:pPr>
      <w:r w:rsidRPr="001F4344">
        <w:rPr>
          <w:rFonts w:ascii="Times New Roman" w:hAnsi="Times New Roman"/>
        </w:rPr>
        <w:t xml:space="preserve">SMEs from the three agencies reviewed the times per response for each IC and agreed to revise these </w:t>
      </w:r>
      <w:r w:rsidRPr="001F4344">
        <w:rPr>
          <w:rFonts w:ascii="Times New Roman" w:eastAsia="Source Sans Pro" w:hAnsi="Times New Roman"/>
          <w:color w:val="000000"/>
          <w:lang w:bidi="en-US"/>
        </w:rPr>
        <w:t>estimates</w:t>
      </w:r>
      <w:r w:rsidRPr="001F4344">
        <w:rPr>
          <w:rFonts w:ascii="Times New Roman" w:hAnsi="Times New Roman"/>
        </w:rPr>
        <w:t xml:space="preserve"> based on their supervisory experience since the standards became effective.</w:t>
      </w:r>
      <w:r>
        <w:rPr>
          <w:rStyle w:val="FootnoteReference"/>
          <w:rFonts w:ascii="Times New Roman" w:hAnsi="Times New Roman"/>
          <w:vertAlign w:val="superscript"/>
        </w:rPr>
        <w:footnoteReference w:id="20"/>
      </w:r>
      <w:r w:rsidRPr="001F4344">
        <w:rPr>
          <w:rFonts w:ascii="Times New Roman" w:hAnsi="Times New Roman"/>
          <w:vertAlign w:val="superscript"/>
        </w:rPr>
        <w:t xml:space="preserve"> </w:t>
      </w:r>
      <w:r w:rsidRPr="001F4344">
        <w:rPr>
          <w:rFonts w:ascii="Times New Roman" w:hAnsi="Times New Roman"/>
        </w:rPr>
        <w:t>The agencies concluded that the PRA burden for completing the activities captured in ICs 1, 3, and 5 were minimal and estimated 0.5 hours per instance for each of these ICs. The agencies also examined the PRA requirements of the plans described in IC2 and concluded that completing such a plan would take an estimated 44.5 hours annually, on average. This estimate is a reduction from the estimate of 200 hours in the 2021 ICR – the agencies agreed that the previous estimate was overly conservative.  Finally, the agencies reviewed the PRA requirements captured by IC4 and estimated that each covered IDI will spend 25 hours per year, on average, to maintain compliance with these requirements.</w:t>
      </w:r>
    </w:p>
    <w:p w:rsidR="00D02884" w:rsidRPr="001F4344" w:rsidP="001F4344">
      <w:pPr>
        <w:spacing w:after="120"/>
        <w:ind w:left="1440"/>
        <w:rPr>
          <w:rFonts w:ascii="Times New Roman" w:hAnsi="Times New Roman"/>
        </w:rPr>
      </w:pPr>
      <w:r w:rsidRPr="001F4344">
        <w:rPr>
          <w:rFonts w:ascii="Times New Roman" w:hAnsi="Times New Roman"/>
        </w:rPr>
        <w:t>Table 1 shows the estimated annual number of responses, responses per respondent, and time per response as described above.</w:t>
      </w:r>
    </w:p>
    <w:p w:rsidR="00D02884" w:rsidRPr="001F4344" w:rsidP="00237724">
      <w:pPr>
        <w:pStyle w:val="Heading2"/>
        <w:ind w:left="720" w:firstLine="720"/>
      </w:pPr>
      <w:r w:rsidRPr="001F4344">
        <w:t xml:space="preserve">Estimated Total Annual Hourly Burden </w:t>
      </w:r>
    </w:p>
    <w:p w:rsidR="00D02884" w:rsidRPr="001F4344" w:rsidP="001F4344">
      <w:pPr>
        <w:spacing w:after="120"/>
        <w:ind w:left="1440"/>
        <w:rPr>
          <w:rFonts w:ascii="Times New Roman" w:hAnsi="Times New Roman"/>
        </w:rPr>
      </w:pPr>
      <w:r w:rsidRPr="001F4344">
        <w:rPr>
          <w:rFonts w:ascii="Times New Roman" w:hAnsi="Times New Roman"/>
        </w:rPr>
        <w:t xml:space="preserve">Given the above estimates of the annual number of respondents, annual number of responses per </w:t>
      </w:r>
      <w:r w:rsidRPr="001F4344">
        <w:rPr>
          <w:rFonts w:ascii="Times New Roman" w:eastAsia="Source Sans Pro" w:hAnsi="Times New Roman"/>
          <w:color w:val="000000"/>
          <w:lang w:bidi="en-US"/>
        </w:rPr>
        <w:t>respondent</w:t>
      </w:r>
      <w:r w:rsidRPr="001F4344">
        <w:rPr>
          <w:rFonts w:ascii="Times New Roman" w:hAnsi="Times New Roman"/>
        </w:rPr>
        <w:t>,</w:t>
      </w:r>
      <w:r w:rsidR="00237724">
        <w:rPr>
          <w:rFonts w:ascii="Times New Roman" w:hAnsi="Times New Roman"/>
        </w:rPr>
        <w:t xml:space="preserve"> and time per response, FDIC</w:t>
      </w:r>
      <w:r w:rsidRPr="001F4344">
        <w:rPr>
          <w:rFonts w:ascii="Times New Roman" w:hAnsi="Times New Roman"/>
        </w:rPr>
        <w:t xml:space="preserve"> calculate</w:t>
      </w:r>
      <w:r w:rsidR="00237724">
        <w:rPr>
          <w:rFonts w:ascii="Times New Roman" w:hAnsi="Times New Roman"/>
        </w:rPr>
        <w:t>d</w:t>
      </w:r>
      <w:r w:rsidRPr="001F4344">
        <w:rPr>
          <w:rFonts w:ascii="Times New Roman" w:hAnsi="Times New Roman"/>
        </w:rPr>
        <w:t xml:space="preserve"> the estimated total annual burden for this ICR as 124 hours, as shown in Table 1. This revised burden estimate represents a decrease of 870 hours from the estimate of 994 hours in the 2021 ICR. The decrease arises almost entirely from the reduction in both the estimated number of annual respondents and the estimated time per response for IC2, which accounted for 800 hours in the 2021 ICR. Recall that the revisions to the estimates reflect the agencies’ experience with this ICR over the last few years.</w:t>
      </w:r>
    </w:p>
    <w:p w:rsidR="00D02884" w:rsidRPr="001F4344" w:rsidP="006A3DB3">
      <w:pPr>
        <w:rPr>
          <w:rFonts w:ascii="Times New Roman" w:hAnsi="Times New Roman"/>
          <w:spacing w:val="-3"/>
          <w:u w:val="single"/>
        </w:rPr>
      </w:pPr>
    </w:p>
    <w:p w:rsidR="00D02884" w:rsidP="006A3DB3">
      <w:pPr>
        <w:rPr>
          <w:rFonts w:ascii="Times New Roman" w:hAnsi="Times New Roman"/>
          <w:spacing w:val="-3"/>
          <w:u w:val="single"/>
        </w:rPr>
      </w:pPr>
    </w:p>
    <w:p w:rsidR="001F3C2F" w:rsidP="006A3DB3">
      <w:pPr>
        <w:rPr>
          <w:rFonts w:ascii="Times New Roman" w:hAnsi="Times New Roman"/>
          <w:spacing w:val="-3"/>
          <w:u w:val="single"/>
        </w:rPr>
      </w:pPr>
    </w:p>
    <w:tbl>
      <w:tblPr>
        <w:tblW w:w="9340" w:type="dxa"/>
        <w:tblLook w:val="04A0"/>
      </w:tblPr>
      <w:tblGrid>
        <w:gridCol w:w="2320"/>
        <w:gridCol w:w="1660"/>
        <w:gridCol w:w="1260"/>
        <w:gridCol w:w="1760"/>
        <w:gridCol w:w="1160"/>
        <w:gridCol w:w="1180"/>
      </w:tblGrid>
      <w:tr w:rsidTr="00DF393D">
        <w:tblPrEx>
          <w:tblW w:w="9340" w:type="dxa"/>
          <w:tblLook w:val="04A0"/>
        </w:tblPrEx>
        <w:trPr>
          <w:trHeight w:val="360"/>
        </w:trPr>
        <w:tc>
          <w:tcPr>
            <w:tcW w:w="93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E0454" w:rsidRPr="00D02884" w:rsidP="004E0454">
            <w:pPr>
              <w:widowControl/>
              <w:autoSpaceDE/>
              <w:autoSpaceDN/>
              <w:adjustRightInd/>
              <w:jc w:val="center"/>
              <w:rPr>
                <w:rFonts w:ascii="Times New Roman" w:hAnsi="Times New Roman"/>
                <w:b/>
                <w:color w:val="000000"/>
              </w:rPr>
            </w:pPr>
            <w:r w:rsidRPr="00D02884">
              <w:rPr>
                <w:rFonts w:ascii="Times New Roman" w:hAnsi="Times New Roman"/>
                <w:b/>
                <w:color w:val="000000"/>
              </w:rPr>
              <w:t>Table 1. Summary of Estimated Annual Burden (OMB No. 3064-0197)</w:t>
            </w:r>
          </w:p>
        </w:tc>
      </w:tr>
      <w:tr w:rsidTr="00DF393D">
        <w:tblPrEx>
          <w:tblW w:w="9340" w:type="dxa"/>
          <w:tblLook w:val="04A0"/>
        </w:tblPrEx>
        <w:trPr>
          <w:trHeight w:val="84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rPr>
                <w:rFonts w:ascii="Times New Roman" w:hAnsi="Times New Roman"/>
                <w:color w:val="000000"/>
                <w:sz w:val="20"/>
                <w:szCs w:val="20"/>
              </w:rPr>
            </w:pPr>
            <w:r w:rsidRPr="004E0454">
              <w:rPr>
                <w:rFonts w:ascii="Times New Roman" w:hAnsi="Times New Roman"/>
                <w:color w:val="000000"/>
                <w:sz w:val="20"/>
                <w:szCs w:val="20"/>
              </w:rPr>
              <w:t>Information Collection (Obligation to Respond)</w:t>
            </w:r>
          </w:p>
        </w:tc>
        <w:tc>
          <w:tcPr>
            <w:tcW w:w="16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Type of Burden</w:t>
            </w:r>
            <w:r w:rsidRPr="004E0454">
              <w:rPr>
                <w:rFonts w:ascii="Times New Roman" w:hAnsi="Times New Roman"/>
                <w:color w:val="000000"/>
                <w:sz w:val="20"/>
                <w:szCs w:val="20"/>
              </w:rPr>
              <w:br/>
              <w:t>(Frequency of Response)</w:t>
            </w:r>
          </w:p>
        </w:tc>
        <w:tc>
          <w:tcPr>
            <w:tcW w:w="12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 xml:space="preserve"> Number of Respondents</w:t>
            </w:r>
          </w:p>
        </w:tc>
        <w:tc>
          <w:tcPr>
            <w:tcW w:w="17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 xml:space="preserve"> Number of Responses per Respondent</w:t>
            </w:r>
          </w:p>
        </w:tc>
        <w:tc>
          <w:tcPr>
            <w:tcW w:w="11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Time per Response (HH:MM)</w:t>
            </w:r>
          </w:p>
        </w:tc>
        <w:tc>
          <w:tcPr>
            <w:tcW w:w="118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Annual Burden (Hours)</w:t>
            </w:r>
          </w:p>
        </w:tc>
      </w:tr>
      <w:tr w:rsidTr="00DF393D">
        <w:tblPrEx>
          <w:tblW w:w="9340" w:type="dxa"/>
          <w:tblLook w:val="04A0"/>
        </w:tblPrEx>
        <w:trPr>
          <w:trHeight w:val="157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rPr>
                <w:rFonts w:ascii="Times New Roman" w:hAnsi="Times New Roman"/>
                <w:color w:val="000000"/>
                <w:sz w:val="20"/>
                <w:szCs w:val="20"/>
              </w:rPr>
            </w:pPr>
            <w:r w:rsidRPr="004E0454">
              <w:rPr>
                <w:rFonts w:ascii="Times New Roman" w:hAnsi="Times New Roman"/>
                <w:color w:val="000000"/>
                <w:sz w:val="20"/>
                <w:szCs w:val="20"/>
              </w:rPr>
              <w:t>1. 329.40(a) Notification that liquidity coverage ratio is less than minimum in 329.10; 329.110(a) NSFR shortfall notification. (Mandatory)</w:t>
            </w:r>
          </w:p>
        </w:tc>
        <w:tc>
          <w:tcPr>
            <w:tcW w:w="16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Reporting</w:t>
            </w:r>
            <w:r w:rsidRPr="004E0454">
              <w:rPr>
                <w:rFonts w:ascii="Times New Roman" w:hAnsi="Times New Roman"/>
                <w:color w:val="000000"/>
                <w:sz w:val="20"/>
                <w:szCs w:val="20"/>
              </w:rPr>
              <w:br/>
              <w:t>(On Occasion)</w:t>
            </w:r>
          </w:p>
        </w:tc>
        <w:tc>
          <w:tcPr>
            <w:tcW w:w="12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c>
          <w:tcPr>
            <w:tcW w:w="17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c>
          <w:tcPr>
            <w:tcW w:w="1160" w:type="dxa"/>
            <w:tcBorders>
              <w:top w:val="nil"/>
              <w:left w:val="nil"/>
              <w:bottom w:val="single" w:sz="8" w:space="0" w:color="auto"/>
              <w:right w:val="nil"/>
            </w:tcBorders>
            <w:shd w:val="clear" w:color="auto" w:fill="auto"/>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00:30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r>
      <w:tr w:rsidTr="00DF393D">
        <w:tblPrEx>
          <w:tblW w:w="9340" w:type="dxa"/>
          <w:tblLook w:val="04A0"/>
        </w:tblPrEx>
        <w:trPr>
          <w:trHeight w:val="131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rPr>
                <w:rFonts w:ascii="Times New Roman" w:hAnsi="Times New Roman"/>
                <w:color w:val="000000"/>
                <w:sz w:val="20"/>
                <w:szCs w:val="20"/>
              </w:rPr>
            </w:pPr>
            <w:r w:rsidRPr="004E0454">
              <w:rPr>
                <w:rFonts w:ascii="Times New Roman" w:hAnsi="Times New Roman"/>
                <w:color w:val="000000"/>
                <w:sz w:val="20"/>
                <w:szCs w:val="20"/>
              </w:rPr>
              <w:t>2. 329.40(b) and 329.110(b). LCR and NSFR Shortfall Reporting Requirements.  (Mandatory)</w:t>
            </w:r>
          </w:p>
        </w:tc>
        <w:tc>
          <w:tcPr>
            <w:tcW w:w="16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Reporting</w:t>
            </w:r>
            <w:r w:rsidRPr="004E0454">
              <w:rPr>
                <w:rFonts w:ascii="Times New Roman" w:hAnsi="Times New Roman"/>
                <w:color w:val="000000"/>
                <w:sz w:val="20"/>
                <w:szCs w:val="20"/>
              </w:rPr>
              <w:br/>
              <w:t>(On Occasion)</w:t>
            </w:r>
          </w:p>
        </w:tc>
        <w:tc>
          <w:tcPr>
            <w:tcW w:w="12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c>
          <w:tcPr>
            <w:tcW w:w="17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c>
          <w:tcPr>
            <w:tcW w:w="1160" w:type="dxa"/>
            <w:tcBorders>
              <w:top w:val="nil"/>
              <w:left w:val="nil"/>
              <w:bottom w:val="single" w:sz="8" w:space="0" w:color="auto"/>
              <w:right w:val="nil"/>
            </w:tcBorders>
            <w:shd w:val="clear" w:color="auto" w:fill="auto"/>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44:30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45</w:t>
            </w:r>
          </w:p>
        </w:tc>
      </w:tr>
      <w:tr w:rsidTr="00DF393D">
        <w:tblPrEx>
          <w:tblW w:w="9340" w:type="dxa"/>
          <w:tblLook w:val="04A0"/>
        </w:tblPrEx>
        <w:trPr>
          <w:trHeight w:val="96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rPr>
                <w:rFonts w:ascii="Times New Roman" w:hAnsi="Times New Roman"/>
                <w:color w:val="000000"/>
                <w:sz w:val="20"/>
                <w:szCs w:val="20"/>
              </w:rPr>
            </w:pPr>
            <w:r w:rsidRPr="004E0454">
              <w:rPr>
                <w:rFonts w:ascii="Times New Roman" w:hAnsi="Times New Roman"/>
                <w:color w:val="000000"/>
                <w:sz w:val="20"/>
                <w:szCs w:val="20"/>
              </w:rPr>
              <w:t>3. 329.40(b)(3)(iv) and 329.110(b)(3) Report of progress toward achieving compliance.  (Mandatory)</w:t>
            </w:r>
          </w:p>
        </w:tc>
        <w:tc>
          <w:tcPr>
            <w:tcW w:w="16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Reporting</w:t>
            </w:r>
            <w:r w:rsidRPr="004E0454">
              <w:rPr>
                <w:rFonts w:ascii="Times New Roman" w:hAnsi="Times New Roman"/>
                <w:color w:val="000000"/>
                <w:sz w:val="20"/>
                <w:szCs w:val="20"/>
              </w:rPr>
              <w:br/>
              <w:t>(On Occasion)</w:t>
            </w:r>
          </w:p>
        </w:tc>
        <w:tc>
          <w:tcPr>
            <w:tcW w:w="12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c>
          <w:tcPr>
            <w:tcW w:w="17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c>
          <w:tcPr>
            <w:tcW w:w="1160" w:type="dxa"/>
            <w:tcBorders>
              <w:top w:val="nil"/>
              <w:left w:val="nil"/>
              <w:bottom w:val="single" w:sz="8" w:space="0" w:color="auto"/>
              <w:right w:val="nil"/>
            </w:tcBorders>
            <w:shd w:val="clear" w:color="auto" w:fill="auto"/>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00:30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r>
      <w:tr w:rsidTr="00DF393D">
        <w:tblPrEx>
          <w:tblW w:w="9340" w:type="dxa"/>
          <w:tblLook w:val="04A0"/>
        </w:tblPrEx>
        <w:trPr>
          <w:trHeight w:val="79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rPr>
                <w:rFonts w:ascii="Times New Roman" w:hAnsi="Times New Roman"/>
                <w:color w:val="000000"/>
                <w:sz w:val="20"/>
                <w:szCs w:val="20"/>
              </w:rPr>
            </w:pPr>
            <w:r w:rsidRPr="004E0454">
              <w:rPr>
                <w:rFonts w:ascii="Times New Roman" w:hAnsi="Times New Roman"/>
                <w:color w:val="000000"/>
                <w:sz w:val="20"/>
                <w:szCs w:val="20"/>
              </w:rPr>
              <w:t>4. 329.22(a) and 329.109(b) Policies and Procedures. (Mandatory)</w:t>
            </w:r>
          </w:p>
        </w:tc>
        <w:tc>
          <w:tcPr>
            <w:tcW w:w="16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Recordkeeping</w:t>
            </w:r>
            <w:r w:rsidRPr="004E0454">
              <w:rPr>
                <w:rFonts w:ascii="Times New Roman" w:hAnsi="Times New Roman"/>
                <w:color w:val="000000"/>
                <w:sz w:val="20"/>
                <w:szCs w:val="20"/>
              </w:rPr>
              <w:br/>
              <w:t>(Annual)</w:t>
            </w:r>
          </w:p>
        </w:tc>
        <w:tc>
          <w:tcPr>
            <w:tcW w:w="12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3</w:t>
            </w:r>
          </w:p>
        </w:tc>
        <w:tc>
          <w:tcPr>
            <w:tcW w:w="17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c>
          <w:tcPr>
            <w:tcW w:w="1160" w:type="dxa"/>
            <w:tcBorders>
              <w:top w:val="nil"/>
              <w:left w:val="nil"/>
              <w:bottom w:val="single" w:sz="8" w:space="0" w:color="auto"/>
              <w:right w:val="nil"/>
            </w:tcBorders>
            <w:shd w:val="clear" w:color="auto" w:fill="auto"/>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25:00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75</w:t>
            </w:r>
          </w:p>
        </w:tc>
      </w:tr>
      <w:tr w:rsidTr="00DF393D">
        <w:tblPrEx>
          <w:tblW w:w="9340" w:type="dxa"/>
          <w:tblLook w:val="04A0"/>
        </w:tblPrEx>
        <w:trPr>
          <w:trHeight w:val="79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rPr>
                <w:rFonts w:ascii="Times New Roman" w:hAnsi="Times New Roman"/>
                <w:color w:val="000000"/>
                <w:sz w:val="20"/>
                <w:szCs w:val="20"/>
              </w:rPr>
            </w:pPr>
            <w:r w:rsidRPr="004E0454">
              <w:rPr>
                <w:rFonts w:ascii="Times New Roman" w:hAnsi="Times New Roman"/>
                <w:color w:val="000000"/>
                <w:sz w:val="20"/>
                <w:szCs w:val="20"/>
              </w:rPr>
              <w:t>5. 329.4(a) Qualified Master Netting Agreements.  (Mandatory)</w:t>
            </w:r>
          </w:p>
        </w:tc>
        <w:tc>
          <w:tcPr>
            <w:tcW w:w="1660"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Recordkeeping</w:t>
            </w:r>
            <w:r w:rsidRPr="004E0454">
              <w:rPr>
                <w:rFonts w:ascii="Times New Roman" w:hAnsi="Times New Roman"/>
                <w:color w:val="000000"/>
                <w:sz w:val="20"/>
                <w:szCs w:val="20"/>
              </w:rPr>
              <w:br/>
              <w:t>(Annual)</w:t>
            </w:r>
          </w:p>
        </w:tc>
        <w:tc>
          <w:tcPr>
            <w:tcW w:w="12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3</w:t>
            </w:r>
          </w:p>
        </w:tc>
        <w:tc>
          <w:tcPr>
            <w:tcW w:w="1760"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1</w:t>
            </w:r>
          </w:p>
        </w:tc>
        <w:tc>
          <w:tcPr>
            <w:tcW w:w="1160" w:type="dxa"/>
            <w:tcBorders>
              <w:top w:val="nil"/>
              <w:left w:val="nil"/>
              <w:bottom w:val="single" w:sz="8" w:space="0" w:color="auto"/>
              <w:right w:val="nil"/>
            </w:tcBorders>
            <w:shd w:val="clear" w:color="auto" w:fill="auto"/>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00:30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jc w:val="right"/>
              <w:rPr>
                <w:rFonts w:ascii="Times New Roman" w:hAnsi="Times New Roman"/>
                <w:color w:val="000000"/>
                <w:sz w:val="20"/>
                <w:szCs w:val="20"/>
              </w:rPr>
            </w:pPr>
            <w:r w:rsidRPr="004E0454">
              <w:rPr>
                <w:rFonts w:ascii="Times New Roman" w:hAnsi="Times New Roman"/>
                <w:color w:val="000000"/>
                <w:sz w:val="20"/>
                <w:szCs w:val="20"/>
              </w:rPr>
              <w:t>2</w:t>
            </w:r>
          </w:p>
        </w:tc>
      </w:tr>
      <w:tr w:rsidTr="00DF393D">
        <w:tblPrEx>
          <w:tblW w:w="9340" w:type="dxa"/>
          <w:tblLook w:val="04A0"/>
        </w:tblPrEx>
        <w:trPr>
          <w:trHeight w:val="300"/>
        </w:trPr>
        <w:tc>
          <w:tcPr>
            <w:tcW w:w="816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4E0454" w:rsidRPr="004E0454" w:rsidP="004E0454">
            <w:pPr>
              <w:widowControl/>
              <w:autoSpaceDE/>
              <w:autoSpaceDN/>
              <w:adjustRightInd/>
              <w:jc w:val="right"/>
              <w:rPr>
                <w:rFonts w:ascii="Times New Roman" w:hAnsi="Times New Roman"/>
                <w:b/>
                <w:bCs/>
                <w:i/>
                <w:iCs/>
                <w:color w:val="000000"/>
                <w:sz w:val="22"/>
                <w:szCs w:val="22"/>
              </w:rPr>
            </w:pPr>
            <w:r w:rsidRPr="004E0454">
              <w:rPr>
                <w:rFonts w:ascii="Times New Roman" w:hAnsi="Times New Roman"/>
                <w:b/>
                <w:bCs/>
                <w:i/>
                <w:iCs/>
                <w:color w:val="000000"/>
                <w:sz w:val="22"/>
                <w:szCs w:val="22"/>
              </w:rPr>
              <w:t>Total Annual Burden (Hours):</w:t>
            </w:r>
          </w:p>
        </w:tc>
        <w:tc>
          <w:tcPr>
            <w:tcW w:w="1180" w:type="dxa"/>
            <w:tcBorders>
              <w:top w:val="nil"/>
              <w:left w:val="nil"/>
              <w:bottom w:val="single" w:sz="8" w:space="0" w:color="auto"/>
              <w:right w:val="single" w:sz="8" w:space="0" w:color="auto"/>
            </w:tcBorders>
            <w:shd w:val="clear" w:color="auto" w:fill="auto"/>
            <w:noWrap/>
            <w:vAlign w:val="bottom"/>
            <w:hideMark/>
          </w:tcPr>
          <w:p w:rsidR="004E0454" w:rsidRPr="004E0454" w:rsidP="004E0454">
            <w:pPr>
              <w:widowControl/>
              <w:autoSpaceDE/>
              <w:autoSpaceDN/>
              <w:adjustRightInd/>
              <w:jc w:val="right"/>
              <w:rPr>
                <w:rFonts w:ascii="Times New Roman" w:hAnsi="Times New Roman"/>
                <w:b/>
                <w:bCs/>
                <w:i/>
                <w:iCs/>
                <w:color w:val="000000"/>
                <w:sz w:val="22"/>
                <w:szCs w:val="22"/>
              </w:rPr>
            </w:pPr>
            <w:r w:rsidRPr="004E0454">
              <w:rPr>
                <w:rFonts w:ascii="Times New Roman" w:hAnsi="Times New Roman"/>
                <w:b/>
                <w:bCs/>
                <w:i/>
                <w:iCs/>
                <w:color w:val="000000"/>
                <w:sz w:val="22"/>
                <w:szCs w:val="22"/>
              </w:rPr>
              <w:t>124</w:t>
            </w:r>
          </w:p>
        </w:tc>
      </w:tr>
      <w:tr w:rsidTr="00DF393D">
        <w:tblPrEx>
          <w:tblW w:w="9340" w:type="dxa"/>
          <w:tblLook w:val="04A0"/>
        </w:tblPrEx>
        <w:trPr>
          <w:trHeight w:val="253"/>
        </w:trPr>
        <w:tc>
          <w:tcPr>
            <w:tcW w:w="9340" w:type="dxa"/>
            <w:gridSpan w:val="6"/>
            <w:tcBorders>
              <w:top w:val="single" w:sz="8" w:space="0" w:color="auto"/>
              <w:left w:val="single" w:sz="8" w:space="0" w:color="auto"/>
              <w:bottom w:val="nil"/>
              <w:right w:val="single" w:sz="8" w:space="0" w:color="000000"/>
            </w:tcBorders>
            <w:shd w:val="clear" w:color="auto" w:fill="auto"/>
            <w:noWrap/>
            <w:hideMark/>
          </w:tcPr>
          <w:p w:rsidR="004E0454" w:rsidRPr="004E0454" w:rsidP="004E0454">
            <w:pPr>
              <w:widowControl/>
              <w:autoSpaceDE/>
              <w:autoSpaceDN/>
              <w:adjustRightInd/>
              <w:rPr>
                <w:rFonts w:ascii="Times New Roman" w:hAnsi="Times New Roman"/>
                <w:color w:val="000000"/>
                <w:sz w:val="18"/>
                <w:szCs w:val="18"/>
              </w:rPr>
            </w:pPr>
            <w:r w:rsidRPr="004E0454">
              <w:rPr>
                <w:rFonts w:ascii="Times New Roman" w:hAnsi="Times New Roman"/>
                <w:color w:val="000000"/>
                <w:sz w:val="18"/>
                <w:szCs w:val="18"/>
              </w:rPr>
              <w:t>Source: FDIC.</w:t>
            </w:r>
          </w:p>
        </w:tc>
      </w:tr>
      <w:tr w:rsidTr="00DF393D">
        <w:tblPrEx>
          <w:tblW w:w="9340" w:type="dxa"/>
          <w:tblLook w:val="04A0"/>
        </w:tblPrEx>
        <w:trPr>
          <w:trHeight w:val="288"/>
        </w:trPr>
        <w:tc>
          <w:tcPr>
            <w:tcW w:w="9340"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4E0454" w:rsidRPr="004E0454" w:rsidP="004E0454">
            <w:pPr>
              <w:widowControl/>
              <w:autoSpaceDE/>
              <w:autoSpaceDN/>
              <w:adjustRightInd/>
              <w:rPr>
                <w:rFonts w:ascii="Times New Roman" w:hAnsi="Times New Roman"/>
                <w:color w:val="000000"/>
                <w:sz w:val="18"/>
                <w:szCs w:val="18"/>
              </w:rPr>
            </w:pPr>
            <w:r w:rsidRPr="004E0454">
              <w:rPr>
                <w:rFonts w:ascii="Times New Roman" w:hAnsi="Times New Roman"/>
                <w:color w:val="000000"/>
                <w:sz w:val="18"/>
                <w:szCs w:val="18"/>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p>
        </w:tc>
      </w:tr>
      <w:tr w:rsidTr="00DF393D">
        <w:tblPrEx>
          <w:tblW w:w="9340" w:type="dxa"/>
          <w:tblLook w:val="04A0"/>
        </w:tblPrEx>
        <w:trPr>
          <w:trHeight w:val="290"/>
        </w:trPr>
        <w:tc>
          <w:tcPr>
            <w:tcW w:w="9340" w:type="dxa"/>
            <w:gridSpan w:val="6"/>
            <w:vMerge/>
            <w:tcBorders>
              <w:top w:val="nil"/>
              <w:left w:val="single" w:sz="8" w:space="0" w:color="auto"/>
              <w:bottom w:val="single" w:sz="8" w:space="0" w:color="000000"/>
              <w:right w:val="single" w:sz="8" w:space="0" w:color="000000"/>
            </w:tcBorders>
            <w:vAlign w:val="center"/>
            <w:hideMark/>
          </w:tcPr>
          <w:p w:rsidR="004E0454" w:rsidRPr="004E0454" w:rsidP="004E0454">
            <w:pPr>
              <w:widowControl/>
              <w:autoSpaceDE/>
              <w:autoSpaceDN/>
              <w:adjustRightInd/>
              <w:rPr>
                <w:rFonts w:ascii="Times New Roman" w:hAnsi="Times New Roman"/>
                <w:color w:val="000000"/>
                <w:sz w:val="18"/>
                <w:szCs w:val="18"/>
              </w:rPr>
            </w:pPr>
          </w:p>
        </w:tc>
      </w:tr>
      <w:tr w:rsidTr="00DF393D">
        <w:tblPrEx>
          <w:tblW w:w="9340" w:type="dxa"/>
          <w:tblLook w:val="04A0"/>
        </w:tblPrEx>
        <w:trPr>
          <w:trHeight w:val="313"/>
        </w:trPr>
        <w:tc>
          <w:tcPr>
            <w:tcW w:w="9340" w:type="dxa"/>
            <w:gridSpan w:val="6"/>
            <w:vMerge/>
            <w:tcBorders>
              <w:top w:val="nil"/>
              <w:left w:val="single" w:sz="8" w:space="0" w:color="auto"/>
              <w:bottom w:val="single" w:sz="8" w:space="0" w:color="000000"/>
              <w:right w:val="single" w:sz="8" w:space="0" w:color="000000"/>
            </w:tcBorders>
            <w:vAlign w:val="center"/>
            <w:hideMark/>
          </w:tcPr>
          <w:p w:rsidR="004E0454" w:rsidRPr="004E0454" w:rsidP="004E0454">
            <w:pPr>
              <w:widowControl/>
              <w:autoSpaceDE/>
              <w:autoSpaceDN/>
              <w:adjustRightInd/>
              <w:rPr>
                <w:rFonts w:ascii="Times New Roman" w:hAnsi="Times New Roman"/>
                <w:color w:val="000000"/>
                <w:sz w:val="18"/>
                <w:szCs w:val="18"/>
              </w:rPr>
            </w:pPr>
          </w:p>
        </w:tc>
      </w:tr>
      <w:tr w:rsidTr="00DF393D">
        <w:tblPrEx>
          <w:tblW w:w="9340" w:type="dxa"/>
          <w:tblLook w:val="04A0"/>
        </w:tblPrEx>
        <w:trPr>
          <w:trHeight w:val="348"/>
        </w:trPr>
        <w:tc>
          <w:tcPr>
            <w:tcW w:w="9340" w:type="dxa"/>
            <w:gridSpan w:val="6"/>
            <w:vMerge/>
            <w:tcBorders>
              <w:top w:val="nil"/>
              <w:left w:val="single" w:sz="8" w:space="0" w:color="auto"/>
              <w:bottom w:val="single" w:sz="8" w:space="0" w:color="000000"/>
              <w:right w:val="single" w:sz="8" w:space="0" w:color="000000"/>
            </w:tcBorders>
            <w:vAlign w:val="center"/>
            <w:hideMark/>
          </w:tcPr>
          <w:p w:rsidR="004E0454" w:rsidRPr="004E0454" w:rsidP="004E0454">
            <w:pPr>
              <w:widowControl/>
              <w:autoSpaceDE/>
              <w:autoSpaceDN/>
              <w:adjustRightInd/>
              <w:rPr>
                <w:rFonts w:ascii="Times New Roman" w:hAnsi="Times New Roman"/>
                <w:color w:val="000000"/>
                <w:sz w:val="18"/>
                <w:szCs w:val="18"/>
              </w:rPr>
            </w:pPr>
          </w:p>
        </w:tc>
      </w:tr>
    </w:tbl>
    <w:p w:rsidR="006A3DB3" w:rsidRPr="004E0454" w:rsidP="006A3DB3">
      <w:pPr>
        <w:rPr>
          <w:rFonts w:ascii="Times New Roman" w:hAnsi="Times New Roman"/>
          <w:spacing w:val="-3"/>
        </w:rPr>
      </w:pPr>
    </w:p>
    <w:p w:rsidR="004E0454" w:rsidRPr="00237724" w:rsidP="00237724">
      <w:pPr>
        <w:suppressAutoHyphens/>
        <w:adjustRightInd/>
        <w:spacing w:after="40" w:line="360" w:lineRule="exact"/>
        <w:ind w:left="720" w:firstLine="720"/>
        <w:outlineLvl w:val="1"/>
        <w:rPr>
          <w:rFonts w:ascii="Times New Roman" w:eastAsia="Source Sans Pro" w:hAnsi="Times New Roman"/>
          <w:b/>
          <w:bCs/>
          <w:color w:val="000000"/>
          <w:lang w:bidi="en-US"/>
        </w:rPr>
      </w:pPr>
      <w:r w:rsidRPr="00237724">
        <w:rPr>
          <w:rFonts w:ascii="Times New Roman" w:eastAsia="Source Sans Pro" w:hAnsi="Times New Roman"/>
          <w:b/>
          <w:bCs/>
          <w:color w:val="000000"/>
          <w:lang w:bidi="en-US"/>
        </w:rPr>
        <w:t>Total Estimated Hourly Labor Compensation Rates</w:t>
      </w:r>
    </w:p>
    <w:p w:rsidR="004E0454" w:rsidRPr="00237724" w:rsidP="004E0454">
      <w:pPr>
        <w:suppressAutoHyphens/>
        <w:adjustRightInd/>
        <w:ind w:firstLine="360"/>
        <w:rPr>
          <w:rFonts w:ascii="Times New Roman" w:eastAsia="Source Sans Pro" w:hAnsi="Times New Roman"/>
          <w:lang w:bidi="en-US"/>
        </w:rPr>
      </w:pPr>
    </w:p>
    <w:p w:rsidR="004E0454" w:rsidRPr="00D02884" w:rsidP="00237724">
      <w:pPr>
        <w:spacing w:after="120"/>
        <w:ind w:left="1440"/>
        <w:rPr>
          <w:rFonts w:ascii="Times New Roman" w:eastAsia="Source Sans Pro" w:hAnsi="Times New Roman"/>
          <w:color w:val="000000"/>
          <w:lang w:bidi="en-US"/>
        </w:rPr>
      </w:pPr>
      <w:r w:rsidRPr="00D02884">
        <w:rPr>
          <w:rFonts w:ascii="Times New Roman" w:eastAsia="Source Sans Pro" w:hAnsi="Times New Roman"/>
          <w:color w:val="000000"/>
          <w:lang w:bidi="en-US"/>
        </w:rPr>
        <w:t xml:space="preserve">The 2021 ICR used a single labor allocation for the entire ICR, rather than a separate labor allocation for each IC in the ICR. The FDIC reviewed the estimated allocation of labor across six occupations in the </w:t>
      </w:r>
      <w:r w:rsidRPr="00237724">
        <w:rPr>
          <w:rFonts w:ascii="Times New Roman" w:hAnsi="Times New Roman"/>
        </w:rPr>
        <w:t>2021</w:t>
      </w:r>
      <w:r w:rsidRPr="00D02884">
        <w:rPr>
          <w:rFonts w:ascii="Times New Roman" w:eastAsia="Source Sans Pro" w:hAnsi="Times New Roman"/>
          <w:color w:val="000000"/>
          <w:lang w:bidi="en-US"/>
        </w:rPr>
        <w:t xml:space="preserve"> ICR and found them to be reasonable estimates of the labor allocation for all five ICs in this ICR. Therefore, FDIC uses the same allocation of labor to find the estimated hourly cost of complying with this ICR. To estimate the average costs of compensation per hour for the six occupations, FDIC uses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2022 and do not include non-wage compensation. To adjust these wages for use in this estimate FDIC multiplies the OEWS hourly wages by approximately 1.51 to account for non-wage compensation, using the BLS Employer Cost of Employee Compensation (ECEC) data as of March 2021 (the latest published release prior to the OEWS wage data). I</w:t>
      </w:r>
      <w:r w:rsidRPr="00D02884" w:rsidR="001F3C2F">
        <w:rPr>
          <w:rFonts w:ascii="Times New Roman" w:eastAsia="Source Sans Pro" w:hAnsi="Times New Roman"/>
          <w:color w:val="000000"/>
          <w:lang w:bidi="en-US"/>
        </w:rPr>
        <w:t>t then multiplies</w:t>
      </w:r>
      <w:r w:rsidRPr="00D02884">
        <w:rPr>
          <w:rFonts w:ascii="Times New Roman" w:eastAsia="Source Sans Pro" w:hAnsi="Times New Roman"/>
          <w:color w:val="000000"/>
          <w:lang w:bidi="en-US"/>
        </w:rPr>
        <w:t xml:space="preserve"> the resulting compensation rates by approximately 1.06 to reflect the change in the seasonally adjusted Employment Cost Index for the Credit Intermediation and Related Activities sector (NAICS Code 522) between March 2022 and September 2023. Table 2 shows the estimated labor allocation and the resulting estimated hourly compliance cost for this ICR: </w:t>
      </w:r>
    </w:p>
    <w:p w:rsidR="001F3C2F" w:rsidRPr="004E0454" w:rsidP="001F3C2F">
      <w:pPr>
        <w:suppressAutoHyphens/>
        <w:adjustRightInd/>
        <w:ind w:firstLine="360"/>
        <w:rPr>
          <w:rFonts w:ascii="Times New Roman" w:eastAsia="Source Sans Pro" w:hAnsi="Times New Roman"/>
          <w:color w:val="000000"/>
          <w:lang w:bidi="en-US"/>
        </w:rPr>
      </w:pPr>
    </w:p>
    <w:tbl>
      <w:tblPr>
        <w:tblW w:w="9170" w:type="dxa"/>
        <w:tblLook w:val="04A0"/>
      </w:tblPr>
      <w:tblGrid>
        <w:gridCol w:w="1258"/>
        <w:gridCol w:w="1259"/>
        <w:gridCol w:w="1258"/>
        <w:gridCol w:w="1259"/>
        <w:gridCol w:w="1258"/>
        <w:gridCol w:w="1259"/>
        <w:gridCol w:w="1619"/>
      </w:tblGrid>
      <w:tr w:rsidTr="00DF393D">
        <w:tblPrEx>
          <w:tblW w:w="9170" w:type="dxa"/>
          <w:tblLook w:val="04A0"/>
        </w:tblPrEx>
        <w:trPr>
          <w:trHeight w:val="360"/>
        </w:trPr>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454" w:rsidRPr="00D02884" w:rsidP="004E0454">
            <w:pPr>
              <w:widowControl/>
              <w:autoSpaceDE/>
              <w:autoSpaceDN/>
              <w:adjustRightInd/>
              <w:jc w:val="center"/>
              <w:rPr>
                <w:rFonts w:ascii="Times New Roman" w:hAnsi="Times New Roman"/>
                <w:b/>
                <w:color w:val="000000"/>
              </w:rPr>
            </w:pPr>
            <w:r w:rsidRPr="00D02884">
              <w:rPr>
                <w:rFonts w:ascii="Times New Roman" w:hAnsi="Times New Roman"/>
                <w:b/>
                <w:color w:val="000000"/>
              </w:rPr>
              <w:t>Table 2. Summary of Hourly Burden Cost Estimate (OMB No. 3064-0197)</w:t>
            </w:r>
          </w:p>
        </w:tc>
      </w:tr>
      <w:tr w:rsidTr="00DF393D">
        <w:tblPrEx>
          <w:tblW w:w="9170" w:type="dxa"/>
          <w:tblLook w:val="04A0"/>
        </w:tblPrEx>
        <w:trPr>
          <w:trHeight w:val="600"/>
        </w:trPr>
        <w:tc>
          <w:tcPr>
            <w:tcW w:w="7551"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 xml:space="preserve">Percentage Shares of Hours Spent by and </w:t>
            </w:r>
            <w:r w:rsidRPr="004E0454">
              <w:rPr>
                <w:rFonts w:ascii="Times New Roman" w:hAnsi="Times New Roman"/>
                <w:color w:val="000000"/>
                <w:sz w:val="20"/>
                <w:szCs w:val="20"/>
              </w:rPr>
              <w:br/>
              <w:t xml:space="preserve">Hourly Compensation Rates for each Occupation Group </w:t>
            </w:r>
            <w:r w:rsidRPr="004E0454">
              <w:rPr>
                <w:rFonts w:ascii="Times New Roman" w:hAnsi="Times New Roman"/>
                <w:color w:val="000000"/>
                <w:sz w:val="20"/>
                <w:szCs w:val="20"/>
              </w:rPr>
              <w:br/>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Estimated Hourly Compensation Rate</w:t>
            </w:r>
          </w:p>
        </w:tc>
      </w:tr>
      <w:tr w:rsidTr="00DF393D">
        <w:tblPrEx>
          <w:tblW w:w="9170" w:type="dxa"/>
          <w:tblLook w:val="04A0"/>
        </w:tblPrEx>
        <w:trPr>
          <w:trHeight w:val="865"/>
        </w:trPr>
        <w:tc>
          <w:tcPr>
            <w:tcW w:w="7551" w:type="dxa"/>
            <w:gridSpan w:val="6"/>
            <w:vMerge/>
            <w:tcBorders>
              <w:top w:val="nil"/>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r>
      <w:tr w:rsidTr="00DF393D">
        <w:tblPrEx>
          <w:tblW w:w="9170" w:type="dxa"/>
          <w:tblLook w:val="04A0"/>
        </w:tblPrEx>
        <w:trPr>
          <w:trHeight w:val="360"/>
        </w:trPr>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eastAsia="Source Sans Pro" w:hAnsi="Times New Roman"/>
                <w:color w:val="000000"/>
                <w:sz w:val="20"/>
                <w:szCs w:val="20"/>
                <w:lang w:bidi="en-US"/>
              </w:rPr>
              <w:t>Exec. &amp; Mgr.      ($133.85)</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eastAsia="Source Sans Pro" w:hAnsi="Times New Roman"/>
                <w:color w:val="000000"/>
                <w:sz w:val="20"/>
                <w:szCs w:val="20"/>
                <w:lang w:bidi="en-US"/>
              </w:rPr>
              <w:t>Lawyer   ($172.66)</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eastAsia="Source Sans Pro" w:hAnsi="Times New Roman"/>
                <w:color w:val="000000"/>
                <w:sz w:val="20"/>
                <w:szCs w:val="20"/>
                <w:lang w:bidi="en-US"/>
              </w:rPr>
              <w:t>Compl. Ofc.   ($66.35)</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eastAsia="Source Sans Pro" w:hAnsi="Times New Roman"/>
                <w:color w:val="000000"/>
                <w:sz w:val="20"/>
                <w:szCs w:val="20"/>
                <w:lang w:bidi="en-US"/>
              </w:rPr>
              <w:t>IT    ($105.46)</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eastAsia="Source Sans Pro" w:hAnsi="Times New Roman"/>
                <w:color w:val="000000"/>
                <w:sz w:val="20"/>
                <w:szCs w:val="20"/>
                <w:lang w:bidi="en-US"/>
              </w:rPr>
              <w:t>Fin. Anlst.    ($97.89)</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eastAsia="Source Sans Pro" w:hAnsi="Times New Roman"/>
                <w:color w:val="000000"/>
                <w:sz w:val="20"/>
                <w:szCs w:val="20"/>
                <w:lang w:bidi="en-US"/>
              </w:rPr>
              <w:t>Clerical    ($37.71)</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r>
      <w:tr w:rsidTr="00DF393D">
        <w:tblPrEx>
          <w:tblW w:w="9170" w:type="dxa"/>
          <w:tblLook w:val="04A0"/>
        </w:tblPrEx>
        <w:trPr>
          <w:trHeight w:val="840"/>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4E0454" w:rsidRPr="004E0454" w:rsidP="004E0454">
            <w:pPr>
              <w:widowControl/>
              <w:autoSpaceDE/>
              <w:autoSpaceDN/>
              <w:adjustRightInd/>
              <w:rPr>
                <w:rFonts w:ascii="Times New Roman" w:hAnsi="Times New Roman"/>
                <w:color w:val="000000"/>
                <w:sz w:val="20"/>
                <w:szCs w:val="20"/>
              </w:rPr>
            </w:pPr>
          </w:p>
        </w:tc>
      </w:tr>
      <w:tr w:rsidTr="00DF393D">
        <w:tblPrEx>
          <w:tblW w:w="9170" w:type="dxa"/>
          <w:tblLook w:val="04A0"/>
        </w:tblPrEx>
        <w:trPr>
          <w:trHeight w:val="790"/>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50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50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ind w:firstLine="200" w:firstLineChars="100"/>
              <w:jc w:val="right"/>
              <w:rPr>
                <w:rFonts w:ascii="Times New Roman" w:hAnsi="Times New Roman"/>
                <w:color w:val="000000"/>
                <w:sz w:val="20"/>
                <w:szCs w:val="20"/>
              </w:rPr>
            </w:pPr>
            <w:r w:rsidRPr="004E0454">
              <w:rPr>
                <w:rFonts w:ascii="Times New Roman" w:hAnsi="Times New Roman"/>
                <w:color w:val="000000"/>
                <w:sz w:val="20"/>
                <w:szCs w:val="20"/>
              </w:rPr>
              <w:t xml:space="preserve">$82.12 </w:t>
            </w:r>
          </w:p>
        </w:tc>
      </w:tr>
      <w:tr w:rsidTr="00DF393D">
        <w:tblPrEx>
          <w:tblW w:w="9170" w:type="dxa"/>
          <w:tblLook w:val="04A0"/>
        </w:tblPrEx>
        <w:trPr>
          <w:trHeight w:val="521"/>
        </w:trPr>
        <w:tc>
          <w:tcPr>
            <w:tcW w:w="7551" w:type="dxa"/>
            <w:gridSpan w:val="6"/>
            <w:tcBorders>
              <w:top w:val="single" w:sz="4" w:space="0" w:color="auto"/>
              <w:left w:val="single" w:sz="4" w:space="0" w:color="auto"/>
              <w:bottom w:val="single" w:sz="4" w:space="0" w:color="auto"/>
            </w:tcBorders>
            <w:shd w:val="clear" w:color="auto" w:fill="auto"/>
            <w:vAlign w:val="center"/>
            <w:hideMark/>
          </w:tcPr>
          <w:p w:rsidR="004E0454" w:rsidRPr="004E0454" w:rsidP="004E0454">
            <w:pPr>
              <w:widowControl/>
              <w:autoSpaceDE/>
              <w:autoSpaceDN/>
              <w:adjustRightInd/>
              <w:jc w:val="right"/>
              <w:rPr>
                <w:rFonts w:ascii="Times New Roman" w:hAnsi="Times New Roman"/>
                <w:b/>
                <w:bCs/>
                <w:i/>
                <w:iCs/>
                <w:color w:val="000000"/>
                <w:sz w:val="22"/>
                <w:szCs w:val="22"/>
              </w:rPr>
            </w:pPr>
            <w:r w:rsidRPr="004E0454">
              <w:rPr>
                <w:rFonts w:ascii="Times New Roman" w:hAnsi="Times New Roman"/>
                <w:b/>
                <w:bCs/>
                <w:i/>
                <w:iCs/>
                <w:color w:val="000000"/>
                <w:sz w:val="22"/>
                <w:szCs w:val="22"/>
              </w:rPr>
              <w:t>Weighted Average Hourly Compensation Rate:</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4E0454" w:rsidRPr="004E0454" w:rsidP="004E0454">
            <w:pPr>
              <w:widowControl/>
              <w:autoSpaceDE/>
              <w:autoSpaceDN/>
              <w:adjustRightInd/>
              <w:ind w:firstLine="220" w:firstLineChars="100"/>
              <w:jc w:val="right"/>
              <w:rPr>
                <w:rFonts w:ascii="Times New Roman" w:hAnsi="Times New Roman"/>
                <w:b/>
                <w:bCs/>
                <w:i/>
                <w:iCs/>
                <w:color w:val="000000"/>
                <w:sz w:val="22"/>
                <w:szCs w:val="22"/>
              </w:rPr>
            </w:pPr>
            <w:r w:rsidRPr="004E0454">
              <w:rPr>
                <w:rFonts w:ascii="Times New Roman" w:hAnsi="Times New Roman"/>
                <w:b/>
                <w:bCs/>
                <w:i/>
                <w:iCs/>
                <w:color w:val="000000"/>
                <w:sz w:val="22"/>
                <w:szCs w:val="22"/>
              </w:rPr>
              <w:t xml:space="preserve">$82.12 </w:t>
            </w:r>
          </w:p>
        </w:tc>
      </w:tr>
      <w:tr w:rsidTr="00DF393D">
        <w:tblPrEx>
          <w:tblW w:w="9170" w:type="dxa"/>
          <w:tblLook w:val="04A0"/>
        </w:tblPrEx>
        <w:trPr>
          <w:trHeight w:val="521"/>
        </w:trPr>
        <w:tc>
          <w:tcPr>
            <w:tcW w:w="91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E0454" w:rsidRPr="004E0454" w:rsidP="004E0454">
            <w:pPr>
              <w:widowControl/>
              <w:autoSpaceDE/>
              <w:autoSpaceDN/>
              <w:adjustRightInd/>
              <w:rPr>
                <w:rFonts w:ascii="Times New Roman" w:hAnsi="Times New Roman"/>
                <w:bCs/>
                <w:iCs/>
                <w:color w:val="000000"/>
                <w:sz w:val="18"/>
                <w:szCs w:val="22"/>
              </w:rPr>
            </w:pPr>
            <w:r w:rsidRPr="004E0454">
              <w:rPr>
                <w:rFonts w:ascii="Times New Roman" w:hAnsi="Times New Roman"/>
                <w:bCs/>
                <w:iCs/>
                <w:color w:val="000000"/>
                <w:sz w:val="18"/>
                <w:szCs w:val="22"/>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March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p w:rsidR="004E0454" w:rsidRPr="004E0454" w:rsidP="004E0454">
            <w:pPr>
              <w:widowControl/>
              <w:autoSpaceDE/>
              <w:autoSpaceDN/>
              <w:adjustRightInd/>
              <w:rPr>
                <w:rFonts w:ascii="Times New Roman" w:hAnsi="Times New Roman"/>
                <w:bCs/>
                <w:iCs/>
                <w:color w:val="000000"/>
                <w:sz w:val="18"/>
                <w:szCs w:val="22"/>
              </w:rPr>
            </w:pPr>
          </w:p>
          <w:p w:rsidR="004E0454" w:rsidRPr="004E0454" w:rsidP="004E0454">
            <w:pPr>
              <w:widowControl/>
              <w:autoSpaceDE/>
              <w:autoSpaceDN/>
              <w:adjustRightInd/>
              <w:rPr>
                <w:rFonts w:ascii="Times New Roman" w:hAnsi="Times New Roman"/>
                <w:bCs/>
                <w:iCs/>
                <w:color w:val="000000"/>
                <w:sz w:val="18"/>
                <w:szCs w:val="22"/>
              </w:rPr>
            </w:pPr>
            <w:r w:rsidRPr="004E0454">
              <w:rPr>
                <w:rFonts w:ascii="Times New Roman" w:hAnsi="Times New Roman"/>
                <w:bCs/>
                <w:iCs/>
                <w:color w:val="000000"/>
                <w:sz w:val="18"/>
                <w:szCs w:val="22"/>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p w:rsidR="004E0454" w:rsidRPr="004E0454" w:rsidP="004E0454">
            <w:pPr>
              <w:widowControl/>
              <w:autoSpaceDE/>
              <w:autoSpaceDN/>
              <w:adjustRightInd/>
              <w:ind w:firstLine="180" w:firstLineChars="100"/>
              <w:rPr>
                <w:rFonts w:ascii="Times New Roman" w:hAnsi="Times New Roman"/>
                <w:bCs/>
                <w:iCs/>
                <w:color w:val="000000"/>
                <w:sz w:val="18"/>
                <w:szCs w:val="22"/>
              </w:rPr>
            </w:pPr>
          </w:p>
        </w:tc>
      </w:tr>
    </w:tbl>
    <w:p w:rsidR="004E0454" w:rsidRPr="004E0454" w:rsidP="00237724">
      <w:pPr>
        <w:suppressAutoHyphens/>
        <w:adjustRightInd/>
        <w:spacing w:before="120" w:after="120"/>
        <w:ind w:left="720" w:firstLine="720"/>
        <w:outlineLvl w:val="1"/>
        <w:rPr>
          <w:rFonts w:ascii="Times New Roman" w:eastAsia="Source Sans Pro" w:hAnsi="Times New Roman"/>
          <w:b/>
          <w:bCs/>
          <w:color w:val="000000"/>
          <w:lang w:bidi="en-US"/>
        </w:rPr>
      </w:pPr>
      <w:r w:rsidRPr="004E0454">
        <w:rPr>
          <w:rFonts w:ascii="Times New Roman" w:eastAsia="Source Sans Pro" w:hAnsi="Times New Roman"/>
          <w:b/>
          <w:bCs/>
          <w:color w:val="000000"/>
          <w:lang w:bidi="en-US"/>
        </w:rPr>
        <w:t xml:space="preserve">Total Estimated Annual </w:t>
      </w:r>
      <w:r>
        <w:rPr>
          <w:rFonts w:ascii="Times New Roman" w:eastAsia="Source Sans Pro" w:hAnsi="Times New Roman"/>
          <w:b/>
          <w:bCs/>
          <w:color w:val="000000"/>
          <w:lang w:bidi="en-US"/>
        </w:rPr>
        <w:t>Labor</w:t>
      </w:r>
      <w:r w:rsidRPr="004E0454">
        <w:rPr>
          <w:rFonts w:ascii="Times New Roman" w:eastAsia="Source Sans Pro" w:hAnsi="Times New Roman"/>
          <w:b/>
          <w:bCs/>
          <w:color w:val="000000"/>
          <w:lang w:bidi="en-US"/>
        </w:rPr>
        <w:t xml:space="preserve"> Cost</w:t>
      </w:r>
    </w:p>
    <w:p w:rsidR="004E0454" w:rsidP="00237724">
      <w:pPr>
        <w:spacing w:after="120"/>
        <w:ind w:left="1440"/>
        <w:rPr>
          <w:rFonts w:ascii="Times New Roman" w:eastAsia="Source Sans Pro" w:hAnsi="Times New Roman"/>
          <w:color w:val="000000"/>
          <w:lang w:bidi="en-US"/>
        </w:rPr>
      </w:pPr>
      <w:r>
        <w:rPr>
          <w:rFonts w:ascii="Times New Roman" w:eastAsia="Source Sans Pro" w:hAnsi="Times New Roman"/>
          <w:color w:val="000000"/>
          <w:lang w:bidi="en-US"/>
        </w:rPr>
        <w:t>FDIC</w:t>
      </w:r>
      <w:r w:rsidRPr="004E0454">
        <w:rPr>
          <w:rFonts w:ascii="Times New Roman" w:eastAsia="Source Sans Pro" w:hAnsi="Times New Roman"/>
          <w:color w:val="000000"/>
          <w:lang w:bidi="en-US"/>
        </w:rPr>
        <w:t xml:space="preserve"> estimate</w:t>
      </w:r>
      <w:r>
        <w:rPr>
          <w:rFonts w:ascii="Times New Roman" w:eastAsia="Source Sans Pro" w:hAnsi="Times New Roman"/>
          <w:color w:val="000000"/>
          <w:lang w:bidi="en-US"/>
        </w:rPr>
        <w:t>s</w:t>
      </w:r>
      <w:r w:rsidRPr="004E0454">
        <w:rPr>
          <w:rFonts w:ascii="Times New Roman" w:eastAsia="Source Sans Pro" w:hAnsi="Times New Roman"/>
          <w:color w:val="000000"/>
          <w:lang w:bidi="en-US"/>
        </w:rPr>
        <w:t xml:space="preserve"> the total </w:t>
      </w:r>
      <w:r w:rsidRPr="00237724">
        <w:rPr>
          <w:rFonts w:ascii="Times New Roman" w:hAnsi="Times New Roman"/>
        </w:rPr>
        <w:t>annual</w:t>
      </w:r>
      <w:r w:rsidRPr="004E0454">
        <w:rPr>
          <w:rFonts w:ascii="Times New Roman" w:eastAsia="Source Sans Pro" w:hAnsi="Times New Roman"/>
          <w:color w:val="000000"/>
          <w:lang w:bidi="en-US"/>
        </w:rPr>
        <w:t xml:space="preserve"> </w:t>
      </w:r>
      <w:r>
        <w:rPr>
          <w:rFonts w:ascii="Times New Roman" w:eastAsia="Source Sans Pro" w:hAnsi="Times New Roman"/>
          <w:color w:val="000000"/>
          <w:lang w:bidi="en-US"/>
        </w:rPr>
        <w:t xml:space="preserve">labor </w:t>
      </w:r>
      <w:r w:rsidRPr="004E0454">
        <w:rPr>
          <w:rFonts w:ascii="Times New Roman" w:eastAsia="Source Sans Pro" w:hAnsi="Times New Roman"/>
          <w:color w:val="000000"/>
          <w:lang w:bidi="en-US"/>
        </w:rPr>
        <w:t xml:space="preserve">cost burden for OMB No. 3064-0197 by multiplying the total annual estimated burden hours reported in Table 1 by the corresponding weighted average hourly cost estimate reported in Table 2. The estimated total annual cost burden is </w:t>
      </w:r>
      <w:r w:rsidRPr="00D02884">
        <w:rPr>
          <w:rFonts w:ascii="Times New Roman" w:eastAsia="Source Sans Pro" w:hAnsi="Times New Roman"/>
          <w:color w:val="000000"/>
          <w:lang w:bidi="en-US"/>
        </w:rPr>
        <w:t>$10,183 per year</w:t>
      </w:r>
      <w:r w:rsidRPr="004E0454">
        <w:rPr>
          <w:rFonts w:ascii="Times New Roman" w:eastAsia="Source Sans Pro" w:hAnsi="Times New Roman"/>
          <w:color w:val="000000"/>
          <w:lang w:bidi="en-US"/>
        </w:rPr>
        <w:t xml:space="preserve">, as shown in Table 3. This represents a decrease of $62,379 from estimated annual cost of $72,562 reported in the 2021 ICR. This primary reason for this decrease in the estimated annual cost is the approximately 90 percent decrease in the estimated annual hourly burden discussed above. </w:t>
      </w:r>
    </w:p>
    <w:p w:rsidR="00D02884" w:rsidRPr="004E0454" w:rsidP="00D02884">
      <w:pPr>
        <w:adjustRightInd/>
        <w:spacing w:after="120"/>
        <w:ind w:firstLine="360"/>
        <w:rPr>
          <w:rFonts w:ascii="Times New Roman" w:eastAsia="Source Sans Pro" w:hAnsi="Times New Roman"/>
          <w:color w:val="000000"/>
          <w:lang w:bidi="en-US"/>
        </w:rPr>
      </w:pPr>
    </w:p>
    <w:tbl>
      <w:tblPr>
        <w:tblW w:w="9582" w:type="dxa"/>
        <w:tblLook w:val="04A0"/>
      </w:tblPr>
      <w:tblGrid>
        <w:gridCol w:w="2226"/>
        <w:gridCol w:w="2972"/>
        <w:gridCol w:w="2171"/>
        <w:gridCol w:w="2213"/>
      </w:tblGrid>
      <w:tr w:rsidTr="00DF393D">
        <w:tblPrEx>
          <w:tblW w:w="9582" w:type="dxa"/>
          <w:tblLook w:val="04A0"/>
        </w:tblPrEx>
        <w:trPr>
          <w:trHeight w:val="360"/>
        </w:trPr>
        <w:tc>
          <w:tcPr>
            <w:tcW w:w="958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E0454" w:rsidRPr="004E0454" w:rsidP="004E0454">
            <w:pPr>
              <w:adjustRightInd/>
              <w:jc w:val="center"/>
              <w:rPr>
                <w:rFonts w:ascii="Times New Roman" w:hAnsi="Times New Roman"/>
                <w:color w:val="000000"/>
              </w:rPr>
            </w:pPr>
            <w:r w:rsidRPr="004E0454">
              <w:rPr>
                <w:rFonts w:ascii="Times New Roman" w:hAnsi="Times New Roman"/>
                <w:color w:val="000000"/>
              </w:rPr>
              <w:t>Table 3. Total Estimated Cost Burden (OMB No. 3064-</w:t>
            </w:r>
            <w:r>
              <w:rPr>
                <w:rFonts w:ascii="Times New Roman" w:hAnsi="Times New Roman"/>
                <w:color w:val="000000"/>
              </w:rPr>
              <w:t>0197</w:t>
            </w:r>
            <w:r w:rsidRPr="004E0454">
              <w:rPr>
                <w:rFonts w:ascii="Times New Roman" w:hAnsi="Times New Roman"/>
                <w:color w:val="000000"/>
              </w:rPr>
              <w:t>)</w:t>
            </w:r>
          </w:p>
        </w:tc>
      </w:tr>
      <w:tr w:rsidTr="00DF393D">
        <w:tblPrEx>
          <w:tblW w:w="9582" w:type="dxa"/>
          <w:tblLook w:val="04A0"/>
        </w:tblPrEx>
        <w:trPr>
          <w:trHeight w:val="600"/>
        </w:trPr>
        <w:tc>
          <w:tcPr>
            <w:tcW w:w="2226" w:type="dxa"/>
            <w:tcBorders>
              <w:top w:val="nil"/>
              <w:left w:val="single" w:sz="8" w:space="0" w:color="auto"/>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rPr>
                <w:rFonts w:ascii="Times New Roman" w:hAnsi="Times New Roman"/>
                <w:color w:val="000000"/>
                <w:sz w:val="20"/>
                <w:szCs w:val="20"/>
              </w:rPr>
            </w:pPr>
            <w:r w:rsidRPr="004E0454">
              <w:rPr>
                <w:rFonts w:ascii="Times New Roman" w:hAnsi="Times New Roman"/>
                <w:color w:val="000000"/>
                <w:sz w:val="20"/>
                <w:szCs w:val="20"/>
              </w:rPr>
              <w:t>Information Collection Request</w:t>
            </w:r>
          </w:p>
        </w:tc>
        <w:tc>
          <w:tcPr>
            <w:tcW w:w="2972"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Annual Burden (Hours)</w:t>
            </w:r>
          </w:p>
        </w:tc>
        <w:tc>
          <w:tcPr>
            <w:tcW w:w="2171"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Weighted Average Hourly Compensation Rate</w:t>
            </w:r>
          </w:p>
        </w:tc>
        <w:tc>
          <w:tcPr>
            <w:tcW w:w="2213" w:type="dxa"/>
            <w:tcBorders>
              <w:top w:val="nil"/>
              <w:left w:val="nil"/>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jc w:val="center"/>
              <w:rPr>
                <w:rFonts w:ascii="Times New Roman" w:hAnsi="Times New Roman"/>
                <w:color w:val="000000"/>
                <w:sz w:val="20"/>
                <w:szCs w:val="20"/>
              </w:rPr>
            </w:pPr>
            <w:r w:rsidRPr="004E0454">
              <w:rPr>
                <w:rFonts w:ascii="Times New Roman" w:hAnsi="Times New Roman"/>
                <w:color w:val="000000"/>
                <w:sz w:val="20"/>
                <w:szCs w:val="20"/>
              </w:rPr>
              <w:t>Annual Respondent Cost</w:t>
            </w:r>
          </w:p>
        </w:tc>
      </w:tr>
      <w:tr w:rsidTr="00DF393D">
        <w:tblPrEx>
          <w:tblW w:w="9582" w:type="dxa"/>
          <w:tblLook w:val="04A0"/>
        </w:tblPrEx>
        <w:trPr>
          <w:trHeight w:val="865"/>
        </w:trPr>
        <w:tc>
          <w:tcPr>
            <w:tcW w:w="2226" w:type="dxa"/>
            <w:tcBorders>
              <w:top w:val="nil"/>
              <w:left w:val="single" w:sz="8" w:space="0" w:color="auto"/>
              <w:bottom w:val="single" w:sz="8" w:space="0" w:color="auto"/>
              <w:right w:val="single" w:sz="8" w:space="0" w:color="auto"/>
            </w:tcBorders>
            <w:shd w:val="clear" w:color="auto" w:fill="auto"/>
            <w:vAlign w:val="center"/>
            <w:hideMark/>
          </w:tcPr>
          <w:p w:rsidR="004E0454" w:rsidRPr="004E0454" w:rsidP="004E0454">
            <w:pPr>
              <w:widowControl/>
              <w:autoSpaceDE/>
              <w:autoSpaceDN/>
              <w:adjustRightInd/>
              <w:rPr>
                <w:rFonts w:ascii="Times New Roman" w:hAnsi="Times New Roman"/>
                <w:color w:val="000000"/>
                <w:sz w:val="20"/>
                <w:szCs w:val="20"/>
              </w:rPr>
            </w:pPr>
            <w:r w:rsidRPr="004E0454">
              <w:rPr>
                <w:rFonts w:ascii="Times New Roman" w:eastAsia="Source Sans Pro" w:hAnsi="Times New Roman"/>
                <w:color w:val="000000"/>
                <w:sz w:val="20"/>
                <w:szCs w:val="20"/>
                <w:lang w:bidi="en-US"/>
              </w:rPr>
              <w:t xml:space="preserve">Liquidity Coverage Ratio: Liquidity Risk Measurement, Standards, and Monitoring (LCR) </w:t>
            </w:r>
          </w:p>
        </w:tc>
        <w:tc>
          <w:tcPr>
            <w:tcW w:w="2972"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ind w:firstLine="400" w:firstLineChars="200"/>
              <w:jc w:val="right"/>
              <w:rPr>
                <w:rFonts w:ascii="Times New Roman" w:hAnsi="Times New Roman"/>
                <w:color w:val="000000"/>
                <w:sz w:val="20"/>
                <w:szCs w:val="20"/>
              </w:rPr>
            </w:pPr>
            <w:r w:rsidRPr="004E0454">
              <w:rPr>
                <w:rFonts w:ascii="Times New Roman" w:eastAsia="Source Sans Pro" w:hAnsi="Times New Roman"/>
                <w:color w:val="000000"/>
                <w:sz w:val="20"/>
                <w:szCs w:val="20"/>
                <w:lang w:bidi="en-US"/>
              </w:rPr>
              <w:t xml:space="preserve">                                             124 </w:t>
            </w:r>
          </w:p>
        </w:tc>
        <w:tc>
          <w:tcPr>
            <w:tcW w:w="2171"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ind w:firstLine="200" w:firstLineChars="100"/>
              <w:jc w:val="right"/>
              <w:rPr>
                <w:rFonts w:ascii="Times New Roman" w:hAnsi="Times New Roman"/>
                <w:color w:val="000000"/>
                <w:sz w:val="20"/>
                <w:szCs w:val="20"/>
              </w:rPr>
            </w:pPr>
            <w:r w:rsidRPr="004E0454">
              <w:rPr>
                <w:rFonts w:ascii="Times New Roman" w:eastAsia="Source Sans Pro" w:hAnsi="Times New Roman"/>
                <w:color w:val="000000"/>
                <w:sz w:val="20"/>
                <w:szCs w:val="20"/>
                <w:lang w:bidi="en-US"/>
              </w:rPr>
              <w:t>$82.12</w:t>
            </w:r>
          </w:p>
        </w:tc>
        <w:tc>
          <w:tcPr>
            <w:tcW w:w="2213" w:type="dxa"/>
            <w:tcBorders>
              <w:top w:val="nil"/>
              <w:left w:val="nil"/>
              <w:bottom w:val="single" w:sz="8" w:space="0" w:color="auto"/>
              <w:right w:val="single" w:sz="8" w:space="0" w:color="auto"/>
            </w:tcBorders>
            <w:shd w:val="clear" w:color="auto" w:fill="auto"/>
            <w:noWrap/>
            <w:vAlign w:val="center"/>
            <w:hideMark/>
          </w:tcPr>
          <w:p w:rsidR="004E0454" w:rsidRPr="004E0454" w:rsidP="004E0454">
            <w:pPr>
              <w:widowControl/>
              <w:autoSpaceDE/>
              <w:autoSpaceDN/>
              <w:adjustRightInd/>
              <w:ind w:firstLine="200" w:firstLineChars="100"/>
              <w:jc w:val="right"/>
              <w:rPr>
                <w:rFonts w:ascii="Times New Roman" w:hAnsi="Times New Roman"/>
                <w:color w:val="000000"/>
                <w:sz w:val="20"/>
                <w:szCs w:val="20"/>
              </w:rPr>
            </w:pPr>
            <w:r w:rsidRPr="004E0454">
              <w:rPr>
                <w:rFonts w:ascii="Times New Roman" w:eastAsia="Source Sans Pro" w:hAnsi="Times New Roman"/>
                <w:color w:val="000000"/>
                <w:sz w:val="20"/>
                <w:szCs w:val="20"/>
                <w:lang w:bidi="en-US"/>
              </w:rPr>
              <w:t>$10,183</w:t>
            </w:r>
          </w:p>
        </w:tc>
      </w:tr>
      <w:tr w:rsidTr="00DF393D">
        <w:tblPrEx>
          <w:tblW w:w="9582" w:type="dxa"/>
          <w:tblLook w:val="04A0"/>
        </w:tblPrEx>
        <w:trPr>
          <w:trHeight w:val="360"/>
        </w:trPr>
        <w:tc>
          <w:tcPr>
            <w:tcW w:w="7369"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4E0454" w:rsidRPr="004E0454" w:rsidP="004E0454">
            <w:pPr>
              <w:widowControl/>
              <w:autoSpaceDE/>
              <w:autoSpaceDN/>
              <w:adjustRightInd/>
              <w:jc w:val="right"/>
              <w:rPr>
                <w:rFonts w:ascii="Times New Roman" w:hAnsi="Times New Roman"/>
                <w:b/>
                <w:bCs/>
                <w:i/>
                <w:iCs/>
                <w:color w:val="000000"/>
                <w:sz w:val="22"/>
                <w:szCs w:val="22"/>
              </w:rPr>
            </w:pPr>
            <w:r w:rsidRPr="004E0454">
              <w:rPr>
                <w:rFonts w:ascii="Times New Roman" w:hAnsi="Times New Roman"/>
                <w:b/>
                <w:bCs/>
                <w:i/>
                <w:iCs/>
                <w:color w:val="000000"/>
                <w:sz w:val="22"/>
                <w:szCs w:val="22"/>
              </w:rPr>
              <w:t>Total Annual Respondent Cost:</w:t>
            </w:r>
          </w:p>
        </w:tc>
        <w:tc>
          <w:tcPr>
            <w:tcW w:w="2213" w:type="dxa"/>
            <w:tcBorders>
              <w:top w:val="nil"/>
              <w:left w:val="nil"/>
              <w:bottom w:val="single" w:sz="8" w:space="0" w:color="auto"/>
              <w:right w:val="single" w:sz="8" w:space="0" w:color="auto"/>
            </w:tcBorders>
            <w:shd w:val="clear" w:color="000000" w:fill="FFFFFF"/>
            <w:vAlign w:val="center"/>
            <w:hideMark/>
          </w:tcPr>
          <w:p w:rsidR="004E0454" w:rsidRPr="004E0454" w:rsidP="004E0454">
            <w:pPr>
              <w:widowControl/>
              <w:autoSpaceDE/>
              <w:autoSpaceDN/>
              <w:adjustRightInd/>
              <w:ind w:firstLine="220" w:firstLineChars="100"/>
              <w:jc w:val="right"/>
              <w:rPr>
                <w:rFonts w:ascii="Times New Roman" w:hAnsi="Times New Roman"/>
                <w:b/>
                <w:bCs/>
                <w:i/>
                <w:iCs/>
                <w:color w:val="000000"/>
                <w:sz w:val="22"/>
                <w:szCs w:val="22"/>
              </w:rPr>
            </w:pPr>
            <w:r w:rsidRPr="004E0454">
              <w:rPr>
                <w:rFonts w:ascii="Times New Roman" w:hAnsi="Times New Roman"/>
                <w:b/>
                <w:bCs/>
                <w:i/>
                <w:iCs/>
                <w:color w:val="000000"/>
                <w:sz w:val="22"/>
                <w:szCs w:val="22"/>
              </w:rPr>
              <w:t xml:space="preserve">$10,183 </w:t>
            </w:r>
          </w:p>
        </w:tc>
      </w:tr>
      <w:tr w:rsidTr="00DF393D">
        <w:tblPrEx>
          <w:tblW w:w="9582" w:type="dxa"/>
          <w:tblLook w:val="04A0"/>
        </w:tblPrEx>
        <w:trPr>
          <w:trHeight w:val="331"/>
        </w:trPr>
        <w:tc>
          <w:tcPr>
            <w:tcW w:w="9582"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4E0454" w:rsidRPr="004E0454" w:rsidP="004E0454">
            <w:pPr>
              <w:widowControl/>
              <w:autoSpaceDE/>
              <w:autoSpaceDN/>
              <w:adjustRightInd/>
              <w:rPr>
                <w:rFonts w:ascii="Times New Roman" w:hAnsi="Times New Roman"/>
                <w:color w:val="000000"/>
                <w:sz w:val="18"/>
                <w:szCs w:val="18"/>
              </w:rPr>
            </w:pPr>
            <w:r w:rsidRPr="004E0454">
              <w:rPr>
                <w:rFonts w:ascii="Times New Roman" w:hAnsi="Times New Roman"/>
                <w:color w:val="000000"/>
                <w:sz w:val="18"/>
                <w:szCs w:val="18"/>
              </w:rPr>
              <w:t>Source: FDIC.</w:t>
            </w:r>
          </w:p>
        </w:tc>
      </w:tr>
    </w:tbl>
    <w:p w:rsidR="004E0454" w:rsidP="004E0454">
      <w:pPr>
        <w:ind w:left="720"/>
        <w:rPr>
          <w:rFonts w:ascii="Times New Roman" w:hAnsi="Times New Roman"/>
        </w:rPr>
      </w:pPr>
    </w:p>
    <w:p w:rsidR="004E0454" w:rsidP="004E0454">
      <w:pPr>
        <w:ind w:left="720"/>
        <w:rPr>
          <w:rFonts w:ascii="Times New Roman" w:hAnsi="Times New Roman"/>
        </w:rPr>
      </w:pPr>
    </w:p>
    <w:p w:rsidR="00257F44" w:rsidP="00FA59DB">
      <w:pPr>
        <w:ind w:left="720"/>
        <w:jc w:val="center"/>
        <w:rPr>
          <w:rFonts w:ascii="Times New Roman" w:hAnsi="Times New Roman"/>
        </w:rPr>
      </w:pPr>
    </w:p>
    <w:tbl>
      <w:tblPr>
        <w:tblW w:w="9460" w:type="dxa"/>
        <w:tblInd w:w="-23" w:type="dxa"/>
        <w:tblCellMar>
          <w:left w:w="0" w:type="dxa"/>
          <w:right w:w="0" w:type="dxa"/>
        </w:tblCellMar>
        <w:tblLook w:val="04A0"/>
      </w:tblPr>
      <w:tblGrid>
        <w:gridCol w:w="3980"/>
        <w:gridCol w:w="1980"/>
        <w:gridCol w:w="1180"/>
        <w:gridCol w:w="2320"/>
      </w:tblGrid>
      <w:tr w:rsidTr="00257F44">
        <w:tblPrEx>
          <w:tblW w:w="9460" w:type="dxa"/>
          <w:tblInd w:w="-23" w:type="dxa"/>
          <w:tblCellMar>
            <w:left w:w="0" w:type="dxa"/>
            <w:right w:w="0" w:type="dxa"/>
          </w:tblCellMar>
          <w:tblLook w:val="04A0"/>
        </w:tblPrEx>
        <w:tc>
          <w:tcPr>
            <w:tcW w:w="3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6353E1" w:rsidRPr="00257F44" w:rsidP="00257F44">
            <w:pPr>
              <w:spacing w:after="120"/>
              <w:jc w:val="center"/>
              <w:rPr>
                <w:rFonts w:ascii="Times New Roman" w:eastAsia="Calibri" w:hAnsi="Times New Roman"/>
                <w:color w:val="000000"/>
                <w:sz w:val="20"/>
                <w:szCs w:val="20"/>
              </w:rPr>
            </w:pPr>
            <w:r w:rsidRPr="00257F44">
              <w:rPr>
                <w:rFonts w:ascii="Times New Roman" w:hAnsi="Times New Roman"/>
                <w:color w:val="000000"/>
                <w:sz w:val="20"/>
                <w:szCs w:val="20"/>
              </w:rPr>
              <w:t>Estimated Category of Personnel Responsible for Complying with the PRA Burden</w:t>
            </w:r>
          </w:p>
        </w:tc>
        <w:tc>
          <w:tcPr>
            <w:tcW w:w="19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353E1" w:rsidRPr="00257F44" w:rsidP="00257F44">
            <w:pPr>
              <w:spacing w:after="120"/>
              <w:jc w:val="center"/>
              <w:rPr>
                <w:rFonts w:ascii="Times New Roman" w:eastAsia="Calibri" w:hAnsi="Times New Roman"/>
                <w:color w:val="000000"/>
                <w:sz w:val="20"/>
                <w:szCs w:val="20"/>
              </w:rPr>
            </w:pPr>
            <w:r w:rsidRPr="00257F44">
              <w:rPr>
                <w:rFonts w:ascii="Times New Roman" w:hAnsi="Times New Roman"/>
                <w:color w:val="000000"/>
                <w:sz w:val="20"/>
                <w:szCs w:val="20"/>
              </w:rPr>
              <w:t>Total Estimated Hourly Compensation</w:t>
            </w:r>
          </w:p>
        </w:tc>
        <w:tc>
          <w:tcPr>
            <w:tcW w:w="1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353E1" w:rsidRPr="00257F44" w:rsidP="00257F44">
            <w:pPr>
              <w:spacing w:after="120"/>
              <w:jc w:val="center"/>
              <w:rPr>
                <w:rFonts w:ascii="Times New Roman" w:eastAsia="Calibri" w:hAnsi="Times New Roman"/>
                <w:color w:val="000000"/>
                <w:sz w:val="20"/>
                <w:szCs w:val="20"/>
              </w:rPr>
            </w:pPr>
            <w:r w:rsidRPr="00257F44">
              <w:rPr>
                <w:rFonts w:ascii="Times New Roman" w:hAnsi="Times New Roman"/>
                <w:color w:val="000000"/>
                <w:sz w:val="20"/>
                <w:szCs w:val="20"/>
              </w:rPr>
              <w:t>Estimated Weights</w:t>
            </w:r>
          </w:p>
        </w:tc>
        <w:tc>
          <w:tcPr>
            <w:tcW w:w="232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353E1" w:rsidRPr="00257F44" w:rsidP="00257F44">
            <w:pPr>
              <w:spacing w:after="120"/>
              <w:jc w:val="center"/>
              <w:rPr>
                <w:rFonts w:ascii="Times New Roman" w:eastAsia="Calibri" w:hAnsi="Times New Roman"/>
                <w:color w:val="000000"/>
                <w:sz w:val="20"/>
                <w:szCs w:val="20"/>
              </w:rPr>
            </w:pPr>
            <w:r w:rsidRPr="00257F44">
              <w:rPr>
                <w:rFonts w:ascii="Times New Roman" w:hAnsi="Times New Roman"/>
                <w:color w:val="000000"/>
                <w:sz w:val="20"/>
                <w:szCs w:val="20"/>
              </w:rPr>
              <w:t>Estimated Total Weighted Labor Cost Component</w:t>
            </w:r>
          </w:p>
        </w:tc>
      </w:tr>
      <w:tr w:rsidTr="00257F44">
        <w:tblPrEx>
          <w:tblW w:w="9460" w:type="dxa"/>
          <w:tblInd w:w="-23" w:type="dxa"/>
          <w:tblCellMar>
            <w:left w:w="0" w:type="dxa"/>
            <w:right w:w="0" w:type="dxa"/>
          </w:tblCellMar>
          <w:tblLook w:val="04A0"/>
        </w:tblPrEx>
        <w:tc>
          <w:tcPr>
            <w:tcW w:w="3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Executives and Managers*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$122</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0%</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$0</w:t>
            </w:r>
          </w:p>
        </w:tc>
      </w:tr>
      <w:tr w:rsidTr="00257F44">
        <w:tblPrEx>
          <w:tblW w:w="9460" w:type="dxa"/>
          <w:tblInd w:w="-23" w:type="dxa"/>
          <w:tblCellMar>
            <w:left w:w="0" w:type="dxa"/>
            <w:right w:w="0" w:type="dxa"/>
          </w:tblCellMar>
          <w:tblLook w:val="04A0"/>
        </w:tblPrEx>
        <w:tc>
          <w:tcPr>
            <w:tcW w:w="3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Lawyers**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$156</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0%</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$0</w:t>
            </w:r>
          </w:p>
        </w:tc>
      </w:tr>
      <w:tr w:rsidTr="00257F44">
        <w:tblPrEx>
          <w:tblW w:w="9460" w:type="dxa"/>
          <w:tblInd w:w="-23" w:type="dxa"/>
          <w:tblCellMar>
            <w:left w:w="0" w:type="dxa"/>
            <w:right w:w="0" w:type="dxa"/>
          </w:tblCellMar>
          <w:tblLook w:val="04A0"/>
        </w:tblPrEx>
        <w:tc>
          <w:tcPr>
            <w:tcW w:w="3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Compliance Officer***</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$63</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50%</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$32</w:t>
            </w:r>
          </w:p>
        </w:tc>
      </w:tr>
      <w:tr w:rsidTr="00257F44">
        <w:tblPrEx>
          <w:tblW w:w="9460" w:type="dxa"/>
          <w:tblInd w:w="-23" w:type="dxa"/>
          <w:tblCellMar>
            <w:left w:w="0" w:type="dxa"/>
            <w:right w:w="0" w:type="dxa"/>
          </w:tblCellMar>
          <w:tblLook w:val="04A0"/>
        </w:tblPrEx>
        <w:tc>
          <w:tcPr>
            <w:tcW w:w="3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IT Specialists†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$89</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0%</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$0</w:t>
            </w:r>
          </w:p>
        </w:tc>
      </w:tr>
      <w:tr w:rsidTr="00257F44">
        <w:tblPrEx>
          <w:tblW w:w="9460" w:type="dxa"/>
          <w:tblInd w:w="-23" w:type="dxa"/>
          <w:tblCellMar>
            <w:left w:w="0" w:type="dxa"/>
            <w:right w:w="0" w:type="dxa"/>
          </w:tblCellMar>
          <w:tblLook w:val="04A0"/>
        </w:tblPrEx>
        <w:tc>
          <w:tcPr>
            <w:tcW w:w="3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Financial Analysts††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$83</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50%</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$42</w:t>
            </w:r>
          </w:p>
        </w:tc>
      </w:tr>
      <w:tr w:rsidTr="00257F44">
        <w:tblPrEx>
          <w:tblW w:w="9460" w:type="dxa"/>
          <w:tblInd w:w="-23" w:type="dxa"/>
          <w:tblCellMar>
            <w:left w:w="0" w:type="dxa"/>
            <w:right w:w="0" w:type="dxa"/>
          </w:tblCellMar>
          <w:tblLook w:val="04A0"/>
        </w:tblPrEx>
        <w:tc>
          <w:tcPr>
            <w:tcW w:w="398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Clerical‡</w:t>
            </w:r>
          </w:p>
        </w:tc>
        <w:tc>
          <w:tcPr>
            <w:tcW w:w="1980" w:type="dxa"/>
            <w:tcBorders>
              <w:top w:val="nil"/>
              <w:left w:val="nil"/>
              <w:bottom w:val="nil"/>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$32</w:t>
            </w:r>
          </w:p>
        </w:tc>
        <w:tc>
          <w:tcPr>
            <w:tcW w:w="1180" w:type="dxa"/>
            <w:tcBorders>
              <w:top w:val="nil"/>
              <w:left w:val="nil"/>
              <w:bottom w:val="nil"/>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0%</w:t>
            </w:r>
          </w:p>
        </w:tc>
        <w:tc>
          <w:tcPr>
            <w:tcW w:w="2320" w:type="dxa"/>
            <w:tcBorders>
              <w:top w:val="nil"/>
              <w:left w:val="nil"/>
              <w:bottom w:val="nil"/>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$0</w:t>
            </w:r>
          </w:p>
        </w:tc>
      </w:tr>
      <w:tr w:rsidTr="00257F44">
        <w:tblPrEx>
          <w:tblW w:w="9460" w:type="dxa"/>
          <w:tblInd w:w="-23" w:type="dxa"/>
          <w:tblCellMar>
            <w:left w:w="0" w:type="dxa"/>
            <w:right w:w="0" w:type="dxa"/>
          </w:tblCellMar>
          <w:tblLook w:val="04A0"/>
        </w:tblPrEx>
        <w:tc>
          <w:tcPr>
            <w:tcW w:w="3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Total Estimated Weighted Average Hourly Compensation Rate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 </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100%</w:t>
            </w:r>
          </w:p>
        </w:tc>
        <w:tc>
          <w:tcPr>
            <w:tcW w:w="2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53E1" w:rsidRPr="00257F44" w:rsidP="00257F44">
            <w:pPr>
              <w:spacing w:after="120"/>
              <w:jc w:val="right"/>
              <w:rPr>
                <w:rFonts w:ascii="Times New Roman" w:eastAsia="Calibri" w:hAnsi="Times New Roman"/>
                <w:color w:val="000000"/>
                <w:sz w:val="20"/>
                <w:szCs w:val="20"/>
              </w:rPr>
            </w:pPr>
            <w:r w:rsidRPr="00257F44">
              <w:rPr>
                <w:rFonts w:ascii="Times New Roman" w:hAnsi="Times New Roman"/>
                <w:color w:val="000000"/>
                <w:sz w:val="20"/>
                <w:szCs w:val="20"/>
              </w:rPr>
              <w:t>$73</w:t>
            </w:r>
          </w:p>
        </w:tc>
      </w:tr>
      <w:tr w:rsidTr="00257F44">
        <w:tblPrEx>
          <w:tblW w:w="9460" w:type="dxa"/>
          <w:tblInd w:w="-23" w:type="dxa"/>
          <w:tblCellMar>
            <w:left w:w="0" w:type="dxa"/>
            <w:right w:w="0" w:type="dxa"/>
          </w:tblCellMar>
          <w:tblLook w:val="04A0"/>
        </w:tblPrEx>
        <w:tc>
          <w:tcPr>
            <w:tcW w:w="9460" w:type="dxa"/>
            <w:gridSpan w:val="4"/>
            <w:tcMar>
              <w:top w:w="0" w:type="dxa"/>
              <w:left w:w="108" w:type="dxa"/>
              <w:bottom w:w="0" w:type="dxa"/>
              <w:right w:w="108" w:type="dxa"/>
            </w:tcMa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Source: Bureau of Labor Statistics: "National Industry-Specific Occupational Employment and Wage Estimates: Depository Credit Intermediation Sector: hourly 75</w:t>
            </w:r>
            <w:r w:rsidRPr="00257F44">
              <w:rPr>
                <w:rFonts w:ascii="Times New Roman" w:hAnsi="Times New Roman"/>
                <w:color w:val="000000"/>
                <w:sz w:val="20"/>
                <w:szCs w:val="20"/>
                <w:vertAlign w:val="superscript"/>
              </w:rPr>
              <w:t>th</w:t>
            </w:r>
            <w:r w:rsidRPr="00257F44">
              <w:rPr>
                <w:rFonts w:ascii="Times New Roman" w:hAnsi="Times New Roman"/>
                <w:color w:val="000000"/>
                <w:sz w:val="20"/>
                <w:szCs w:val="20"/>
              </w:rPr>
              <w:t xml:space="preserve"> percentile wage" (May 2017), Employer Cost of Employee Compensation (December 2018), Consumer Price Index (December 2018).</w:t>
            </w:r>
          </w:p>
        </w:tc>
      </w:tr>
      <w:tr w:rsidTr="00257F44">
        <w:tblPrEx>
          <w:tblW w:w="9460" w:type="dxa"/>
          <w:tblInd w:w="-23" w:type="dxa"/>
          <w:tblCellMar>
            <w:left w:w="0" w:type="dxa"/>
            <w:right w:w="0" w:type="dxa"/>
          </w:tblCellMar>
          <w:tblLook w:val="04A0"/>
        </w:tblPrEx>
        <w:tc>
          <w:tcPr>
            <w:tcW w:w="9460" w:type="dxa"/>
            <w:gridSpan w:val="4"/>
            <w:tcMar>
              <w:top w:w="0" w:type="dxa"/>
              <w:left w:w="108" w:type="dxa"/>
              <w:bottom w:w="0" w:type="dxa"/>
              <w:right w:w="108" w:type="dxa"/>
            </w:tcMar>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Note: The wage information reported by the BLS in the Specific Occupational Employment and Wage Estimates does not include health benefits and other non-monetary benefits. According to the December 2018 Employer Cost of Employee Compensation data compensation rates for health and other benefits are 33.7 percent of total compensation. Additionally, the wage has been adjusted for inflation according BLS data on the Consumer Price Index for Urban Consumers (CPI-U) so that it is contemporaneous with the non-wage compensation statistic. The inflation rate was 3.59 percent between May 2017 and December 2018.</w:t>
            </w:r>
          </w:p>
        </w:tc>
      </w:tr>
      <w:tr w:rsidTr="00257F44">
        <w:tblPrEx>
          <w:tblW w:w="9460" w:type="dxa"/>
          <w:tblInd w:w="-23" w:type="dxa"/>
          <w:tblCellMar>
            <w:left w:w="0" w:type="dxa"/>
            <w:right w:w="0" w:type="dxa"/>
          </w:tblCellMar>
          <w:tblLook w:val="04A0"/>
        </w:tblPrEx>
        <w:tc>
          <w:tcPr>
            <w:tcW w:w="9460" w:type="dxa"/>
            <w:gridSpan w:val="4"/>
            <w:noWrap/>
            <w:tcMar>
              <w:top w:w="0" w:type="dxa"/>
              <w:left w:w="108" w:type="dxa"/>
              <w:bottom w:w="0" w:type="dxa"/>
              <w:right w:w="108" w:type="dxa"/>
            </w:tcMar>
            <w:vAlign w:val="bottom"/>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     Occupation (SOC Code): Management Occupations (110000)</w:t>
            </w:r>
          </w:p>
        </w:tc>
      </w:tr>
      <w:tr w:rsidTr="00257F44">
        <w:tblPrEx>
          <w:tblW w:w="9460" w:type="dxa"/>
          <w:tblInd w:w="-23" w:type="dxa"/>
          <w:tblCellMar>
            <w:left w:w="0" w:type="dxa"/>
            <w:right w:w="0" w:type="dxa"/>
          </w:tblCellMar>
          <w:tblLook w:val="04A0"/>
        </w:tblPrEx>
        <w:tc>
          <w:tcPr>
            <w:tcW w:w="9460" w:type="dxa"/>
            <w:gridSpan w:val="4"/>
            <w:noWrap/>
            <w:tcMar>
              <w:top w:w="0" w:type="dxa"/>
              <w:left w:w="108" w:type="dxa"/>
              <w:bottom w:w="0" w:type="dxa"/>
              <w:right w:w="108" w:type="dxa"/>
            </w:tcMar>
            <w:vAlign w:val="bottom"/>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   Occupation (SOC Code): Lawyers, Judges, and Related Workers(231000)</w:t>
            </w:r>
          </w:p>
        </w:tc>
      </w:tr>
      <w:tr w:rsidTr="00257F44">
        <w:tblPrEx>
          <w:tblW w:w="9460" w:type="dxa"/>
          <w:tblInd w:w="-23" w:type="dxa"/>
          <w:tblCellMar>
            <w:left w:w="0" w:type="dxa"/>
            <w:right w:w="0" w:type="dxa"/>
          </w:tblCellMar>
          <w:tblLook w:val="04A0"/>
        </w:tblPrEx>
        <w:tc>
          <w:tcPr>
            <w:tcW w:w="9460" w:type="dxa"/>
            <w:gridSpan w:val="4"/>
            <w:noWrap/>
            <w:tcMar>
              <w:top w:w="0" w:type="dxa"/>
              <w:left w:w="108" w:type="dxa"/>
              <w:bottom w:w="0" w:type="dxa"/>
              <w:right w:w="108" w:type="dxa"/>
            </w:tcMar>
            <w:vAlign w:val="bottom"/>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 Occupation (SOC Code): Compliance Officers(131041)</w:t>
            </w:r>
          </w:p>
        </w:tc>
      </w:tr>
      <w:tr w:rsidTr="00257F44">
        <w:tblPrEx>
          <w:tblW w:w="9460" w:type="dxa"/>
          <w:tblInd w:w="-23" w:type="dxa"/>
          <w:tblCellMar>
            <w:left w:w="0" w:type="dxa"/>
            <w:right w:w="0" w:type="dxa"/>
          </w:tblCellMar>
          <w:tblLook w:val="04A0"/>
        </w:tblPrEx>
        <w:tc>
          <w:tcPr>
            <w:tcW w:w="9460" w:type="dxa"/>
            <w:gridSpan w:val="4"/>
            <w:noWrap/>
            <w:tcMar>
              <w:top w:w="0" w:type="dxa"/>
              <w:left w:w="108" w:type="dxa"/>
              <w:bottom w:w="0" w:type="dxa"/>
              <w:right w:w="108" w:type="dxa"/>
            </w:tcMar>
            <w:vAlign w:val="bottom"/>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     Occupation (SOC Code): Computer and Mathematical Occupations (150000)</w:t>
            </w:r>
          </w:p>
        </w:tc>
      </w:tr>
      <w:tr w:rsidTr="00257F44">
        <w:tblPrEx>
          <w:tblW w:w="9460" w:type="dxa"/>
          <w:tblInd w:w="-23" w:type="dxa"/>
          <w:tblCellMar>
            <w:left w:w="0" w:type="dxa"/>
            <w:right w:w="0" w:type="dxa"/>
          </w:tblCellMar>
          <w:tblLook w:val="04A0"/>
        </w:tblPrEx>
        <w:tc>
          <w:tcPr>
            <w:tcW w:w="9460" w:type="dxa"/>
            <w:gridSpan w:val="4"/>
            <w:noWrap/>
            <w:tcMar>
              <w:top w:w="0" w:type="dxa"/>
              <w:left w:w="108" w:type="dxa"/>
              <w:bottom w:w="0" w:type="dxa"/>
              <w:right w:w="108" w:type="dxa"/>
            </w:tcMar>
            <w:vAlign w:val="bottom"/>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   Occupation (SOC Code): Financial Analyst (132051)</w:t>
            </w:r>
          </w:p>
        </w:tc>
      </w:tr>
      <w:tr w:rsidTr="00257F44">
        <w:tblPrEx>
          <w:tblW w:w="9460" w:type="dxa"/>
          <w:tblInd w:w="-23" w:type="dxa"/>
          <w:tblCellMar>
            <w:left w:w="0" w:type="dxa"/>
            <w:right w:w="0" w:type="dxa"/>
          </w:tblCellMar>
          <w:tblLook w:val="04A0"/>
        </w:tblPrEx>
        <w:tc>
          <w:tcPr>
            <w:tcW w:w="9460" w:type="dxa"/>
            <w:gridSpan w:val="4"/>
            <w:noWrap/>
            <w:tcMar>
              <w:top w:w="0" w:type="dxa"/>
              <w:left w:w="108" w:type="dxa"/>
              <w:bottom w:w="0" w:type="dxa"/>
              <w:right w:w="108" w:type="dxa"/>
            </w:tcMar>
            <w:vAlign w:val="bottom"/>
            <w:hideMark/>
          </w:tcPr>
          <w:p w:rsidR="006353E1" w:rsidRPr="00257F44" w:rsidP="00257F44">
            <w:pPr>
              <w:spacing w:after="120"/>
              <w:rPr>
                <w:rFonts w:ascii="Times New Roman" w:eastAsia="Calibri" w:hAnsi="Times New Roman"/>
                <w:color w:val="000000"/>
                <w:sz w:val="20"/>
                <w:szCs w:val="20"/>
              </w:rPr>
            </w:pPr>
            <w:r w:rsidRPr="00257F44">
              <w:rPr>
                <w:rFonts w:ascii="Times New Roman" w:hAnsi="Times New Roman"/>
                <w:color w:val="000000"/>
                <w:sz w:val="20"/>
                <w:szCs w:val="20"/>
              </w:rPr>
              <w:t>‡    Occupation (SOC Code): Office and Administrative Support Occupations(430000)</w:t>
            </w:r>
          </w:p>
        </w:tc>
      </w:tr>
    </w:tbl>
    <w:p w:rsidR="006353E1" w:rsidP="003670E1">
      <w:pPr>
        <w:ind w:left="720"/>
        <w:rPr>
          <w:rFonts w:ascii="Times New Roman" w:hAnsi="Times New Roman"/>
          <w:u w:val="single"/>
        </w:rPr>
      </w:pPr>
    </w:p>
    <w:p w:rsidR="009F1BED" w:rsidP="00257F44">
      <w:pPr>
        <w:keepNext/>
        <w:numPr>
          <w:ilvl w:val="0"/>
          <w:numId w:val="2"/>
        </w:numPr>
        <w:rPr>
          <w:rFonts w:ascii="Times New Roman" w:hAnsi="Times New Roman"/>
        </w:rPr>
      </w:pPr>
      <w:r>
        <w:rPr>
          <w:rFonts w:ascii="Times New Roman" w:hAnsi="Times New Roman"/>
          <w:u w:val="single"/>
        </w:rPr>
        <w:t>Capital, Start-Up, Operating, and Maintenance Costs</w:t>
      </w:r>
    </w:p>
    <w:p w:rsidR="009F1BED" w:rsidP="00257F44">
      <w:pPr>
        <w:keepNext/>
        <w:rPr>
          <w:rFonts w:ascii="Times New Roman" w:hAnsi="Times New Roman"/>
        </w:rPr>
      </w:pPr>
    </w:p>
    <w:p w:rsidR="009F1BED" w:rsidP="00D767AD">
      <w:pPr>
        <w:ind w:left="720" w:firstLine="720"/>
        <w:rPr>
          <w:rFonts w:ascii="Times New Roman" w:hAnsi="Times New Roman"/>
        </w:rPr>
      </w:pPr>
      <w:r>
        <w:rPr>
          <w:rFonts w:ascii="Times New Roman" w:hAnsi="Times New Roman"/>
        </w:rPr>
        <w:t>None.</w:t>
      </w:r>
    </w:p>
    <w:p w:rsidR="009F1BED">
      <w:pPr>
        <w:rPr>
          <w:rFonts w:ascii="Times New Roman" w:hAnsi="Times New Roman"/>
        </w:rPr>
      </w:pPr>
    </w:p>
    <w:p w:rsidR="003844F6" w:rsidRPr="00257F44" w:rsidP="00D767AD">
      <w:pPr>
        <w:numPr>
          <w:ilvl w:val="0"/>
          <w:numId w:val="2"/>
        </w:numPr>
        <w:rPr>
          <w:rFonts w:ascii="Times New Roman" w:hAnsi="Times New Roman"/>
        </w:rPr>
      </w:pPr>
      <w:r>
        <w:rPr>
          <w:rFonts w:ascii="Times New Roman" w:hAnsi="Times New Roman"/>
          <w:u w:val="single"/>
        </w:rPr>
        <w:t>Estimate of annualized costs to the govern</w:t>
      </w:r>
      <w:smartTag w:uri="urn:schemas-microsoft-com:office:smarttags" w:element="PersonName">
        <w:r>
          <w:rPr>
            <w:rFonts w:ascii="Times New Roman" w:hAnsi="Times New Roman"/>
            <w:u w:val="single"/>
          </w:rPr>
          <w:t>me</w:t>
        </w:r>
      </w:smartTag>
      <w:r>
        <w:rPr>
          <w:rFonts w:ascii="Times New Roman" w:hAnsi="Times New Roman"/>
          <w:u w:val="single"/>
        </w:rPr>
        <w:t>nt</w:t>
      </w:r>
    </w:p>
    <w:p w:rsidR="009F1BED" w:rsidP="00257F44">
      <w:pPr>
        <w:ind w:left="720"/>
        <w:rPr>
          <w:rFonts w:ascii="Times New Roman" w:hAnsi="Times New Roman"/>
        </w:rPr>
      </w:pPr>
    </w:p>
    <w:p w:rsidR="009F1BED" w:rsidP="00D767AD">
      <w:pPr>
        <w:ind w:left="720" w:firstLine="720"/>
        <w:rPr>
          <w:rFonts w:ascii="Times New Roman" w:hAnsi="Times New Roman"/>
        </w:rPr>
      </w:pPr>
      <w:r>
        <w:rPr>
          <w:rFonts w:ascii="Times New Roman" w:hAnsi="Times New Roman"/>
        </w:rPr>
        <w:t>None.</w:t>
      </w:r>
    </w:p>
    <w:p w:rsidR="009F1BED">
      <w:pPr>
        <w:rPr>
          <w:rFonts w:ascii="Times New Roman" w:hAnsi="Times New Roman"/>
        </w:rPr>
      </w:pPr>
    </w:p>
    <w:p w:rsidR="009F1BED" w:rsidP="00D767AD">
      <w:pPr>
        <w:numPr>
          <w:ilvl w:val="0"/>
          <w:numId w:val="2"/>
        </w:numPr>
        <w:tabs>
          <w:tab w:val="left" w:pos="-1440"/>
        </w:tabs>
        <w:rPr>
          <w:rFonts w:ascii="Times New Roman" w:hAnsi="Times New Roman"/>
        </w:rPr>
      </w:pPr>
      <w:r>
        <w:rPr>
          <w:rFonts w:ascii="Times New Roman" w:hAnsi="Times New Roman"/>
          <w:u w:val="single"/>
        </w:rPr>
        <w:t>Change in burden</w:t>
      </w:r>
    </w:p>
    <w:p w:rsidR="009F1BED">
      <w:pPr>
        <w:rPr>
          <w:rFonts w:ascii="Times New Roman" w:hAnsi="Times New Roman"/>
        </w:rPr>
      </w:pPr>
    </w:p>
    <w:p w:rsidR="00AE5959" w:rsidRPr="00AE5959" w:rsidP="00237724">
      <w:pPr>
        <w:spacing w:after="120"/>
        <w:ind w:left="1440"/>
        <w:rPr>
          <w:rFonts w:ascii="Times New Roman" w:hAnsi="Times New Roman"/>
        </w:rPr>
      </w:pPr>
      <w:r w:rsidRPr="00CC7B69">
        <w:rPr>
          <w:rFonts w:ascii="Times New Roman" w:hAnsi="Times New Roman"/>
          <w:spacing w:val="-3"/>
        </w:rPr>
        <w:t xml:space="preserve">There is </w:t>
      </w:r>
      <w:r w:rsidR="00237B23">
        <w:rPr>
          <w:rFonts w:ascii="Times New Roman" w:hAnsi="Times New Roman"/>
          <w:spacing w:val="-3"/>
        </w:rPr>
        <w:t>an</w:t>
      </w:r>
      <w:r w:rsidR="00245BC5">
        <w:rPr>
          <w:rFonts w:ascii="Times New Roman" w:hAnsi="Times New Roman"/>
          <w:spacing w:val="-3"/>
        </w:rPr>
        <w:t xml:space="preserve"> 870 hour </w:t>
      </w:r>
      <w:r w:rsidRPr="001F4344" w:rsidR="00237724">
        <w:rPr>
          <w:rFonts w:ascii="Times New Roman" w:hAnsi="Times New Roman"/>
        </w:rPr>
        <w:t xml:space="preserve">a decrease from the estimate of 994 hours in the 2021 ICR. The decrease arises almost entirely from the reduction in both the estimated number of annual respondents and the estimated time per response for IC2, which accounted for 800 hours in the 2021 ICR. </w:t>
      </w:r>
      <w:r w:rsidR="00237724">
        <w:rPr>
          <w:rFonts w:ascii="Times New Roman" w:hAnsi="Times New Roman"/>
        </w:rPr>
        <w:t xml:space="preserve">  Please see discussion in Section 12 above.</w:t>
      </w:r>
    </w:p>
    <w:p w:rsidR="009F1BED">
      <w:pPr>
        <w:rPr>
          <w:rFonts w:ascii="Times New Roman" w:hAnsi="Times New Roman"/>
        </w:rPr>
      </w:pPr>
      <w:r>
        <w:rPr>
          <w:rFonts w:ascii="Times New Roman" w:hAnsi="Times New Roman"/>
        </w:rPr>
        <w:t xml:space="preserve">  </w:t>
      </w:r>
    </w:p>
    <w:p w:rsidR="009F1BED" w:rsidP="00D767AD">
      <w:pPr>
        <w:numPr>
          <w:ilvl w:val="0"/>
          <w:numId w:val="2"/>
        </w:numPr>
        <w:tabs>
          <w:tab w:val="left" w:pos="-1440"/>
        </w:tabs>
        <w:rPr>
          <w:rFonts w:ascii="Times New Roman" w:hAnsi="Times New Roman"/>
        </w:rPr>
      </w:pPr>
      <w:r>
        <w:rPr>
          <w:rFonts w:ascii="Times New Roman" w:hAnsi="Times New Roman"/>
          <w:u w:val="single"/>
        </w:rPr>
        <w:t>Publication</w:t>
      </w:r>
    </w:p>
    <w:p w:rsidR="009F1BED">
      <w:pPr>
        <w:rPr>
          <w:rFonts w:ascii="Times New Roman" w:hAnsi="Times New Roman"/>
        </w:rPr>
      </w:pPr>
      <w:r>
        <w:rPr>
          <w:rFonts w:ascii="Times New Roman" w:hAnsi="Times New Roman"/>
        </w:rPr>
        <w:t xml:space="preserve"> </w:t>
      </w:r>
    </w:p>
    <w:p w:rsidR="009F1BED" w:rsidP="00D767AD">
      <w:pPr>
        <w:ind w:left="720" w:firstLine="720"/>
        <w:rPr>
          <w:rFonts w:ascii="Times New Roman" w:hAnsi="Times New Roman"/>
        </w:rPr>
      </w:pPr>
      <w:r>
        <w:rPr>
          <w:rFonts w:ascii="Times New Roman" w:hAnsi="Times New Roman"/>
        </w:rPr>
        <w:t>The information is not published.</w:t>
      </w:r>
    </w:p>
    <w:p w:rsidR="009F1BED">
      <w:pPr>
        <w:rPr>
          <w:rFonts w:ascii="Times New Roman" w:hAnsi="Times New Roman"/>
        </w:rPr>
      </w:pPr>
    </w:p>
    <w:p w:rsidR="009F1BED" w:rsidP="00D767AD">
      <w:pPr>
        <w:numPr>
          <w:ilvl w:val="0"/>
          <w:numId w:val="2"/>
        </w:numPr>
        <w:rPr>
          <w:rFonts w:ascii="Times New Roman" w:hAnsi="Times New Roman"/>
        </w:rPr>
      </w:pPr>
      <w:r>
        <w:rPr>
          <w:rFonts w:ascii="Times New Roman" w:hAnsi="Times New Roman"/>
          <w:u w:val="single"/>
        </w:rPr>
        <w:t>Display of expiration date</w:t>
      </w:r>
    </w:p>
    <w:p w:rsidR="009F1BED">
      <w:pPr>
        <w:rPr>
          <w:rFonts w:ascii="Times New Roman" w:hAnsi="Times New Roman"/>
        </w:rPr>
      </w:pPr>
    </w:p>
    <w:p w:rsidR="009F1BED" w:rsidP="00D767AD">
      <w:pPr>
        <w:ind w:left="720" w:firstLine="720"/>
        <w:rPr>
          <w:rFonts w:ascii="Times New Roman" w:hAnsi="Times New Roman"/>
        </w:rPr>
      </w:pPr>
      <w:r>
        <w:rPr>
          <w:rFonts w:ascii="Times New Roman" w:hAnsi="Times New Roman"/>
        </w:rPr>
        <w:t>Not applicable.</w:t>
      </w:r>
    </w:p>
    <w:p w:rsidR="009F1BED">
      <w:pPr>
        <w:rPr>
          <w:rFonts w:ascii="Times New Roman" w:hAnsi="Times New Roman"/>
        </w:rPr>
      </w:pPr>
    </w:p>
    <w:p w:rsidR="009F1BED" w:rsidP="00D767AD">
      <w:pPr>
        <w:numPr>
          <w:ilvl w:val="0"/>
          <w:numId w:val="2"/>
        </w:numPr>
        <w:rPr>
          <w:rFonts w:ascii="Times New Roman" w:hAnsi="Times New Roman"/>
        </w:rPr>
      </w:pPr>
      <w:r>
        <w:rPr>
          <w:rFonts w:ascii="Times New Roman" w:hAnsi="Times New Roman"/>
          <w:u w:val="single"/>
        </w:rPr>
        <w:t>Exceptions to certification state</w:t>
      </w:r>
      <w:smartTag w:uri="urn:schemas-microsoft-com:office:smarttags" w:element="PersonName">
        <w:r>
          <w:rPr>
            <w:rFonts w:ascii="Times New Roman" w:hAnsi="Times New Roman"/>
            <w:u w:val="single"/>
          </w:rPr>
          <w:t>me</w:t>
        </w:r>
      </w:smartTag>
      <w:r>
        <w:rPr>
          <w:rFonts w:ascii="Times New Roman" w:hAnsi="Times New Roman"/>
          <w:u w:val="single"/>
        </w:rPr>
        <w:t>nt</w:t>
      </w:r>
    </w:p>
    <w:p w:rsidR="009F1BED">
      <w:pPr>
        <w:rPr>
          <w:rFonts w:ascii="Times New Roman" w:hAnsi="Times New Roman"/>
        </w:rPr>
      </w:pPr>
    </w:p>
    <w:p w:rsidR="009F1BED" w:rsidP="00D767AD">
      <w:pPr>
        <w:ind w:left="720" w:firstLine="720"/>
        <w:rPr>
          <w:rFonts w:ascii="Times New Roman" w:hAnsi="Times New Roman"/>
        </w:rPr>
      </w:pPr>
      <w:r>
        <w:rPr>
          <w:rFonts w:ascii="Times New Roman" w:hAnsi="Times New Roman"/>
        </w:rPr>
        <w:t>None.</w:t>
      </w:r>
    </w:p>
    <w:p w:rsidR="009F1BED">
      <w:pPr>
        <w:rPr>
          <w:rFonts w:ascii="Times New Roman" w:hAnsi="Times New Roman"/>
        </w:rPr>
      </w:pPr>
    </w:p>
    <w:p w:rsidR="00657175">
      <w:pPr>
        <w:rPr>
          <w:rFonts w:ascii="Times New Roman" w:hAnsi="Times New Roman"/>
        </w:rPr>
        <w:sectPr w:rsidSect="00257F4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864" w:footer="864" w:gutter="0"/>
          <w:cols w:space="720"/>
          <w:noEndnote/>
          <w:docGrid w:linePitch="326"/>
        </w:sectPr>
      </w:pPr>
    </w:p>
    <w:p w:rsidR="00D767AD" w:rsidRPr="00D767AD" w:rsidP="00D767AD">
      <w:pPr>
        <w:rPr>
          <w:rFonts w:ascii="Times New Roman" w:hAnsi="Times New Roman"/>
        </w:rPr>
      </w:pPr>
      <w:r w:rsidRPr="00D767AD">
        <w:rPr>
          <w:rFonts w:ascii="Times New Roman" w:hAnsi="Times New Roman"/>
        </w:rPr>
        <w:t>B.</w:t>
      </w:r>
      <w:r w:rsidRPr="00D767AD">
        <w:rPr>
          <w:rFonts w:ascii="Times New Roman" w:hAnsi="Times New Roman"/>
        </w:rPr>
        <w:tab/>
      </w:r>
      <w:r w:rsidRPr="00D767AD">
        <w:rPr>
          <w:rFonts w:ascii="Times New Roman" w:hAnsi="Times New Roman"/>
          <w:u w:val="single"/>
        </w:rPr>
        <w:t>STATISTICAL METHODS</w:t>
      </w:r>
    </w:p>
    <w:p w:rsidR="009F1BED">
      <w:pPr>
        <w:rPr>
          <w:rFonts w:ascii="Times New Roman" w:hAnsi="Times New Roman"/>
        </w:rPr>
      </w:pPr>
    </w:p>
    <w:p w:rsidR="009F1BED">
      <w:pPr>
        <w:ind w:firstLine="720"/>
        <w:rPr>
          <w:rFonts w:ascii="Times New Roman" w:hAnsi="Times New Roman"/>
        </w:rPr>
      </w:pPr>
      <w:r>
        <w:rPr>
          <w:rFonts w:ascii="Times New Roman" w:hAnsi="Times New Roman"/>
        </w:rPr>
        <w:t>Not applicable.</w:t>
      </w:r>
    </w:p>
    <w:p w:rsidR="009F1BED">
      <w:pPr>
        <w:rPr>
          <w:rFonts w:ascii="Times New Roman" w:hAnsi="Times New Roman"/>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F00AE">
      <w:r>
        <w:separator/>
      </w:r>
    </w:p>
  </w:footnote>
  <w:footnote w:type="continuationSeparator" w:id="1">
    <w:p w:rsidR="003F00AE">
      <w:r>
        <w:continuationSeparator/>
      </w:r>
    </w:p>
  </w:footnote>
  <w:footnote w:id="2">
    <w:p w:rsidR="00304E52" w:rsidRPr="00304E52" w:rsidP="00304E52">
      <w:pPr>
        <w:pStyle w:val="FootnoteText"/>
        <w:rPr>
          <w:rFonts w:ascii="Times New Roman" w:hAnsi="Times New Roman"/>
        </w:rPr>
      </w:pPr>
      <w:r w:rsidRPr="00304E52">
        <w:rPr>
          <w:rStyle w:val="FootnoteReference"/>
          <w:rFonts w:ascii="Times New Roman" w:hAnsi="Times New Roman"/>
          <w:vertAlign w:val="superscript"/>
        </w:rPr>
        <w:footnoteRef/>
      </w:r>
      <w:r w:rsidRPr="00304E52">
        <w:rPr>
          <w:rFonts w:ascii="Times New Roman" w:hAnsi="Times New Roman"/>
        </w:rPr>
        <w:t xml:space="preserve"> Based on September 30, 2023, filings of the Reports of Condition and Income (Call Reports).</w:t>
      </w:r>
    </w:p>
  </w:footnote>
  <w:footnote w:id="3">
    <w:p w:rsidR="00304E52" w:rsidRPr="00304E52" w:rsidP="00304E52">
      <w:pPr>
        <w:pStyle w:val="FootnoteText"/>
        <w:rPr>
          <w:rFonts w:ascii="Times New Roman" w:hAnsi="Times New Roman"/>
        </w:rPr>
      </w:pPr>
      <w:r w:rsidRPr="00304E52">
        <w:rPr>
          <w:rStyle w:val="FootnoteReference"/>
          <w:rFonts w:ascii="Times New Roman" w:hAnsi="Times New Roman"/>
          <w:vertAlign w:val="superscript"/>
        </w:rPr>
        <w:footnoteRef/>
      </w:r>
      <w:r w:rsidRPr="00304E52">
        <w:rPr>
          <w:rFonts w:ascii="Times New Roman" w:hAnsi="Times New Roman"/>
        </w:rPr>
        <w:t xml:space="preserve"> The SBA defines a small banking organization as having $850 million or less in assets, where an organization’s “assets are determined by averaging the assets reported on its four quarterly financial statements for the preceding year.” </w:t>
      </w:r>
      <w:r w:rsidRPr="00304E52">
        <w:rPr>
          <w:rFonts w:ascii="Times New Roman" w:hAnsi="Times New Roman"/>
          <w:i/>
        </w:rPr>
        <w:t>See</w:t>
      </w:r>
      <w:r w:rsidRPr="00304E52">
        <w:rPr>
          <w:rFonts w:ascii="Times New Roman" w:hAnsi="Times New Roman"/>
        </w:rPr>
        <w:t xml:space="preserve"> 13 CFR 121.201 (as amended by 87 FR 69118, effective December 19, 2022). In its determination, the “SBA counts the receipts, employees, or other measure of size of the concern whose size is at issue and all of its domestic and foreign affiliates.” </w:t>
      </w:r>
      <w:r w:rsidRPr="00304E52">
        <w:rPr>
          <w:rFonts w:ascii="Times New Roman" w:hAnsi="Times New Roman"/>
          <w:i/>
        </w:rPr>
        <w:t>See</w:t>
      </w:r>
      <w:r w:rsidRPr="00304E52">
        <w:rPr>
          <w:rFonts w:ascii="Times New Roman" w:hAnsi="Times New Roman"/>
        </w:rPr>
        <w:t xml:space="preserve"> 13 CFR 121.103. Following these regulations, the FDIC uses an insured depository institution's affiliated and acquired assets, averaged over the preceding four quarters, to determine whether the insured depository institution is “small” for the purposes of RFA.</w:t>
      </w:r>
    </w:p>
  </w:footnote>
  <w:footnote w:id="4">
    <w:p w:rsidR="001F3C2F" w:rsidRPr="001F3C2F" w:rsidP="001F3C2F">
      <w:pPr>
        <w:pStyle w:val="FootnoteText"/>
        <w:rPr>
          <w:rFonts w:ascii="Times New Roman" w:hAnsi="Times New Roman"/>
        </w:rPr>
      </w:pPr>
      <w:r w:rsidRPr="001F3C2F">
        <w:rPr>
          <w:rStyle w:val="FootnoteReference"/>
          <w:rFonts w:ascii="Times New Roman" w:hAnsi="Times New Roman"/>
          <w:vertAlign w:val="superscript"/>
        </w:rPr>
        <w:footnoteRef/>
      </w:r>
      <w:r w:rsidRPr="001F3C2F">
        <w:rPr>
          <w:rFonts w:ascii="Times New Roman" w:hAnsi="Times New Roman"/>
        </w:rPr>
        <w:t xml:space="preserve"> 12 CFR 329.10</w:t>
      </w:r>
    </w:p>
  </w:footnote>
  <w:footnote w:id="5">
    <w:p w:rsidR="001F3C2F" w:rsidRPr="001F3C2F" w:rsidP="001F3C2F">
      <w:pPr>
        <w:pStyle w:val="FootnoteText"/>
        <w:rPr>
          <w:rFonts w:ascii="Times New Roman" w:hAnsi="Times New Roman"/>
        </w:rPr>
      </w:pPr>
      <w:r w:rsidRPr="001F3C2F">
        <w:rPr>
          <w:rStyle w:val="FootnoteReference"/>
          <w:rFonts w:ascii="Times New Roman" w:hAnsi="Times New Roman"/>
          <w:vertAlign w:val="superscript"/>
        </w:rPr>
        <w:footnoteRef/>
      </w:r>
      <w:r w:rsidRPr="001F3C2F">
        <w:rPr>
          <w:rFonts w:ascii="Times New Roman" w:hAnsi="Times New Roman"/>
          <w:vertAlign w:val="superscript"/>
        </w:rPr>
        <w:t xml:space="preserve"> </w:t>
      </w:r>
      <w:r w:rsidRPr="001F3C2F">
        <w:rPr>
          <w:rFonts w:ascii="Times New Roman" w:hAnsi="Times New Roman"/>
        </w:rPr>
        <w:t>12 CFR 329.40(a)</w:t>
      </w:r>
    </w:p>
  </w:footnote>
  <w:footnote w:id="6">
    <w:p w:rsidR="001F3C2F" w:rsidRPr="001F3C2F" w:rsidP="001F3C2F">
      <w:pPr>
        <w:pStyle w:val="FootnoteText"/>
        <w:rPr>
          <w:rFonts w:ascii="Times New Roman" w:hAnsi="Times New Roman"/>
        </w:rPr>
      </w:pPr>
      <w:r w:rsidRPr="001F3C2F">
        <w:rPr>
          <w:rStyle w:val="FootnoteReference"/>
          <w:rFonts w:ascii="Times New Roman" w:hAnsi="Times New Roman"/>
          <w:vertAlign w:val="superscript"/>
        </w:rPr>
        <w:footnoteRef/>
      </w:r>
      <w:r w:rsidRPr="001F3C2F">
        <w:rPr>
          <w:rStyle w:val="FootnoteReference"/>
          <w:vertAlign w:val="superscript"/>
        </w:rPr>
        <w:t xml:space="preserve"> </w:t>
      </w:r>
      <w:r w:rsidRPr="001F3C2F">
        <w:rPr>
          <w:rFonts w:ascii="Times New Roman" w:hAnsi="Times New Roman"/>
        </w:rPr>
        <w:t>12 CFR 329.110(a)</w:t>
      </w:r>
    </w:p>
  </w:footnote>
  <w:footnote w:id="7">
    <w:p w:rsidR="001F3C2F" w:rsidRPr="001F3C2F" w:rsidP="001F3C2F">
      <w:pPr>
        <w:pStyle w:val="FootnoteText"/>
        <w:rPr>
          <w:rFonts w:ascii="Times New Roman" w:hAnsi="Times New Roman"/>
        </w:rPr>
      </w:pPr>
      <w:r w:rsidRPr="001F3C2F">
        <w:rPr>
          <w:rStyle w:val="FootnoteReference"/>
          <w:rFonts w:ascii="Times New Roman" w:hAnsi="Times New Roman"/>
          <w:vertAlign w:val="superscript"/>
        </w:rPr>
        <w:footnoteRef/>
      </w:r>
      <w:r w:rsidRPr="001F3C2F">
        <w:rPr>
          <w:rFonts w:ascii="Times New Roman" w:hAnsi="Times New Roman"/>
        </w:rPr>
        <w:t xml:space="preserve"> 12 CFR 329.40(b)</w:t>
      </w:r>
    </w:p>
  </w:footnote>
  <w:footnote w:id="8">
    <w:p w:rsidR="001F3C2F" w:rsidRPr="001F3C2F" w:rsidP="001F3C2F">
      <w:pPr>
        <w:pStyle w:val="FootnoteText"/>
        <w:rPr>
          <w:rFonts w:ascii="Times New Roman" w:hAnsi="Times New Roman"/>
        </w:rPr>
      </w:pPr>
      <w:r w:rsidRPr="001F3C2F">
        <w:rPr>
          <w:rStyle w:val="FootnoteReference"/>
          <w:rFonts w:ascii="Times New Roman" w:hAnsi="Times New Roman"/>
          <w:vertAlign w:val="superscript"/>
        </w:rPr>
        <w:footnoteRef/>
      </w:r>
      <w:r w:rsidRPr="001F3C2F">
        <w:rPr>
          <w:rFonts w:ascii="Times New Roman" w:hAnsi="Times New Roman"/>
        </w:rPr>
        <w:t xml:space="preserve"> 12 CFR 329.110(b)</w:t>
      </w:r>
    </w:p>
  </w:footnote>
  <w:footnote w:id="9">
    <w:p w:rsidR="001F3C2F" w:rsidRPr="001F3C2F" w:rsidP="001F3C2F">
      <w:pPr>
        <w:pStyle w:val="FootnoteText"/>
        <w:rPr>
          <w:rFonts w:ascii="Times New Roman" w:hAnsi="Times New Roman"/>
        </w:rPr>
      </w:pPr>
      <w:r w:rsidRPr="001F3C2F">
        <w:rPr>
          <w:rStyle w:val="FootnoteReference"/>
          <w:rFonts w:ascii="Times New Roman" w:hAnsi="Times New Roman"/>
          <w:vertAlign w:val="superscript"/>
        </w:rPr>
        <w:footnoteRef/>
      </w:r>
      <w:r w:rsidRPr="001F3C2F">
        <w:rPr>
          <w:rFonts w:ascii="Times New Roman" w:hAnsi="Times New Roman"/>
          <w:vertAlign w:val="superscript"/>
        </w:rPr>
        <w:t xml:space="preserve"> </w:t>
      </w:r>
      <w:r w:rsidRPr="001F3C2F">
        <w:rPr>
          <w:rFonts w:ascii="Times New Roman" w:hAnsi="Times New Roman"/>
        </w:rPr>
        <w:t>12 CFR 329.40(b)(3)(iv)</w:t>
      </w:r>
    </w:p>
  </w:footnote>
  <w:footnote w:id="10">
    <w:p w:rsidR="001F3C2F" w:rsidRPr="001F3C2F" w:rsidP="001F3C2F">
      <w:pPr>
        <w:pStyle w:val="FootnoteText"/>
        <w:rPr>
          <w:rFonts w:ascii="Times New Roman" w:hAnsi="Times New Roman"/>
        </w:rPr>
      </w:pPr>
      <w:r w:rsidRPr="001F3C2F">
        <w:rPr>
          <w:rStyle w:val="FootnoteReference"/>
          <w:rFonts w:ascii="Times New Roman" w:hAnsi="Times New Roman"/>
          <w:vertAlign w:val="superscript"/>
        </w:rPr>
        <w:footnoteRef/>
      </w:r>
      <w:r w:rsidRPr="001F3C2F">
        <w:rPr>
          <w:rFonts w:ascii="Times New Roman" w:hAnsi="Times New Roman"/>
          <w:vertAlign w:val="superscript"/>
        </w:rPr>
        <w:t xml:space="preserve"> </w:t>
      </w:r>
      <w:r w:rsidRPr="001F3C2F">
        <w:rPr>
          <w:rFonts w:ascii="Times New Roman" w:hAnsi="Times New Roman"/>
        </w:rPr>
        <w:t>12 CFRF 329.110(b)(3)</w:t>
      </w:r>
    </w:p>
  </w:footnote>
  <w:footnote w:id="11">
    <w:p w:rsidR="001F3C2F" w:rsidP="001F3C2F">
      <w:pPr>
        <w:pStyle w:val="FootnoteText"/>
      </w:pPr>
      <w:r w:rsidRPr="001F3C2F">
        <w:rPr>
          <w:rStyle w:val="FootnoteReference"/>
          <w:rFonts w:ascii="Times New Roman" w:hAnsi="Times New Roman"/>
          <w:vertAlign w:val="superscript"/>
        </w:rPr>
        <w:footnoteRef/>
      </w:r>
      <w:r w:rsidRPr="001F3C2F">
        <w:rPr>
          <w:rFonts w:ascii="Times New Roman" w:hAnsi="Times New Roman"/>
        </w:rPr>
        <w:t xml:space="preserve"> 12 CFR 329.22(a)(1)(i)</w:t>
      </w:r>
    </w:p>
  </w:footnote>
  <w:footnote w:id="12">
    <w:p w:rsidR="001F3C2F" w:rsidRPr="00245BC5" w:rsidP="001F3C2F">
      <w:pPr>
        <w:pStyle w:val="FootnoteText"/>
        <w:rPr>
          <w:rFonts w:ascii="Times New Roman" w:hAnsi="Times New Roman"/>
        </w:rPr>
      </w:pPr>
      <w:r w:rsidRPr="00245BC5">
        <w:rPr>
          <w:rStyle w:val="FootnoteReference"/>
          <w:rFonts w:ascii="Times New Roman" w:hAnsi="Times New Roman"/>
          <w:vertAlign w:val="superscript"/>
        </w:rPr>
        <w:footnoteRef/>
      </w:r>
      <w:r w:rsidRPr="00245BC5">
        <w:rPr>
          <w:rFonts w:ascii="Times New Roman" w:hAnsi="Times New Roman"/>
          <w:vertAlign w:val="superscript"/>
        </w:rPr>
        <w:t xml:space="preserve"> </w:t>
      </w:r>
      <w:r w:rsidRPr="00245BC5">
        <w:rPr>
          <w:rFonts w:ascii="Times New Roman" w:hAnsi="Times New Roman"/>
        </w:rPr>
        <w:t>12 CFR 329.22(a)(4)</w:t>
      </w:r>
    </w:p>
  </w:footnote>
  <w:footnote w:id="13">
    <w:p w:rsidR="001E2785" w:rsidRPr="001E2785">
      <w:pPr>
        <w:pStyle w:val="FootnoteText"/>
        <w:rPr>
          <w:rFonts w:ascii="Times New Roman" w:hAnsi="Times New Roman"/>
        </w:rPr>
      </w:pPr>
      <w:r w:rsidRPr="001E2785">
        <w:rPr>
          <w:rStyle w:val="FootnoteReference"/>
          <w:rFonts w:ascii="Times New Roman" w:hAnsi="Times New Roman"/>
          <w:vertAlign w:val="superscript"/>
        </w:rPr>
        <w:footnoteRef/>
      </w:r>
      <w:r>
        <w:t xml:space="preserve"> </w:t>
      </w:r>
      <w:r w:rsidRPr="001E2785">
        <w:rPr>
          <w:rFonts w:ascii="Times New Roman" w:hAnsi="Times New Roman"/>
        </w:rPr>
        <w:t>Eligible HQLA means a high-quality liquid asset that meets the requirements set forth in § 329.22</w:t>
      </w:r>
    </w:p>
  </w:footnote>
  <w:footnote w:id="14">
    <w:p w:rsidR="001F3C2F" w:rsidRPr="00245BC5" w:rsidP="001F3C2F">
      <w:pPr>
        <w:pStyle w:val="FootnoteText"/>
        <w:rPr>
          <w:rFonts w:ascii="Times New Roman" w:hAnsi="Times New Roman"/>
        </w:rPr>
      </w:pPr>
      <w:r w:rsidRPr="00245BC5">
        <w:rPr>
          <w:rStyle w:val="FootnoteReference"/>
          <w:rFonts w:ascii="Times New Roman" w:hAnsi="Times New Roman"/>
          <w:vertAlign w:val="superscript"/>
        </w:rPr>
        <w:footnoteRef/>
      </w:r>
      <w:r w:rsidRPr="00245BC5">
        <w:rPr>
          <w:rFonts w:ascii="Times New Roman" w:hAnsi="Times New Roman"/>
          <w:vertAlign w:val="superscript"/>
        </w:rPr>
        <w:t xml:space="preserve"> </w:t>
      </w:r>
      <w:r w:rsidRPr="00245BC5">
        <w:rPr>
          <w:rFonts w:ascii="Times New Roman" w:hAnsi="Times New Roman"/>
        </w:rPr>
        <w:t>12 CFR 329.22(a)(5)</w:t>
      </w:r>
    </w:p>
  </w:footnote>
  <w:footnote w:id="15">
    <w:p w:rsidR="001F3C2F" w:rsidP="001F3C2F">
      <w:pPr>
        <w:pStyle w:val="FootnoteText"/>
      </w:pPr>
      <w:r w:rsidRPr="00245BC5">
        <w:rPr>
          <w:rStyle w:val="FootnoteReference"/>
          <w:rFonts w:ascii="Times New Roman" w:hAnsi="Times New Roman"/>
          <w:vertAlign w:val="superscript"/>
        </w:rPr>
        <w:footnoteRef/>
      </w:r>
      <w:r w:rsidRPr="00245BC5">
        <w:rPr>
          <w:rFonts w:ascii="Times New Roman" w:hAnsi="Times New Roman"/>
          <w:vertAlign w:val="superscript"/>
        </w:rPr>
        <w:t xml:space="preserve"> </w:t>
      </w:r>
      <w:r w:rsidRPr="00245BC5">
        <w:rPr>
          <w:rFonts w:ascii="Times New Roman" w:hAnsi="Times New Roman"/>
        </w:rPr>
        <w:t>12 CFR 329.22(a)2</w:t>
      </w:r>
    </w:p>
  </w:footnote>
  <w:footnote w:id="16">
    <w:p w:rsidR="00D02884" w:rsidRPr="001F4344" w:rsidP="00D02884">
      <w:pPr>
        <w:pStyle w:val="FootnoteText"/>
        <w:rPr>
          <w:rFonts w:ascii="Times New Roman" w:hAnsi="Times New Roman"/>
        </w:rPr>
      </w:pPr>
      <w:r w:rsidRPr="001F4344">
        <w:rPr>
          <w:rStyle w:val="FootnoteReference"/>
          <w:rFonts w:ascii="Times New Roman" w:hAnsi="Times New Roman"/>
          <w:vertAlign w:val="superscript"/>
        </w:rPr>
        <w:footnoteRef/>
      </w:r>
      <w:r w:rsidRPr="001F4344">
        <w:rPr>
          <w:rFonts w:ascii="Times New Roman" w:hAnsi="Times New Roman"/>
          <w:vertAlign w:val="superscript"/>
        </w:rPr>
        <w:t xml:space="preserve"> </w:t>
      </w:r>
      <w:r w:rsidRPr="001F4344">
        <w:rPr>
          <w:rFonts w:ascii="Times New Roman" w:hAnsi="Times New Roman"/>
        </w:rPr>
        <w:t>Based on September 30, 2023, filings of the Reports of Condition and Income (Call Reports).</w:t>
      </w:r>
    </w:p>
  </w:footnote>
  <w:footnote w:id="17">
    <w:p w:rsidR="00D02884" w:rsidRPr="001F4344" w:rsidP="00D02884">
      <w:pPr>
        <w:pStyle w:val="FootnoteText"/>
        <w:rPr>
          <w:rFonts w:ascii="Times New Roman" w:hAnsi="Times New Roman"/>
        </w:rPr>
      </w:pPr>
      <w:r w:rsidRPr="001F4344">
        <w:rPr>
          <w:rStyle w:val="FootnoteReference"/>
          <w:rFonts w:ascii="Times New Roman" w:hAnsi="Times New Roman"/>
          <w:vertAlign w:val="superscript"/>
        </w:rPr>
        <w:footnoteRef/>
      </w:r>
      <w:r w:rsidRPr="001F4344">
        <w:rPr>
          <w:rFonts w:ascii="Times New Roman" w:hAnsi="Times New Roman"/>
        </w:rPr>
        <w:t xml:space="preserve"> </w:t>
      </w:r>
      <w:r w:rsidR="001F4344">
        <w:rPr>
          <w:rFonts w:ascii="Times New Roman" w:hAnsi="Times New Roman"/>
        </w:rPr>
        <w:t>FDIC</w:t>
      </w:r>
      <w:r w:rsidRPr="001F4344">
        <w:rPr>
          <w:rFonts w:ascii="Times New Roman" w:hAnsi="Times New Roman"/>
        </w:rPr>
        <w:t xml:space="preserve"> maintains a list of covered IDIs.</w:t>
      </w:r>
    </w:p>
  </w:footnote>
  <w:footnote w:id="18">
    <w:p w:rsidR="00D02884" w:rsidRPr="001F4344" w:rsidP="00D02884">
      <w:pPr>
        <w:pStyle w:val="FootnoteText"/>
        <w:rPr>
          <w:rFonts w:ascii="Times New Roman" w:hAnsi="Times New Roman"/>
        </w:rPr>
      </w:pPr>
      <w:r w:rsidRPr="001F4344">
        <w:rPr>
          <w:rStyle w:val="FootnoteReference"/>
          <w:rFonts w:ascii="Times New Roman" w:hAnsi="Times New Roman"/>
          <w:vertAlign w:val="superscript"/>
        </w:rPr>
        <w:footnoteRef/>
      </w:r>
      <w:r w:rsidRPr="001F4344">
        <w:rPr>
          <w:rFonts w:ascii="Times New Roman" w:hAnsi="Times New Roman"/>
          <w:vertAlign w:val="superscript"/>
        </w:rPr>
        <w:t xml:space="preserve"> </w:t>
      </w:r>
      <w:r w:rsidRPr="001F4344">
        <w:rPr>
          <w:rFonts w:ascii="Times New Roman" w:hAnsi="Times New Roman"/>
        </w:rPr>
        <w:t xml:space="preserve">The SBA defines a small banking organization as having $850 million or less in assets, where an organization’s “assets are determined by averaging the assets reported on its four quarterly financial statements for the preceding year.” </w:t>
      </w:r>
      <w:r w:rsidRPr="001F4344">
        <w:rPr>
          <w:rFonts w:ascii="Times New Roman" w:hAnsi="Times New Roman"/>
          <w:i/>
        </w:rPr>
        <w:t>See</w:t>
      </w:r>
      <w:r w:rsidRPr="001F4344">
        <w:rPr>
          <w:rFonts w:ascii="Times New Roman" w:hAnsi="Times New Roman"/>
        </w:rPr>
        <w:t xml:space="preserve"> 13 CFR 121.201 (as amended by 87 FR 69118, effective December 19, 2022). In its determination, the “SBA counts the receipts, employees, or other measure of size of the concern whose size is at issue and all of its domestic and foreign affiliates.” </w:t>
      </w:r>
      <w:r w:rsidRPr="001F4344">
        <w:rPr>
          <w:rFonts w:ascii="Times New Roman" w:hAnsi="Times New Roman"/>
          <w:i/>
        </w:rPr>
        <w:t>See</w:t>
      </w:r>
      <w:r w:rsidRPr="001F4344">
        <w:rPr>
          <w:rFonts w:ascii="Times New Roman" w:hAnsi="Times New Roman"/>
        </w:rPr>
        <w:t xml:space="preserve"> 13 CFR 121.103. Following these regulations, the FDIC uses an insured depository institution's affiliated and acquired assets, averaged over the preceding four quarters, to determine whether the insured depository institution is “small” for the purposes of RFA.</w:t>
      </w:r>
    </w:p>
  </w:footnote>
  <w:footnote w:id="19">
    <w:p w:rsidR="00D02884" w:rsidRPr="001F4344" w:rsidP="00D02884">
      <w:pPr>
        <w:pStyle w:val="FootnoteText"/>
        <w:rPr>
          <w:rFonts w:ascii="Times New Roman" w:hAnsi="Times New Roman"/>
        </w:rPr>
      </w:pPr>
      <w:r w:rsidRPr="001F4344">
        <w:rPr>
          <w:rStyle w:val="FootnoteReference"/>
          <w:rFonts w:ascii="Times New Roman" w:hAnsi="Times New Roman"/>
          <w:vertAlign w:val="superscript"/>
        </w:rPr>
        <w:footnoteRef/>
      </w:r>
      <w:r w:rsidRPr="001F4344">
        <w:rPr>
          <w:rFonts w:ascii="Times New Roman" w:hAnsi="Times New Roman"/>
        </w:rPr>
        <w:t xml:space="preserve"> 84 FR 59279 (November 1, 2019) for LCR and 86 FR 9120 (February 11, 2021) for NSFR.</w:t>
      </w:r>
    </w:p>
  </w:footnote>
  <w:footnote w:id="20">
    <w:p w:rsidR="00D02884" w:rsidRPr="001F4344" w:rsidP="00D02884">
      <w:pPr>
        <w:pStyle w:val="FootnoteText"/>
        <w:rPr>
          <w:rFonts w:ascii="Times New Roman" w:hAnsi="Times New Roman"/>
        </w:rPr>
      </w:pPr>
      <w:r w:rsidRPr="001F4344">
        <w:rPr>
          <w:rStyle w:val="FootnoteReference"/>
          <w:rFonts w:ascii="Times New Roman" w:hAnsi="Times New Roman"/>
          <w:vertAlign w:val="superscript"/>
        </w:rPr>
        <w:footnoteRef/>
      </w:r>
      <w:r w:rsidRPr="001F4344">
        <w:rPr>
          <w:rFonts w:ascii="Times New Roman" w:hAnsi="Times New Roman"/>
        </w:rPr>
        <w:t xml:space="preserve"> 84 FR 59279 (November 1, 2019) for LCR and 86 FR 9120 (February 11, 2021) for NSFR.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EAB2FDA"/>
    <w:multiLevelType w:val="singleLevel"/>
    <w:tmpl w:val="18AE2582"/>
    <w:lvl w:ilvl="0">
      <w:start w:val="13"/>
      <w:numFmt w:val="decimal"/>
      <w:lvlText w:val="%1."/>
      <w:lvlJc w:val="left"/>
      <w:pPr>
        <w:tabs>
          <w:tab w:val="num" w:pos="1440"/>
        </w:tabs>
        <w:ind w:left="1440" w:hanging="720"/>
      </w:pPr>
      <w:rPr>
        <w:rFonts w:hint="default"/>
        <w:u w:val="none"/>
      </w:rPr>
    </w:lvl>
  </w:abstractNum>
  <w:abstractNum w:abstractNumId="1">
    <w:nsid w:val="51631C91"/>
    <w:multiLevelType w:val="hybridMultilevel"/>
    <w:tmpl w:val="4D68F1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29B1589"/>
    <w:multiLevelType w:val="hybridMultilevel"/>
    <w:tmpl w:val="3F82DB4A"/>
    <w:lvl w:ilvl="0">
      <w:start w:val="1"/>
      <w:numFmt w:val="decimal"/>
      <w:lvlText w:val="%1."/>
      <w:lvlJc w:val="left"/>
      <w:pPr>
        <w:ind w:left="720" w:firstLine="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7205616"/>
    <w:multiLevelType w:val="hybridMultilevel"/>
    <w:tmpl w:val="C73A7E6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7CEE0E8E"/>
    <w:multiLevelType w:val="hybridMultilevel"/>
    <w:tmpl w:val="74265CE0"/>
    <w:lvl w:ilvl="0">
      <w:start w:val="1"/>
      <w:numFmt w:val="decimal"/>
      <w:lvlText w:val="%1."/>
      <w:lvlJc w:val="left"/>
      <w:pPr>
        <w:ind w:left="720" w:firstLine="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E2"/>
    <w:rsid w:val="00012AF4"/>
    <w:rsid w:val="00031AB1"/>
    <w:rsid w:val="00043219"/>
    <w:rsid w:val="000456BB"/>
    <w:rsid w:val="00051FA2"/>
    <w:rsid w:val="00071946"/>
    <w:rsid w:val="000769C2"/>
    <w:rsid w:val="00086EBC"/>
    <w:rsid w:val="0009640C"/>
    <w:rsid w:val="000B72A6"/>
    <w:rsid w:val="000F4D37"/>
    <w:rsid w:val="00125E6C"/>
    <w:rsid w:val="00153D04"/>
    <w:rsid w:val="001A7D33"/>
    <w:rsid w:val="001C067B"/>
    <w:rsid w:val="001E2785"/>
    <w:rsid w:val="001F3C2F"/>
    <w:rsid w:val="001F4344"/>
    <w:rsid w:val="00237724"/>
    <w:rsid w:val="00237B23"/>
    <w:rsid w:val="00241244"/>
    <w:rsid w:val="00245BC5"/>
    <w:rsid w:val="00257F44"/>
    <w:rsid w:val="0029557B"/>
    <w:rsid w:val="00304E52"/>
    <w:rsid w:val="00314317"/>
    <w:rsid w:val="003670E1"/>
    <w:rsid w:val="003844F6"/>
    <w:rsid w:val="003A2D14"/>
    <w:rsid w:val="003C0569"/>
    <w:rsid w:val="003F00AE"/>
    <w:rsid w:val="00401855"/>
    <w:rsid w:val="00405539"/>
    <w:rsid w:val="004118A6"/>
    <w:rsid w:val="004175A5"/>
    <w:rsid w:val="00424EB6"/>
    <w:rsid w:val="004441C3"/>
    <w:rsid w:val="00444C96"/>
    <w:rsid w:val="00471381"/>
    <w:rsid w:val="00481A36"/>
    <w:rsid w:val="00490A33"/>
    <w:rsid w:val="00495F2E"/>
    <w:rsid w:val="004E0454"/>
    <w:rsid w:val="004F49A2"/>
    <w:rsid w:val="005024DD"/>
    <w:rsid w:val="005262BD"/>
    <w:rsid w:val="00534216"/>
    <w:rsid w:val="00537F86"/>
    <w:rsid w:val="005D1420"/>
    <w:rsid w:val="005D24E4"/>
    <w:rsid w:val="005D628D"/>
    <w:rsid w:val="005F6B40"/>
    <w:rsid w:val="00612A40"/>
    <w:rsid w:val="006353E1"/>
    <w:rsid w:val="00646082"/>
    <w:rsid w:val="00651B41"/>
    <w:rsid w:val="00657175"/>
    <w:rsid w:val="00683970"/>
    <w:rsid w:val="006A3DB3"/>
    <w:rsid w:val="006A66D4"/>
    <w:rsid w:val="006E1905"/>
    <w:rsid w:val="00722313"/>
    <w:rsid w:val="00724466"/>
    <w:rsid w:val="007377CE"/>
    <w:rsid w:val="007511EB"/>
    <w:rsid w:val="00755927"/>
    <w:rsid w:val="00781597"/>
    <w:rsid w:val="007831E2"/>
    <w:rsid w:val="007A6D6F"/>
    <w:rsid w:val="007B5DAD"/>
    <w:rsid w:val="007C032C"/>
    <w:rsid w:val="007D41D2"/>
    <w:rsid w:val="008004BF"/>
    <w:rsid w:val="00815948"/>
    <w:rsid w:val="00823ED7"/>
    <w:rsid w:val="0084392A"/>
    <w:rsid w:val="00851A60"/>
    <w:rsid w:val="0085326D"/>
    <w:rsid w:val="008B226A"/>
    <w:rsid w:val="008C73EB"/>
    <w:rsid w:val="008D1402"/>
    <w:rsid w:val="009876CC"/>
    <w:rsid w:val="009F07C0"/>
    <w:rsid w:val="009F1BED"/>
    <w:rsid w:val="00A074AC"/>
    <w:rsid w:val="00A20AED"/>
    <w:rsid w:val="00A565E0"/>
    <w:rsid w:val="00A61831"/>
    <w:rsid w:val="00A75065"/>
    <w:rsid w:val="00AD22BF"/>
    <w:rsid w:val="00AE4FE2"/>
    <w:rsid w:val="00AE5959"/>
    <w:rsid w:val="00AF6BF3"/>
    <w:rsid w:val="00B36F21"/>
    <w:rsid w:val="00BB6235"/>
    <w:rsid w:val="00C256DD"/>
    <w:rsid w:val="00CA37FE"/>
    <w:rsid w:val="00CB7D84"/>
    <w:rsid w:val="00CC7B69"/>
    <w:rsid w:val="00CE7268"/>
    <w:rsid w:val="00D02884"/>
    <w:rsid w:val="00D30051"/>
    <w:rsid w:val="00D70A2F"/>
    <w:rsid w:val="00D767AD"/>
    <w:rsid w:val="00DF0C02"/>
    <w:rsid w:val="00E629EB"/>
    <w:rsid w:val="00E7184F"/>
    <w:rsid w:val="00EA7FF9"/>
    <w:rsid w:val="00EB3B26"/>
    <w:rsid w:val="00EB7B72"/>
    <w:rsid w:val="00EF1681"/>
    <w:rsid w:val="00F066BF"/>
    <w:rsid w:val="00F14E9D"/>
    <w:rsid w:val="00F555E5"/>
    <w:rsid w:val="00F57B3C"/>
    <w:rsid w:val="00FA59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D028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autoRedefine/>
    <w:uiPriority w:val="9"/>
    <w:unhideWhenUsed/>
    <w:qFormat/>
    <w:rsid w:val="00D02884"/>
    <w:pPr>
      <w:suppressAutoHyphens/>
      <w:adjustRightInd/>
      <w:spacing w:before="0" w:after="120"/>
      <w:outlineLvl w:val="1"/>
    </w:pPr>
    <w:rPr>
      <w:rFonts w:ascii="Times New Roman" w:eastAsia="Source Sans Pro" w:hAnsi="Times New Roman" w:cs="Times New Roman"/>
      <w:b/>
      <w:bCs/>
      <w:color w:val="000000" w:themeColor="text1"/>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rsid w:val="00CB7D84"/>
    <w:pPr>
      <w:widowControl/>
      <w:autoSpaceDE/>
      <w:autoSpaceDN/>
      <w:adjustRightInd/>
      <w:jc w:val="center"/>
    </w:pPr>
    <w:rPr>
      <w:rFonts w:ascii="Times New Roman" w:hAnsi="Times New Roman"/>
      <w:b/>
      <w:bCs/>
      <w:szCs w:val="20"/>
    </w:rPr>
  </w:style>
  <w:style w:type="character" w:customStyle="1" w:styleId="TitleChar">
    <w:name w:val="Title Char"/>
    <w:link w:val="Title"/>
    <w:rsid w:val="00CB7D84"/>
    <w:rPr>
      <w:b/>
      <w:bCs/>
      <w:sz w:val="24"/>
    </w:rPr>
  </w:style>
  <w:style w:type="paragraph" w:styleId="BodyText">
    <w:name w:val="Body Text"/>
    <w:basedOn w:val="Normal"/>
    <w:link w:val="BodyTextChar"/>
    <w:rsid w:val="00CB7D84"/>
    <w:pPr>
      <w:widowControl/>
      <w:autoSpaceDE/>
      <w:autoSpaceDN/>
      <w:adjustRightInd/>
    </w:pPr>
    <w:rPr>
      <w:rFonts w:ascii="Times New Roman" w:hAnsi="Times New Roman"/>
      <w:i/>
      <w:iCs/>
      <w:szCs w:val="20"/>
    </w:rPr>
  </w:style>
  <w:style w:type="character" w:customStyle="1" w:styleId="BodyTextChar">
    <w:name w:val="Body Text Char"/>
    <w:link w:val="BodyText"/>
    <w:rsid w:val="00CB7D84"/>
    <w:rPr>
      <w:i/>
      <w:iCs/>
      <w:sz w:val="24"/>
    </w:rPr>
  </w:style>
  <w:style w:type="paragraph" w:styleId="BodyTextIndent">
    <w:name w:val="Body Text Indent"/>
    <w:basedOn w:val="Normal"/>
    <w:link w:val="BodyTextIndentChar"/>
    <w:rsid w:val="00CB7D84"/>
    <w:pPr>
      <w:widowControl/>
      <w:autoSpaceDE/>
      <w:autoSpaceDN/>
      <w:adjustRightInd/>
      <w:spacing w:after="120"/>
      <w:ind w:left="360"/>
    </w:pPr>
    <w:rPr>
      <w:rFonts w:ascii="Times New Roman" w:hAnsi="Times New Roman"/>
      <w:szCs w:val="20"/>
    </w:rPr>
  </w:style>
  <w:style w:type="character" w:customStyle="1" w:styleId="BodyTextIndentChar">
    <w:name w:val="Body Text Indent Char"/>
    <w:link w:val="BodyTextIndent"/>
    <w:rsid w:val="00CB7D84"/>
    <w:rPr>
      <w:sz w:val="24"/>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sid w:val="00F066BF"/>
    <w:rPr>
      <w:sz w:val="20"/>
      <w:szCs w:val="20"/>
    </w:rPr>
  </w:style>
  <w:style w:type="character" w:customStyle="1" w:styleId="FootnoteTextChar">
    <w:name w:val="Footnote Text Char"/>
    <w:aliases w:val="Car Char,Footnote Text Char Char Char,Footnote Text Char Char Char Char Char Char Char Char Char Char Char Char Char Char Char Char Char Char,Footnote Text Char1 Char,Footnote Text Char1 Char Char Char,Style 15 Char,fn Char,ft Char"/>
    <w:link w:val="FootnoteText"/>
    <w:uiPriority w:val="99"/>
    <w:rsid w:val="00F066BF"/>
    <w:rPr>
      <w:rFonts w:ascii="Courier" w:hAnsi="Courier"/>
    </w:rPr>
  </w:style>
  <w:style w:type="paragraph" w:customStyle="1" w:styleId="Default">
    <w:name w:val="Default"/>
    <w:rsid w:val="00815948"/>
    <w:pPr>
      <w:autoSpaceDE w:val="0"/>
      <w:autoSpaceDN w:val="0"/>
      <w:adjustRightInd w:val="0"/>
    </w:pPr>
    <w:rPr>
      <w:color w:val="000000"/>
      <w:sz w:val="24"/>
      <w:szCs w:val="24"/>
    </w:rPr>
  </w:style>
  <w:style w:type="character" w:styleId="CommentReference">
    <w:name w:val="annotation reference"/>
    <w:rsid w:val="006E1905"/>
    <w:rPr>
      <w:sz w:val="16"/>
      <w:szCs w:val="16"/>
    </w:rPr>
  </w:style>
  <w:style w:type="paragraph" w:styleId="CommentText">
    <w:name w:val="annotation text"/>
    <w:basedOn w:val="Normal"/>
    <w:link w:val="CommentTextChar"/>
    <w:rsid w:val="006E1905"/>
    <w:rPr>
      <w:sz w:val="20"/>
      <w:szCs w:val="20"/>
    </w:rPr>
  </w:style>
  <w:style w:type="character" w:customStyle="1" w:styleId="CommentTextChar">
    <w:name w:val="Comment Text Char"/>
    <w:link w:val="CommentText"/>
    <w:rsid w:val="006E1905"/>
    <w:rPr>
      <w:rFonts w:ascii="Courier" w:hAnsi="Courier"/>
    </w:rPr>
  </w:style>
  <w:style w:type="paragraph" w:styleId="CommentSubject">
    <w:name w:val="annotation subject"/>
    <w:basedOn w:val="CommentText"/>
    <w:next w:val="CommentText"/>
    <w:link w:val="CommentSubjectChar"/>
    <w:rsid w:val="006E1905"/>
    <w:rPr>
      <w:b/>
      <w:bCs/>
    </w:rPr>
  </w:style>
  <w:style w:type="character" w:customStyle="1" w:styleId="CommentSubjectChar">
    <w:name w:val="Comment Subject Char"/>
    <w:link w:val="CommentSubject"/>
    <w:rsid w:val="006E1905"/>
    <w:rPr>
      <w:rFonts w:ascii="Courier" w:hAnsi="Courier"/>
      <w:b/>
      <w:bCs/>
    </w:rPr>
  </w:style>
  <w:style w:type="character" w:styleId="Hyperlink">
    <w:name w:val="Hyperlink"/>
    <w:basedOn w:val="DefaultParagraphFont"/>
    <w:rsid w:val="001E2785"/>
    <w:rPr>
      <w:color w:val="0563C1" w:themeColor="hyperlink"/>
      <w:u w:val="single"/>
    </w:rPr>
  </w:style>
  <w:style w:type="character" w:customStyle="1" w:styleId="Heading2Char">
    <w:name w:val="Heading 2 Char"/>
    <w:basedOn w:val="DefaultParagraphFont"/>
    <w:link w:val="Heading2"/>
    <w:uiPriority w:val="9"/>
    <w:rsid w:val="00D02884"/>
    <w:rPr>
      <w:rFonts w:eastAsia="Source Sans Pro"/>
      <w:b/>
      <w:bCs/>
      <w:color w:val="000000" w:themeColor="text1"/>
      <w:sz w:val="24"/>
      <w:szCs w:val="24"/>
      <w:lang w:bidi="en-US"/>
    </w:rPr>
  </w:style>
  <w:style w:type="character" w:customStyle="1" w:styleId="Heading1Char">
    <w:name w:val="Heading 1 Char"/>
    <w:basedOn w:val="DefaultParagraphFont"/>
    <w:link w:val="Heading1"/>
    <w:rsid w:val="00D028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c/do/PRAViewIC?ref_nbr=202102-3064-005&amp;icID=212679"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967C3-3249-48F3-B843-9C21F1A6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3045</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2024-03-11T13:38:00Z</dcterms:created>
  <dcterms:modified xsi:type="dcterms:W3CDTF">2024-03-14T17:34:00Z</dcterms:modified>
</cp:coreProperties>
</file>