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276D" w:rsidP="005E6FDA" w14:paraId="28681634" w14:textId="68380E25">
      <w:pPr>
        <w:pStyle w:val="BodyText"/>
        <w:spacing w:before="77"/>
        <w:ind w:left="1440" w:right="2712" w:firstLine="720"/>
      </w:pPr>
      <w:r>
        <w:t xml:space="preserve">   </w:t>
      </w:r>
      <w:r w:rsidR="005E6FDA">
        <w:t xml:space="preserve">    </w:t>
      </w:r>
      <w:r w:rsidR="0090292B">
        <w:t>FINAL</w:t>
      </w:r>
      <w:r w:rsidR="00DA3F48">
        <w:t xml:space="preserve"> </w:t>
      </w:r>
      <w:r w:rsidR="00BD01D7">
        <w:t xml:space="preserve">OMB </w:t>
      </w:r>
      <w:r w:rsidR="004F122B">
        <w:t xml:space="preserve">SUPPORTING </w:t>
      </w:r>
      <w:r w:rsidR="002371B4">
        <w:t>S</w:t>
      </w:r>
      <w:r w:rsidR="004F122B">
        <w:t>TATEMENT</w:t>
      </w:r>
      <w:r w:rsidR="004F122B">
        <w:tab/>
      </w:r>
      <w:r w:rsidR="005E6FDA">
        <w:tab/>
      </w:r>
      <w:r w:rsidR="005E6FDA">
        <w:tab/>
      </w:r>
      <w:r w:rsidR="005E6FDA">
        <w:tab/>
      </w:r>
      <w:r w:rsidR="00BD01D7">
        <w:t>FOR</w:t>
      </w:r>
    </w:p>
    <w:p w:rsidR="0055276D" w14:paraId="28681635" w14:textId="0C62054A">
      <w:pPr>
        <w:pStyle w:val="BodyText"/>
        <w:ind w:left="2301" w:right="2278"/>
        <w:jc w:val="center"/>
      </w:pPr>
      <w:r>
        <w:t xml:space="preserve">NRC FORM 64, “TRAVEL VOUCHER” </w:t>
      </w:r>
    </w:p>
    <w:p w:rsidR="0055276D" w14:paraId="28681636" w14:textId="10FB5267">
      <w:pPr>
        <w:pStyle w:val="BodyText"/>
        <w:ind w:left="1506" w:right="1483"/>
        <w:jc w:val="center"/>
      </w:pPr>
      <w:r>
        <w:t xml:space="preserve"> (3150-0192)</w:t>
      </w:r>
    </w:p>
    <w:p w:rsidR="0055276D" w14:paraId="28681637" w14:textId="77777777">
      <w:pPr>
        <w:pStyle w:val="BodyText"/>
        <w:spacing w:before="5"/>
        <w:rPr>
          <w:sz w:val="21"/>
        </w:rPr>
      </w:pPr>
    </w:p>
    <w:p w:rsidR="0055276D" w14:paraId="28681638" w14:textId="4999F21B">
      <w:pPr>
        <w:pStyle w:val="BodyText"/>
        <w:ind w:left="2732" w:right="2712"/>
        <w:jc w:val="center"/>
      </w:pPr>
      <w:r>
        <w:t>EXTENSION</w:t>
      </w:r>
    </w:p>
    <w:p w:rsidR="0055276D" w14:paraId="28681639" w14:textId="77777777">
      <w:pPr>
        <w:pStyle w:val="BodyText"/>
        <w:rPr>
          <w:sz w:val="24"/>
        </w:rPr>
      </w:pPr>
    </w:p>
    <w:p w:rsidR="0055276D" w:rsidP="00592E9B" w14:paraId="2868163B" w14:textId="77777777">
      <w:pPr>
        <w:pStyle w:val="BodyText"/>
        <w:ind w:left="120"/>
      </w:pPr>
      <w:r>
        <w:rPr>
          <w:u w:val="single"/>
        </w:rPr>
        <w:t>Description of the Information Collection</w:t>
      </w:r>
    </w:p>
    <w:p w:rsidR="0055276D" w:rsidP="00592E9B" w14:paraId="2868163C" w14:textId="77777777">
      <w:pPr>
        <w:pStyle w:val="BodyText"/>
        <w:rPr>
          <w:sz w:val="13"/>
        </w:rPr>
      </w:pPr>
    </w:p>
    <w:p w:rsidR="0055276D" w:rsidP="00592E9B" w14:paraId="2868163D" w14:textId="26925183">
      <w:pPr>
        <w:pStyle w:val="BodyText"/>
        <w:ind w:left="119" w:right="125"/>
      </w:pPr>
      <w:r>
        <w:t>Agreement States</w:t>
      </w:r>
      <w:r w:rsidR="00E87343">
        <w:t xml:space="preserve"> defined as</w:t>
      </w:r>
      <w:r w:rsidR="006B70DF">
        <w:t xml:space="preserve"> staff, </w:t>
      </w:r>
      <w:r w:rsidR="00EB1DA4">
        <w:t>representatives,</w:t>
      </w:r>
      <w:r w:rsidR="006B70DF">
        <w:t xml:space="preserve"> or employees</w:t>
      </w:r>
      <w:r>
        <w:t xml:space="preserve"> and those</w:t>
      </w:r>
      <w:r w:rsidR="00BD01D7">
        <w:t xml:space="preserve"> invited by the Nuclear Regulatory Commission (NRC) to travel (e.g., </w:t>
      </w:r>
      <w:r>
        <w:t>Tribal representatives, State Liaison Officers, etc.</w:t>
      </w:r>
      <w:r w:rsidR="00BD01D7">
        <w:t xml:space="preserve">) must file travel vouchers and trip reports in order to be reimbursed for their travel expenses. </w:t>
      </w:r>
      <w:r w:rsidR="00DC10AB">
        <w:t xml:space="preserve">The </w:t>
      </w:r>
      <w:r w:rsidR="00CB4664">
        <w:t>individuals</w:t>
      </w:r>
      <w:r w:rsidR="00DC10AB">
        <w:t xml:space="preserve"> we fund includes managers and staff from the 39 Agreement State </w:t>
      </w:r>
      <w:r w:rsidR="00BA6F56">
        <w:t xml:space="preserve">programs. </w:t>
      </w:r>
      <w:r w:rsidR="00BD01D7">
        <w:t>Travelers do not receive a travel advance but are paid on a reimbursement basis only. The information collected includes the name, address,</w:t>
      </w:r>
      <w:r w:rsidR="00325468">
        <w:t xml:space="preserve"> </w:t>
      </w:r>
      <w:r>
        <w:t xml:space="preserve">itemized expenses, and </w:t>
      </w:r>
      <w:r w:rsidR="00BD01D7">
        <w:t>the amount to be reimbursed. Guidance on allowable travel expenses can be found in the General Services Administration (GSA) Federal Travel Regulations (FTR) and in NRC Management Directive 14.1, Official Temporary Duty</w:t>
      </w:r>
      <w:r w:rsidR="00BD01D7">
        <w:rPr>
          <w:spacing w:val="-2"/>
        </w:rPr>
        <w:t xml:space="preserve"> </w:t>
      </w:r>
      <w:r w:rsidR="00BD01D7">
        <w:t>Travel.</w:t>
      </w:r>
    </w:p>
    <w:p w:rsidR="0055276D" w:rsidP="00592E9B" w14:paraId="2868163E" w14:textId="77777777">
      <w:pPr>
        <w:pStyle w:val="BodyText"/>
        <w:rPr>
          <w:sz w:val="21"/>
        </w:rPr>
      </w:pPr>
    </w:p>
    <w:p w:rsidR="0055276D" w:rsidP="00592E9B" w14:paraId="2868163F" w14:textId="77777777">
      <w:pPr>
        <w:pStyle w:val="ListParagraph"/>
        <w:numPr>
          <w:ilvl w:val="0"/>
          <w:numId w:val="1"/>
        </w:numPr>
        <w:tabs>
          <w:tab w:val="left" w:pos="839"/>
          <w:tab w:val="left" w:pos="841"/>
        </w:tabs>
        <w:ind w:hanging="722"/>
        <w:rPr>
          <w:u w:val="none"/>
        </w:rPr>
      </w:pPr>
      <w:r>
        <w:rPr>
          <w:u w:val="none"/>
        </w:rPr>
        <w:t>JUSTIFICATION</w:t>
      </w:r>
    </w:p>
    <w:p w:rsidR="0055276D" w:rsidP="00592E9B" w14:paraId="28681640" w14:textId="77777777">
      <w:pPr>
        <w:pStyle w:val="BodyText"/>
        <w:rPr>
          <w:sz w:val="21"/>
        </w:rPr>
      </w:pPr>
    </w:p>
    <w:p w:rsidR="0055276D" w:rsidP="00592E9B" w14:paraId="28681641" w14:textId="77777777">
      <w:pPr>
        <w:pStyle w:val="ListParagraph"/>
        <w:numPr>
          <w:ilvl w:val="1"/>
          <w:numId w:val="1"/>
        </w:numPr>
        <w:tabs>
          <w:tab w:val="left" w:pos="1559"/>
          <w:tab w:val="left" w:pos="1560"/>
        </w:tabs>
        <w:rPr>
          <w:u w:val="none"/>
        </w:rPr>
      </w:pPr>
      <w:r>
        <w:t>Need for and Practical Utility of the Collection of</w:t>
      </w:r>
      <w:r>
        <w:rPr>
          <w:spacing w:val="-2"/>
        </w:rPr>
        <w:t xml:space="preserve"> </w:t>
      </w:r>
      <w:r>
        <w:t>Information</w:t>
      </w:r>
    </w:p>
    <w:p w:rsidR="0055276D" w:rsidP="00592E9B" w14:paraId="28681642" w14:textId="77777777">
      <w:pPr>
        <w:pStyle w:val="BodyText"/>
        <w:rPr>
          <w:sz w:val="13"/>
        </w:rPr>
      </w:pPr>
    </w:p>
    <w:p w:rsidR="0055276D" w:rsidP="00592E9B" w14:paraId="28681643" w14:textId="363F6381">
      <w:pPr>
        <w:pStyle w:val="BodyText"/>
        <w:ind w:left="1560" w:right="247"/>
      </w:pPr>
      <w:r>
        <w:t>Travel vouchers provide information to the government that aids in the reimbursement of travel funds. The traveler must complete a travel voucher (NRC Form 64</w:t>
      </w:r>
      <w:r w:rsidR="00EF770A">
        <w:t>)</w:t>
      </w:r>
      <w:r>
        <w:t xml:space="preserve"> </w:t>
      </w:r>
      <w:r>
        <w:t>in order to</w:t>
      </w:r>
      <w:r>
        <w:t xml:space="preserve"> be reimbursed for allowable expenses as governed by GSA’s travel regulations. In addition, NRC has additional travel guidance in their Management Directive 14.1, Official Temporary Duty Travel.</w:t>
      </w:r>
    </w:p>
    <w:p w:rsidR="0055276D" w:rsidP="00592E9B" w14:paraId="28681644" w14:textId="77777777">
      <w:pPr>
        <w:pStyle w:val="BodyText"/>
        <w:rPr>
          <w:sz w:val="21"/>
        </w:rPr>
      </w:pPr>
    </w:p>
    <w:p w:rsidR="0055276D" w:rsidP="00592E9B" w14:paraId="28681645" w14:textId="77777777">
      <w:pPr>
        <w:pStyle w:val="ListParagraph"/>
        <w:numPr>
          <w:ilvl w:val="1"/>
          <w:numId w:val="1"/>
        </w:numPr>
        <w:tabs>
          <w:tab w:val="left" w:pos="1559"/>
          <w:tab w:val="left" w:pos="1560"/>
        </w:tabs>
        <w:rPr>
          <w:u w:val="none"/>
        </w:rPr>
      </w:pPr>
      <w:r>
        <w:t>Agency Use of</w:t>
      </w:r>
      <w:r>
        <w:rPr>
          <w:spacing w:val="-1"/>
        </w:rPr>
        <w:t xml:space="preserve"> </w:t>
      </w:r>
      <w:r>
        <w:t>Information</w:t>
      </w:r>
    </w:p>
    <w:p w:rsidR="0055276D" w:rsidP="00592E9B" w14:paraId="28681646" w14:textId="77777777">
      <w:pPr>
        <w:pStyle w:val="BodyText"/>
        <w:rPr>
          <w:sz w:val="13"/>
        </w:rPr>
      </w:pPr>
    </w:p>
    <w:p w:rsidR="0055276D" w:rsidP="00592E9B" w14:paraId="28681647" w14:textId="2104E884">
      <w:pPr>
        <w:pStyle w:val="BodyText"/>
        <w:ind w:left="1560" w:right="100"/>
      </w:pPr>
      <w:r>
        <w:t>Information on these forms is used to ensure that only legitimate travel expenses are reimbursed in accordance with FTR and NRC regulations. Once a travel voucher has been examined and approved in the NRC travel office, the appropriate accounting information is entered into NRC’s accounting system then transmitted to the Department of Treasury’s Financial Management Service for payment.</w:t>
      </w:r>
      <w:r w:rsidR="00325468">
        <w:t xml:space="preserve"> </w:t>
      </w:r>
      <w:r>
        <w:t>The only information transmitted to the Department of Treasury is the name, address, and dollar amount of the payment.</w:t>
      </w:r>
    </w:p>
    <w:p w:rsidR="0055276D" w:rsidP="00592E9B" w14:paraId="28681648" w14:textId="77777777">
      <w:pPr>
        <w:pStyle w:val="BodyText"/>
        <w:rPr>
          <w:sz w:val="21"/>
        </w:rPr>
      </w:pPr>
    </w:p>
    <w:p w:rsidR="0055276D" w:rsidP="00592E9B" w14:paraId="28681649" w14:textId="77777777">
      <w:pPr>
        <w:pStyle w:val="ListParagraph"/>
        <w:numPr>
          <w:ilvl w:val="1"/>
          <w:numId w:val="1"/>
        </w:numPr>
        <w:tabs>
          <w:tab w:val="left" w:pos="1559"/>
          <w:tab w:val="left" w:pos="1560"/>
        </w:tabs>
        <w:rPr>
          <w:u w:val="none"/>
        </w:rPr>
      </w:pPr>
      <w:r>
        <w:t>Reduction of Burden Through Information</w:t>
      </w:r>
      <w:r>
        <w:rPr>
          <w:spacing w:val="-1"/>
        </w:rPr>
        <w:t xml:space="preserve"> </w:t>
      </w:r>
      <w:r>
        <w:t>Technology</w:t>
      </w:r>
    </w:p>
    <w:p w:rsidR="0055276D" w:rsidP="00592E9B" w14:paraId="2868164A" w14:textId="77777777">
      <w:pPr>
        <w:pStyle w:val="BodyText"/>
        <w:rPr>
          <w:sz w:val="13"/>
        </w:rPr>
      </w:pPr>
    </w:p>
    <w:p w:rsidR="0055276D" w:rsidP="00592E9B" w14:paraId="2868164D" w14:textId="7B0B7320">
      <w:pPr>
        <w:pStyle w:val="BodyText"/>
        <w:ind w:left="1560" w:right="198"/>
      </w:pPr>
      <w:r>
        <w:t>There are no legal obstacles to reducing the burden associated with this information collection. The NRC encourages respondents to use information technology when it would be beneficial to them.</w:t>
      </w:r>
      <w:r w:rsidR="00325468">
        <w:t xml:space="preserve"> The </w:t>
      </w:r>
      <w:r>
        <w:t>NRC issued a regulation on October 10, 2003 (68 FR 58791), consistent with the Government Paperwork Elimination Act, which allows its licensees, vendors, applicants, and members of the public the option to make submissions electronically via CD-ROM, e-mail,</w:t>
      </w:r>
      <w:r w:rsidR="00592E9B">
        <w:t xml:space="preserve"> </w:t>
      </w:r>
      <w:r>
        <w:t xml:space="preserve">special Web-based interface, or other means. </w:t>
      </w:r>
      <w:r w:rsidRPr="00470DEA">
        <w:t xml:space="preserve">NRC staff estimates that </w:t>
      </w:r>
      <w:r w:rsidR="002F2895">
        <w:t>100</w:t>
      </w:r>
      <w:r w:rsidRPr="00470DEA">
        <w:t>% of responses will be submitted electronically.</w:t>
      </w:r>
    </w:p>
    <w:p w:rsidR="00592E9B" w14:paraId="7528F58C" w14:textId="3F60E330">
      <w:r>
        <w:br w:type="page"/>
      </w:r>
    </w:p>
    <w:p w:rsidR="0055276D" w:rsidP="00592E9B" w14:paraId="2868164F" w14:textId="77777777">
      <w:pPr>
        <w:pStyle w:val="ListParagraph"/>
        <w:numPr>
          <w:ilvl w:val="1"/>
          <w:numId w:val="1"/>
        </w:numPr>
        <w:tabs>
          <w:tab w:val="left" w:pos="1559"/>
          <w:tab w:val="left" w:pos="1560"/>
        </w:tabs>
        <w:rPr>
          <w:u w:val="none"/>
        </w:rPr>
      </w:pPr>
      <w:r>
        <w:t>Effort to Identify Duplication and Use Similar</w:t>
      </w:r>
      <w:r>
        <w:rPr>
          <w:spacing w:val="-2"/>
        </w:rPr>
        <w:t xml:space="preserve"> </w:t>
      </w:r>
      <w:r>
        <w:t>Information</w:t>
      </w:r>
    </w:p>
    <w:p w:rsidR="0055276D" w:rsidP="00592E9B" w14:paraId="28681650" w14:textId="77777777">
      <w:pPr>
        <w:pStyle w:val="BodyText"/>
        <w:rPr>
          <w:sz w:val="13"/>
        </w:rPr>
      </w:pPr>
    </w:p>
    <w:p w:rsidR="0055276D" w:rsidP="00592E9B" w14:paraId="28681651" w14:textId="77777777">
      <w:pPr>
        <w:pStyle w:val="BodyText"/>
        <w:ind w:left="1560"/>
      </w:pPr>
      <w:r>
        <w:t>No sources of similar information are available. There is no duplication of requirements.</w:t>
      </w:r>
    </w:p>
    <w:p w:rsidR="0055276D" w:rsidP="00592E9B" w14:paraId="28681652" w14:textId="77777777">
      <w:pPr>
        <w:pStyle w:val="BodyText"/>
        <w:rPr>
          <w:sz w:val="21"/>
        </w:rPr>
      </w:pPr>
    </w:p>
    <w:p w:rsidR="0055276D" w:rsidP="00592E9B" w14:paraId="28681653" w14:textId="77777777">
      <w:pPr>
        <w:pStyle w:val="ListParagraph"/>
        <w:numPr>
          <w:ilvl w:val="1"/>
          <w:numId w:val="1"/>
        </w:numPr>
        <w:tabs>
          <w:tab w:val="left" w:pos="1559"/>
          <w:tab w:val="left" w:pos="1560"/>
        </w:tabs>
        <w:rPr>
          <w:u w:val="none"/>
        </w:rPr>
      </w:pPr>
      <w:r>
        <w:t>Effort to Reduce Small Business</w:t>
      </w:r>
      <w:r>
        <w:rPr>
          <w:spacing w:val="-1"/>
        </w:rPr>
        <w:t xml:space="preserve"> </w:t>
      </w:r>
      <w:r>
        <w:t>Burden</w:t>
      </w:r>
    </w:p>
    <w:p w:rsidR="0055276D" w:rsidP="00592E9B" w14:paraId="28681654" w14:textId="77777777">
      <w:pPr>
        <w:pStyle w:val="BodyText"/>
        <w:rPr>
          <w:sz w:val="13"/>
        </w:rPr>
      </w:pPr>
    </w:p>
    <w:p w:rsidR="0055276D" w:rsidP="00592E9B" w14:paraId="28681655" w14:textId="08A43429">
      <w:pPr>
        <w:pStyle w:val="BodyText"/>
        <w:ind w:left="1560" w:right="125"/>
      </w:pPr>
      <w:r>
        <w:t>Completion of the NRC Form 64 is required by non-Federal personnel such as consultants, contractors, and NRC invited travelers. This is the minimum information needed to authorize travel for this group.</w:t>
      </w:r>
    </w:p>
    <w:p w:rsidR="0055276D" w:rsidP="00592E9B" w14:paraId="28681656" w14:textId="77777777">
      <w:pPr>
        <w:pStyle w:val="BodyText"/>
        <w:rPr>
          <w:sz w:val="21"/>
        </w:rPr>
      </w:pPr>
    </w:p>
    <w:p w:rsidR="0055276D" w:rsidP="00592E9B" w14:paraId="28681657" w14:textId="77777777">
      <w:pPr>
        <w:pStyle w:val="ListParagraph"/>
        <w:numPr>
          <w:ilvl w:val="1"/>
          <w:numId w:val="1"/>
        </w:numPr>
        <w:tabs>
          <w:tab w:val="left" w:pos="1559"/>
          <w:tab w:val="left" w:pos="1560"/>
        </w:tabs>
        <w:ind w:left="1560" w:right="495"/>
        <w:rPr>
          <w:u w:val="none"/>
        </w:rPr>
      </w:pPr>
      <w:r>
        <w:t>Consequences to Federal Program or Policy Activities if the Collection Is Not Conducted or Is Conducted Less</w:t>
      </w:r>
      <w:r>
        <w:rPr>
          <w:spacing w:val="-1"/>
        </w:rPr>
        <w:t xml:space="preserve"> </w:t>
      </w:r>
      <w:r>
        <w:t>Frequently</w:t>
      </w:r>
    </w:p>
    <w:p w:rsidR="0055276D" w:rsidP="00592E9B" w14:paraId="28681658" w14:textId="77777777">
      <w:pPr>
        <w:pStyle w:val="BodyText"/>
        <w:rPr>
          <w:sz w:val="13"/>
        </w:rPr>
      </w:pPr>
    </w:p>
    <w:p w:rsidR="0055276D" w:rsidP="00592E9B" w14:paraId="28681659" w14:textId="655CF771">
      <w:pPr>
        <w:pStyle w:val="BodyText"/>
        <w:ind w:left="1560" w:right="410"/>
        <w:jc w:val="both"/>
      </w:pPr>
      <w:r>
        <w:t xml:space="preserve">This information is required by GAO, Department of Treasury, and the Federal Travel Regulation in order to reimburse </w:t>
      </w:r>
      <w:r w:rsidR="00232AEC">
        <w:t>travelers</w:t>
      </w:r>
      <w:r>
        <w:t xml:space="preserve"> for expenses associated with their official travel on behalf of the NRC.</w:t>
      </w:r>
    </w:p>
    <w:p w:rsidR="0055276D" w:rsidP="00592E9B" w14:paraId="2868165A" w14:textId="77777777">
      <w:pPr>
        <w:pStyle w:val="BodyText"/>
        <w:rPr>
          <w:sz w:val="21"/>
        </w:rPr>
      </w:pPr>
    </w:p>
    <w:p w:rsidR="0055276D" w:rsidP="00592E9B" w14:paraId="2868165B" w14:textId="77777777">
      <w:pPr>
        <w:pStyle w:val="ListParagraph"/>
        <w:numPr>
          <w:ilvl w:val="1"/>
          <w:numId w:val="1"/>
        </w:numPr>
        <w:tabs>
          <w:tab w:val="left" w:pos="1559"/>
          <w:tab w:val="left" w:pos="1560"/>
        </w:tabs>
        <w:rPr>
          <w:u w:val="none"/>
        </w:rPr>
      </w:pPr>
      <w:r>
        <w:t>Circumstances Which Justify Variation from OMB</w:t>
      </w:r>
      <w:r>
        <w:rPr>
          <w:spacing w:val="-2"/>
        </w:rPr>
        <w:t xml:space="preserve"> </w:t>
      </w:r>
      <w:r>
        <w:t>Guidelines</w:t>
      </w:r>
    </w:p>
    <w:p w:rsidR="0055276D" w:rsidP="00592E9B" w14:paraId="2868165C" w14:textId="77777777">
      <w:pPr>
        <w:pStyle w:val="BodyText"/>
        <w:rPr>
          <w:sz w:val="13"/>
        </w:rPr>
      </w:pPr>
    </w:p>
    <w:p w:rsidR="0055276D" w:rsidP="00592E9B" w14:paraId="2868165D" w14:textId="77777777">
      <w:pPr>
        <w:pStyle w:val="BodyText"/>
        <w:ind w:left="1560"/>
      </w:pPr>
      <w:r>
        <w:t>Not applicable.</w:t>
      </w:r>
    </w:p>
    <w:p w:rsidR="0055276D" w:rsidP="00592E9B" w14:paraId="2868165E" w14:textId="77777777">
      <w:pPr>
        <w:pStyle w:val="BodyText"/>
        <w:rPr>
          <w:sz w:val="21"/>
        </w:rPr>
      </w:pPr>
    </w:p>
    <w:p w:rsidR="0055276D" w:rsidRPr="004C5663" w:rsidP="00592E9B" w14:paraId="2868165F" w14:textId="77777777">
      <w:pPr>
        <w:pStyle w:val="ListParagraph"/>
        <w:numPr>
          <w:ilvl w:val="1"/>
          <w:numId w:val="1"/>
        </w:numPr>
        <w:tabs>
          <w:tab w:val="left" w:pos="1559"/>
          <w:tab w:val="left" w:pos="1560"/>
        </w:tabs>
        <w:rPr>
          <w:u w:val="none"/>
        </w:rPr>
      </w:pPr>
      <w:r w:rsidRPr="004C5663">
        <w:t>Consultations Outside the</w:t>
      </w:r>
      <w:r w:rsidRPr="004C5663">
        <w:rPr>
          <w:spacing w:val="-1"/>
        </w:rPr>
        <w:t xml:space="preserve"> </w:t>
      </w:r>
      <w:r w:rsidRPr="004C5663">
        <w:t>NRC</w:t>
      </w:r>
    </w:p>
    <w:p w:rsidR="0055276D" w:rsidRPr="004C5663" w:rsidP="00592E9B" w14:paraId="28681660" w14:textId="77777777">
      <w:pPr>
        <w:pStyle w:val="BodyText"/>
      </w:pPr>
    </w:p>
    <w:p w:rsidR="00FB19FF" w:rsidP="00592E9B" w14:paraId="5A2D4A6C" w14:textId="1BCB4ABE">
      <w:pPr>
        <w:pStyle w:val="BodyText"/>
        <w:ind w:left="1530"/>
      </w:pPr>
      <w:r>
        <w:t xml:space="preserve">Opportunity for public comment on the information collection requirements for this clearance package was published </w:t>
      </w:r>
      <w:r w:rsidR="00037C95">
        <w:t>i</w:t>
      </w:r>
      <w:r>
        <w:t xml:space="preserve">n the Federal Register on October 2, 2023 (88 FR 67825). </w:t>
      </w:r>
      <w:r w:rsidR="00310F38">
        <w:t>On October 5, 2023</w:t>
      </w:r>
      <w:r w:rsidR="002C0204">
        <w:t xml:space="preserve">, California, Nevada, Connecticut, Nebraska, Georga, Tennessee and Wyoming from the </w:t>
      </w:r>
      <w:r>
        <w:t>Agreement State</w:t>
      </w:r>
      <w:r w:rsidR="00F31442">
        <w:t>s</w:t>
      </w:r>
      <w:r w:rsidR="008F7869">
        <w:t xml:space="preserve">, </w:t>
      </w:r>
      <w:r>
        <w:t>were contacted as part of the consultation process</w:t>
      </w:r>
      <w:r w:rsidR="00E708B4">
        <w:t xml:space="preserve"> </w:t>
      </w:r>
      <w:r w:rsidR="00F31442">
        <w:t xml:space="preserve">by </w:t>
      </w:r>
      <w:r>
        <w:t>the method</w:t>
      </w:r>
      <w:r w:rsidR="00E708B4">
        <w:t xml:space="preserve"> of </w:t>
      </w:r>
      <w:r>
        <w:t>email</w:t>
      </w:r>
      <w:r w:rsidR="00E708B4">
        <w:t xml:space="preserve"> and </w:t>
      </w:r>
      <w:r>
        <w:t>phone</w:t>
      </w:r>
      <w:r w:rsidR="00E708B4">
        <w:t xml:space="preserve"> was</w:t>
      </w:r>
      <w:r>
        <w:t xml:space="preserve"> used to contact them. No comments</w:t>
      </w:r>
      <w:r w:rsidR="007722AB">
        <w:t xml:space="preserve"> or responses</w:t>
      </w:r>
      <w:r>
        <w:t xml:space="preserve"> were received in responses to these consultations.</w:t>
      </w:r>
    </w:p>
    <w:p w:rsidR="00F31442" w:rsidRPr="004C5663" w:rsidP="00592E9B" w14:paraId="2783268A" w14:textId="77777777">
      <w:pPr>
        <w:pStyle w:val="BodyText"/>
        <w:ind w:left="1530"/>
      </w:pPr>
    </w:p>
    <w:p w:rsidR="0055276D" w:rsidRPr="004C5663" w:rsidP="00592E9B" w14:paraId="28681663" w14:textId="77777777">
      <w:pPr>
        <w:pStyle w:val="ListParagraph"/>
        <w:numPr>
          <w:ilvl w:val="1"/>
          <w:numId w:val="1"/>
        </w:numPr>
        <w:tabs>
          <w:tab w:val="left" w:pos="1559"/>
          <w:tab w:val="left" w:pos="1560"/>
        </w:tabs>
        <w:rPr>
          <w:u w:val="none"/>
        </w:rPr>
      </w:pPr>
      <w:r w:rsidRPr="004C5663">
        <w:t>Payment or Gift to</w:t>
      </w:r>
      <w:r w:rsidRPr="004C5663">
        <w:rPr>
          <w:spacing w:val="-1"/>
        </w:rPr>
        <w:t xml:space="preserve"> </w:t>
      </w:r>
      <w:r w:rsidRPr="004C5663">
        <w:t>Respondents</w:t>
      </w:r>
    </w:p>
    <w:p w:rsidR="0055276D" w:rsidRPr="004C5663" w:rsidP="00592E9B" w14:paraId="28681664" w14:textId="77777777">
      <w:pPr>
        <w:pStyle w:val="BodyText"/>
      </w:pPr>
    </w:p>
    <w:p w:rsidR="0055276D" w:rsidRPr="004C5663" w:rsidP="00592E9B" w14:paraId="28681665" w14:textId="77777777">
      <w:pPr>
        <w:pStyle w:val="BodyText"/>
        <w:ind w:left="1560"/>
      </w:pPr>
      <w:r w:rsidRPr="004C5663">
        <w:t>Not Applicable.</w:t>
      </w:r>
    </w:p>
    <w:p w:rsidR="0055276D" w:rsidRPr="004C5663" w:rsidP="00592E9B" w14:paraId="28681666" w14:textId="77777777">
      <w:pPr>
        <w:pStyle w:val="BodyText"/>
      </w:pPr>
    </w:p>
    <w:p w:rsidR="0055276D" w:rsidRPr="004C5663" w:rsidP="00592E9B" w14:paraId="28681667" w14:textId="77777777">
      <w:pPr>
        <w:pStyle w:val="ListParagraph"/>
        <w:numPr>
          <w:ilvl w:val="1"/>
          <w:numId w:val="1"/>
        </w:numPr>
        <w:tabs>
          <w:tab w:val="left" w:pos="1559"/>
          <w:tab w:val="left" w:pos="1560"/>
        </w:tabs>
        <w:rPr>
          <w:u w:val="none"/>
        </w:rPr>
      </w:pPr>
      <w:r w:rsidRPr="004C5663">
        <w:t>Confidentiality of</w:t>
      </w:r>
      <w:r w:rsidRPr="004C5663">
        <w:rPr>
          <w:spacing w:val="-1"/>
        </w:rPr>
        <w:t xml:space="preserve"> </w:t>
      </w:r>
      <w:r w:rsidRPr="004C5663">
        <w:t>Information</w:t>
      </w:r>
    </w:p>
    <w:p w:rsidR="0055276D" w:rsidRPr="004C5663" w:rsidP="00592E9B" w14:paraId="28681668" w14:textId="77777777">
      <w:pPr>
        <w:pStyle w:val="BodyText"/>
      </w:pPr>
    </w:p>
    <w:p w:rsidR="0055276D" w:rsidRPr="004C5663" w:rsidP="00592E9B" w14:paraId="28681669" w14:textId="6D250D85">
      <w:pPr>
        <w:pStyle w:val="BodyText"/>
        <w:ind w:left="1560" w:right="528"/>
      </w:pPr>
      <w:r w:rsidRPr="004C5663">
        <w:t>Confidential and proprietary information is protected in accordance with NRC regulations at 10 CFR 9.17(a) and 10 CFR 2.390(b).</w:t>
      </w:r>
    </w:p>
    <w:p w:rsidR="00655F0B" w:rsidRPr="004C5663" w:rsidP="00592E9B" w14:paraId="41849337" w14:textId="16106E0A">
      <w:pPr>
        <w:pStyle w:val="BodyText"/>
        <w:ind w:left="1560" w:right="528"/>
      </w:pPr>
    </w:p>
    <w:p w:rsidR="0055276D" w:rsidP="00592E9B" w14:paraId="2868166B" w14:textId="4337FE4B">
      <w:pPr>
        <w:pStyle w:val="BodyText"/>
        <w:ind w:left="1560" w:right="822"/>
      </w:pPr>
      <w:r>
        <w:t>This information is maintained in a system of records designated as GSA/GOVT4 -Contracted Travel Services Program and described at 74 Federal Register 26700 (June 3, 2009).</w:t>
      </w:r>
    </w:p>
    <w:p w:rsidR="00592E9B" w:rsidP="00592E9B" w14:paraId="007D0E7E" w14:textId="77777777">
      <w:pPr>
        <w:pStyle w:val="BodyText"/>
        <w:ind w:left="1560" w:right="822"/>
      </w:pPr>
    </w:p>
    <w:p w:rsidR="0055276D" w:rsidP="00592E9B" w14:paraId="2868166D" w14:textId="77777777">
      <w:pPr>
        <w:pStyle w:val="ListParagraph"/>
        <w:numPr>
          <w:ilvl w:val="1"/>
          <w:numId w:val="1"/>
        </w:numPr>
        <w:tabs>
          <w:tab w:val="left" w:pos="1559"/>
          <w:tab w:val="left" w:pos="1560"/>
        </w:tabs>
        <w:rPr>
          <w:u w:val="none"/>
        </w:rPr>
      </w:pPr>
      <w:r>
        <w:t>Justification for Sensitive</w:t>
      </w:r>
      <w:r>
        <w:rPr>
          <w:spacing w:val="-1"/>
        </w:rPr>
        <w:t xml:space="preserve"> </w:t>
      </w:r>
      <w:r>
        <w:t>Questions</w:t>
      </w:r>
    </w:p>
    <w:p w:rsidR="0055276D" w:rsidP="00592E9B" w14:paraId="2868166E" w14:textId="77777777">
      <w:pPr>
        <w:pStyle w:val="BodyText"/>
        <w:rPr>
          <w:sz w:val="13"/>
        </w:rPr>
      </w:pPr>
    </w:p>
    <w:p w:rsidR="00D957D5" w:rsidP="00592E9B" w14:paraId="28681671" w14:textId="5DC1A30E">
      <w:pPr>
        <w:ind w:left="839" w:firstLine="720"/>
      </w:pPr>
      <w:r>
        <w:t>Not applicable.</w:t>
      </w:r>
    </w:p>
    <w:p w:rsidR="00A07004" w:rsidP="00592E9B" w14:paraId="0E28E51B" w14:textId="77777777">
      <w:pPr>
        <w:ind w:left="839" w:firstLine="720"/>
      </w:pPr>
    </w:p>
    <w:p w:rsidR="00A07004" w:rsidP="00592E9B" w14:paraId="0BAFB54B" w14:textId="77777777">
      <w:pPr>
        <w:ind w:left="839" w:firstLine="720"/>
      </w:pPr>
    </w:p>
    <w:p w:rsidR="00A07004" w:rsidP="00592E9B" w14:paraId="217D9E8F" w14:textId="77777777">
      <w:pPr>
        <w:ind w:left="839" w:firstLine="720"/>
      </w:pPr>
    </w:p>
    <w:p w:rsidR="002C62CF" w:rsidP="00592E9B" w14:paraId="68993131" w14:textId="77777777">
      <w:pPr>
        <w:ind w:left="839" w:firstLine="720"/>
        <w:rPr>
          <w:sz w:val="19"/>
        </w:rPr>
      </w:pPr>
    </w:p>
    <w:p w:rsidR="0055276D" w:rsidP="00592E9B" w14:paraId="28681672" w14:textId="4314532F">
      <w:pPr>
        <w:pStyle w:val="ListParagraph"/>
        <w:numPr>
          <w:ilvl w:val="1"/>
          <w:numId w:val="1"/>
        </w:numPr>
        <w:tabs>
          <w:tab w:val="left" w:pos="1559"/>
          <w:tab w:val="left" w:pos="1560"/>
        </w:tabs>
        <w:rPr>
          <w:u w:val="none"/>
        </w:rPr>
      </w:pPr>
      <w:r>
        <w:t>Estimated Burden and Burden Hour</w:t>
      </w:r>
      <w:r>
        <w:rPr>
          <w:spacing w:val="-1"/>
        </w:rPr>
        <w:t xml:space="preserve"> </w:t>
      </w:r>
      <w:r>
        <w:t>Cost</w:t>
      </w:r>
      <w:r w:rsidR="00237532">
        <w:t xml:space="preserve"> </w:t>
      </w:r>
    </w:p>
    <w:p w:rsidR="0055276D" w:rsidP="00592E9B" w14:paraId="28681673" w14:textId="77777777">
      <w:pPr>
        <w:pStyle w:val="BodyText"/>
        <w:rPr>
          <w:sz w:val="13"/>
        </w:rPr>
      </w:pPr>
    </w:p>
    <w:p w:rsidR="002468B6" w:rsidP="00592E9B" w14:paraId="1EF3543F" w14:textId="77777777">
      <w:pPr>
        <w:pStyle w:val="BodyText"/>
        <w:ind w:left="1560" w:right="221"/>
      </w:pPr>
      <w:r>
        <w:t xml:space="preserve">The NRC staff plans to use the NRC Form 64 to exclusively process travel </w:t>
      </w:r>
      <w:r>
        <w:t>reimbursements for travelers from Agreement States</w:t>
      </w:r>
      <w:r w:rsidR="00B85297">
        <w:t xml:space="preserve"> and others traveling on behalf of the NRC</w:t>
      </w:r>
      <w:r>
        <w:t xml:space="preserve">. The staff reviewed data from the previous </w:t>
      </w:r>
      <w:r w:rsidR="00B85297">
        <w:t>4</w:t>
      </w:r>
      <w:r>
        <w:t xml:space="preserve"> years and determined that an average of</w:t>
      </w:r>
      <w:r w:rsidR="00A30909">
        <w:t xml:space="preserve"> </w:t>
      </w:r>
      <w:r w:rsidR="00575324">
        <w:t>700</w:t>
      </w:r>
      <w:r>
        <w:t xml:space="preserve"> travelers will </w:t>
      </w:r>
      <w:r w:rsidR="00A30909">
        <w:t xml:space="preserve">request reimbursement on the form annually. At </w:t>
      </w:r>
      <w:r w:rsidR="00325468">
        <w:t xml:space="preserve">1 </w:t>
      </w:r>
      <w:r w:rsidR="00A30909">
        <w:t xml:space="preserve">hour per form, the estimated burden is </w:t>
      </w:r>
      <w:r w:rsidR="00FA3C42">
        <w:t xml:space="preserve">700 </w:t>
      </w:r>
      <w:r w:rsidR="00A30909">
        <w:t xml:space="preserve">hours at a cost of </w:t>
      </w:r>
      <w:r w:rsidR="000416D4">
        <w:t>$</w:t>
      </w:r>
      <w:r w:rsidR="00FA3C42">
        <w:t>210,000</w:t>
      </w:r>
      <w:r w:rsidR="000416D4">
        <w:t xml:space="preserve"> (</w:t>
      </w:r>
      <w:r w:rsidR="00FA3C42">
        <w:t xml:space="preserve">700 </w:t>
      </w:r>
      <w:r w:rsidR="000416D4">
        <w:t>hours x $</w:t>
      </w:r>
      <w:r w:rsidR="00FA3C42">
        <w:t>300</w:t>
      </w:r>
      <w:r w:rsidR="000416D4">
        <w:t>/hr.)</w:t>
      </w:r>
      <w:r w:rsidR="00836342">
        <w:t xml:space="preserve"> </w:t>
      </w:r>
    </w:p>
    <w:p w:rsidR="00836342" w:rsidP="00592E9B" w14:paraId="78C99AD6" w14:textId="4F91944E">
      <w:pPr>
        <w:pStyle w:val="BodyText"/>
        <w:ind w:left="1560" w:right="221"/>
      </w:pPr>
      <w:r>
        <w:t xml:space="preserve"> </w:t>
      </w:r>
    </w:p>
    <w:p w:rsidR="00836342" w:rsidP="00592E9B" w14:paraId="00A5C8DA" w14:textId="709D4353">
      <w:pPr>
        <w:pStyle w:val="BodyText"/>
        <w:ind w:left="1560" w:right="221"/>
        <w:rPr>
          <w:rFonts w:eastAsia="Times New Roman"/>
          <w:color w:val="01203B"/>
          <w:shd w:val="clear" w:color="auto" w:fill="FFFFFF"/>
        </w:rPr>
      </w:pPr>
      <w:r>
        <w:t>The $300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2023 (</w:t>
      </w:r>
      <w:r>
        <w:rPr>
          <w:rFonts w:eastAsia="Times New Roman"/>
          <w:color w:val="01203B"/>
          <w:shd w:val="clear" w:color="auto" w:fill="FFFFFF"/>
        </w:rPr>
        <w:t>88 FR 39120, June 15, 2023).</w:t>
      </w:r>
    </w:p>
    <w:p w:rsidR="00592E9B" w:rsidP="00592E9B" w14:paraId="4B959A8C" w14:textId="77777777">
      <w:pPr>
        <w:pStyle w:val="BodyText"/>
        <w:ind w:left="1560" w:right="221"/>
        <w:rPr>
          <w:rFonts w:eastAsia="Times New Roman"/>
          <w:color w:val="01203B"/>
          <w:shd w:val="clear" w:color="auto" w:fill="FFFFFF"/>
        </w:rPr>
      </w:pPr>
    </w:p>
    <w:p w:rsidR="0055276D" w:rsidP="00592E9B" w14:paraId="28681676" w14:textId="6DF950ED">
      <w:pPr>
        <w:pStyle w:val="BodyText"/>
        <w:numPr>
          <w:ilvl w:val="1"/>
          <w:numId w:val="1"/>
        </w:numPr>
        <w:ind w:right="221"/>
      </w:pPr>
      <w:r>
        <w:t>Estimate of Other Additional</w:t>
      </w:r>
      <w:r w:rsidRPr="00592E9B">
        <w:rPr>
          <w:spacing w:val="-1"/>
        </w:rPr>
        <w:t xml:space="preserve"> </w:t>
      </w:r>
      <w:r>
        <w:t>Costs</w:t>
      </w:r>
    </w:p>
    <w:p w:rsidR="0055276D" w:rsidP="00592E9B" w14:paraId="28681677" w14:textId="77777777">
      <w:pPr>
        <w:pStyle w:val="BodyText"/>
        <w:rPr>
          <w:sz w:val="13"/>
        </w:rPr>
      </w:pPr>
    </w:p>
    <w:p w:rsidR="0055276D" w:rsidP="00592E9B" w14:paraId="28681678" w14:textId="0D66BD6A">
      <w:pPr>
        <w:pStyle w:val="BodyText"/>
        <w:ind w:left="1559"/>
      </w:pPr>
      <w:r>
        <w:t>There are no additional costs.</w:t>
      </w:r>
    </w:p>
    <w:p w:rsidR="0055276D" w:rsidP="00592E9B" w14:paraId="28681679" w14:textId="77777777">
      <w:pPr>
        <w:pStyle w:val="BodyText"/>
        <w:rPr>
          <w:sz w:val="24"/>
        </w:rPr>
      </w:pPr>
    </w:p>
    <w:p w:rsidR="0055276D" w:rsidP="00592E9B" w14:paraId="2868167B" w14:textId="49906234">
      <w:pPr>
        <w:pStyle w:val="ListParagraph"/>
        <w:numPr>
          <w:ilvl w:val="1"/>
          <w:numId w:val="1"/>
        </w:numPr>
        <w:tabs>
          <w:tab w:val="left" w:pos="1559"/>
          <w:tab w:val="left" w:pos="1560"/>
        </w:tabs>
        <w:rPr>
          <w:u w:val="none"/>
        </w:rPr>
      </w:pPr>
      <w:r>
        <w:t>Estimated Annualized Cost to the Federal</w:t>
      </w:r>
      <w:r>
        <w:rPr>
          <w:spacing w:val="-2"/>
        </w:rPr>
        <w:t xml:space="preserve"> </w:t>
      </w:r>
      <w:r>
        <w:t>Government</w:t>
      </w:r>
      <w:r w:rsidR="00237532">
        <w:t xml:space="preserve"> </w:t>
      </w:r>
    </w:p>
    <w:p w:rsidR="0055276D" w:rsidP="00592E9B" w14:paraId="2868167C" w14:textId="77777777">
      <w:pPr>
        <w:pStyle w:val="BodyText"/>
        <w:rPr>
          <w:sz w:val="13"/>
        </w:rPr>
      </w:pPr>
    </w:p>
    <w:p w:rsidR="0055276D" w:rsidP="00592E9B" w14:paraId="2868167D" w14:textId="0F5CBFC0">
      <w:pPr>
        <w:pStyle w:val="BodyText"/>
        <w:ind w:left="1560" w:right="125"/>
      </w:pPr>
      <w:r>
        <w:t xml:space="preserve">It is estimated that NRC staff will spend </w:t>
      </w:r>
      <w:r w:rsidR="00231B86">
        <w:t>0</w:t>
      </w:r>
      <w:r>
        <w:t xml:space="preserve">.5 hour reviewing and assessing each NRC Form 64. The total annualized cost to the NRC for these forms is </w:t>
      </w:r>
      <w:r w:rsidR="005C56A8">
        <w:t>$</w:t>
      </w:r>
      <w:r w:rsidR="00FA3C42">
        <w:t>105,000</w:t>
      </w:r>
      <w:r>
        <w:t xml:space="preserve"> (</w:t>
      </w:r>
      <w:r w:rsidR="00FA3C42">
        <w:t xml:space="preserve">350 </w:t>
      </w:r>
      <w:r>
        <w:t xml:space="preserve">staff </w:t>
      </w:r>
      <w:r w:rsidR="006E6C3E">
        <w:t>hrs.</w:t>
      </w:r>
      <w:r>
        <w:t xml:space="preserve"> x $</w:t>
      </w:r>
      <w:r w:rsidR="00FA3C42">
        <w:t>300</w:t>
      </w:r>
      <w:r>
        <w:t>/hr).</w:t>
      </w:r>
    </w:p>
    <w:p w:rsidR="0055276D" w:rsidP="00592E9B" w14:paraId="2868167E" w14:textId="77777777">
      <w:pPr>
        <w:pStyle w:val="BodyText"/>
        <w:rPr>
          <w:sz w:val="21"/>
        </w:rPr>
      </w:pPr>
    </w:p>
    <w:p w:rsidR="0055276D" w:rsidP="00592E9B" w14:paraId="2868167F" w14:textId="77777777">
      <w:pPr>
        <w:pStyle w:val="ListParagraph"/>
        <w:numPr>
          <w:ilvl w:val="1"/>
          <w:numId w:val="1"/>
        </w:numPr>
        <w:tabs>
          <w:tab w:val="left" w:pos="1559"/>
          <w:tab w:val="left" w:pos="1560"/>
        </w:tabs>
        <w:rPr>
          <w:u w:val="none"/>
        </w:rPr>
      </w:pPr>
      <w:r>
        <w:t>Reasons for Changes in Burden or</w:t>
      </w:r>
      <w:r>
        <w:rPr>
          <w:spacing w:val="-1"/>
        </w:rPr>
        <w:t xml:space="preserve"> </w:t>
      </w:r>
      <w:r>
        <w:t>Cost</w:t>
      </w:r>
    </w:p>
    <w:p w:rsidR="0055276D" w:rsidP="00592E9B" w14:paraId="28681680" w14:textId="77777777">
      <w:pPr>
        <w:pStyle w:val="BodyText"/>
        <w:rPr>
          <w:sz w:val="13"/>
        </w:rPr>
      </w:pPr>
    </w:p>
    <w:p w:rsidR="003E3A75" w:rsidP="00592E9B" w14:paraId="218FD0EC" w14:textId="693530EF">
      <w:pPr>
        <w:pStyle w:val="BodyText"/>
        <w:ind w:left="1555" w:right="216"/>
      </w:pPr>
      <w:r>
        <w:t xml:space="preserve">There has been an increase in burden from </w:t>
      </w:r>
      <w:r w:rsidR="00FA3C42">
        <w:t xml:space="preserve">500 </w:t>
      </w:r>
      <w:r>
        <w:t xml:space="preserve">hours and </w:t>
      </w:r>
      <w:r w:rsidR="00FA3C42">
        <w:t xml:space="preserve">500 </w:t>
      </w:r>
      <w:r>
        <w:t>responses to</w:t>
      </w:r>
      <w:r w:rsidR="00E557F3">
        <w:t xml:space="preserve"> </w:t>
      </w:r>
      <w:r w:rsidR="00FA3C42">
        <w:t xml:space="preserve">700 </w:t>
      </w:r>
      <w:r>
        <w:t xml:space="preserve">hours and </w:t>
      </w:r>
      <w:r w:rsidR="00FA3C42">
        <w:t xml:space="preserve">700 </w:t>
      </w:r>
      <w:r>
        <w:t>responses, a</w:t>
      </w:r>
      <w:r>
        <w:t xml:space="preserve">n increase of </w:t>
      </w:r>
      <w:r w:rsidR="00FA3C42">
        <w:t xml:space="preserve">200 </w:t>
      </w:r>
      <w:r>
        <w:t xml:space="preserve">hours and </w:t>
      </w:r>
      <w:r w:rsidR="00FA3C42">
        <w:t xml:space="preserve">200 </w:t>
      </w:r>
      <w:r>
        <w:t>responses.</w:t>
      </w:r>
      <w:r w:rsidR="0018312D">
        <w:t xml:space="preserve">  This change is attributed to </w:t>
      </w:r>
      <w:r w:rsidR="00C62BCE">
        <w:t xml:space="preserve">a thorough review of travel records during the current clearance cycle to calculate the average number of Agreement State travelers during a typical year. </w:t>
      </w:r>
      <w:r w:rsidR="00E8394A">
        <w:t xml:space="preserve">In addition, there are three new </w:t>
      </w:r>
      <w:r w:rsidR="00811D08">
        <w:t xml:space="preserve">States with their </w:t>
      </w:r>
      <w:r w:rsidR="00E8394A">
        <w:t>letter of intents to become an Agreement State</w:t>
      </w:r>
      <w:r w:rsidR="00811D08">
        <w:t xml:space="preserve"> in for review</w:t>
      </w:r>
      <w:r w:rsidR="00E8394A">
        <w:t>. Until the State agreement</w:t>
      </w:r>
      <w:r w:rsidR="002B2596">
        <w:t>(s)</w:t>
      </w:r>
      <w:r w:rsidR="00E8394A">
        <w:t xml:space="preserve"> are signed, we train/travel those State staff along with our regular States. </w:t>
      </w:r>
      <w:r w:rsidR="00C62BCE">
        <w:t xml:space="preserve">This records review indicated that an average of </w:t>
      </w:r>
      <w:r w:rsidR="00855FFE">
        <w:t>70</w:t>
      </w:r>
      <w:r w:rsidR="00FA3C42">
        <w:t xml:space="preserve">0 </w:t>
      </w:r>
      <w:r w:rsidR="00C62BCE">
        <w:t>travelers annually submit the form.</w:t>
      </w:r>
    </w:p>
    <w:p w:rsidR="00592E9B" w:rsidP="00592E9B" w14:paraId="2BAA42DE" w14:textId="77777777">
      <w:pPr>
        <w:pStyle w:val="BodyText"/>
        <w:ind w:left="1555" w:right="216"/>
      </w:pPr>
    </w:p>
    <w:p w:rsidR="0055276D" w:rsidP="00592E9B" w14:paraId="28681681" w14:textId="22433365">
      <w:pPr>
        <w:pStyle w:val="BodyText"/>
        <w:ind w:left="1555" w:right="216"/>
      </w:pPr>
      <w:r>
        <w:t>Finally</w:t>
      </w:r>
      <w:r w:rsidR="0018312D">
        <w:t xml:space="preserve">, there has been an increase in burden from </w:t>
      </w:r>
      <w:r w:rsidR="00836342">
        <w:t>$</w:t>
      </w:r>
      <w:r w:rsidR="00FA3C42">
        <w:t>279</w:t>
      </w:r>
      <w:r w:rsidR="0018312D">
        <w:t>/</w:t>
      </w:r>
      <w:r w:rsidR="006E6C3E">
        <w:t>hr.</w:t>
      </w:r>
      <w:r w:rsidR="0018312D">
        <w:t xml:space="preserve"> to</w:t>
      </w:r>
      <w:r w:rsidR="00836342">
        <w:t xml:space="preserve"> $</w:t>
      </w:r>
      <w:r w:rsidR="00FA3C42">
        <w:t>300</w:t>
      </w:r>
      <w:r w:rsidR="0018312D">
        <w:t>/hr.</w:t>
      </w:r>
    </w:p>
    <w:p w:rsidR="0055276D" w:rsidP="00592E9B" w14:paraId="28681683" w14:textId="77777777">
      <w:pPr>
        <w:pStyle w:val="BodyText"/>
        <w:rPr>
          <w:sz w:val="19"/>
        </w:rPr>
      </w:pPr>
    </w:p>
    <w:p w:rsidR="0055276D" w:rsidP="00592E9B" w14:paraId="28681684" w14:textId="77777777">
      <w:pPr>
        <w:pStyle w:val="ListParagraph"/>
        <w:numPr>
          <w:ilvl w:val="1"/>
          <w:numId w:val="1"/>
        </w:numPr>
        <w:tabs>
          <w:tab w:val="left" w:pos="1559"/>
          <w:tab w:val="left" w:pos="1560"/>
        </w:tabs>
        <w:ind w:hanging="721"/>
        <w:rPr>
          <w:u w:val="none"/>
        </w:rPr>
      </w:pPr>
      <w:r>
        <w:t>Publication for Statistical</w:t>
      </w:r>
      <w:r>
        <w:rPr>
          <w:spacing w:val="-1"/>
        </w:rPr>
        <w:t xml:space="preserve"> </w:t>
      </w:r>
      <w:r>
        <w:t>Use</w:t>
      </w:r>
    </w:p>
    <w:p w:rsidR="0055276D" w:rsidP="00592E9B" w14:paraId="28681685" w14:textId="77777777">
      <w:pPr>
        <w:pStyle w:val="BodyText"/>
        <w:rPr>
          <w:sz w:val="13"/>
        </w:rPr>
      </w:pPr>
    </w:p>
    <w:p w:rsidR="0055276D" w:rsidP="00592E9B" w14:paraId="28681686" w14:textId="77777777">
      <w:pPr>
        <w:pStyle w:val="BodyText"/>
        <w:ind w:left="1560"/>
      </w:pPr>
      <w:r>
        <w:t>None.</w:t>
      </w:r>
    </w:p>
    <w:p w:rsidR="0055276D" w:rsidP="00592E9B" w14:paraId="28681687" w14:textId="77777777">
      <w:pPr>
        <w:pStyle w:val="BodyText"/>
        <w:rPr>
          <w:sz w:val="21"/>
        </w:rPr>
      </w:pPr>
    </w:p>
    <w:p w:rsidR="0055276D" w:rsidP="00592E9B" w14:paraId="28681688" w14:textId="77777777">
      <w:pPr>
        <w:pStyle w:val="ListParagraph"/>
        <w:numPr>
          <w:ilvl w:val="1"/>
          <w:numId w:val="1"/>
        </w:numPr>
        <w:tabs>
          <w:tab w:val="left" w:pos="1559"/>
          <w:tab w:val="left" w:pos="1560"/>
        </w:tabs>
        <w:rPr>
          <w:u w:val="none"/>
        </w:rPr>
      </w:pPr>
      <w:r>
        <w:t>Reason for Not Displaying the Expiration</w:t>
      </w:r>
      <w:r>
        <w:rPr>
          <w:spacing w:val="-1"/>
        </w:rPr>
        <w:t xml:space="preserve"> </w:t>
      </w:r>
      <w:r>
        <w:t>Date</w:t>
      </w:r>
    </w:p>
    <w:p w:rsidR="0055276D" w:rsidP="00592E9B" w14:paraId="28681689" w14:textId="77777777">
      <w:pPr>
        <w:pStyle w:val="BodyText"/>
        <w:rPr>
          <w:sz w:val="13"/>
        </w:rPr>
      </w:pPr>
    </w:p>
    <w:p w:rsidR="0055276D" w:rsidP="00592E9B" w14:paraId="2868168A" w14:textId="77777777">
      <w:pPr>
        <w:pStyle w:val="BodyText"/>
        <w:ind w:left="1560"/>
      </w:pPr>
      <w:r>
        <w:t>The expiration date is displayed.</w:t>
      </w:r>
    </w:p>
    <w:p w:rsidR="0055276D" w:rsidP="00592E9B" w14:paraId="2868168B" w14:textId="77777777">
      <w:pPr>
        <w:pStyle w:val="BodyText"/>
        <w:rPr>
          <w:sz w:val="21"/>
        </w:rPr>
      </w:pPr>
    </w:p>
    <w:p w:rsidR="0055276D" w:rsidP="00592E9B" w14:paraId="2868168C" w14:textId="77777777">
      <w:pPr>
        <w:pStyle w:val="ListParagraph"/>
        <w:numPr>
          <w:ilvl w:val="1"/>
          <w:numId w:val="1"/>
        </w:numPr>
        <w:tabs>
          <w:tab w:val="left" w:pos="1559"/>
          <w:tab w:val="left" w:pos="1560"/>
        </w:tabs>
        <w:ind w:hanging="721"/>
        <w:rPr>
          <w:u w:val="none"/>
        </w:rPr>
      </w:pPr>
      <w:r>
        <w:t>Exceptions to the Certification</w:t>
      </w:r>
      <w:r>
        <w:rPr>
          <w:spacing w:val="-1"/>
        </w:rPr>
        <w:t xml:space="preserve"> </w:t>
      </w:r>
      <w:r>
        <w:t>Statement</w:t>
      </w:r>
    </w:p>
    <w:p w:rsidR="0055276D" w:rsidP="00592E9B" w14:paraId="2868168D" w14:textId="77777777">
      <w:pPr>
        <w:pStyle w:val="BodyText"/>
        <w:rPr>
          <w:sz w:val="13"/>
        </w:rPr>
      </w:pPr>
    </w:p>
    <w:p w:rsidR="0055276D" w:rsidP="00592E9B" w14:paraId="2868168E" w14:textId="77777777">
      <w:pPr>
        <w:pStyle w:val="BodyText"/>
        <w:ind w:left="1560"/>
      </w:pPr>
      <w:r>
        <w:t>None.</w:t>
      </w:r>
    </w:p>
    <w:p w:rsidR="00A07004" w:rsidP="00592E9B" w14:paraId="50E1497B" w14:textId="77777777">
      <w:pPr>
        <w:pStyle w:val="BodyText"/>
        <w:ind w:left="1560"/>
      </w:pPr>
    </w:p>
    <w:p w:rsidR="00A07004" w:rsidP="00592E9B" w14:paraId="2B459F73" w14:textId="77777777">
      <w:pPr>
        <w:pStyle w:val="BodyText"/>
        <w:ind w:left="1560"/>
      </w:pPr>
    </w:p>
    <w:p w:rsidR="0055276D" w:rsidP="00592E9B" w14:paraId="2868168F" w14:textId="77777777">
      <w:pPr>
        <w:pStyle w:val="BodyText"/>
        <w:rPr>
          <w:sz w:val="21"/>
        </w:rPr>
      </w:pPr>
    </w:p>
    <w:p w:rsidR="000956E5" w:rsidP="00592E9B" w14:paraId="792C230D" w14:textId="77777777">
      <w:pPr>
        <w:pStyle w:val="ListParagraph"/>
        <w:numPr>
          <w:ilvl w:val="0"/>
          <w:numId w:val="1"/>
        </w:numPr>
        <w:tabs>
          <w:tab w:val="left" w:pos="839"/>
          <w:tab w:val="left" w:pos="840"/>
        </w:tabs>
        <w:ind w:left="839" w:right="1394" w:hanging="720"/>
        <w:rPr>
          <w:u w:val="none"/>
        </w:rPr>
      </w:pPr>
      <w:r>
        <w:rPr>
          <w:u w:val="none"/>
        </w:rPr>
        <w:t>COLLECTION OF INFORMATION EMPLOYING STATISTICAL</w:t>
      </w:r>
      <w:r>
        <w:rPr>
          <w:spacing w:val="-43"/>
          <w:u w:val="none"/>
        </w:rPr>
        <w:t xml:space="preserve"> </w:t>
      </w:r>
      <w:r>
        <w:rPr>
          <w:u w:val="none"/>
        </w:rPr>
        <w:t xml:space="preserve">METHODS </w:t>
      </w:r>
    </w:p>
    <w:p w:rsidR="000956E5" w:rsidP="00031635" w14:paraId="7D340469" w14:textId="77777777">
      <w:pPr>
        <w:pStyle w:val="ListParagraph"/>
        <w:tabs>
          <w:tab w:val="left" w:pos="839"/>
          <w:tab w:val="left" w:pos="840"/>
        </w:tabs>
        <w:ind w:left="839" w:right="1394" w:firstLine="0"/>
        <w:rPr>
          <w:u w:val="none"/>
        </w:rPr>
      </w:pPr>
    </w:p>
    <w:p w:rsidR="0055276D" w:rsidP="00031635" w14:paraId="28681690" w14:textId="2D49A462">
      <w:pPr>
        <w:pStyle w:val="ListParagraph"/>
        <w:tabs>
          <w:tab w:val="left" w:pos="839"/>
          <w:tab w:val="left" w:pos="840"/>
        </w:tabs>
        <w:ind w:left="839" w:right="1394" w:firstLine="0"/>
        <w:rPr>
          <w:u w:val="none"/>
        </w:rPr>
      </w:pPr>
      <w:r>
        <w:rPr>
          <w:u w:val="none"/>
        </w:rPr>
        <w:t>Statistical methods are not used in this collection of</w:t>
      </w:r>
      <w:r>
        <w:rPr>
          <w:spacing w:val="-4"/>
          <w:u w:val="none"/>
        </w:rPr>
        <w:t xml:space="preserve"> </w:t>
      </w:r>
      <w:r>
        <w:rPr>
          <w:u w:val="none"/>
        </w:rPr>
        <w:t>information.</w:t>
      </w:r>
    </w:p>
    <w:sectPr>
      <w:footerReference w:type="default" r:id="rId8"/>
      <w:pgSz w:w="12240" w:h="15840"/>
      <w:pgMar w:top="1500" w:right="1340" w:bottom="1700" w:left="1320" w:header="0" w:footer="15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76D" w14:paraId="28681691" w14:textId="196C31E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3810000</wp:posOffset>
              </wp:positionH>
              <wp:positionV relativeFrom="page">
                <wp:posOffset>8961755</wp:posOffset>
              </wp:positionV>
              <wp:extent cx="1524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4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5276D" w14:textId="77777777">
                          <w:pPr>
                            <w:spacing w:before="10"/>
                            <w:ind w:left="60"/>
                            <w:rPr>
                              <w:rFonts w:ascii="Times New Roman"/>
                              <w:sz w:val="24"/>
                            </w:rPr>
                          </w:pPr>
                          <w:r>
                            <w:fldChar w:fldCharType="begin"/>
                          </w:r>
                          <w:r>
                            <w:rPr>
                              <w:rFonts w:ascii="Times New Roman"/>
                              <w:sz w:val="24"/>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pt;height:15.3pt;margin-top:705.65pt;margin-left:30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5276D" w14:paraId="28681693" w14:textId="77777777">
                    <w:pPr>
                      <w:spacing w:before="10"/>
                      <w:ind w:left="60"/>
                      <w:rPr>
                        <w:rFonts w:ascii="Times New Roman"/>
                        <w:sz w:val="24"/>
                      </w:rPr>
                    </w:pPr>
                    <w:r>
                      <w:fldChar w:fldCharType="begin"/>
                    </w:r>
                    <w:r>
                      <w:rPr>
                        <w:rFonts w:ascii="Times New Roman"/>
                        <w:sz w:val="24"/>
                      </w:rP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EF2D7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C287B6F"/>
    <w:multiLevelType w:val="hybridMultilevel"/>
    <w:tmpl w:val="6D028050"/>
    <w:lvl w:ilvl="0">
      <w:start w:val="1"/>
      <w:numFmt w:val="upperLetter"/>
      <w:lvlText w:val="%1."/>
      <w:lvlJc w:val="left"/>
      <w:pPr>
        <w:ind w:left="840" w:hanging="721"/>
      </w:pPr>
      <w:rPr>
        <w:rFonts w:ascii="Arial" w:eastAsia="Arial" w:hAnsi="Arial" w:cs="Arial" w:hint="default"/>
        <w:w w:val="99"/>
        <w:sz w:val="22"/>
        <w:szCs w:val="22"/>
      </w:rPr>
    </w:lvl>
    <w:lvl w:ilvl="1">
      <w:start w:val="1"/>
      <w:numFmt w:val="decimal"/>
      <w:lvlText w:val="%2."/>
      <w:lvlJc w:val="left"/>
      <w:pPr>
        <w:ind w:left="1559" w:hanging="720"/>
      </w:pPr>
      <w:rPr>
        <w:rFonts w:ascii="Arial" w:eastAsia="Arial" w:hAnsi="Arial" w:cs="Arial" w:hint="default"/>
        <w:w w:val="99"/>
        <w:sz w:val="22"/>
        <w:szCs w:val="22"/>
      </w:rPr>
    </w:lvl>
    <w:lvl w:ilvl="2">
      <w:start w:val="0"/>
      <w:numFmt w:val="bullet"/>
      <w:lvlText w:val="•"/>
      <w:lvlJc w:val="left"/>
      <w:pPr>
        <w:ind w:left="2451" w:hanging="720"/>
      </w:pPr>
      <w:rPr>
        <w:rFonts w:hint="default"/>
      </w:rPr>
    </w:lvl>
    <w:lvl w:ilvl="3">
      <w:start w:val="0"/>
      <w:numFmt w:val="bullet"/>
      <w:lvlText w:val="•"/>
      <w:lvlJc w:val="left"/>
      <w:pPr>
        <w:ind w:left="3342" w:hanging="720"/>
      </w:pPr>
      <w:rPr>
        <w:rFonts w:hint="default"/>
      </w:rPr>
    </w:lvl>
    <w:lvl w:ilvl="4">
      <w:start w:val="0"/>
      <w:numFmt w:val="bullet"/>
      <w:lvlText w:val="•"/>
      <w:lvlJc w:val="left"/>
      <w:pPr>
        <w:ind w:left="4233" w:hanging="720"/>
      </w:pPr>
      <w:rPr>
        <w:rFonts w:hint="default"/>
      </w:rPr>
    </w:lvl>
    <w:lvl w:ilvl="5">
      <w:start w:val="0"/>
      <w:numFmt w:val="bullet"/>
      <w:lvlText w:val="•"/>
      <w:lvlJc w:val="left"/>
      <w:pPr>
        <w:ind w:left="5124" w:hanging="720"/>
      </w:pPr>
      <w:rPr>
        <w:rFonts w:hint="default"/>
      </w:rPr>
    </w:lvl>
    <w:lvl w:ilvl="6">
      <w:start w:val="0"/>
      <w:numFmt w:val="bullet"/>
      <w:lvlText w:val="•"/>
      <w:lvlJc w:val="left"/>
      <w:pPr>
        <w:ind w:left="6015" w:hanging="720"/>
      </w:pPr>
      <w:rPr>
        <w:rFonts w:hint="default"/>
      </w:rPr>
    </w:lvl>
    <w:lvl w:ilvl="7">
      <w:start w:val="0"/>
      <w:numFmt w:val="bullet"/>
      <w:lvlText w:val="•"/>
      <w:lvlJc w:val="left"/>
      <w:pPr>
        <w:ind w:left="6906" w:hanging="720"/>
      </w:pPr>
      <w:rPr>
        <w:rFonts w:hint="default"/>
      </w:rPr>
    </w:lvl>
    <w:lvl w:ilvl="8">
      <w:start w:val="0"/>
      <w:numFmt w:val="bullet"/>
      <w:lvlText w:val="•"/>
      <w:lvlJc w:val="left"/>
      <w:pPr>
        <w:ind w:left="7797" w:hanging="720"/>
      </w:pPr>
      <w:rPr>
        <w:rFonts w:hint="default"/>
      </w:rPr>
    </w:lvl>
  </w:abstractNum>
  <w:num w:numId="1" w16cid:durableId="1219973138">
    <w:abstractNumId w:val="1"/>
  </w:num>
  <w:num w:numId="2" w16cid:durableId="164773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6D"/>
    <w:rsid w:val="000310BA"/>
    <w:rsid w:val="00031635"/>
    <w:rsid w:val="00037C95"/>
    <w:rsid w:val="000416D4"/>
    <w:rsid w:val="00067FEC"/>
    <w:rsid w:val="000956E5"/>
    <w:rsid w:val="00101980"/>
    <w:rsid w:val="00113C54"/>
    <w:rsid w:val="00171C83"/>
    <w:rsid w:val="00181825"/>
    <w:rsid w:val="0018312D"/>
    <w:rsid w:val="00186D38"/>
    <w:rsid w:val="001A26AE"/>
    <w:rsid w:val="001C3180"/>
    <w:rsid w:val="001D12AB"/>
    <w:rsid w:val="00231B86"/>
    <w:rsid w:val="00232AEC"/>
    <w:rsid w:val="002371B4"/>
    <w:rsid w:val="00237532"/>
    <w:rsid w:val="002468B6"/>
    <w:rsid w:val="002A37DA"/>
    <w:rsid w:val="002B2596"/>
    <w:rsid w:val="002C0204"/>
    <w:rsid w:val="002C62CF"/>
    <w:rsid w:val="002F0937"/>
    <w:rsid w:val="002F2895"/>
    <w:rsid w:val="003011BB"/>
    <w:rsid w:val="003027E1"/>
    <w:rsid w:val="00310F38"/>
    <w:rsid w:val="00325468"/>
    <w:rsid w:val="00336946"/>
    <w:rsid w:val="00342DC7"/>
    <w:rsid w:val="003556C2"/>
    <w:rsid w:val="00360C99"/>
    <w:rsid w:val="00395D47"/>
    <w:rsid w:val="003C7244"/>
    <w:rsid w:val="003E3A75"/>
    <w:rsid w:val="00403E84"/>
    <w:rsid w:val="00456DB8"/>
    <w:rsid w:val="00470DEA"/>
    <w:rsid w:val="004B230F"/>
    <w:rsid w:val="004C5663"/>
    <w:rsid w:val="004F122B"/>
    <w:rsid w:val="0055276D"/>
    <w:rsid w:val="005627ED"/>
    <w:rsid w:val="005629BE"/>
    <w:rsid w:val="00575324"/>
    <w:rsid w:val="00580875"/>
    <w:rsid w:val="00592E9B"/>
    <w:rsid w:val="00593152"/>
    <w:rsid w:val="005C56A8"/>
    <w:rsid w:val="005D7324"/>
    <w:rsid w:val="005E02A3"/>
    <w:rsid w:val="005E6FDA"/>
    <w:rsid w:val="00601394"/>
    <w:rsid w:val="00603FB2"/>
    <w:rsid w:val="00651B5F"/>
    <w:rsid w:val="00655F0B"/>
    <w:rsid w:val="00685522"/>
    <w:rsid w:val="006A7955"/>
    <w:rsid w:val="006B516B"/>
    <w:rsid w:val="006B70DF"/>
    <w:rsid w:val="006E6C3E"/>
    <w:rsid w:val="00760734"/>
    <w:rsid w:val="007722AB"/>
    <w:rsid w:val="00782296"/>
    <w:rsid w:val="007A1A95"/>
    <w:rsid w:val="007D1250"/>
    <w:rsid w:val="00811D08"/>
    <w:rsid w:val="00836342"/>
    <w:rsid w:val="008547A6"/>
    <w:rsid w:val="00855FFE"/>
    <w:rsid w:val="008A3A37"/>
    <w:rsid w:val="008A6FB5"/>
    <w:rsid w:val="008D5CD2"/>
    <w:rsid w:val="008F0512"/>
    <w:rsid w:val="008F7869"/>
    <w:rsid w:val="0090292B"/>
    <w:rsid w:val="00927098"/>
    <w:rsid w:val="00934229"/>
    <w:rsid w:val="00945587"/>
    <w:rsid w:val="009458AC"/>
    <w:rsid w:val="00954A77"/>
    <w:rsid w:val="00975B60"/>
    <w:rsid w:val="009B601D"/>
    <w:rsid w:val="009C1903"/>
    <w:rsid w:val="00A03802"/>
    <w:rsid w:val="00A07004"/>
    <w:rsid w:val="00A077D0"/>
    <w:rsid w:val="00A30909"/>
    <w:rsid w:val="00A60DDE"/>
    <w:rsid w:val="00A85B29"/>
    <w:rsid w:val="00A91061"/>
    <w:rsid w:val="00AB4A35"/>
    <w:rsid w:val="00B02D7E"/>
    <w:rsid w:val="00B31523"/>
    <w:rsid w:val="00B85297"/>
    <w:rsid w:val="00BA6165"/>
    <w:rsid w:val="00BA6F56"/>
    <w:rsid w:val="00BD01D7"/>
    <w:rsid w:val="00BD2E2C"/>
    <w:rsid w:val="00C018D2"/>
    <w:rsid w:val="00C12184"/>
    <w:rsid w:val="00C37CFC"/>
    <w:rsid w:val="00C53871"/>
    <w:rsid w:val="00C62BCE"/>
    <w:rsid w:val="00CB4664"/>
    <w:rsid w:val="00CE0560"/>
    <w:rsid w:val="00CE31BC"/>
    <w:rsid w:val="00D1232C"/>
    <w:rsid w:val="00D12585"/>
    <w:rsid w:val="00D20750"/>
    <w:rsid w:val="00D3330A"/>
    <w:rsid w:val="00D44390"/>
    <w:rsid w:val="00D51BF4"/>
    <w:rsid w:val="00D81AF0"/>
    <w:rsid w:val="00D957D5"/>
    <w:rsid w:val="00DA24E1"/>
    <w:rsid w:val="00DA325B"/>
    <w:rsid w:val="00DA3F48"/>
    <w:rsid w:val="00DA5712"/>
    <w:rsid w:val="00DC10AB"/>
    <w:rsid w:val="00DD4D22"/>
    <w:rsid w:val="00E47E03"/>
    <w:rsid w:val="00E557F3"/>
    <w:rsid w:val="00E708B4"/>
    <w:rsid w:val="00E70E6E"/>
    <w:rsid w:val="00E80962"/>
    <w:rsid w:val="00E8394A"/>
    <w:rsid w:val="00E87343"/>
    <w:rsid w:val="00E92EC3"/>
    <w:rsid w:val="00EA3075"/>
    <w:rsid w:val="00EB1DA4"/>
    <w:rsid w:val="00EF23D8"/>
    <w:rsid w:val="00EF770A"/>
    <w:rsid w:val="00F07F76"/>
    <w:rsid w:val="00F20849"/>
    <w:rsid w:val="00F24C67"/>
    <w:rsid w:val="00F31442"/>
    <w:rsid w:val="00F60465"/>
    <w:rsid w:val="00FA3C42"/>
    <w:rsid w:val="00FA50E3"/>
    <w:rsid w:val="00FB19FF"/>
    <w:rsid w:val="00FC7E54"/>
    <w:rsid w:val="00FF50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681634"/>
  <w15:docId w15:val="{334712F6-588D-4BAE-9682-844FDC9B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9" w:hanging="720"/>
    </w:pPr>
    <w:rPr>
      <w:u w:val="single" w:color="000000"/>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31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1BC"/>
    <w:rPr>
      <w:rFonts w:ascii="Segoe UI" w:eastAsia="Arial" w:hAnsi="Segoe UI" w:cs="Segoe UI"/>
      <w:sz w:val="18"/>
      <w:szCs w:val="18"/>
    </w:rPr>
  </w:style>
  <w:style w:type="character" w:styleId="CommentReference">
    <w:name w:val="annotation reference"/>
    <w:basedOn w:val="DefaultParagraphFont"/>
    <w:uiPriority w:val="99"/>
    <w:semiHidden/>
    <w:unhideWhenUsed/>
    <w:rsid w:val="005627ED"/>
    <w:rPr>
      <w:sz w:val="16"/>
      <w:szCs w:val="16"/>
    </w:rPr>
  </w:style>
  <w:style w:type="paragraph" w:styleId="CommentText">
    <w:name w:val="annotation text"/>
    <w:basedOn w:val="Normal"/>
    <w:link w:val="CommentTextChar"/>
    <w:uiPriority w:val="99"/>
    <w:unhideWhenUsed/>
    <w:rsid w:val="005627ED"/>
    <w:rPr>
      <w:sz w:val="20"/>
      <w:szCs w:val="20"/>
    </w:rPr>
  </w:style>
  <w:style w:type="character" w:customStyle="1" w:styleId="CommentTextChar">
    <w:name w:val="Comment Text Char"/>
    <w:basedOn w:val="DefaultParagraphFont"/>
    <w:link w:val="CommentText"/>
    <w:uiPriority w:val="99"/>
    <w:rsid w:val="005627E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627ED"/>
    <w:rPr>
      <w:b/>
      <w:bCs/>
    </w:rPr>
  </w:style>
  <w:style w:type="character" w:customStyle="1" w:styleId="CommentSubjectChar">
    <w:name w:val="Comment Subject Char"/>
    <w:basedOn w:val="CommentTextChar"/>
    <w:link w:val="CommentSubject"/>
    <w:uiPriority w:val="99"/>
    <w:semiHidden/>
    <w:rsid w:val="005627ED"/>
    <w:rPr>
      <w:rFonts w:ascii="Arial" w:eastAsia="Arial" w:hAnsi="Arial" w:cs="Arial"/>
      <w:b/>
      <w:bCs/>
      <w:sz w:val="20"/>
      <w:szCs w:val="20"/>
    </w:rPr>
  </w:style>
  <w:style w:type="paragraph" w:styleId="ListBullet">
    <w:name w:val="List Bullet"/>
    <w:basedOn w:val="Normal"/>
    <w:uiPriority w:val="99"/>
    <w:unhideWhenUsed/>
    <w:rsid w:val="00580875"/>
    <w:pPr>
      <w:numPr>
        <w:numId w:val="2"/>
      </w:numPr>
      <w:contextualSpacing/>
    </w:pPr>
  </w:style>
  <w:style w:type="paragraph" w:styleId="Revision">
    <w:name w:val="Revision"/>
    <w:hidden/>
    <w:uiPriority w:val="99"/>
    <w:semiHidden/>
    <w:rsid w:val="00DA3F4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daa93d384342c39e5f2869f7bb98405a">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ef0cce0712fc08ec9de1905a11671c0c"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E7D5A-29D0-45E9-A6E2-7FF1A436C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2C042-40A7-4192-8E6E-9ED561E683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2602B4E-26EA-4330-B84A-A9B01EF5E8B4}">
  <ds:schemaRefs>
    <ds:schemaRef ds:uri="http://schemas.microsoft.com/sharepoint/v3/contenttype/forms"/>
  </ds:schemaRefs>
</ds:datastoreItem>
</file>

<file path=customXml/itemProps4.xml><?xml version="1.0" encoding="utf-8"?>
<ds:datastoreItem xmlns:ds="http://schemas.openxmlformats.org/officeDocument/2006/customXml" ds:itemID="{5E6020AB-E803-4124-A9BC-16F08039FF38}">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Roldan-Otero, Lizette</dc:creator>
  <cp:lastModifiedBy>Brenda Miles</cp:lastModifiedBy>
  <cp:revision>2</cp:revision>
  <dcterms:created xsi:type="dcterms:W3CDTF">2024-02-02T21:22:00Z</dcterms:created>
  <dcterms:modified xsi:type="dcterms:W3CDTF">2024-02-02T21:22:00Z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Created">
    <vt:filetime>2017-08-03T00:00:00Z</vt:filetime>
  </property>
  <property fmtid="{D5CDD505-2E9C-101B-9397-08002B2CF9AE}" pid="4" name="Creator">
    <vt:lpwstr>PScript5.dll Version 5.2.2</vt:lpwstr>
  </property>
  <property fmtid="{D5CDD505-2E9C-101B-9397-08002B2CF9AE}" pid="5" name="LastSaved">
    <vt:filetime>2020-09-03T00:00:00Z</vt:filetime>
  </property>
</Properties>
</file>