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74BBC" w14:paraId="54BFFBF7" w14:textId="77777777">
      <w:pPr>
        <w:pStyle w:val="Heading1"/>
        <w:ind w:left="0"/>
        <w:jc w:val="center"/>
      </w:pPr>
      <w:r>
        <w:t>SUPPORTING STATEMENT</w:t>
      </w:r>
    </w:p>
    <w:p w:rsidR="00774BBC" w14:paraId="64321B07" w14:textId="77777777">
      <w:pPr>
        <w:spacing w:before="22" w:line="259" w:lineRule="auto"/>
        <w:ind w:firstLine="14"/>
        <w:jc w:val="center"/>
        <w:rPr>
          <w:b/>
        </w:rPr>
      </w:pPr>
      <w:r>
        <w:rPr>
          <w:b/>
        </w:rPr>
        <w:t>U.S. Department of Commerce</w:t>
      </w:r>
    </w:p>
    <w:p w:rsidR="00774BBC" w14:paraId="7143D5C0" w14:textId="77777777">
      <w:pPr>
        <w:spacing w:before="22" w:line="259" w:lineRule="auto"/>
        <w:ind w:firstLine="14"/>
        <w:jc w:val="center"/>
        <w:rPr>
          <w:b/>
        </w:rPr>
      </w:pPr>
      <w:r>
        <w:rPr>
          <w:b/>
        </w:rPr>
        <w:t>National Oceanic &amp; Atmospheric Administration</w:t>
      </w:r>
    </w:p>
    <w:p w:rsidR="00CE2623" w14:paraId="65C80FD8" w14:textId="77777777">
      <w:pPr>
        <w:spacing w:line="259" w:lineRule="auto"/>
        <w:ind w:hanging="6"/>
        <w:jc w:val="center"/>
        <w:rPr>
          <w:b/>
        </w:rPr>
      </w:pPr>
      <w:r w:rsidRPr="00CE2623">
        <w:rPr>
          <w:b/>
        </w:rPr>
        <w:t>Alaska Region Permit Family of Forms</w:t>
      </w:r>
    </w:p>
    <w:p w:rsidR="00774BBC" w14:paraId="15D801BD" w14:textId="68A69C6C">
      <w:pPr>
        <w:spacing w:line="259" w:lineRule="auto"/>
        <w:ind w:hanging="6"/>
        <w:jc w:val="center"/>
        <w:rPr>
          <w:b/>
        </w:rPr>
      </w:pPr>
      <w:r>
        <w:rPr>
          <w:b/>
        </w:rPr>
        <w:t>OMB Control No. 0648-</w:t>
      </w:r>
      <w:r w:rsidR="00CE2623">
        <w:rPr>
          <w:b/>
        </w:rPr>
        <w:t>0206</w:t>
      </w:r>
    </w:p>
    <w:p w:rsidR="00774BBC" w14:paraId="1AC76DDA" w14:textId="77777777">
      <w:pPr>
        <w:pBdr>
          <w:top w:val="nil"/>
          <w:left w:val="nil"/>
          <w:bottom w:val="nil"/>
          <w:right w:val="nil"/>
          <w:between w:val="nil"/>
        </w:pBdr>
        <w:spacing w:before="1"/>
        <w:jc w:val="center"/>
        <w:rPr>
          <w:b/>
          <w:color w:val="000000"/>
        </w:rPr>
      </w:pPr>
    </w:p>
    <w:p w:rsidR="004908C0" w:rsidP="00060958" w14:paraId="6FCE14E4" w14:textId="77777777">
      <w:pPr>
        <w:widowControl/>
        <w:spacing w:before="1" w:line="398" w:lineRule="auto"/>
        <w:rPr>
          <w:b/>
          <w:color w:val="1F497D"/>
        </w:rPr>
      </w:pPr>
      <w:r>
        <w:rPr>
          <w:b/>
          <w:color w:val="000000"/>
        </w:rPr>
        <w:t>SUPPORTING STATEMENT PART A</w:t>
      </w:r>
      <w:r>
        <w:rPr>
          <w:b/>
          <w:color w:val="1F497D"/>
        </w:rPr>
        <w:t xml:space="preserve"> </w:t>
      </w:r>
    </w:p>
    <w:p w:rsidR="00774BBC" w:rsidP="00060958" w14:paraId="27B7A10A" w14:textId="77777777">
      <w:pPr>
        <w:pStyle w:val="Heading1"/>
        <w:widowControl/>
        <w:spacing w:before="199"/>
        <w:ind w:left="0"/>
      </w:pPr>
      <w:r>
        <w:t>Abstract</w:t>
      </w:r>
    </w:p>
    <w:p w:rsidR="004908C0" w:rsidP="00060958" w14:paraId="6F9E7CC0" w14:textId="67BD2EC4">
      <w:pPr>
        <w:pStyle w:val="Heading1"/>
        <w:widowControl/>
        <w:spacing w:before="0"/>
        <w:ind w:left="0"/>
      </w:pPr>
    </w:p>
    <w:p w:rsidR="00CE2623" w:rsidRPr="00CE2623" w:rsidP="00060958" w14:paraId="672ACB55" w14:textId="5E4DA187">
      <w:pPr>
        <w:pStyle w:val="Heading1"/>
        <w:widowControl/>
        <w:spacing w:before="0"/>
        <w:ind w:left="0"/>
        <w:rPr>
          <w:b w:val="0"/>
        </w:rPr>
      </w:pPr>
      <w:r w:rsidRPr="00CE2623">
        <w:rPr>
          <w:b w:val="0"/>
        </w:rPr>
        <w:t>The National</w:t>
      </w:r>
      <w:r w:rsidR="00AF58FF">
        <w:rPr>
          <w:b w:val="0"/>
        </w:rPr>
        <w:t xml:space="preserve"> Marine Fisheries Service</w:t>
      </w:r>
      <w:r w:rsidRPr="00CE2623">
        <w:rPr>
          <w:b w:val="0"/>
        </w:rPr>
        <w:t xml:space="preserve"> Alaska Region requests extension of this currently approved information collection that contains requirements for obtaining a Federal Fisheries Permit (FFP), a Federal Processing Permit (FPP), and an Exempted Fishing Permit (EFP). </w:t>
      </w:r>
    </w:p>
    <w:p w:rsidR="00CE2623" w:rsidRPr="00CE2623" w:rsidP="00060958" w14:paraId="6FC777F5" w14:textId="77777777">
      <w:pPr>
        <w:pStyle w:val="Heading1"/>
        <w:widowControl/>
        <w:spacing w:before="0"/>
        <w:ind w:left="0"/>
        <w:rPr>
          <w:b w:val="0"/>
        </w:rPr>
      </w:pPr>
    </w:p>
    <w:p w:rsidR="00CE2623" w:rsidRPr="00C378BF" w:rsidP="00060958" w14:paraId="5251EA6A" w14:textId="0C2365C3">
      <w:pPr>
        <w:pStyle w:val="Heading1"/>
        <w:widowControl/>
        <w:spacing w:before="0"/>
        <w:ind w:left="0"/>
        <w:rPr>
          <w:b w:val="0"/>
        </w:rPr>
      </w:pPr>
      <w:r w:rsidRPr="00CE2623">
        <w:rPr>
          <w:b w:val="0"/>
        </w:rPr>
        <w:t>An FFP is required for</w:t>
      </w:r>
      <w:r w:rsidRPr="00CE2623">
        <w:rPr>
          <w:b w:val="0"/>
        </w:rPr>
        <w:t xml:space="preserve"> U.S. vessels used to fish for groundfish in the Gulf of Alaska or Bering Sea and Aleutian Islands. An FFP is also required for vessels used to fish for any non-groundfish species and are required to retain any bycatch of groundfish. An FPP is required for</w:t>
      </w:r>
      <w:r w:rsidRPr="00CE2623">
        <w:rPr>
          <w:b w:val="0"/>
        </w:rPr>
        <w:t xml:space="preserve"> stationary floating processors and for shoreside processors that receive and/or process groundfish harvested from Federal waters (or from </w:t>
      </w:r>
      <w:r w:rsidRPr="00C378BF">
        <w:rPr>
          <w:b w:val="0"/>
        </w:rPr>
        <w:t xml:space="preserve">any federally permitted vessels). </w:t>
      </w:r>
    </w:p>
    <w:p w:rsidR="00CE2623" w:rsidRPr="00C378BF" w:rsidP="00060958" w14:paraId="2B9ABA74" w14:textId="77777777">
      <w:pPr>
        <w:pStyle w:val="Heading1"/>
        <w:widowControl/>
        <w:spacing w:before="0"/>
        <w:ind w:left="0"/>
        <w:rPr>
          <w:b w:val="0"/>
        </w:rPr>
      </w:pPr>
    </w:p>
    <w:p w:rsidR="00CE2623" w:rsidRPr="00CE2623" w:rsidP="00060958" w14:paraId="69EFB4BA" w14:textId="3648DB04">
      <w:pPr>
        <w:pStyle w:val="Heading1"/>
        <w:widowControl/>
        <w:spacing w:before="0"/>
        <w:ind w:left="0"/>
        <w:rPr>
          <w:b w:val="0"/>
        </w:rPr>
      </w:pPr>
      <w:r w:rsidRPr="00C378BF">
        <w:rPr>
          <w:b w:val="0"/>
        </w:rPr>
        <w:t>An EFP is issued for limited experimental purposes to support a project that coul</w:t>
      </w:r>
      <w:r w:rsidRPr="00C378BF">
        <w:rPr>
          <w:b w:val="0"/>
        </w:rPr>
        <w:t>d benefit fisheries and the environment. Information collected as part of an EFP is used to inform future fishery management decisions and guide future EFPs.</w:t>
      </w:r>
    </w:p>
    <w:p w:rsidR="00CE2623" w:rsidRPr="00CE2623" w:rsidP="00060958" w14:paraId="2BF53371" w14:textId="77777777">
      <w:pPr>
        <w:pStyle w:val="Heading1"/>
        <w:widowControl/>
        <w:spacing w:before="0"/>
        <w:ind w:left="0"/>
        <w:rPr>
          <w:b w:val="0"/>
        </w:rPr>
      </w:pPr>
    </w:p>
    <w:p w:rsidR="00CE2623" w:rsidP="00060958" w14:paraId="5FB7F689" w14:textId="5C457159">
      <w:pPr>
        <w:pStyle w:val="Heading1"/>
        <w:widowControl/>
        <w:spacing w:before="0"/>
        <w:ind w:left="0"/>
        <w:rPr>
          <w:b w:val="0"/>
        </w:rPr>
      </w:pPr>
      <w:r w:rsidRPr="00CE2623">
        <w:rPr>
          <w:b w:val="0"/>
        </w:rPr>
        <w:t xml:space="preserve">Permit issuance is essential in fishery resources management for identification of the </w:t>
      </w:r>
      <w:r w:rsidRPr="00CE2623">
        <w:rPr>
          <w:b w:val="0"/>
        </w:rPr>
        <w:t>participants and expected activity levels and for regulatory compliance. This collection allows for continued efficient, science based, and minimal impact harvesting of Alaska fishery resources.</w:t>
      </w:r>
    </w:p>
    <w:p w:rsidR="00576039" w:rsidP="00060958" w14:paraId="6F1A500D" w14:textId="60835430">
      <w:pPr>
        <w:pStyle w:val="Heading1"/>
        <w:widowControl/>
        <w:spacing w:before="0"/>
        <w:ind w:left="0"/>
        <w:rPr>
          <w:b w:val="0"/>
        </w:rPr>
      </w:pPr>
    </w:p>
    <w:p w:rsidR="002C56A1" w:rsidRPr="00CE2623" w:rsidP="002C56A1" w14:paraId="59E60ADD" w14:textId="552E5B03">
      <w:pPr>
        <w:pStyle w:val="Heading1"/>
        <w:widowControl/>
        <w:spacing w:before="0"/>
        <w:ind w:left="0"/>
        <w:rPr>
          <w:b w:val="0"/>
        </w:rPr>
      </w:pPr>
      <w:r>
        <w:rPr>
          <w:b w:val="0"/>
        </w:rPr>
        <w:t>Based on a comment received, the response to question #13 ha</w:t>
      </w:r>
      <w:r>
        <w:rPr>
          <w:b w:val="0"/>
        </w:rPr>
        <w:t xml:space="preserve">s been revised to include additional costs that may be incurred for the EFP application. </w:t>
      </w:r>
    </w:p>
    <w:p w:rsidR="00CE2623" w:rsidP="00060958" w14:paraId="754E60F5" w14:textId="77777777">
      <w:pPr>
        <w:pStyle w:val="Heading1"/>
        <w:widowControl/>
        <w:spacing w:before="0"/>
        <w:ind w:left="0"/>
      </w:pPr>
    </w:p>
    <w:p w:rsidR="00774BBC" w:rsidP="00060958" w14:paraId="2E24B448" w14:textId="77777777">
      <w:pPr>
        <w:pStyle w:val="Heading1"/>
        <w:widowControl/>
        <w:spacing w:before="0"/>
        <w:ind w:left="0"/>
      </w:pPr>
      <w:r>
        <w:t>Justification</w:t>
      </w:r>
    </w:p>
    <w:p w:rsidR="004908C0" w:rsidP="00060958" w14:paraId="5125029A" w14:textId="77777777">
      <w:pPr>
        <w:pStyle w:val="Heading1"/>
        <w:widowControl/>
        <w:spacing w:before="0"/>
        <w:ind w:left="0"/>
      </w:pPr>
    </w:p>
    <w:p w:rsidR="00774BBC" w:rsidP="00060958" w14:paraId="13E19C9F"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the circumstances that make the collection of information necessary. Identify any legal or administrative requirements that necessitate the co</w:t>
      </w:r>
      <w:r>
        <w:rPr>
          <w:b/>
          <w:color w:val="000000"/>
        </w:rPr>
        <w:t>llection. Attach a copy of the appropriate section of each statute and regulation mandating or authorizing the collection of information.</w:t>
      </w:r>
    </w:p>
    <w:p w:rsidR="00AF6995" w:rsidP="00060958" w14:paraId="56650B72" w14:textId="77777777">
      <w:pPr>
        <w:widowControl/>
        <w:autoSpaceDE w:val="0"/>
        <w:autoSpaceDN w:val="0"/>
        <w:rPr>
          <w:rFonts w:eastAsiaTheme="minorHAnsi" w:cstheme="minorBidi"/>
          <w:szCs w:val="22"/>
        </w:rPr>
      </w:pPr>
    </w:p>
    <w:p w:rsidR="00AF6995" w:rsidRPr="00AF6995" w:rsidP="00060958" w14:paraId="25BB6B93" w14:textId="5F42CD56">
      <w:pPr>
        <w:widowControl/>
        <w:autoSpaceDE w:val="0"/>
        <w:autoSpaceDN w:val="0"/>
      </w:pPr>
      <w:r w:rsidRPr="00AF6995">
        <w:rPr>
          <w:rFonts w:eastAsiaTheme="minorHAnsi" w:cstheme="minorBidi"/>
          <w:szCs w:val="22"/>
        </w:rPr>
        <w:t xml:space="preserve">Under the </w:t>
      </w:r>
      <w:hyperlink r:id="rId7">
        <w:r w:rsidRPr="00AF6995">
          <w:rPr>
            <w:rFonts w:eastAsiaTheme="minorHAnsi" w:cstheme="minorBidi"/>
            <w:color w:val="0000FF"/>
            <w:szCs w:val="22"/>
            <w:u w:val="single" w:color="0000FF"/>
          </w:rPr>
          <w:t xml:space="preserve">Magnuson-Stevens Fishery Conservation and Management Act </w:t>
        </w:r>
      </w:hyperlink>
      <w:r w:rsidRPr="00AF6995">
        <w:rPr>
          <w:rFonts w:eastAsiaTheme="minorHAnsi" w:cstheme="minorBidi"/>
          <w:szCs w:val="22"/>
        </w:rPr>
        <w:t xml:space="preserve">16 U.S.C. 1801 </w:t>
      </w:r>
      <w:r w:rsidRPr="00AF6995">
        <w:rPr>
          <w:rFonts w:eastAsiaTheme="minorHAnsi" w:cstheme="minorBidi"/>
          <w:i/>
          <w:szCs w:val="22"/>
        </w:rPr>
        <w:t>et seq</w:t>
      </w:r>
      <w:r w:rsidRPr="00AF6995">
        <w:rPr>
          <w:rFonts w:eastAsiaTheme="minorHAnsi" w:cstheme="minorBidi"/>
          <w:szCs w:val="22"/>
        </w:rPr>
        <w:t xml:space="preserve">. (Magnuson-Stevens Act), the Secretary of Commerce is </w:t>
      </w:r>
      <w:r w:rsidRPr="00AF6995">
        <w:rPr>
          <w:rFonts w:eastAsiaTheme="minorHAnsi" w:cstheme="minorBidi"/>
          <w:szCs w:val="22"/>
        </w:rPr>
        <w:t xml:space="preserve">responsible for the conservation and management of marine fishery resources within the </w:t>
      </w:r>
      <w:r w:rsidR="00AF58FF">
        <w:rPr>
          <w:rFonts w:eastAsiaTheme="minorHAnsi" w:cstheme="minorBidi"/>
          <w:szCs w:val="22"/>
        </w:rPr>
        <w:t>exclusive economic zone (</w:t>
      </w:r>
      <w:r w:rsidRPr="00AF6995">
        <w:rPr>
          <w:rFonts w:eastAsiaTheme="minorHAnsi" w:cstheme="minorBidi"/>
          <w:szCs w:val="22"/>
        </w:rPr>
        <w:t>EEZ</w:t>
      </w:r>
      <w:r w:rsidR="00AF58FF">
        <w:rPr>
          <w:rFonts w:eastAsiaTheme="minorHAnsi" w:cstheme="minorBidi"/>
          <w:szCs w:val="22"/>
        </w:rPr>
        <w:t>) of the United States</w:t>
      </w:r>
      <w:r w:rsidRPr="00AF6995">
        <w:rPr>
          <w:rFonts w:eastAsiaTheme="minorHAnsi" w:cstheme="minorBidi"/>
          <w:szCs w:val="22"/>
        </w:rPr>
        <w:t xml:space="preserve"> through the National Oceanic and Atmospheric Administration/National Marine Fisheries Service (NOAA/NMFS). NMFS Alaska</w:t>
      </w:r>
      <w:r w:rsidRPr="00AF6995">
        <w:rPr>
          <w:rFonts w:eastAsiaTheme="minorHAnsi" w:cstheme="minorBidi"/>
          <w:szCs w:val="22"/>
        </w:rPr>
        <w:t xml:space="preserve"> Region manages the groundfish fisheries in the EEZ of the Bering Sea and Aleutian Islands Management Area (BSAI) and Gulf of Alaska (GOA) under the Fishery Management Plan for Groundfish of the Bering Sea and Aleutian Islands Management Area and the Fishe</w:t>
      </w:r>
      <w:r w:rsidRPr="00AF6995">
        <w:rPr>
          <w:rFonts w:eastAsiaTheme="minorHAnsi" w:cstheme="minorBidi"/>
          <w:szCs w:val="22"/>
        </w:rPr>
        <w:t>ry Management Plan for Groundfish of the Gulf of Alaska, respectively. The Council developed the</w:t>
      </w:r>
      <w:r w:rsidR="00CC2862">
        <w:rPr>
          <w:rFonts w:eastAsiaTheme="minorHAnsi" w:cstheme="minorBidi"/>
          <w:szCs w:val="22"/>
        </w:rPr>
        <w:t xml:space="preserve"> fishery management plans</w:t>
      </w:r>
      <w:r w:rsidRPr="00AF6995">
        <w:rPr>
          <w:rFonts w:eastAsiaTheme="minorHAnsi" w:cstheme="minorBidi"/>
          <w:szCs w:val="22"/>
        </w:rPr>
        <w:t>. Regulat</w:t>
      </w:r>
      <w:r w:rsidR="00CC2862">
        <w:rPr>
          <w:rFonts w:eastAsiaTheme="minorHAnsi" w:cstheme="minorBidi"/>
          <w:szCs w:val="22"/>
        </w:rPr>
        <w:t>ions implementing the fishery management plan</w:t>
      </w:r>
      <w:r w:rsidRPr="00AF6995">
        <w:rPr>
          <w:rFonts w:eastAsiaTheme="minorHAnsi" w:cstheme="minorBidi"/>
          <w:szCs w:val="22"/>
        </w:rPr>
        <w:t xml:space="preserve">s appear at </w:t>
      </w:r>
      <w:hyperlink r:id="rId8" w:history="1">
        <w:r w:rsidRPr="00AF6995">
          <w:rPr>
            <w:rFonts w:eastAsiaTheme="minorHAnsi" w:cstheme="minorBidi"/>
            <w:color w:val="0000FF" w:themeColor="hyperlink"/>
            <w:szCs w:val="22"/>
            <w:u w:val="single"/>
          </w:rPr>
          <w:t>50 CFR part 679</w:t>
        </w:r>
      </w:hyperlink>
      <w:r w:rsidRPr="00AF6995">
        <w:rPr>
          <w:rFonts w:eastAsiaTheme="minorHAnsi" w:cstheme="minorBidi"/>
          <w:szCs w:val="22"/>
        </w:rPr>
        <w:t>.</w:t>
      </w:r>
    </w:p>
    <w:p w:rsidR="00AF6995" w:rsidRPr="00AF6995" w:rsidP="00060958" w14:paraId="221AAF62" w14:textId="77777777">
      <w:pPr>
        <w:widowControl/>
        <w:autoSpaceDE w:val="0"/>
        <w:autoSpaceDN w:val="0"/>
        <w:rPr>
          <w:rFonts w:eastAsiaTheme="minorHAnsi" w:cstheme="minorBidi"/>
          <w:szCs w:val="22"/>
        </w:rPr>
      </w:pPr>
    </w:p>
    <w:p w:rsidR="00AF6995" w:rsidRPr="00AF6995" w:rsidP="00060958" w14:paraId="74C7194A" w14:textId="704BED7E">
      <w:pPr>
        <w:widowControl/>
        <w:autoSpaceDE w:val="0"/>
        <w:autoSpaceDN w:val="0"/>
      </w:pPr>
      <w:r w:rsidRPr="00AF6995">
        <w:rPr>
          <w:rFonts w:eastAsiaTheme="minorHAnsi" w:cstheme="minorBidi"/>
          <w:szCs w:val="22"/>
        </w:rPr>
        <w:t>Section 303(b)(1) of the Magnuson-Stevens Act specifically recognizes the need for permit issuance. Requiring a permit for marine resource users</w:t>
      </w:r>
      <w:r w:rsidR="002317C0">
        <w:rPr>
          <w:rFonts w:eastAsiaTheme="minorHAnsi"/>
          <w:szCs w:val="22"/>
        </w:rPr>
        <w:t>—</w:t>
      </w:r>
      <w:r w:rsidRPr="00AF6995">
        <w:rPr>
          <w:rFonts w:eastAsiaTheme="minorHAnsi" w:cstheme="minorBidi"/>
          <w:szCs w:val="22"/>
        </w:rPr>
        <w:t>mandated by 50 CFR</w:t>
      </w:r>
      <w:r w:rsidRPr="00AF6995">
        <w:rPr>
          <w:rFonts w:eastAsiaTheme="minorHAnsi" w:cstheme="minorBidi"/>
          <w:szCs w:val="22"/>
        </w:rPr>
        <w:t xml:space="preserve"> </w:t>
      </w:r>
      <w:hyperlink r:id="rId9" w:anchor="p-679.4(b)" w:history="1">
        <w:r w:rsidRPr="002E32B4" w:rsidR="002E32B4">
          <w:rPr>
            <w:rStyle w:val="Hyperlink"/>
            <w:rFonts w:eastAsiaTheme="minorHAnsi"/>
          </w:rPr>
          <w:t>679.4(b)</w:t>
        </w:r>
      </w:hyperlink>
      <w:r w:rsidRPr="002E32B4">
        <w:rPr>
          <w:rFonts w:eastAsiaTheme="minorHAnsi"/>
        </w:rPr>
        <w:t>,</w:t>
      </w:r>
      <w:r w:rsidRPr="002E32B4" w:rsidR="002E32B4">
        <w:rPr>
          <w:rFonts w:eastAsiaTheme="minorHAnsi"/>
        </w:rPr>
        <w:t xml:space="preserve"> </w:t>
      </w:r>
      <w:hyperlink r:id="rId9" w:anchor="p-679.4(f)" w:history="1">
        <w:r w:rsidRPr="002E32B4" w:rsidR="002E32B4">
          <w:rPr>
            <w:rStyle w:val="Hyperlink"/>
            <w:rFonts w:eastAsiaTheme="minorHAnsi"/>
          </w:rPr>
          <w:t>679.4(f)</w:t>
        </w:r>
      </w:hyperlink>
      <w:r w:rsidR="002317C0">
        <w:rPr>
          <w:rFonts w:eastAsiaTheme="minorHAnsi"/>
        </w:rPr>
        <w:t>,</w:t>
      </w:r>
      <w:r w:rsidRPr="00AF6995">
        <w:rPr>
          <w:rFonts w:eastAsiaTheme="minorHAnsi"/>
        </w:rPr>
        <w:t xml:space="preserve"> </w:t>
      </w:r>
      <w:hyperlink r:id="rId10" w:history="1">
        <w:r w:rsidRPr="002E32B4" w:rsidR="002E32B4">
          <w:rPr>
            <w:rStyle w:val="Hyperlink"/>
            <w:rFonts w:eastAsiaTheme="minorHAnsi"/>
          </w:rPr>
          <w:t>679.6</w:t>
        </w:r>
      </w:hyperlink>
      <w:r w:rsidR="002317C0">
        <w:rPr>
          <w:rFonts w:eastAsiaTheme="minorHAnsi"/>
        </w:rPr>
        <w:t>,</w:t>
      </w:r>
      <w:r w:rsidRPr="00AF6995">
        <w:rPr>
          <w:rFonts w:eastAsiaTheme="minorHAnsi"/>
        </w:rPr>
        <w:t xml:space="preserve"> and </w:t>
      </w:r>
      <w:hyperlink r:id="rId11" w:anchor="p-600.745(b)" w:history="1">
        <w:r w:rsidRPr="002E32B4" w:rsidR="002E32B4">
          <w:rPr>
            <w:rStyle w:val="Hyperlink"/>
            <w:rFonts w:eastAsiaTheme="minorHAnsi"/>
          </w:rPr>
          <w:t>600.745(b)</w:t>
        </w:r>
      </w:hyperlink>
      <w:r w:rsidR="002317C0">
        <w:rPr>
          <w:rFonts w:eastAsiaTheme="minorHAnsi"/>
          <w:szCs w:val="22"/>
        </w:rPr>
        <w:t>—</w:t>
      </w:r>
      <w:r w:rsidRPr="00AF6995">
        <w:rPr>
          <w:rFonts w:eastAsiaTheme="minorHAnsi" w:cstheme="minorBidi"/>
          <w:szCs w:val="22"/>
        </w:rPr>
        <w:t xml:space="preserve">is one of the regulatory </w:t>
      </w:r>
      <w:r w:rsidRPr="00AF6995">
        <w:rPr>
          <w:rFonts w:eastAsiaTheme="minorHAnsi" w:cstheme="minorBidi"/>
          <w:szCs w:val="22"/>
        </w:rPr>
        <w:t>steps taken to carry out conservation and management objectives. Permit issuance is essential in fishery resources management and necessary for identification of participants and expected activity levels and for regulatory compliance (e.g.,</w:t>
      </w:r>
      <w:r w:rsidRPr="00AF6995">
        <w:rPr>
          <w:rFonts w:eastAsiaTheme="minorHAnsi" w:cstheme="minorBidi"/>
          <w:i/>
          <w:szCs w:val="22"/>
        </w:rPr>
        <w:t xml:space="preserve"> </w:t>
      </w:r>
      <w:r w:rsidRPr="00AF6995">
        <w:rPr>
          <w:rFonts w:eastAsiaTheme="minorHAnsi" w:cstheme="minorBidi"/>
          <w:szCs w:val="22"/>
        </w:rPr>
        <w:t xml:space="preserve">withholding of </w:t>
      </w:r>
      <w:r w:rsidRPr="00AF6995">
        <w:rPr>
          <w:rFonts w:eastAsiaTheme="minorHAnsi" w:cstheme="minorBidi"/>
          <w:szCs w:val="22"/>
        </w:rPr>
        <w:t>permit issuance pending collection of unpaid penalties).</w:t>
      </w:r>
    </w:p>
    <w:p w:rsidR="00AF6995" w:rsidP="00060958" w14:paraId="15223228" w14:textId="313F7F41">
      <w:pPr>
        <w:widowControl/>
        <w:autoSpaceDE w:val="0"/>
        <w:autoSpaceDN w:val="0"/>
      </w:pPr>
    </w:p>
    <w:p w:rsidR="00AF58FF" w:rsidRPr="00AF6995" w:rsidP="00060958" w14:paraId="6C019E47" w14:textId="2D39981E">
      <w:pPr>
        <w:widowControl/>
        <w:autoSpaceDE w:val="0"/>
        <w:autoSpaceDN w:val="0"/>
      </w:pPr>
      <w:r w:rsidRPr="00AF58FF">
        <w:t xml:space="preserve">This information collection contains </w:t>
      </w:r>
      <w:r>
        <w:t xml:space="preserve">the </w:t>
      </w:r>
      <w:r w:rsidRPr="00AF58FF">
        <w:t xml:space="preserve">applications for </w:t>
      </w:r>
      <w:r>
        <w:t xml:space="preserve">the </w:t>
      </w:r>
      <w:r w:rsidRPr="00AF58FF">
        <w:t>Federal Fisheries Permit (FFP), Federal Processing Permit (FPP), and Exempted Fishing Permit (EFP).</w:t>
      </w:r>
    </w:p>
    <w:p w:rsidR="004908C0" w:rsidRPr="004908C0" w:rsidP="00060958" w14:paraId="4FEADC50" w14:textId="77777777">
      <w:pPr>
        <w:widowControl/>
        <w:pBdr>
          <w:top w:val="nil"/>
          <w:left w:val="nil"/>
          <w:bottom w:val="nil"/>
          <w:right w:val="nil"/>
          <w:between w:val="nil"/>
        </w:pBdr>
      </w:pPr>
    </w:p>
    <w:p w:rsidR="00774BBC" w:rsidP="00060958" w14:paraId="0012CEE5" w14:textId="39A9825E">
      <w:pPr>
        <w:pStyle w:val="Heading1"/>
        <w:widowControl/>
        <w:numPr>
          <w:ilvl w:val="0"/>
          <w:numId w:val="3"/>
        </w:numPr>
        <w:tabs>
          <w:tab w:val="left" w:pos="360"/>
        </w:tabs>
        <w:spacing w:before="0"/>
        <w:ind w:left="0" w:firstLine="0"/>
      </w:pPr>
      <w:r w:rsidRPr="004908C0">
        <w:t xml:space="preserve">Indicate how, by whom, and for what purpose the information is to be used. Except for a new </w:t>
      </w:r>
      <w:r>
        <w:t>collection, indicate the actual use the agency has made of the information received from the current collection.</w:t>
      </w:r>
    </w:p>
    <w:p w:rsidR="001C0D5D" w:rsidP="00060958" w14:paraId="7DD0F8F2" w14:textId="6D33E135">
      <w:pPr>
        <w:widowControl/>
        <w:pBdr>
          <w:top w:val="nil"/>
          <w:left w:val="nil"/>
          <w:bottom w:val="nil"/>
          <w:right w:val="nil"/>
          <w:between w:val="nil"/>
        </w:pBdr>
        <w:spacing w:before="7"/>
      </w:pPr>
    </w:p>
    <w:p w:rsidR="00386E46" w:rsidRPr="00AF6995" w:rsidP="00060958" w14:paraId="6324524B" w14:textId="7527FC64">
      <w:pPr>
        <w:widowControl/>
        <w:pBdr>
          <w:top w:val="nil"/>
          <w:left w:val="nil"/>
          <w:bottom w:val="nil"/>
          <w:right w:val="nil"/>
          <w:between w:val="nil"/>
        </w:pBdr>
        <w:spacing w:before="7"/>
      </w:pPr>
      <w:r w:rsidRPr="00CC2862">
        <w:t xml:space="preserve">The table below summarizes information about the </w:t>
      </w:r>
      <w:r>
        <w:t>r</w:t>
      </w:r>
      <w:r>
        <w:t xml:space="preserve">equirements in this information collection. </w:t>
      </w:r>
      <w:r w:rsidRPr="000C3D11" w:rsidR="000C3D11">
        <w:t xml:space="preserve">The statue that applies to all of the collection instruments is the Magnuson-Stevens Act (16 U.S.C. 1801 </w:t>
      </w:r>
      <w:r w:rsidRPr="000C3D11" w:rsidR="000C3D11">
        <w:rPr>
          <w:i/>
        </w:rPr>
        <w:t>et seq</w:t>
      </w:r>
      <w:r w:rsidRPr="000C3D11" w:rsidR="000C3D11">
        <w:t xml:space="preserve">.). </w:t>
      </w:r>
      <w:r w:rsidRPr="00F37C65" w:rsidR="000C3D11">
        <w:t xml:space="preserve">Additional information on the </w:t>
      </w:r>
      <w:r w:rsidR="000C3D11">
        <w:t>requirements</w:t>
      </w:r>
      <w:r w:rsidRPr="00F37C65" w:rsidR="000C3D11">
        <w:t xml:space="preserve"> in this collection is provided in the subsections below.</w:t>
      </w:r>
      <w:r w:rsidR="000C3D11">
        <w:t xml:space="preserve"> </w:t>
      </w:r>
      <w:r w:rsidRPr="001C0D5D" w:rsidR="001C0D5D">
        <w:t>The permit application forms and template for the EFP are available on the NMFS Alaska Region website.</w:t>
      </w:r>
      <w:r>
        <w:rPr>
          <w:rStyle w:val="FootnoteReference"/>
        </w:rPr>
        <w:footnoteReference w:id="2"/>
      </w:r>
      <w:r w:rsidRPr="00F37C65" w:rsidR="00F37C65">
        <w:t xml:space="preserve"> No changes have been made to this information collection since the previous renewal was approved by OMB in 2021.</w:t>
      </w:r>
    </w:p>
    <w:tbl>
      <w:tblPr>
        <w:tblStyle w:val="a"/>
        <w:tblpPr w:leftFromText="180" w:rightFromText="180" w:vertAnchor="text" w:tblpY="191"/>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35"/>
        <w:gridCol w:w="990"/>
        <w:gridCol w:w="1440"/>
        <w:gridCol w:w="1260"/>
        <w:gridCol w:w="1170"/>
        <w:gridCol w:w="1170"/>
        <w:gridCol w:w="2700"/>
      </w:tblGrid>
      <w:tr w14:paraId="1C5C8162" w14:textId="77777777" w:rsidTr="00060958">
        <w:tblPrEx>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443"/>
        </w:trPr>
        <w:tc>
          <w:tcPr>
            <w:tcW w:w="1435" w:type="dxa"/>
            <w:shd w:val="clear" w:color="auto" w:fill="C6D9F0" w:themeFill="text2" w:themeFillTint="33"/>
            <w:vAlign w:val="center"/>
          </w:tcPr>
          <w:p w:rsidR="000C3D11" w:rsidRPr="005B3AF0" w:rsidP="005B3AF0" w14:paraId="6188C9FA" w14:textId="5E744A3C">
            <w:pPr>
              <w:pBdr>
                <w:top w:val="nil"/>
                <w:left w:val="nil"/>
                <w:bottom w:val="nil"/>
                <w:right w:val="nil"/>
                <w:between w:val="nil"/>
              </w:pBdr>
              <w:spacing w:before="9"/>
              <w:jc w:val="center"/>
              <w:rPr>
                <w:rFonts w:asciiTheme="minorHAnsi" w:hAnsiTheme="minorHAnsi" w:cstheme="minorHAnsi"/>
                <w:b/>
                <w:sz w:val="18"/>
                <w:szCs w:val="18"/>
              </w:rPr>
            </w:pPr>
            <w:r>
              <w:rPr>
                <w:rFonts w:asciiTheme="minorHAnsi" w:hAnsiTheme="minorHAnsi" w:cstheme="minorHAnsi"/>
                <w:b/>
                <w:sz w:val="18"/>
                <w:szCs w:val="18"/>
              </w:rPr>
              <w:t>Requirement</w:t>
            </w:r>
          </w:p>
        </w:tc>
        <w:tc>
          <w:tcPr>
            <w:tcW w:w="990" w:type="dxa"/>
            <w:shd w:val="clear" w:color="auto" w:fill="C6D9F0" w:themeFill="text2" w:themeFillTint="33"/>
            <w:vAlign w:val="center"/>
          </w:tcPr>
          <w:p w:rsidR="000C3D11" w:rsidP="005B3AF0" w14:paraId="33146E19" w14:textId="77777777">
            <w:pPr>
              <w:pBdr>
                <w:top w:val="nil"/>
                <w:left w:val="nil"/>
                <w:bottom w:val="nil"/>
                <w:right w:val="nil"/>
                <w:between w:val="nil"/>
              </w:pBdr>
              <w:spacing w:before="9"/>
              <w:jc w:val="center"/>
              <w:rPr>
                <w:rFonts w:asciiTheme="minorHAnsi" w:hAnsiTheme="minorHAnsi" w:cstheme="minorHAnsi"/>
                <w:b/>
                <w:sz w:val="18"/>
                <w:szCs w:val="18"/>
              </w:rPr>
            </w:pPr>
            <w:r>
              <w:rPr>
                <w:rFonts w:asciiTheme="minorHAnsi" w:hAnsiTheme="minorHAnsi" w:cstheme="minorHAnsi"/>
                <w:b/>
                <w:sz w:val="18"/>
                <w:szCs w:val="18"/>
              </w:rPr>
              <w:t>Regulation</w:t>
            </w:r>
          </w:p>
          <w:p w:rsidR="000C3D11" w:rsidRPr="005B3AF0" w:rsidP="00AF58FF" w14:paraId="0064F48A" w14:textId="684E8CA3">
            <w:pPr>
              <w:pBdr>
                <w:top w:val="nil"/>
                <w:left w:val="nil"/>
                <w:bottom w:val="nil"/>
                <w:right w:val="nil"/>
                <w:between w:val="nil"/>
              </w:pBdr>
              <w:spacing w:before="9"/>
              <w:jc w:val="center"/>
              <w:rPr>
                <w:rFonts w:asciiTheme="minorHAnsi" w:hAnsiTheme="minorHAnsi" w:cstheme="minorHAnsi"/>
                <w:b/>
                <w:sz w:val="18"/>
                <w:szCs w:val="18"/>
              </w:rPr>
            </w:pPr>
            <w:r>
              <w:rPr>
                <w:rFonts w:asciiTheme="minorHAnsi" w:hAnsiTheme="minorHAnsi" w:cstheme="minorHAnsi"/>
                <w:b/>
                <w:sz w:val="18"/>
                <w:szCs w:val="18"/>
              </w:rPr>
              <w:t>(50 CFR)</w:t>
            </w:r>
          </w:p>
        </w:tc>
        <w:tc>
          <w:tcPr>
            <w:tcW w:w="1440" w:type="dxa"/>
            <w:shd w:val="clear" w:color="auto" w:fill="C6D9F0" w:themeFill="text2" w:themeFillTint="33"/>
            <w:vAlign w:val="center"/>
          </w:tcPr>
          <w:p w:rsidR="000C3D11" w:rsidP="00AF58FF" w14:paraId="354A4544" w14:textId="5190D534">
            <w:pPr>
              <w:pBdr>
                <w:top w:val="nil"/>
                <w:left w:val="nil"/>
                <w:bottom w:val="nil"/>
                <w:right w:val="nil"/>
                <w:between w:val="nil"/>
              </w:pBdr>
              <w:shd w:val="clear" w:color="auto" w:fill="C6D9F1" w:themeFill="text2" w:themeFillTint="33"/>
              <w:spacing w:before="9"/>
              <w:jc w:val="center"/>
              <w:rPr>
                <w:rFonts w:asciiTheme="minorHAnsi" w:hAnsiTheme="minorHAnsi" w:cstheme="minorHAnsi"/>
                <w:b/>
                <w:sz w:val="18"/>
                <w:szCs w:val="18"/>
              </w:rPr>
            </w:pPr>
            <w:r w:rsidRPr="00AF58FF">
              <w:rPr>
                <w:rFonts w:asciiTheme="minorHAnsi" w:hAnsiTheme="minorHAnsi" w:cstheme="minorHAnsi"/>
                <w:b/>
                <w:sz w:val="18"/>
                <w:szCs w:val="18"/>
              </w:rPr>
              <w:t xml:space="preserve">Who </w:t>
            </w:r>
            <w:r w:rsidRPr="00AF58FF">
              <w:rPr>
                <w:rFonts w:asciiTheme="minorHAnsi" w:hAnsiTheme="minorHAnsi" w:cstheme="minorHAnsi"/>
                <w:b/>
                <w:sz w:val="18"/>
                <w:szCs w:val="18"/>
              </w:rPr>
              <w:t>the information is collected from</w:t>
            </w:r>
          </w:p>
        </w:tc>
        <w:tc>
          <w:tcPr>
            <w:tcW w:w="1260" w:type="dxa"/>
            <w:shd w:val="clear" w:color="auto" w:fill="C6D9F0" w:themeFill="text2" w:themeFillTint="33"/>
            <w:vAlign w:val="center"/>
          </w:tcPr>
          <w:p w:rsidR="000C3D11" w:rsidP="00AF58FF" w14:paraId="3C009FA7" w14:textId="25EC9A2D">
            <w:pPr>
              <w:pBdr>
                <w:top w:val="nil"/>
                <w:left w:val="nil"/>
                <w:bottom w:val="nil"/>
                <w:right w:val="nil"/>
                <w:between w:val="nil"/>
              </w:pBdr>
              <w:shd w:val="clear" w:color="auto" w:fill="C6D9F1" w:themeFill="text2" w:themeFillTint="33"/>
              <w:spacing w:before="9"/>
              <w:jc w:val="center"/>
              <w:rPr>
                <w:rFonts w:asciiTheme="minorHAnsi" w:hAnsiTheme="minorHAnsi" w:cstheme="minorHAnsi"/>
                <w:b/>
                <w:sz w:val="18"/>
                <w:szCs w:val="18"/>
              </w:rPr>
            </w:pPr>
            <w:r>
              <w:rPr>
                <w:rFonts w:asciiTheme="minorHAnsi" w:hAnsiTheme="minorHAnsi" w:cstheme="minorHAnsi"/>
                <w:b/>
                <w:sz w:val="18"/>
                <w:szCs w:val="18"/>
              </w:rPr>
              <w:t>Submission method</w:t>
            </w:r>
          </w:p>
        </w:tc>
        <w:tc>
          <w:tcPr>
            <w:tcW w:w="1170" w:type="dxa"/>
            <w:shd w:val="clear" w:color="auto" w:fill="C6D9F0" w:themeFill="text2" w:themeFillTint="33"/>
            <w:vAlign w:val="center"/>
          </w:tcPr>
          <w:p w:rsidR="000C3D11" w:rsidRPr="005B3AF0" w:rsidP="005B3AF0" w14:paraId="3C05FFB1" w14:textId="3D352CB3">
            <w:pPr>
              <w:pBdr>
                <w:top w:val="nil"/>
                <w:left w:val="nil"/>
                <w:bottom w:val="nil"/>
                <w:right w:val="nil"/>
                <w:between w:val="nil"/>
              </w:pBdr>
              <w:spacing w:before="9"/>
              <w:jc w:val="center"/>
              <w:rPr>
                <w:rFonts w:asciiTheme="minorHAnsi" w:hAnsiTheme="minorHAnsi" w:cstheme="minorHAnsi"/>
                <w:b/>
                <w:sz w:val="18"/>
                <w:szCs w:val="18"/>
              </w:rPr>
            </w:pPr>
            <w:r>
              <w:rPr>
                <w:rFonts w:asciiTheme="minorHAnsi" w:hAnsiTheme="minorHAnsi" w:cstheme="minorHAnsi"/>
                <w:b/>
                <w:sz w:val="18"/>
                <w:szCs w:val="18"/>
              </w:rPr>
              <w:t>Form #</w:t>
            </w:r>
          </w:p>
        </w:tc>
        <w:tc>
          <w:tcPr>
            <w:tcW w:w="1170" w:type="dxa"/>
            <w:shd w:val="clear" w:color="auto" w:fill="C6D9F0" w:themeFill="text2" w:themeFillTint="33"/>
            <w:vAlign w:val="center"/>
          </w:tcPr>
          <w:p w:rsidR="000C3D11" w:rsidP="00386E46" w14:paraId="7528B538" w14:textId="1408F034">
            <w:pPr>
              <w:pBdr>
                <w:top w:val="nil"/>
                <w:left w:val="nil"/>
                <w:bottom w:val="nil"/>
                <w:right w:val="nil"/>
                <w:between w:val="nil"/>
              </w:pBdr>
              <w:shd w:val="clear" w:color="auto" w:fill="C6D9F1" w:themeFill="text2" w:themeFillTint="33"/>
              <w:spacing w:before="7"/>
              <w:jc w:val="center"/>
              <w:rPr>
                <w:rFonts w:asciiTheme="minorHAnsi" w:hAnsiTheme="minorHAnsi" w:cstheme="minorHAnsi"/>
                <w:b/>
                <w:sz w:val="18"/>
                <w:szCs w:val="18"/>
              </w:rPr>
            </w:pPr>
            <w:r>
              <w:rPr>
                <w:rFonts w:asciiTheme="minorHAnsi" w:hAnsiTheme="minorHAnsi" w:cstheme="minorHAnsi"/>
                <w:b/>
                <w:sz w:val="18"/>
                <w:szCs w:val="18"/>
              </w:rPr>
              <w:t>Frequency</w:t>
            </w:r>
          </w:p>
        </w:tc>
        <w:tc>
          <w:tcPr>
            <w:tcW w:w="2700" w:type="dxa"/>
            <w:shd w:val="clear" w:color="auto" w:fill="C6D9F0" w:themeFill="text2" w:themeFillTint="33"/>
            <w:vAlign w:val="center"/>
          </w:tcPr>
          <w:p w:rsidR="000C3D11" w:rsidRPr="005B3AF0" w:rsidP="005B3AF0" w14:paraId="4D2EED90" w14:textId="01B76EF7">
            <w:pPr>
              <w:pBdr>
                <w:top w:val="nil"/>
                <w:left w:val="nil"/>
                <w:bottom w:val="nil"/>
                <w:right w:val="nil"/>
                <w:between w:val="nil"/>
              </w:pBdr>
              <w:spacing w:before="7"/>
              <w:jc w:val="center"/>
              <w:rPr>
                <w:rFonts w:asciiTheme="minorHAnsi" w:hAnsiTheme="minorHAnsi" w:cstheme="minorHAnsi"/>
                <w:b/>
                <w:sz w:val="18"/>
                <w:szCs w:val="18"/>
              </w:rPr>
            </w:pPr>
            <w:r>
              <w:rPr>
                <w:rFonts w:asciiTheme="minorHAnsi" w:hAnsiTheme="minorHAnsi" w:cstheme="minorHAnsi"/>
                <w:b/>
                <w:sz w:val="18"/>
                <w:szCs w:val="18"/>
              </w:rPr>
              <w:t>Needs and Uses</w:t>
            </w:r>
          </w:p>
        </w:tc>
      </w:tr>
      <w:tr w14:paraId="08D3614A" w14:textId="77777777" w:rsidTr="00060958">
        <w:tblPrEx>
          <w:tblW w:w="10165" w:type="dxa"/>
          <w:tblLayout w:type="fixed"/>
          <w:tblLook w:val="0000"/>
        </w:tblPrEx>
        <w:trPr>
          <w:trHeight w:val="726"/>
        </w:trPr>
        <w:tc>
          <w:tcPr>
            <w:tcW w:w="1435" w:type="dxa"/>
            <w:shd w:val="clear" w:color="auto" w:fill="auto"/>
            <w:vAlign w:val="center"/>
          </w:tcPr>
          <w:p w:rsidR="000C3D11" w:rsidRPr="00AF58FF" w:rsidP="00060958" w14:paraId="18A8D586" w14:textId="7789B208">
            <w:pPr>
              <w:pBdr>
                <w:top w:val="nil"/>
                <w:left w:val="nil"/>
                <w:bottom w:val="nil"/>
                <w:right w:val="nil"/>
                <w:between w:val="nil"/>
              </w:pBdr>
              <w:ind w:left="72" w:right="72"/>
              <w:jc w:val="center"/>
              <w:rPr>
                <w:rFonts w:asciiTheme="minorHAnsi" w:hAnsiTheme="minorHAnsi" w:cstheme="minorHAnsi"/>
                <w:sz w:val="18"/>
                <w:szCs w:val="18"/>
              </w:rPr>
            </w:pPr>
            <w:r w:rsidRPr="00AF58FF">
              <w:rPr>
                <w:rFonts w:asciiTheme="minorHAnsi" w:hAnsiTheme="minorHAnsi" w:cstheme="minorHAnsi"/>
                <w:sz w:val="18"/>
                <w:szCs w:val="18"/>
              </w:rPr>
              <w:t>Federal Fisheries Permit</w:t>
            </w:r>
            <w:r>
              <w:rPr>
                <w:rFonts w:asciiTheme="minorHAnsi" w:hAnsiTheme="minorHAnsi" w:cstheme="minorHAnsi"/>
                <w:sz w:val="18"/>
                <w:szCs w:val="18"/>
              </w:rPr>
              <w:t xml:space="preserve"> (FFP)</w:t>
            </w:r>
          </w:p>
        </w:tc>
        <w:tc>
          <w:tcPr>
            <w:tcW w:w="990" w:type="dxa"/>
            <w:shd w:val="clear" w:color="auto" w:fill="auto"/>
            <w:vAlign w:val="center"/>
          </w:tcPr>
          <w:p w:rsidR="000C3D11" w:rsidRPr="00AF58FF" w:rsidP="00060958" w14:paraId="47286D11" w14:textId="462D614A">
            <w:pPr>
              <w:pBdr>
                <w:top w:val="nil"/>
                <w:left w:val="nil"/>
                <w:bottom w:val="nil"/>
                <w:right w:val="nil"/>
                <w:between w:val="nil"/>
              </w:pBdr>
              <w:ind w:left="72" w:right="72"/>
              <w:jc w:val="center"/>
              <w:rPr>
                <w:rFonts w:asciiTheme="minorHAnsi" w:hAnsiTheme="minorHAnsi" w:cstheme="minorHAnsi"/>
                <w:sz w:val="18"/>
                <w:szCs w:val="18"/>
              </w:rPr>
            </w:pPr>
            <w:hyperlink r:id="rId9" w:anchor="p-679.4(b)" w:history="1">
              <w:r w:rsidRPr="00AF58FF">
                <w:rPr>
                  <w:rStyle w:val="Hyperlink"/>
                  <w:rFonts w:asciiTheme="minorHAnsi" w:eastAsiaTheme="minorHAnsi" w:hAnsiTheme="minorHAnsi" w:cstheme="minorHAnsi"/>
                  <w:sz w:val="18"/>
                  <w:szCs w:val="18"/>
                </w:rPr>
                <w:t>679.4(b)</w:t>
              </w:r>
            </w:hyperlink>
          </w:p>
        </w:tc>
        <w:tc>
          <w:tcPr>
            <w:tcW w:w="1440" w:type="dxa"/>
            <w:vAlign w:val="center"/>
          </w:tcPr>
          <w:p w:rsidR="000C3D11" w:rsidP="00060958" w14:paraId="05F84CC4" w14:textId="5421B8BD">
            <w:pPr>
              <w:pBdr>
                <w:top w:val="nil"/>
                <w:left w:val="nil"/>
                <w:bottom w:val="nil"/>
                <w:right w:val="nil"/>
                <w:between w:val="nil"/>
              </w:pBdr>
              <w:ind w:left="72" w:right="72"/>
              <w:jc w:val="center"/>
              <w:rPr>
                <w:rFonts w:asciiTheme="minorHAnsi" w:hAnsiTheme="minorHAnsi" w:cstheme="minorHAnsi"/>
                <w:sz w:val="18"/>
                <w:szCs w:val="18"/>
              </w:rPr>
            </w:pPr>
            <w:r>
              <w:rPr>
                <w:rFonts w:asciiTheme="minorHAnsi" w:hAnsiTheme="minorHAnsi" w:cstheme="minorHAnsi"/>
                <w:sz w:val="18"/>
                <w:szCs w:val="18"/>
              </w:rPr>
              <w:t xml:space="preserve">Vessel owner or </w:t>
            </w:r>
            <w:r>
              <w:rPr>
                <w:rFonts w:asciiTheme="minorHAnsi" w:hAnsiTheme="minorHAnsi" w:cstheme="minorHAnsi"/>
                <w:sz w:val="18"/>
                <w:szCs w:val="18"/>
              </w:rPr>
              <w:t>authorized representative</w:t>
            </w:r>
          </w:p>
        </w:tc>
        <w:tc>
          <w:tcPr>
            <w:tcW w:w="1260" w:type="dxa"/>
            <w:vAlign w:val="center"/>
          </w:tcPr>
          <w:p w:rsidR="000C3D11" w:rsidP="00060958" w14:paraId="46D228A0" w14:textId="3787DA65">
            <w:pPr>
              <w:pBdr>
                <w:top w:val="nil"/>
                <w:left w:val="nil"/>
                <w:bottom w:val="nil"/>
                <w:right w:val="nil"/>
                <w:between w:val="nil"/>
              </w:pBdr>
              <w:ind w:left="72" w:right="72"/>
              <w:jc w:val="center"/>
              <w:rPr>
                <w:rFonts w:asciiTheme="minorHAnsi" w:hAnsiTheme="minorHAnsi" w:cstheme="minorHAnsi"/>
                <w:sz w:val="18"/>
                <w:szCs w:val="18"/>
              </w:rPr>
            </w:pPr>
            <w:r w:rsidRPr="00386E46">
              <w:rPr>
                <w:rFonts w:asciiTheme="minorHAnsi" w:hAnsiTheme="minorHAnsi" w:cstheme="minorHAnsi"/>
                <w:sz w:val="18"/>
                <w:szCs w:val="18"/>
              </w:rPr>
              <w:t>mail, courier, or fax</w:t>
            </w:r>
          </w:p>
        </w:tc>
        <w:tc>
          <w:tcPr>
            <w:tcW w:w="1170" w:type="dxa"/>
            <w:shd w:val="clear" w:color="auto" w:fill="auto"/>
            <w:vAlign w:val="center"/>
          </w:tcPr>
          <w:p w:rsidR="000C3D11" w:rsidRPr="00AF58FF" w:rsidP="00060958" w14:paraId="45BD6E92" w14:textId="7EF98E39">
            <w:pPr>
              <w:pBdr>
                <w:top w:val="nil"/>
                <w:left w:val="nil"/>
                <w:bottom w:val="nil"/>
                <w:right w:val="nil"/>
                <w:between w:val="nil"/>
              </w:pBdr>
              <w:ind w:left="72" w:right="72"/>
              <w:jc w:val="center"/>
              <w:rPr>
                <w:rFonts w:asciiTheme="minorHAnsi" w:hAnsiTheme="minorHAnsi" w:cstheme="minorHAnsi"/>
                <w:sz w:val="18"/>
                <w:szCs w:val="18"/>
              </w:rPr>
            </w:pPr>
            <w:r>
              <w:rPr>
                <w:rFonts w:asciiTheme="minorHAnsi" w:hAnsiTheme="minorHAnsi" w:cstheme="minorHAnsi"/>
                <w:sz w:val="18"/>
                <w:szCs w:val="18"/>
              </w:rPr>
              <w:t>Yes</w:t>
            </w:r>
          </w:p>
        </w:tc>
        <w:tc>
          <w:tcPr>
            <w:tcW w:w="1170" w:type="dxa"/>
            <w:vAlign w:val="center"/>
          </w:tcPr>
          <w:p w:rsidR="000C3D11" w:rsidRPr="00AF58FF" w:rsidP="00060958" w14:paraId="359E05CB" w14:textId="259D4764">
            <w:pPr>
              <w:pBdr>
                <w:top w:val="nil"/>
                <w:left w:val="nil"/>
                <w:bottom w:val="nil"/>
                <w:right w:val="nil"/>
                <w:between w:val="nil"/>
              </w:pBdr>
              <w:tabs>
                <w:tab w:val="left" w:pos="469"/>
                <w:tab w:val="left" w:pos="470"/>
              </w:tabs>
              <w:spacing w:line="223" w:lineRule="auto"/>
              <w:ind w:left="72" w:right="72"/>
              <w:jc w:val="center"/>
              <w:rPr>
                <w:rFonts w:asciiTheme="minorHAnsi" w:hAnsiTheme="minorHAnsi" w:cstheme="minorHAnsi"/>
                <w:sz w:val="18"/>
                <w:szCs w:val="18"/>
              </w:rPr>
            </w:pPr>
            <w:r w:rsidRPr="00386E46">
              <w:rPr>
                <w:rFonts w:asciiTheme="minorHAnsi" w:hAnsiTheme="minorHAnsi" w:cstheme="minorHAnsi"/>
                <w:sz w:val="18"/>
                <w:szCs w:val="18"/>
              </w:rPr>
              <w:t xml:space="preserve">3-year </w:t>
            </w:r>
            <w:r>
              <w:rPr>
                <w:rFonts w:asciiTheme="minorHAnsi" w:hAnsiTheme="minorHAnsi" w:cstheme="minorHAnsi"/>
                <w:sz w:val="18"/>
                <w:szCs w:val="18"/>
              </w:rPr>
              <w:t>r</w:t>
            </w:r>
            <w:r w:rsidRPr="00386E46">
              <w:rPr>
                <w:rFonts w:asciiTheme="minorHAnsi" w:hAnsiTheme="minorHAnsi" w:cstheme="minorHAnsi"/>
                <w:sz w:val="18"/>
                <w:szCs w:val="18"/>
              </w:rPr>
              <w:t>enewal cycle</w:t>
            </w:r>
          </w:p>
        </w:tc>
        <w:tc>
          <w:tcPr>
            <w:tcW w:w="2700" w:type="dxa"/>
            <w:shd w:val="clear" w:color="auto" w:fill="auto"/>
            <w:vAlign w:val="center"/>
          </w:tcPr>
          <w:p w:rsidR="000C3D11" w:rsidRPr="00AF58FF" w:rsidP="00060958" w14:paraId="60C536C7" w14:textId="6D888132">
            <w:pPr>
              <w:pBdr>
                <w:top w:val="nil"/>
                <w:left w:val="nil"/>
                <w:bottom w:val="nil"/>
                <w:right w:val="nil"/>
                <w:between w:val="nil"/>
              </w:pBdr>
              <w:tabs>
                <w:tab w:val="left" w:pos="469"/>
                <w:tab w:val="left" w:pos="470"/>
              </w:tabs>
              <w:spacing w:before="20" w:after="20" w:line="223" w:lineRule="auto"/>
              <w:ind w:left="144"/>
              <w:rPr>
                <w:rFonts w:asciiTheme="minorHAnsi" w:hAnsiTheme="minorHAnsi" w:cstheme="minorHAnsi"/>
                <w:sz w:val="18"/>
                <w:szCs w:val="18"/>
              </w:rPr>
            </w:pPr>
            <w:r w:rsidRPr="00AF58FF">
              <w:rPr>
                <w:rFonts w:asciiTheme="minorHAnsi" w:hAnsiTheme="minorHAnsi" w:cstheme="minorHAnsi"/>
                <w:sz w:val="18"/>
                <w:szCs w:val="18"/>
              </w:rPr>
              <w:t xml:space="preserve">NMFS uses this information for  fisheries management and regulatory compliance by NMFS Sustainable Fisheries Division, NMFS Restricted Access Management </w:t>
            </w:r>
            <w:r>
              <w:rPr>
                <w:rFonts w:asciiTheme="minorHAnsi" w:hAnsiTheme="minorHAnsi" w:cstheme="minorHAnsi"/>
                <w:sz w:val="18"/>
                <w:szCs w:val="18"/>
              </w:rPr>
              <w:t>Division</w:t>
            </w:r>
            <w:r w:rsidRPr="00AF58FF">
              <w:rPr>
                <w:rFonts w:asciiTheme="minorHAnsi" w:hAnsiTheme="minorHAnsi" w:cstheme="minorHAnsi"/>
                <w:sz w:val="18"/>
                <w:szCs w:val="18"/>
              </w:rPr>
              <w:t xml:space="preserve">, </w:t>
            </w:r>
            <w:r>
              <w:rPr>
                <w:rFonts w:asciiTheme="minorHAnsi" w:hAnsiTheme="minorHAnsi" w:cstheme="minorHAnsi"/>
                <w:sz w:val="18"/>
                <w:szCs w:val="18"/>
              </w:rPr>
              <w:t>North Pacific</w:t>
            </w:r>
            <w:r w:rsidRPr="00AF58FF">
              <w:rPr>
                <w:rFonts w:asciiTheme="minorHAnsi" w:hAnsiTheme="minorHAnsi" w:cstheme="minorHAnsi"/>
                <w:sz w:val="18"/>
                <w:szCs w:val="18"/>
              </w:rPr>
              <w:t xml:space="preserve"> Observer Program, NOAA Office of Law Enforcement, the U.S. Coast Guard (USCG), and the Council</w:t>
            </w:r>
            <w:r>
              <w:rPr>
                <w:rFonts w:asciiTheme="minorHAnsi" w:hAnsiTheme="minorHAnsi" w:cstheme="minorHAnsi"/>
                <w:sz w:val="18"/>
                <w:szCs w:val="18"/>
              </w:rPr>
              <w:t>.</w:t>
            </w:r>
          </w:p>
        </w:tc>
      </w:tr>
      <w:tr w14:paraId="29AB7430" w14:textId="77777777" w:rsidTr="00060958">
        <w:tblPrEx>
          <w:tblW w:w="10165" w:type="dxa"/>
          <w:tblLayout w:type="fixed"/>
          <w:tblLook w:val="0000"/>
        </w:tblPrEx>
        <w:trPr>
          <w:trHeight w:val="700"/>
        </w:trPr>
        <w:tc>
          <w:tcPr>
            <w:tcW w:w="1435" w:type="dxa"/>
            <w:shd w:val="clear" w:color="auto" w:fill="auto"/>
            <w:vAlign w:val="center"/>
          </w:tcPr>
          <w:p w:rsidR="000C3D11" w:rsidRPr="00AF58FF" w:rsidP="00060958" w14:paraId="4576AFF8" w14:textId="00678DD5">
            <w:pPr>
              <w:pBdr>
                <w:top w:val="nil"/>
                <w:left w:val="nil"/>
                <w:bottom w:val="nil"/>
                <w:right w:val="nil"/>
                <w:between w:val="nil"/>
              </w:pBdr>
              <w:ind w:left="72" w:right="72"/>
              <w:jc w:val="center"/>
              <w:rPr>
                <w:rFonts w:asciiTheme="minorHAnsi" w:hAnsiTheme="minorHAnsi" w:cstheme="minorHAnsi"/>
                <w:sz w:val="18"/>
                <w:szCs w:val="18"/>
              </w:rPr>
            </w:pPr>
            <w:r w:rsidRPr="00AF58FF">
              <w:rPr>
                <w:rFonts w:asciiTheme="minorHAnsi" w:hAnsiTheme="minorHAnsi" w:cstheme="minorHAnsi"/>
                <w:sz w:val="18"/>
                <w:szCs w:val="18"/>
              </w:rPr>
              <w:t>Federal Processor Permit</w:t>
            </w:r>
            <w:r>
              <w:rPr>
                <w:rFonts w:asciiTheme="minorHAnsi" w:hAnsiTheme="minorHAnsi" w:cstheme="minorHAnsi"/>
                <w:sz w:val="18"/>
                <w:szCs w:val="18"/>
              </w:rPr>
              <w:t xml:space="preserve"> (FPP)</w:t>
            </w:r>
          </w:p>
        </w:tc>
        <w:tc>
          <w:tcPr>
            <w:tcW w:w="990" w:type="dxa"/>
            <w:shd w:val="clear" w:color="auto" w:fill="auto"/>
            <w:vAlign w:val="center"/>
          </w:tcPr>
          <w:p w:rsidR="000C3D11" w:rsidRPr="00AF58FF" w:rsidP="00060958" w14:paraId="336424FB" w14:textId="5267F3C2">
            <w:pPr>
              <w:pBdr>
                <w:top w:val="nil"/>
                <w:left w:val="nil"/>
                <w:bottom w:val="nil"/>
                <w:right w:val="nil"/>
                <w:between w:val="nil"/>
              </w:pBdr>
              <w:ind w:left="72" w:right="72"/>
              <w:jc w:val="center"/>
              <w:rPr>
                <w:rFonts w:asciiTheme="minorHAnsi" w:hAnsiTheme="minorHAnsi" w:cstheme="minorHAnsi"/>
                <w:sz w:val="18"/>
                <w:szCs w:val="18"/>
              </w:rPr>
            </w:pPr>
            <w:hyperlink r:id="rId9" w:anchor="p-679.4(f)" w:history="1">
              <w:r w:rsidRPr="00AF58FF">
                <w:rPr>
                  <w:rStyle w:val="Hyperlink"/>
                  <w:rFonts w:asciiTheme="minorHAnsi" w:eastAsiaTheme="minorHAnsi" w:hAnsiTheme="minorHAnsi" w:cstheme="minorHAnsi"/>
                  <w:sz w:val="18"/>
                  <w:szCs w:val="18"/>
                </w:rPr>
                <w:t>679.4(f)</w:t>
              </w:r>
            </w:hyperlink>
          </w:p>
        </w:tc>
        <w:tc>
          <w:tcPr>
            <w:tcW w:w="1440" w:type="dxa"/>
            <w:vAlign w:val="center"/>
          </w:tcPr>
          <w:p w:rsidR="000C3D11" w:rsidP="00060958" w14:paraId="6C369A5D" w14:textId="1578E192">
            <w:pPr>
              <w:pBdr>
                <w:top w:val="nil"/>
                <w:left w:val="nil"/>
                <w:bottom w:val="nil"/>
                <w:right w:val="nil"/>
                <w:between w:val="nil"/>
              </w:pBdr>
              <w:ind w:left="72" w:right="72"/>
              <w:jc w:val="center"/>
              <w:rPr>
                <w:rFonts w:asciiTheme="minorHAnsi" w:hAnsiTheme="minorHAnsi" w:cstheme="minorHAnsi"/>
                <w:sz w:val="18"/>
                <w:szCs w:val="18"/>
              </w:rPr>
            </w:pPr>
            <w:r>
              <w:rPr>
                <w:rFonts w:asciiTheme="minorHAnsi" w:hAnsiTheme="minorHAnsi" w:cstheme="minorHAnsi"/>
                <w:sz w:val="18"/>
                <w:szCs w:val="18"/>
              </w:rPr>
              <w:t>O</w:t>
            </w:r>
            <w:r w:rsidRPr="0016706E">
              <w:rPr>
                <w:rFonts w:asciiTheme="minorHAnsi" w:hAnsiTheme="minorHAnsi" w:cstheme="minorHAnsi"/>
                <w:sz w:val="18"/>
                <w:szCs w:val="18"/>
              </w:rPr>
              <w:t>wner or authorized representative</w:t>
            </w:r>
          </w:p>
        </w:tc>
        <w:tc>
          <w:tcPr>
            <w:tcW w:w="1260" w:type="dxa"/>
            <w:vAlign w:val="center"/>
          </w:tcPr>
          <w:p w:rsidR="000C3D11" w:rsidP="00060958" w14:paraId="0C4DC34C" w14:textId="01F58BFC">
            <w:pPr>
              <w:pBdr>
                <w:top w:val="nil"/>
                <w:left w:val="nil"/>
                <w:bottom w:val="nil"/>
                <w:right w:val="nil"/>
                <w:between w:val="nil"/>
              </w:pBdr>
              <w:ind w:left="72" w:right="72"/>
              <w:jc w:val="center"/>
              <w:rPr>
                <w:rFonts w:asciiTheme="minorHAnsi" w:hAnsiTheme="minorHAnsi" w:cstheme="minorHAnsi"/>
                <w:sz w:val="18"/>
                <w:szCs w:val="18"/>
              </w:rPr>
            </w:pPr>
            <w:r w:rsidRPr="0016706E">
              <w:rPr>
                <w:rFonts w:asciiTheme="minorHAnsi" w:hAnsiTheme="minorHAnsi" w:cstheme="minorHAnsi"/>
                <w:sz w:val="18"/>
                <w:szCs w:val="18"/>
              </w:rPr>
              <w:t xml:space="preserve">mail, courier, </w:t>
            </w:r>
            <w:r>
              <w:rPr>
                <w:rFonts w:asciiTheme="minorHAnsi" w:hAnsiTheme="minorHAnsi" w:cstheme="minorHAnsi"/>
                <w:sz w:val="18"/>
                <w:szCs w:val="18"/>
              </w:rPr>
              <w:t xml:space="preserve">or </w:t>
            </w:r>
            <w:r w:rsidRPr="0016706E">
              <w:rPr>
                <w:rFonts w:asciiTheme="minorHAnsi" w:hAnsiTheme="minorHAnsi" w:cstheme="minorHAnsi"/>
                <w:sz w:val="18"/>
                <w:szCs w:val="18"/>
              </w:rPr>
              <w:t>fax</w:t>
            </w:r>
            <w:r>
              <w:rPr>
                <w:rFonts w:asciiTheme="minorHAnsi" w:hAnsiTheme="minorHAnsi" w:cstheme="minorHAnsi"/>
                <w:sz w:val="18"/>
                <w:szCs w:val="18"/>
              </w:rPr>
              <w:t>; online renewal only</w:t>
            </w:r>
          </w:p>
        </w:tc>
        <w:tc>
          <w:tcPr>
            <w:tcW w:w="1170" w:type="dxa"/>
            <w:shd w:val="clear" w:color="auto" w:fill="auto"/>
            <w:vAlign w:val="center"/>
          </w:tcPr>
          <w:p w:rsidR="000C3D11" w:rsidRPr="00AF58FF" w:rsidP="00060958" w14:paraId="1A58E3DC" w14:textId="076D6F26">
            <w:pPr>
              <w:pBdr>
                <w:top w:val="nil"/>
                <w:left w:val="nil"/>
                <w:bottom w:val="nil"/>
                <w:right w:val="nil"/>
                <w:between w:val="nil"/>
              </w:pBdr>
              <w:ind w:left="72" w:right="72"/>
              <w:jc w:val="center"/>
              <w:rPr>
                <w:rFonts w:asciiTheme="minorHAnsi" w:hAnsiTheme="minorHAnsi" w:cstheme="minorHAnsi"/>
                <w:sz w:val="18"/>
                <w:szCs w:val="18"/>
              </w:rPr>
            </w:pPr>
            <w:r>
              <w:rPr>
                <w:rFonts w:asciiTheme="minorHAnsi" w:hAnsiTheme="minorHAnsi" w:cstheme="minorHAnsi"/>
                <w:sz w:val="18"/>
                <w:szCs w:val="18"/>
              </w:rPr>
              <w:t>Yes</w:t>
            </w:r>
          </w:p>
        </w:tc>
        <w:tc>
          <w:tcPr>
            <w:tcW w:w="1170" w:type="dxa"/>
            <w:vAlign w:val="center"/>
          </w:tcPr>
          <w:p w:rsidR="000C3D11" w:rsidRPr="00AF58FF" w:rsidP="00060958" w14:paraId="61050AE2" w14:textId="71BA2706">
            <w:pPr>
              <w:pBdr>
                <w:top w:val="nil"/>
                <w:left w:val="nil"/>
                <w:bottom w:val="nil"/>
                <w:right w:val="nil"/>
                <w:between w:val="nil"/>
              </w:pBdr>
              <w:tabs>
                <w:tab w:val="left" w:pos="469"/>
                <w:tab w:val="left" w:pos="470"/>
              </w:tabs>
              <w:spacing w:line="223" w:lineRule="auto"/>
              <w:ind w:left="72" w:right="72"/>
              <w:jc w:val="center"/>
              <w:rPr>
                <w:rFonts w:asciiTheme="minorHAnsi" w:hAnsiTheme="minorHAnsi" w:cstheme="minorHAnsi"/>
                <w:sz w:val="18"/>
                <w:szCs w:val="18"/>
              </w:rPr>
            </w:pPr>
            <w:r>
              <w:rPr>
                <w:rFonts w:asciiTheme="minorHAnsi" w:hAnsiTheme="minorHAnsi" w:cstheme="minorHAnsi"/>
                <w:sz w:val="18"/>
                <w:szCs w:val="18"/>
              </w:rPr>
              <w:t>1-year renewal cycle</w:t>
            </w:r>
          </w:p>
        </w:tc>
        <w:tc>
          <w:tcPr>
            <w:tcW w:w="2700" w:type="dxa"/>
            <w:shd w:val="clear" w:color="auto" w:fill="auto"/>
            <w:vAlign w:val="center"/>
          </w:tcPr>
          <w:p w:rsidR="000C3D11" w:rsidRPr="00AF58FF" w:rsidP="00060958" w14:paraId="70989C27" w14:textId="5CE4B1E5">
            <w:pPr>
              <w:pBdr>
                <w:top w:val="nil"/>
                <w:left w:val="nil"/>
                <w:bottom w:val="nil"/>
                <w:right w:val="nil"/>
                <w:between w:val="nil"/>
              </w:pBdr>
              <w:tabs>
                <w:tab w:val="left" w:pos="469"/>
                <w:tab w:val="left" w:pos="470"/>
              </w:tabs>
              <w:spacing w:before="20" w:after="20" w:line="223" w:lineRule="auto"/>
              <w:ind w:left="144"/>
              <w:rPr>
                <w:rFonts w:asciiTheme="minorHAnsi" w:hAnsiTheme="minorHAnsi" w:cstheme="minorHAnsi"/>
                <w:sz w:val="18"/>
                <w:szCs w:val="18"/>
              </w:rPr>
            </w:pPr>
            <w:r w:rsidRPr="00AF58FF">
              <w:rPr>
                <w:rFonts w:asciiTheme="minorHAnsi" w:hAnsiTheme="minorHAnsi" w:cstheme="minorHAnsi"/>
                <w:sz w:val="18"/>
                <w:szCs w:val="18"/>
              </w:rPr>
              <w:t xml:space="preserve">NMFS uses this information for  fisheries management and regulatory compliance by NMFS Sustainable Fisheries Division, NMFS Restricted Access Management </w:t>
            </w:r>
            <w:r>
              <w:rPr>
                <w:rFonts w:asciiTheme="minorHAnsi" w:hAnsiTheme="minorHAnsi" w:cstheme="minorHAnsi"/>
                <w:sz w:val="18"/>
                <w:szCs w:val="18"/>
              </w:rPr>
              <w:t>Division</w:t>
            </w:r>
            <w:r w:rsidRPr="00AF58FF">
              <w:rPr>
                <w:rFonts w:asciiTheme="minorHAnsi" w:hAnsiTheme="minorHAnsi" w:cstheme="minorHAnsi"/>
                <w:sz w:val="18"/>
                <w:szCs w:val="18"/>
              </w:rPr>
              <w:t xml:space="preserve">, </w:t>
            </w:r>
            <w:r>
              <w:rPr>
                <w:rFonts w:asciiTheme="minorHAnsi" w:hAnsiTheme="minorHAnsi" w:cstheme="minorHAnsi"/>
                <w:sz w:val="18"/>
                <w:szCs w:val="18"/>
              </w:rPr>
              <w:t>North Pacific</w:t>
            </w:r>
            <w:r w:rsidRPr="00AF58FF">
              <w:rPr>
                <w:rFonts w:asciiTheme="minorHAnsi" w:hAnsiTheme="minorHAnsi" w:cstheme="minorHAnsi"/>
                <w:sz w:val="18"/>
                <w:szCs w:val="18"/>
              </w:rPr>
              <w:t xml:space="preserve"> Observer Program, NOAA Office of Law Enforcement, the U</w:t>
            </w:r>
            <w:r>
              <w:rPr>
                <w:rFonts w:asciiTheme="minorHAnsi" w:hAnsiTheme="minorHAnsi" w:cstheme="minorHAnsi"/>
                <w:sz w:val="18"/>
                <w:szCs w:val="18"/>
              </w:rPr>
              <w:t>SCG</w:t>
            </w:r>
            <w:r w:rsidRPr="00AF58FF">
              <w:rPr>
                <w:rFonts w:asciiTheme="minorHAnsi" w:hAnsiTheme="minorHAnsi" w:cstheme="minorHAnsi"/>
                <w:sz w:val="18"/>
                <w:szCs w:val="18"/>
              </w:rPr>
              <w:t>, and the Council</w:t>
            </w:r>
            <w:r>
              <w:rPr>
                <w:rFonts w:asciiTheme="minorHAnsi" w:hAnsiTheme="minorHAnsi" w:cstheme="minorHAnsi"/>
                <w:sz w:val="18"/>
                <w:szCs w:val="18"/>
              </w:rPr>
              <w:t>.</w:t>
            </w:r>
          </w:p>
        </w:tc>
      </w:tr>
      <w:tr w14:paraId="673AE0F3" w14:textId="77777777" w:rsidTr="00060958">
        <w:tblPrEx>
          <w:tblW w:w="10165" w:type="dxa"/>
          <w:tblLayout w:type="fixed"/>
          <w:tblLook w:val="0000"/>
        </w:tblPrEx>
        <w:trPr>
          <w:trHeight w:val="700"/>
        </w:trPr>
        <w:tc>
          <w:tcPr>
            <w:tcW w:w="1435" w:type="dxa"/>
            <w:shd w:val="clear" w:color="auto" w:fill="auto"/>
            <w:vAlign w:val="center"/>
          </w:tcPr>
          <w:p w:rsidR="000C3D11" w:rsidRPr="00AF58FF" w:rsidP="00060958" w14:paraId="7DEF10AF" w14:textId="3596C92A">
            <w:pPr>
              <w:pBdr>
                <w:top w:val="nil"/>
                <w:left w:val="nil"/>
                <w:bottom w:val="nil"/>
                <w:right w:val="nil"/>
                <w:between w:val="nil"/>
              </w:pBdr>
              <w:ind w:left="72" w:right="72"/>
              <w:jc w:val="center"/>
              <w:rPr>
                <w:rFonts w:asciiTheme="minorHAnsi" w:hAnsiTheme="minorHAnsi" w:cstheme="minorHAnsi"/>
                <w:sz w:val="18"/>
                <w:szCs w:val="18"/>
              </w:rPr>
            </w:pPr>
            <w:r w:rsidRPr="00AF58FF">
              <w:rPr>
                <w:rFonts w:asciiTheme="minorHAnsi" w:hAnsiTheme="minorHAnsi" w:cstheme="minorHAnsi"/>
                <w:sz w:val="18"/>
                <w:szCs w:val="18"/>
              </w:rPr>
              <w:t>Exempted Fishing Permit (EFP)</w:t>
            </w:r>
          </w:p>
        </w:tc>
        <w:tc>
          <w:tcPr>
            <w:tcW w:w="990" w:type="dxa"/>
            <w:shd w:val="clear" w:color="auto" w:fill="auto"/>
            <w:vAlign w:val="center"/>
          </w:tcPr>
          <w:p w:rsidR="000C3D11" w:rsidRPr="00AF58FF" w:rsidP="00060958" w14:paraId="1C918FF4" w14:textId="5CF40BEE">
            <w:pPr>
              <w:pBdr>
                <w:top w:val="nil"/>
                <w:left w:val="nil"/>
                <w:bottom w:val="nil"/>
                <w:right w:val="nil"/>
                <w:between w:val="nil"/>
              </w:pBdr>
              <w:ind w:left="72" w:right="72"/>
              <w:jc w:val="center"/>
              <w:rPr>
                <w:rFonts w:asciiTheme="minorHAnsi" w:hAnsiTheme="minorHAnsi" w:cstheme="minorHAnsi"/>
                <w:sz w:val="18"/>
                <w:szCs w:val="18"/>
              </w:rPr>
            </w:pPr>
            <w:hyperlink r:id="rId11" w:anchor="p-600.745(b)" w:history="1">
              <w:r w:rsidRPr="00AF58FF">
                <w:rPr>
                  <w:rStyle w:val="Hyperlink"/>
                  <w:rFonts w:asciiTheme="minorHAnsi" w:eastAsiaTheme="minorHAnsi" w:hAnsiTheme="minorHAnsi" w:cstheme="minorHAnsi"/>
                  <w:sz w:val="18"/>
                  <w:szCs w:val="18"/>
                </w:rPr>
                <w:t>600.745(b)</w:t>
              </w:r>
            </w:hyperlink>
            <w:r w:rsidRPr="00AF58FF">
              <w:rPr>
                <w:rFonts w:asciiTheme="minorHAnsi" w:eastAsiaTheme="minorHAnsi" w:hAnsiTheme="minorHAnsi" w:cstheme="minorHAnsi"/>
                <w:sz w:val="18"/>
                <w:szCs w:val="18"/>
              </w:rPr>
              <w:t xml:space="preserve"> and </w:t>
            </w:r>
            <w:hyperlink r:id="rId10" w:history="1">
              <w:r w:rsidRPr="00AF58FF">
                <w:rPr>
                  <w:rStyle w:val="Hyperlink"/>
                  <w:rFonts w:asciiTheme="minorHAnsi" w:eastAsiaTheme="minorHAnsi" w:hAnsiTheme="minorHAnsi" w:cstheme="minorHAnsi"/>
                  <w:sz w:val="18"/>
                  <w:szCs w:val="18"/>
                </w:rPr>
                <w:t>679.6</w:t>
              </w:r>
            </w:hyperlink>
          </w:p>
        </w:tc>
        <w:tc>
          <w:tcPr>
            <w:tcW w:w="1440" w:type="dxa"/>
            <w:vAlign w:val="center"/>
          </w:tcPr>
          <w:p w:rsidR="000C3D11" w:rsidRPr="000F1F2D" w:rsidP="00060958" w14:paraId="1D7CD5E3" w14:textId="0BBF4C33">
            <w:pPr>
              <w:pBdr>
                <w:top w:val="nil"/>
                <w:left w:val="nil"/>
                <w:bottom w:val="nil"/>
                <w:right w:val="nil"/>
                <w:between w:val="nil"/>
              </w:pBdr>
              <w:ind w:left="72" w:right="72"/>
              <w:jc w:val="center"/>
              <w:rPr>
                <w:rFonts w:asciiTheme="minorHAnsi" w:hAnsiTheme="minorHAnsi" w:cstheme="minorHAnsi"/>
                <w:sz w:val="18"/>
                <w:szCs w:val="18"/>
                <w:highlight w:val="cyan"/>
              </w:rPr>
            </w:pPr>
            <w:r w:rsidRPr="00E74835">
              <w:rPr>
                <w:rFonts w:asciiTheme="minorHAnsi" w:hAnsiTheme="minorHAnsi" w:cstheme="minorHAnsi"/>
                <w:sz w:val="18"/>
                <w:szCs w:val="18"/>
              </w:rPr>
              <w:t>EFP applicant</w:t>
            </w:r>
          </w:p>
        </w:tc>
        <w:tc>
          <w:tcPr>
            <w:tcW w:w="1260" w:type="dxa"/>
            <w:vAlign w:val="center"/>
          </w:tcPr>
          <w:p w:rsidR="000C3D11" w:rsidRPr="000F1F2D" w:rsidP="00060958" w14:paraId="180E3356" w14:textId="5E4E3FBF">
            <w:pPr>
              <w:pBdr>
                <w:top w:val="nil"/>
                <w:left w:val="nil"/>
                <w:bottom w:val="nil"/>
                <w:right w:val="nil"/>
                <w:between w:val="nil"/>
              </w:pBdr>
              <w:ind w:left="72" w:right="72"/>
              <w:jc w:val="center"/>
              <w:rPr>
                <w:rFonts w:asciiTheme="minorHAnsi" w:hAnsiTheme="minorHAnsi" w:cstheme="minorHAnsi"/>
                <w:sz w:val="18"/>
                <w:szCs w:val="18"/>
                <w:highlight w:val="cyan"/>
              </w:rPr>
            </w:pPr>
            <w:r w:rsidRPr="00E74835">
              <w:rPr>
                <w:rFonts w:asciiTheme="minorHAnsi" w:hAnsiTheme="minorHAnsi" w:cstheme="minorHAnsi"/>
                <w:sz w:val="18"/>
                <w:szCs w:val="18"/>
              </w:rPr>
              <w:t xml:space="preserve">mail, </w:t>
            </w:r>
            <w:r>
              <w:rPr>
                <w:rFonts w:asciiTheme="minorHAnsi" w:hAnsiTheme="minorHAnsi" w:cstheme="minorHAnsi"/>
                <w:sz w:val="18"/>
                <w:szCs w:val="18"/>
              </w:rPr>
              <w:t xml:space="preserve">courier, </w:t>
            </w:r>
            <w:r w:rsidRPr="00E74835">
              <w:rPr>
                <w:rFonts w:asciiTheme="minorHAnsi" w:hAnsiTheme="minorHAnsi" w:cstheme="minorHAnsi"/>
                <w:sz w:val="18"/>
                <w:szCs w:val="18"/>
              </w:rPr>
              <w:t>email, or fax</w:t>
            </w:r>
          </w:p>
        </w:tc>
        <w:tc>
          <w:tcPr>
            <w:tcW w:w="1170" w:type="dxa"/>
            <w:shd w:val="clear" w:color="auto" w:fill="auto"/>
            <w:vAlign w:val="center"/>
          </w:tcPr>
          <w:p w:rsidR="000C3D11" w:rsidRPr="00AF58FF" w:rsidP="00060958" w14:paraId="174C43C8" w14:textId="1E4A00D2">
            <w:pPr>
              <w:pBdr>
                <w:top w:val="nil"/>
                <w:left w:val="nil"/>
                <w:bottom w:val="nil"/>
                <w:right w:val="nil"/>
                <w:between w:val="nil"/>
              </w:pBdr>
              <w:ind w:left="72" w:right="72"/>
              <w:jc w:val="center"/>
              <w:rPr>
                <w:rFonts w:asciiTheme="minorHAnsi" w:hAnsiTheme="minorHAnsi" w:cstheme="minorHAnsi"/>
                <w:sz w:val="18"/>
                <w:szCs w:val="18"/>
              </w:rPr>
            </w:pPr>
            <w:r w:rsidRPr="00AF58FF">
              <w:rPr>
                <w:rFonts w:asciiTheme="minorHAnsi" w:hAnsiTheme="minorHAnsi" w:cstheme="minorHAnsi"/>
                <w:sz w:val="18"/>
                <w:szCs w:val="18"/>
              </w:rPr>
              <w:t>No – template posted on the NMFS AKR website</w:t>
            </w:r>
          </w:p>
        </w:tc>
        <w:tc>
          <w:tcPr>
            <w:tcW w:w="1170" w:type="dxa"/>
            <w:vAlign w:val="center"/>
          </w:tcPr>
          <w:p w:rsidR="000C3D11" w:rsidRPr="00AF58FF" w:rsidP="00060958" w14:paraId="469E993B" w14:textId="47160261">
            <w:pPr>
              <w:pBdr>
                <w:top w:val="nil"/>
                <w:left w:val="nil"/>
                <w:bottom w:val="nil"/>
                <w:right w:val="nil"/>
                <w:between w:val="nil"/>
              </w:pBdr>
              <w:tabs>
                <w:tab w:val="left" w:pos="469"/>
                <w:tab w:val="left" w:pos="470"/>
              </w:tabs>
              <w:spacing w:line="223" w:lineRule="auto"/>
              <w:ind w:left="72" w:right="72"/>
              <w:jc w:val="center"/>
              <w:rPr>
                <w:rFonts w:asciiTheme="minorHAnsi" w:hAnsiTheme="minorHAnsi" w:cstheme="minorHAnsi"/>
                <w:sz w:val="18"/>
                <w:szCs w:val="18"/>
              </w:rPr>
            </w:pPr>
            <w:r>
              <w:rPr>
                <w:rFonts w:asciiTheme="minorHAnsi" w:hAnsiTheme="minorHAnsi" w:cstheme="minorHAnsi"/>
                <w:sz w:val="18"/>
                <w:szCs w:val="18"/>
              </w:rPr>
              <w:t xml:space="preserve">1 year or less (depending on the duration of the </w:t>
            </w:r>
            <w:r>
              <w:rPr>
                <w:rFonts w:asciiTheme="minorHAnsi" w:hAnsiTheme="minorHAnsi" w:cstheme="minorHAnsi"/>
                <w:sz w:val="18"/>
                <w:szCs w:val="18"/>
              </w:rPr>
              <w:t>permit)</w:t>
            </w:r>
          </w:p>
        </w:tc>
        <w:tc>
          <w:tcPr>
            <w:tcW w:w="2700" w:type="dxa"/>
            <w:shd w:val="clear" w:color="auto" w:fill="auto"/>
            <w:vAlign w:val="center"/>
          </w:tcPr>
          <w:p w:rsidR="000C3D11" w:rsidRPr="00AF58FF" w:rsidP="00060958" w14:paraId="63D115B6" w14:textId="4C99D0EF">
            <w:pPr>
              <w:pBdr>
                <w:top w:val="nil"/>
                <w:left w:val="nil"/>
                <w:bottom w:val="nil"/>
                <w:right w:val="nil"/>
                <w:between w:val="nil"/>
              </w:pBdr>
              <w:tabs>
                <w:tab w:val="left" w:pos="469"/>
                <w:tab w:val="left" w:pos="470"/>
              </w:tabs>
              <w:spacing w:before="20" w:after="20" w:line="223" w:lineRule="auto"/>
              <w:ind w:left="144"/>
              <w:rPr>
                <w:rFonts w:asciiTheme="minorHAnsi" w:hAnsiTheme="minorHAnsi" w:cstheme="minorHAnsi"/>
                <w:b/>
                <w:sz w:val="18"/>
                <w:szCs w:val="18"/>
              </w:rPr>
            </w:pPr>
            <w:r w:rsidRPr="00AF58FF">
              <w:rPr>
                <w:rFonts w:asciiTheme="minorHAnsi" w:hAnsiTheme="minorHAnsi" w:cstheme="minorHAnsi"/>
                <w:sz w:val="18"/>
                <w:szCs w:val="18"/>
              </w:rPr>
              <w:t xml:space="preserve">NMFS uses this information for  fisheries management and regulatory compliance by NMFS Sustainable Fisheries Division, NMFS Restricted Access Management </w:t>
            </w:r>
            <w:r>
              <w:rPr>
                <w:rFonts w:asciiTheme="minorHAnsi" w:hAnsiTheme="minorHAnsi" w:cstheme="minorHAnsi"/>
                <w:sz w:val="18"/>
                <w:szCs w:val="18"/>
              </w:rPr>
              <w:t>Division</w:t>
            </w:r>
            <w:r w:rsidRPr="00AF58FF">
              <w:rPr>
                <w:rFonts w:asciiTheme="minorHAnsi" w:hAnsiTheme="minorHAnsi" w:cstheme="minorHAnsi"/>
                <w:sz w:val="18"/>
                <w:szCs w:val="18"/>
              </w:rPr>
              <w:t xml:space="preserve">, </w:t>
            </w:r>
            <w:r>
              <w:rPr>
                <w:rFonts w:asciiTheme="minorHAnsi" w:hAnsiTheme="minorHAnsi" w:cstheme="minorHAnsi"/>
                <w:sz w:val="18"/>
                <w:szCs w:val="18"/>
              </w:rPr>
              <w:t>North Pacific</w:t>
            </w:r>
            <w:r w:rsidRPr="00AF58FF">
              <w:rPr>
                <w:rFonts w:asciiTheme="minorHAnsi" w:hAnsiTheme="minorHAnsi" w:cstheme="minorHAnsi"/>
                <w:sz w:val="18"/>
                <w:szCs w:val="18"/>
              </w:rPr>
              <w:t xml:space="preserve"> Observer Program, NOAA Office of Law Enforcem</w:t>
            </w:r>
            <w:r>
              <w:rPr>
                <w:rFonts w:asciiTheme="minorHAnsi" w:hAnsiTheme="minorHAnsi" w:cstheme="minorHAnsi"/>
                <w:sz w:val="18"/>
                <w:szCs w:val="18"/>
              </w:rPr>
              <w:t>ent, the USCG</w:t>
            </w:r>
            <w:r w:rsidRPr="00AF58FF">
              <w:rPr>
                <w:rFonts w:asciiTheme="minorHAnsi" w:hAnsiTheme="minorHAnsi" w:cstheme="minorHAnsi"/>
                <w:sz w:val="18"/>
                <w:szCs w:val="18"/>
              </w:rPr>
              <w:t>, and the Cou</w:t>
            </w:r>
            <w:r w:rsidRPr="00AF58FF">
              <w:rPr>
                <w:rFonts w:asciiTheme="minorHAnsi" w:hAnsiTheme="minorHAnsi" w:cstheme="minorHAnsi"/>
                <w:sz w:val="18"/>
                <w:szCs w:val="18"/>
              </w:rPr>
              <w:t>ncil</w:t>
            </w:r>
            <w:r>
              <w:rPr>
                <w:rFonts w:asciiTheme="minorHAnsi" w:hAnsiTheme="minorHAnsi" w:cstheme="minorHAnsi"/>
                <w:sz w:val="18"/>
                <w:szCs w:val="18"/>
              </w:rPr>
              <w:t>.</w:t>
            </w:r>
          </w:p>
        </w:tc>
      </w:tr>
    </w:tbl>
    <w:p w:rsidR="004908C0" w:rsidP="005B3AF0" w14:paraId="40B425F4" w14:textId="04FCFA8E">
      <w:pPr>
        <w:pBdr>
          <w:top w:val="nil"/>
          <w:left w:val="nil"/>
          <w:bottom w:val="nil"/>
          <w:right w:val="nil"/>
          <w:between w:val="nil"/>
        </w:pBdr>
        <w:spacing w:before="7"/>
      </w:pPr>
    </w:p>
    <w:p w:rsidR="00463869" w:rsidRPr="001C0D5D" w:rsidP="00060958" w14:paraId="01F19F53" w14:textId="1B4EF158">
      <w:pPr>
        <w:keepNext/>
        <w:widowControl/>
        <w:autoSpaceDE w:val="0"/>
        <w:autoSpaceDN w:val="0"/>
        <w:rPr>
          <w:b/>
          <w:color w:val="000000"/>
        </w:rPr>
      </w:pPr>
      <w:r w:rsidRPr="001C0D5D">
        <w:rPr>
          <w:b/>
          <w:color w:val="000000"/>
        </w:rPr>
        <w:t>Dissemination of Information</w:t>
      </w:r>
    </w:p>
    <w:p w:rsidR="001C0D5D" w:rsidRPr="00463869" w:rsidP="00060958" w14:paraId="1E204695" w14:textId="77777777">
      <w:pPr>
        <w:keepNext/>
        <w:widowControl/>
        <w:autoSpaceDE w:val="0"/>
        <w:autoSpaceDN w:val="0"/>
        <w:rPr>
          <w:color w:val="000000"/>
        </w:rPr>
      </w:pPr>
    </w:p>
    <w:p w:rsidR="00463869" w:rsidRPr="00463869" w:rsidP="00060958" w14:paraId="2D79DCF7" w14:textId="3F32402E">
      <w:pPr>
        <w:keepNext/>
        <w:widowControl/>
        <w:autoSpaceDE w:val="0"/>
        <w:autoSpaceDN w:val="0"/>
        <w:rPr>
          <w:color w:val="000000"/>
        </w:rPr>
      </w:pPr>
      <w:r w:rsidRPr="00463869">
        <w:rPr>
          <w:rFonts w:eastAsiaTheme="minorHAnsi" w:cstheme="minorBidi"/>
          <w:szCs w:val="22"/>
        </w:rPr>
        <w:t xml:space="preserve">The information collection is designed to yield data that meet all applicable information quality guidelines. Prior to dissemination, the information will be subjected to quality control measures and a pre-dissemination review pursuant to </w:t>
      </w:r>
      <w:r w:rsidRPr="002317C0">
        <w:rPr>
          <w:rFonts w:eastAsiaTheme="minorHAnsi" w:cstheme="minorBidi"/>
          <w:szCs w:val="22"/>
        </w:rPr>
        <w:t>Section 515 of Pu</w:t>
      </w:r>
      <w:r w:rsidRPr="002317C0">
        <w:rPr>
          <w:rFonts w:eastAsiaTheme="minorHAnsi" w:cstheme="minorBidi"/>
          <w:szCs w:val="22"/>
        </w:rPr>
        <w:t>blic Law 106-554</w:t>
      </w:r>
      <w:r w:rsidRPr="002317C0">
        <w:t xml:space="preserve"> (the Information </w:t>
      </w:r>
      <w:r w:rsidRPr="00463869">
        <w:rPr>
          <w:color w:val="000000"/>
        </w:rPr>
        <w:t xml:space="preserve">Quality Act), which requires NMFS to ensure the quality, objectivity, utility, and integrity of information it publicly disseminates. Public dissemination of data collected by this information collection is governed by </w:t>
      </w:r>
      <w:hyperlink r:id="rId12" w:history="1">
        <w:r w:rsidRPr="00463869">
          <w:rPr>
            <w:color w:val="0000FF" w:themeColor="hyperlink"/>
            <w:u w:val="single"/>
          </w:rPr>
          <w:t>NOAA's information quality guidelines</w:t>
        </w:r>
      </w:hyperlink>
      <w:r w:rsidRPr="00463869">
        <w:rPr>
          <w:color w:val="000000"/>
        </w:rPr>
        <w:t>, which were issued on October 30, 2014.</w:t>
      </w:r>
    </w:p>
    <w:p w:rsidR="00463869" w:rsidRPr="00463869" w:rsidP="00060958" w14:paraId="371EB0D9" w14:textId="77777777">
      <w:pPr>
        <w:widowControl/>
        <w:autoSpaceDE w:val="0"/>
        <w:autoSpaceDN w:val="0"/>
        <w:rPr>
          <w:rFonts w:eastAsiaTheme="minorHAnsi" w:cstheme="minorBidi"/>
          <w:szCs w:val="22"/>
        </w:rPr>
      </w:pPr>
    </w:p>
    <w:p w:rsidR="00463869" w:rsidRPr="00463869" w:rsidP="00060958" w14:paraId="2F733965" w14:textId="77777777">
      <w:pPr>
        <w:widowControl/>
        <w:autoSpaceDE w:val="0"/>
        <w:autoSpaceDN w:val="0"/>
        <w:rPr>
          <w:rFonts w:eastAsiaTheme="minorHAnsi" w:cstheme="minorBidi"/>
          <w:szCs w:val="22"/>
        </w:rPr>
      </w:pPr>
      <w:r w:rsidRPr="00463869">
        <w:rPr>
          <w:rFonts w:eastAsiaTheme="minorHAnsi" w:cstheme="minorBidi"/>
          <w:szCs w:val="22"/>
        </w:rPr>
        <w:t>It is anticipated that the information collected will be disseminated to the public or used to support publicly disseminated information. NMFS will retain control over the information and safeguard it from improper access, modification, and destruction, co</w:t>
      </w:r>
      <w:r w:rsidRPr="00463869">
        <w:rPr>
          <w:rFonts w:eastAsiaTheme="minorHAnsi" w:cstheme="minorBidi"/>
          <w:szCs w:val="22"/>
        </w:rPr>
        <w:t xml:space="preserve">nsistent with NOAA standards for confidentiality, privacy, and electronic information. See response to Question 10 of this Supporting Statement for more information on confidentiality and privacy. </w:t>
      </w:r>
    </w:p>
    <w:p w:rsidR="00463869" w:rsidRPr="00463869" w:rsidP="00060958" w14:paraId="726D92E2" w14:textId="77777777">
      <w:pPr>
        <w:widowControl/>
        <w:autoSpaceDE w:val="0"/>
        <w:autoSpaceDN w:val="0"/>
        <w:rPr>
          <w:rFonts w:eastAsiaTheme="minorHAnsi" w:cstheme="minorBidi"/>
          <w:szCs w:val="22"/>
        </w:rPr>
      </w:pPr>
    </w:p>
    <w:p w:rsidR="00463869" w:rsidRPr="00463869" w:rsidP="00060958" w14:paraId="70A8D4F8" w14:textId="77777777">
      <w:pPr>
        <w:keepNext/>
        <w:widowControl/>
        <w:autoSpaceDE w:val="0"/>
        <w:autoSpaceDN w:val="0"/>
        <w:rPr>
          <w:rFonts w:eastAsiaTheme="minorHAnsi" w:cstheme="minorBidi"/>
          <w:szCs w:val="22"/>
        </w:rPr>
      </w:pPr>
      <w:r w:rsidRPr="00463869">
        <w:rPr>
          <w:rFonts w:eastAsiaTheme="minorHAnsi" w:cstheme="minorBidi"/>
          <w:b/>
          <w:szCs w:val="22"/>
        </w:rPr>
        <w:t xml:space="preserve">Application for Federal Fisheries Permit (FFP) </w:t>
      </w:r>
    </w:p>
    <w:p w:rsidR="00463869" w:rsidRPr="00463869" w:rsidP="00060958" w14:paraId="17FF2B74" w14:textId="77777777">
      <w:pPr>
        <w:keepNext/>
        <w:widowControl/>
        <w:autoSpaceDE w:val="0"/>
        <w:autoSpaceDN w:val="0"/>
        <w:rPr>
          <w:rFonts w:eastAsiaTheme="minorHAnsi" w:cstheme="minorBidi"/>
          <w:szCs w:val="22"/>
        </w:rPr>
      </w:pPr>
    </w:p>
    <w:p w:rsidR="00F9402D" w:rsidRPr="00463869" w:rsidP="00060958" w14:paraId="3F7074FC" w14:textId="76D6C59A">
      <w:pPr>
        <w:widowControl/>
        <w:autoSpaceDE w:val="0"/>
        <w:autoSpaceDN w:val="0"/>
      </w:pPr>
      <w:r>
        <w:t>A vessel</w:t>
      </w:r>
      <w:r>
        <w:t xml:space="preserve"> owner or authorized representative must complete </w:t>
      </w:r>
      <w:r w:rsidR="000F1F2D">
        <w:t>the</w:t>
      </w:r>
      <w:r>
        <w:t xml:space="preserve"> </w:t>
      </w:r>
      <w:r w:rsidRPr="00463869">
        <w:t xml:space="preserve">FFP application to request a new or amended </w:t>
      </w:r>
      <w:r>
        <w:t>FFP</w:t>
      </w:r>
      <w:r w:rsidRPr="00463869">
        <w:t>, to renew a</w:t>
      </w:r>
      <w:r>
        <w:t>n FFP</w:t>
      </w:r>
      <w:r w:rsidRPr="00463869">
        <w:t>, or to surrender a</w:t>
      </w:r>
      <w:r>
        <w:t>n FFP</w:t>
      </w:r>
      <w:r w:rsidRPr="00463869">
        <w:t xml:space="preserve">. </w:t>
      </w:r>
    </w:p>
    <w:p w:rsidR="00F9402D" w:rsidP="00060958" w14:paraId="4378992F" w14:textId="77777777">
      <w:pPr>
        <w:keepNext/>
        <w:widowControl/>
        <w:autoSpaceDE w:val="0"/>
        <w:autoSpaceDN w:val="0"/>
        <w:rPr>
          <w:rFonts w:eastAsiaTheme="minorHAnsi" w:cstheme="minorBidi"/>
          <w:szCs w:val="22"/>
        </w:rPr>
      </w:pPr>
    </w:p>
    <w:p w:rsidR="00463869" w:rsidRPr="00463869" w:rsidP="00060958" w14:paraId="3332B046" w14:textId="4719CA74">
      <w:pPr>
        <w:keepNext/>
        <w:widowControl/>
        <w:autoSpaceDE w:val="0"/>
        <w:autoSpaceDN w:val="0"/>
      </w:pPr>
      <w:r w:rsidRPr="00463869">
        <w:rPr>
          <w:rFonts w:eastAsiaTheme="minorHAnsi" w:cstheme="minorBidi"/>
          <w:szCs w:val="22"/>
        </w:rPr>
        <w:t>FFPs are non-transferable, 3-year permits, issued on request and without charge to vessel owners. An FFP is re</w:t>
      </w:r>
      <w:r w:rsidRPr="00463869">
        <w:rPr>
          <w:rFonts w:eastAsiaTheme="minorHAnsi" w:cstheme="minorBidi"/>
          <w:szCs w:val="22"/>
        </w:rPr>
        <w:t xml:space="preserve">quired for U.S. vessels used to fish for groundfish in the GOA and BSAI. The FFP is also required for vessels that must retain any bycatch of groundfish under 50 CFR part 679. </w:t>
      </w:r>
    </w:p>
    <w:p w:rsidR="00463869" w:rsidRPr="00463869" w:rsidP="00060958" w14:paraId="3AA12A92" w14:textId="77777777">
      <w:pPr>
        <w:widowControl/>
        <w:autoSpaceDE w:val="0"/>
        <w:autoSpaceDN w:val="0"/>
        <w:rPr>
          <w:sz w:val="17"/>
          <w:szCs w:val="17"/>
        </w:rPr>
      </w:pPr>
    </w:p>
    <w:p w:rsidR="00463869" w:rsidRPr="00463869" w:rsidP="00060958" w14:paraId="53EB0545" w14:textId="77777777">
      <w:pPr>
        <w:widowControl/>
        <w:autoSpaceDE w:val="0"/>
        <w:autoSpaceDN w:val="0"/>
      </w:pPr>
      <w:r w:rsidRPr="00463869">
        <w:rPr>
          <w:rFonts w:eastAsiaTheme="minorHAnsi" w:cstheme="minorBidi"/>
          <w:szCs w:val="22"/>
        </w:rPr>
        <w:t>In addition, if the owner of a vessel plans to participate in the directed fis</w:t>
      </w:r>
      <w:r w:rsidRPr="00463869">
        <w:rPr>
          <w:rFonts w:eastAsiaTheme="minorHAnsi" w:cstheme="minorBidi"/>
          <w:szCs w:val="22"/>
        </w:rPr>
        <w:t>heries for Pacific cod, pollock, and/or Atka mackerel in the GOA or BSAI with any gear other than jig gear, the FFP must be endorsed for these species by gear type used. Vessels endorsed for these directed fisheries in the EEZ off Alaska are required to ha</w:t>
      </w:r>
      <w:r w:rsidRPr="00463869">
        <w:rPr>
          <w:rFonts w:eastAsiaTheme="minorHAnsi" w:cstheme="minorBidi"/>
          <w:szCs w:val="22"/>
        </w:rPr>
        <w:t xml:space="preserve">ve on board an active Vessel Monitoring System (see OMB Control No. 0648-0445) while the directed fisheries for which the permit is endorsed are open, regardless of where the vessel is fishing at the time (including Alaska State waters) or what the vessel </w:t>
      </w:r>
      <w:r w:rsidRPr="00463869">
        <w:rPr>
          <w:rFonts w:eastAsiaTheme="minorHAnsi" w:cstheme="minorBidi"/>
          <w:szCs w:val="22"/>
        </w:rPr>
        <w:t>is targeting.</w:t>
      </w:r>
    </w:p>
    <w:p w:rsidR="00463869" w:rsidRPr="00463869" w:rsidP="00060958" w14:paraId="7A3606EC" w14:textId="77777777">
      <w:pPr>
        <w:widowControl/>
        <w:autoSpaceDE w:val="0"/>
        <w:autoSpaceDN w:val="0"/>
      </w:pPr>
    </w:p>
    <w:p w:rsidR="00463869" w:rsidRPr="00463869" w:rsidP="00060958" w14:paraId="05B48A4B" w14:textId="77777777">
      <w:pPr>
        <w:widowControl/>
        <w:autoSpaceDE w:val="0"/>
        <w:autoSpaceDN w:val="0"/>
        <w:rPr>
          <w:rFonts w:eastAsiaTheme="minorHAnsi" w:cstheme="minorBidi"/>
          <w:szCs w:val="22"/>
        </w:rPr>
      </w:pPr>
      <w:r w:rsidRPr="00463869">
        <w:rPr>
          <w:rFonts w:eastAsiaTheme="minorHAnsi" w:cstheme="minorBidi"/>
          <w:szCs w:val="22"/>
        </w:rPr>
        <w:t>Only persons who are U.S. citizens are authorized to receive or hold an FFP.</w:t>
      </w:r>
    </w:p>
    <w:p w:rsidR="00463869" w:rsidRPr="00463869" w:rsidP="00060958" w14:paraId="7A2A0AC7" w14:textId="77777777">
      <w:pPr>
        <w:widowControl/>
        <w:autoSpaceDE w:val="0"/>
        <w:autoSpaceDN w:val="0"/>
        <w:rPr>
          <w:rFonts w:eastAsiaTheme="minorHAnsi" w:cstheme="minorBidi"/>
          <w:szCs w:val="22"/>
        </w:rPr>
      </w:pPr>
    </w:p>
    <w:p w:rsidR="00463869" w:rsidRPr="00463869" w:rsidP="00060958" w14:paraId="5481EBB8" w14:textId="77777777">
      <w:pPr>
        <w:widowControl/>
        <w:autoSpaceDE w:val="0"/>
        <w:autoSpaceDN w:val="0"/>
      </w:pPr>
      <w:r w:rsidRPr="00463869">
        <w:rPr>
          <w:rFonts w:eastAsiaTheme="minorHAnsi" w:cstheme="minorBidi"/>
          <w:szCs w:val="22"/>
        </w:rPr>
        <w:t>If ownership in Block A of the application has changed or if this is an application for a vessel to which an FFP has never been issued, documentation of vessel own</w:t>
      </w:r>
      <w:r w:rsidRPr="00463869">
        <w:rPr>
          <w:rFonts w:eastAsiaTheme="minorHAnsi" w:cstheme="minorBidi"/>
          <w:szCs w:val="22"/>
        </w:rPr>
        <w:t>ership must be provided with this application. To demonstrate vessel ownership you must provide the following:</w:t>
      </w:r>
    </w:p>
    <w:p w:rsidR="00463869" w:rsidRPr="00463869" w:rsidP="00060958" w14:paraId="78AA9BF0" w14:textId="612F79DE">
      <w:pPr>
        <w:widowControl/>
        <w:numPr>
          <w:ilvl w:val="0"/>
          <w:numId w:val="14"/>
        </w:numPr>
        <w:tabs>
          <w:tab w:val="left" w:pos="840"/>
        </w:tabs>
        <w:autoSpaceDE w:val="0"/>
        <w:autoSpaceDN w:val="0"/>
      </w:pPr>
      <w:r w:rsidRPr="003D0C7B">
        <w:rPr>
          <w:rFonts w:eastAsiaTheme="minorHAnsi" w:cstheme="minorBidi"/>
          <w:szCs w:val="22"/>
        </w:rPr>
        <w:t>For U.S. Coast Guard (USCG) documented vessels, a copy of the USCG Abstract of Title or Certificate of Documentation</w:t>
      </w:r>
    </w:p>
    <w:p w:rsidR="00463869" w:rsidRPr="00463869" w:rsidP="00060958" w14:paraId="442D33BC" w14:textId="77777777">
      <w:pPr>
        <w:widowControl/>
        <w:numPr>
          <w:ilvl w:val="0"/>
          <w:numId w:val="14"/>
        </w:numPr>
        <w:tabs>
          <w:tab w:val="left" w:pos="840"/>
        </w:tabs>
        <w:autoSpaceDE w:val="0"/>
        <w:autoSpaceDN w:val="0"/>
      </w:pPr>
      <w:r w:rsidRPr="00463869">
        <w:rPr>
          <w:rFonts w:eastAsiaTheme="minorHAnsi" w:cstheme="minorBidi"/>
          <w:szCs w:val="22"/>
        </w:rPr>
        <w:t xml:space="preserve">For undocumented vessels, a </w:t>
      </w:r>
      <w:r w:rsidRPr="00463869">
        <w:rPr>
          <w:rFonts w:eastAsiaTheme="minorHAnsi" w:cstheme="minorBidi"/>
          <w:szCs w:val="22"/>
        </w:rPr>
        <w:t>copy of the State of Alaska Department of Fish &amp; Game (ADF&amp;G) vessel license or registration</w:t>
      </w:r>
    </w:p>
    <w:p w:rsidR="00463869" w:rsidRPr="00463869" w:rsidP="00060958" w14:paraId="15267C5B" w14:textId="77777777">
      <w:pPr>
        <w:widowControl/>
        <w:autoSpaceDE w:val="0"/>
        <w:autoSpaceDN w:val="0"/>
      </w:pPr>
    </w:p>
    <w:p w:rsidR="00463869" w:rsidRPr="00463869" w:rsidP="00060958" w14:paraId="007D665C" w14:textId="77777777">
      <w:pPr>
        <w:widowControl/>
        <w:autoSpaceDE w:val="0"/>
        <w:autoSpaceDN w:val="0"/>
        <w:rPr>
          <w:rFonts w:eastAsiaTheme="minorHAnsi" w:cstheme="minorBidi"/>
        </w:rPr>
      </w:pPr>
      <w:r w:rsidRPr="00463869">
        <w:t>The information collected on an FFP application includes the type of request (</w:t>
      </w:r>
      <w:r w:rsidRPr="00463869">
        <w:rPr>
          <w:rFonts w:eastAsiaTheme="minorHAnsi" w:cstheme="minorBidi"/>
        </w:rPr>
        <w:t>new, renewal, amendment, or surrender) and a current FFP number if renewing, amendin</w:t>
      </w:r>
      <w:r w:rsidRPr="00463869">
        <w:rPr>
          <w:rFonts w:eastAsiaTheme="minorHAnsi" w:cstheme="minorBidi"/>
        </w:rPr>
        <w:t>g, or surrendering an existing FFP. An FFP application has five sections, Blocks A through E that collect information about the applicant, business details, vessel specifications and permit numbers, the species endorsements that are requested, and a signat</w:t>
      </w:r>
      <w:r w:rsidRPr="00463869">
        <w:rPr>
          <w:rFonts w:eastAsiaTheme="minorHAnsi" w:cstheme="minorBidi"/>
        </w:rPr>
        <w:t xml:space="preserve">ure of the applicant. </w:t>
      </w:r>
    </w:p>
    <w:p w:rsidR="00463869" w:rsidRPr="00463869" w:rsidP="00060958" w14:paraId="65CC8CD8" w14:textId="77777777">
      <w:pPr>
        <w:widowControl/>
        <w:autoSpaceDE w:val="0"/>
        <w:autoSpaceDN w:val="0"/>
        <w:rPr>
          <w:rFonts w:eastAsiaTheme="minorHAnsi" w:cstheme="minorBidi"/>
        </w:rPr>
      </w:pPr>
    </w:p>
    <w:p w:rsidR="00463869" w:rsidRPr="00463869" w:rsidP="008E2331" w14:paraId="7C5F6755" w14:textId="19D101C4">
      <w:pPr>
        <w:keepNext/>
        <w:widowControl/>
        <w:autoSpaceDE w:val="0"/>
        <w:autoSpaceDN w:val="0"/>
        <w:rPr>
          <w:b/>
        </w:rPr>
      </w:pPr>
      <w:r w:rsidRPr="00463869">
        <w:rPr>
          <w:b/>
        </w:rPr>
        <w:t xml:space="preserve">Application for Federal Processor Permit (FPP) </w:t>
      </w:r>
    </w:p>
    <w:p w:rsidR="00463869" w:rsidRPr="00463869" w:rsidP="008E2331" w14:paraId="730C2E86" w14:textId="77777777">
      <w:pPr>
        <w:keepNext/>
        <w:widowControl/>
        <w:autoSpaceDE w:val="0"/>
        <w:autoSpaceDN w:val="0"/>
      </w:pPr>
    </w:p>
    <w:p w:rsidR="00F9402D" w:rsidP="008E2331" w14:paraId="5597E616" w14:textId="5DA74A69">
      <w:pPr>
        <w:keepNext/>
        <w:widowControl/>
        <w:autoSpaceDE w:val="0"/>
        <w:autoSpaceDN w:val="0"/>
        <w:rPr>
          <w:rFonts w:eastAsia="Calibri" w:hAnsi="Calibri"/>
          <w:szCs w:val="22"/>
        </w:rPr>
      </w:pPr>
      <w:r>
        <w:rPr>
          <w:rFonts w:eastAsia="Calibri" w:hAnsi="Calibri"/>
          <w:szCs w:val="22"/>
        </w:rPr>
        <w:t xml:space="preserve">An </w:t>
      </w:r>
      <w:r w:rsidRPr="00F9402D">
        <w:rPr>
          <w:rFonts w:eastAsia="Calibri" w:hAnsi="Calibri"/>
          <w:szCs w:val="22"/>
        </w:rPr>
        <w:t xml:space="preserve">owner or authorized representative of </w:t>
      </w:r>
      <w:r>
        <w:rPr>
          <w:rFonts w:eastAsia="Calibri" w:hAnsi="Calibri"/>
          <w:szCs w:val="22"/>
        </w:rPr>
        <w:t>a shoreside processor, stationary floating processor (SFP)</w:t>
      </w:r>
      <w:r w:rsidRPr="00F9402D">
        <w:rPr>
          <w:rFonts w:eastAsia="Calibri" w:hAnsi="Calibri"/>
          <w:szCs w:val="22"/>
        </w:rPr>
        <w:t xml:space="preserve">, or community quota </w:t>
      </w:r>
      <w:r>
        <w:rPr>
          <w:rFonts w:eastAsia="Calibri" w:hAnsi="Calibri"/>
          <w:szCs w:val="22"/>
        </w:rPr>
        <w:t>(</w:t>
      </w:r>
      <w:r w:rsidRPr="00F9402D">
        <w:rPr>
          <w:rFonts w:eastAsia="Calibri" w:hAnsi="Calibri"/>
          <w:szCs w:val="22"/>
        </w:rPr>
        <w:t>CQE</w:t>
      </w:r>
      <w:r>
        <w:rPr>
          <w:rFonts w:eastAsia="Calibri" w:hAnsi="Calibri"/>
          <w:szCs w:val="22"/>
        </w:rPr>
        <w:t>)</w:t>
      </w:r>
      <w:r w:rsidRPr="00F9402D">
        <w:rPr>
          <w:rFonts w:eastAsia="Calibri" w:hAnsi="Calibri"/>
          <w:szCs w:val="22"/>
        </w:rPr>
        <w:t xml:space="preserve"> floating processor must complete </w:t>
      </w:r>
      <w:r w:rsidR="000F1F2D">
        <w:rPr>
          <w:rFonts w:eastAsia="Calibri" w:hAnsi="Calibri"/>
          <w:szCs w:val="22"/>
        </w:rPr>
        <w:t>the</w:t>
      </w:r>
      <w:r w:rsidRPr="00F9402D">
        <w:rPr>
          <w:rFonts w:eastAsia="Calibri" w:hAnsi="Calibri"/>
          <w:szCs w:val="22"/>
        </w:rPr>
        <w:t xml:space="preserve"> FPP application to obtain, amend, renew, or surrender an FPP.</w:t>
      </w:r>
    </w:p>
    <w:p w:rsidR="00F9402D" w:rsidP="00060958" w14:paraId="36FD767B" w14:textId="77777777">
      <w:pPr>
        <w:widowControl/>
        <w:autoSpaceDE w:val="0"/>
        <w:autoSpaceDN w:val="0"/>
        <w:rPr>
          <w:rFonts w:eastAsia="Calibri" w:hAnsi="Calibri"/>
          <w:szCs w:val="22"/>
        </w:rPr>
      </w:pPr>
    </w:p>
    <w:p w:rsidR="00463869" w:rsidRPr="00463869" w:rsidP="00060958" w14:paraId="3561B441" w14:textId="37B65B1D">
      <w:pPr>
        <w:widowControl/>
        <w:autoSpaceDE w:val="0"/>
        <w:autoSpaceDN w:val="0"/>
      </w:pPr>
      <w:r w:rsidRPr="00463869">
        <w:rPr>
          <w:rFonts w:eastAsia="Calibri" w:hAnsi="Calibri"/>
          <w:szCs w:val="22"/>
        </w:rPr>
        <w:t xml:space="preserve">FPPs are non-transferable, 1-year permits, issued to owners on request and without charge. An FPP is required for </w:t>
      </w:r>
      <w:r w:rsidR="00F9402D">
        <w:rPr>
          <w:rFonts w:eastAsia="Calibri" w:hAnsi="Calibri"/>
          <w:szCs w:val="22"/>
        </w:rPr>
        <w:t>SFPs</w:t>
      </w:r>
      <w:r w:rsidRPr="00463869">
        <w:rPr>
          <w:rFonts w:eastAsia="Calibri" w:hAnsi="Calibri"/>
          <w:szCs w:val="22"/>
        </w:rPr>
        <w:t xml:space="preserve"> (processing vessels that operate solely within Alaska State waters) and f</w:t>
      </w:r>
      <w:r w:rsidRPr="00463869">
        <w:rPr>
          <w:rFonts w:eastAsia="Calibri" w:hAnsi="Calibri"/>
          <w:szCs w:val="22"/>
        </w:rPr>
        <w:t>or shoreside processors that receive and/or process groundfish harvested from Federal waters (or from any federally permitted vessels). An FPP is required before the manager of a shoreside processor, SFP, or a CQE floating processor may receive, process, p</w:t>
      </w:r>
      <w:r w:rsidRPr="00463869">
        <w:rPr>
          <w:rFonts w:eastAsia="Calibri" w:hAnsi="Calibri"/>
          <w:szCs w:val="22"/>
        </w:rPr>
        <w:t xml:space="preserve">urchase, or arrange to purchase unprocessed groundfish harvested in the GOA or BSAI (see 50 CFR 679.4(f)). </w:t>
      </w:r>
    </w:p>
    <w:p w:rsidR="00463869" w:rsidRPr="00463869" w:rsidP="00060958" w14:paraId="004CF8E9" w14:textId="77777777">
      <w:pPr>
        <w:widowControl/>
        <w:autoSpaceDE w:val="0"/>
        <w:autoSpaceDN w:val="0"/>
      </w:pPr>
    </w:p>
    <w:p w:rsidR="00463869" w:rsidRPr="00463869" w:rsidP="00060958" w14:paraId="23F5A736" w14:textId="77777777">
      <w:pPr>
        <w:widowControl/>
        <w:autoSpaceDE w:val="0"/>
        <w:autoSpaceDN w:val="0"/>
      </w:pPr>
      <w:r w:rsidRPr="00463869">
        <w:rPr>
          <w:rFonts w:eastAsia="Calibri" w:hAnsi="Calibri"/>
          <w:szCs w:val="22"/>
        </w:rPr>
        <w:t>Only persons who are U.S. citizens are authorized to receive or hold an FPP.</w:t>
      </w:r>
    </w:p>
    <w:p w:rsidR="00463869" w:rsidRPr="00463869" w:rsidP="00060958" w14:paraId="221C8EAC" w14:textId="77777777">
      <w:pPr>
        <w:widowControl/>
        <w:autoSpaceDE w:val="0"/>
        <w:autoSpaceDN w:val="0"/>
        <w:rPr>
          <w:b/>
          <w:bCs/>
          <w:sz w:val="23"/>
          <w:szCs w:val="23"/>
        </w:rPr>
      </w:pPr>
    </w:p>
    <w:p w:rsidR="00463869" w:rsidRPr="00463869" w:rsidP="00060958" w14:paraId="3C9A2C5C" w14:textId="77777777">
      <w:pPr>
        <w:widowControl/>
        <w:autoSpaceDE w:val="0"/>
        <w:autoSpaceDN w:val="0"/>
      </w:pPr>
      <w:r w:rsidRPr="00463869">
        <w:rPr>
          <w:rFonts w:eastAsia="Calibri" w:hAnsi="Calibri"/>
          <w:szCs w:val="22"/>
        </w:rPr>
        <w:t xml:space="preserve">A shoreside processor, SFP, or CQE floating processor that is issued </w:t>
      </w:r>
      <w:r w:rsidRPr="00463869">
        <w:rPr>
          <w:rFonts w:eastAsia="Calibri" w:hAnsi="Calibri"/>
          <w:szCs w:val="22"/>
        </w:rPr>
        <w:t>an FPP under 50 CFR 679.4(f) must use eLandings</w:t>
      </w:r>
      <w:r w:rsidRPr="00463869">
        <w:rPr>
          <w:rFonts w:eastAsia="Calibri" w:hAnsi="Calibri"/>
          <w:b/>
          <w:szCs w:val="22"/>
        </w:rPr>
        <w:t xml:space="preserve"> </w:t>
      </w:r>
      <w:r w:rsidRPr="00463869">
        <w:rPr>
          <w:rFonts w:eastAsia="Calibri" w:hAnsi="Calibri"/>
          <w:szCs w:val="22"/>
        </w:rPr>
        <w:t xml:space="preserve">(see OMB Control No. 0648-0515) or other NMFS-approved software to daily record and report groundfish harvest. For more information on eLandings, see </w:t>
      </w:r>
      <w:hyperlink r:id="rId13" w:history="1">
        <w:r w:rsidRPr="00463869">
          <w:rPr>
            <w:color w:val="0000FF"/>
            <w:u w:val="single"/>
          </w:rPr>
          <w:t>https://elandings.atlassian.net/wiki/spaces/doc/pages/79659055/eLandings+Reporting+System+FAQ+s</w:t>
        </w:r>
      </w:hyperlink>
      <w:r w:rsidRPr="00463869">
        <w:t>.</w:t>
      </w:r>
    </w:p>
    <w:p w:rsidR="00463869" w:rsidRPr="00463869" w:rsidP="00060958" w14:paraId="01A49107" w14:textId="77777777">
      <w:pPr>
        <w:widowControl/>
        <w:autoSpaceDE w:val="0"/>
        <w:autoSpaceDN w:val="0"/>
      </w:pPr>
    </w:p>
    <w:p w:rsidR="00463869" w:rsidRPr="00463869" w:rsidP="00060958" w14:paraId="215C7796" w14:textId="77777777">
      <w:pPr>
        <w:widowControl/>
        <w:autoSpaceDE w:val="0"/>
        <w:autoSpaceDN w:val="0"/>
      </w:pPr>
      <w:r w:rsidRPr="00463869">
        <w:t>Persons holding an FPP may be required to pay an ex-vessel value-based observer fee to NMFS to support t</w:t>
      </w:r>
      <w:r w:rsidRPr="00463869">
        <w:t xml:space="preserve">he funding and development of observers on vessels and in plants in the partial coverage category under the North Pacific Observer Program (see OMB Control No. 0648-0711; 50 CFR 679.55). This fee is intended to be split evenly between the vessel owner and </w:t>
      </w:r>
      <w:r w:rsidRPr="00463869">
        <w:t xml:space="preserve">the processor or registered buyer. However, the owner of a shoreside processor or SFP named on an FPP and the registered buyer are responsible for collecting the fee, including the vessel’s portion, at the time of landing and remitting the full fee amount </w:t>
      </w:r>
      <w:r w:rsidRPr="00463869">
        <w:t>to NMFS.</w:t>
      </w:r>
      <w:r w:rsidRPr="00463869">
        <w:rPr>
          <w:rFonts w:eastAsia="Calibri" w:hAnsi="Calibri"/>
          <w:szCs w:val="22"/>
        </w:rPr>
        <w:t xml:space="preserve"> Additional information on the observer fee is available on the NMFS Alaska Region website at </w:t>
      </w:r>
      <w:hyperlink r:id="rId14">
        <w:r w:rsidRPr="00463869">
          <w:rPr>
            <w:rFonts w:eastAsia="Calibri" w:hAnsi="Calibri"/>
            <w:color w:val="0000FF"/>
            <w:szCs w:val="22"/>
            <w:u w:val="single"/>
          </w:rPr>
          <w:t>https</w:t>
        </w:r>
        <w:r w:rsidRPr="00463869">
          <w:rPr>
            <w:rFonts w:eastAsia="Calibri" w:hAnsi="Calibri"/>
            <w:color w:val="0000FF"/>
            <w:szCs w:val="22"/>
            <w:u w:val="single"/>
          </w:rPr>
          <w:t>://www.fisheries.noaa.gov/alaska/commercial-fishing/observer-fee-collection-and-payment-north-pacific-groundfish-and-halibut</w:t>
        </w:r>
        <w:r w:rsidRPr="00463869">
          <w:rPr>
            <w:rFonts w:eastAsia="Calibri" w:hAnsi="Calibri"/>
            <w:szCs w:val="22"/>
          </w:rPr>
          <w:t>.</w:t>
        </w:r>
      </w:hyperlink>
    </w:p>
    <w:p w:rsidR="00463869" w:rsidRPr="00463869" w:rsidP="00060958" w14:paraId="73647840" w14:textId="77777777">
      <w:pPr>
        <w:widowControl/>
        <w:autoSpaceDE w:val="0"/>
        <w:autoSpaceDN w:val="0"/>
      </w:pPr>
    </w:p>
    <w:p w:rsidR="00463869" w:rsidRPr="00463869" w:rsidP="00060958" w14:paraId="1C07AD7A" w14:textId="444F292A">
      <w:pPr>
        <w:widowControl/>
        <w:autoSpaceDE w:val="0"/>
        <w:autoSpaceDN w:val="0"/>
      </w:pPr>
      <w:r w:rsidRPr="00463869">
        <w:rPr>
          <w:rFonts w:eastAsia="Calibri" w:hAnsi="Calibri"/>
          <w:szCs w:val="22"/>
        </w:rPr>
        <w:t xml:space="preserve">An FPP permit holder who has incurred an observer fee must pay the fee to NMFS by February 15 of the year following the calendar </w:t>
      </w:r>
      <w:r w:rsidRPr="00463869">
        <w:rPr>
          <w:rFonts w:eastAsia="Calibri" w:hAnsi="Calibri"/>
          <w:szCs w:val="22"/>
        </w:rPr>
        <w:t xml:space="preserve">year in which the landing was made. </w:t>
      </w:r>
      <w:r w:rsidRPr="00463869">
        <w:t>For an FPP application to be considered complete, all observer fees due to NMFS per § 679.55 must be paid.</w:t>
      </w:r>
    </w:p>
    <w:p w:rsidR="00463869" w:rsidRPr="00463869" w:rsidP="00060958" w14:paraId="501D9462" w14:textId="77777777">
      <w:pPr>
        <w:widowControl/>
        <w:autoSpaceDE w:val="0"/>
        <w:autoSpaceDN w:val="0"/>
      </w:pPr>
    </w:p>
    <w:p w:rsidR="00463869" w:rsidRPr="00463869" w:rsidP="00060958" w14:paraId="19D248A6" w14:textId="77777777">
      <w:pPr>
        <w:widowControl/>
        <w:autoSpaceDE w:val="0"/>
        <w:autoSpaceDN w:val="0"/>
        <w:rPr>
          <w:rFonts w:eastAsiaTheme="minorHAnsi" w:cstheme="minorBidi"/>
          <w:szCs w:val="22"/>
        </w:rPr>
      </w:pPr>
      <w:r w:rsidRPr="00463869">
        <w:rPr>
          <w:rFonts w:eastAsiaTheme="minorHAnsi" w:cstheme="minorBidi"/>
          <w:szCs w:val="22"/>
        </w:rPr>
        <w:t>For an SFP, a GOA inshore processing endorsement</w:t>
      </w:r>
      <w:r w:rsidRPr="00463869">
        <w:rPr>
          <w:rFonts w:eastAsiaTheme="minorHAnsi" w:cstheme="minorBidi"/>
          <w:b/>
          <w:szCs w:val="22"/>
        </w:rPr>
        <w:t xml:space="preserve"> </w:t>
      </w:r>
      <w:r w:rsidRPr="00463869">
        <w:rPr>
          <w:rFonts w:eastAsiaTheme="minorHAnsi" w:cstheme="minorBidi"/>
          <w:szCs w:val="22"/>
        </w:rPr>
        <w:t xml:space="preserve">is required to process GOA inshore pollock and Eastern GOA </w:t>
      </w:r>
      <w:r w:rsidRPr="00463869">
        <w:rPr>
          <w:rFonts w:eastAsiaTheme="minorHAnsi" w:cstheme="minorBidi"/>
          <w:szCs w:val="22"/>
        </w:rPr>
        <w:t xml:space="preserve">inshore Pacific cod. An SFP that wishes to receive GOA inshore processing endorsements must complete number 11 of Block B on the FPP application. An SFP that holds an inshore processing endorsement is prohibited from processing GOA pollock and GOA Pacific </w:t>
      </w:r>
      <w:r w:rsidRPr="00463869">
        <w:rPr>
          <w:rFonts w:eastAsiaTheme="minorHAnsi" w:cstheme="minorBidi"/>
          <w:szCs w:val="22"/>
        </w:rPr>
        <w:t>cod in more than one single geographic location during a fishing year and is also prohibited from operating as a catcher/processor in the BSAI. Vessels holding the GOA inshore processing endorsement face additional operating restrictions (see 50 CFR 679.7)</w:t>
      </w:r>
      <w:r w:rsidRPr="00463869">
        <w:rPr>
          <w:rFonts w:eastAsiaTheme="minorHAnsi" w:cstheme="minorBidi"/>
          <w:szCs w:val="22"/>
        </w:rPr>
        <w:t>. Once issued, a GOA inshore processing endorsement cannot be rescinded for the duration of a fishing year.</w:t>
      </w:r>
      <w:r w:rsidRPr="00463869">
        <w:rPr>
          <w:rFonts w:eastAsiaTheme="minorHAnsi" w:cstheme="minorBidi"/>
          <w:b/>
          <w:szCs w:val="22"/>
        </w:rPr>
        <w:t xml:space="preserve"> </w:t>
      </w:r>
      <w:r w:rsidRPr="00463869">
        <w:rPr>
          <w:rFonts w:eastAsiaTheme="minorHAnsi" w:cstheme="minorBidi"/>
          <w:szCs w:val="22"/>
        </w:rPr>
        <w:t>It may be changed for the next fishing year by submitting an FPP application to amend the permit prior to the beginning of that fishing year.</w:t>
      </w:r>
    </w:p>
    <w:p w:rsidR="00463869" w:rsidRPr="00463869" w:rsidP="00060958" w14:paraId="3339C200" w14:textId="77777777">
      <w:pPr>
        <w:widowControl/>
        <w:autoSpaceDE w:val="0"/>
        <w:autoSpaceDN w:val="0"/>
        <w:rPr>
          <w:rFonts w:eastAsiaTheme="minorHAnsi" w:cstheme="minorBidi"/>
          <w:szCs w:val="22"/>
        </w:rPr>
      </w:pPr>
    </w:p>
    <w:p w:rsidR="00463869" w:rsidRPr="00463869" w:rsidP="00060958" w14:paraId="49D44E98" w14:textId="5077C9CF">
      <w:pPr>
        <w:widowControl/>
        <w:autoSpaceDE w:val="0"/>
        <w:autoSpaceDN w:val="0"/>
        <w:rPr>
          <w:rFonts w:eastAsiaTheme="minorHAnsi" w:cstheme="minorBidi"/>
        </w:rPr>
      </w:pPr>
      <w:r w:rsidRPr="00463869">
        <w:t>The i</w:t>
      </w:r>
      <w:r w:rsidRPr="00463869">
        <w:t>nformation collected on an FPP application includes the processor category the application is for and whether the request is new, a renewal, an amendment or a surrender. If requesting to renew, amend, or surrender an existing FPP, an FPP number must be pro</w:t>
      </w:r>
      <w:r w:rsidRPr="00463869">
        <w:t xml:space="preserve">vided. </w:t>
      </w:r>
      <w:r w:rsidRPr="00463869">
        <w:rPr>
          <w:rFonts w:eastAsiaTheme="minorHAnsi" w:cstheme="minorBidi"/>
        </w:rPr>
        <w:t>An F</w:t>
      </w:r>
      <w:r w:rsidR="005F4B7C">
        <w:rPr>
          <w:rFonts w:eastAsiaTheme="minorHAnsi" w:cstheme="minorBidi"/>
        </w:rPr>
        <w:t>P</w:t>
      </w:r>
      <w:r w:rsidRPr="00463869">
        <w:rPr>
          <w:rFonts w:eastAsiaTheme="minorHAnsi" w:cstheme="minorBidi"/>
        </w:rPr>
        <w:t>P application has four sections, Blocks A through D, that collect information on the shoreside processor, SFP</w:t>
      </w:r>
      <w:r w:rsidR="005B3AF0">
        <w:rPr>
          <w:rFonts w:eastAsiaTheme="minorHAnsi" w:cstheme="minorBidi"/>
        </w:rPr>
        <w:t>,</w:t>
      </w:r>
      <w:r w:rsidRPr="00463869">
        <w:rPr>
          <w:rFonts w:eastAsiaTheme="minorHAnsi" w:cstheme="minorBidi"/>
        </w:rPr>
        <w:t xml:space="preserve"> or CEQ</w:t>
      </w:r>
      <w:r w:rsidR="00534195">
        <w:rPr>
          <w:rFonts w:eastAsiaTheme="minorHAnsi" w:cstheme="minorBidi"/>
        </w:rPr>
        <w:t>;</w:t>
      </w:r>
      <w:r w:rsidRPr="00463869">
        <w:rPr>
          <w:rFonts w:eastAsiaTheme="minorHAnsi" w:cstheme="minorBidi"/>
        </w:rPr>
        <w:t xml:space="preserve"> </w:t>
      </w:r>
      <w:r w:rsidRPr="00534195">
        <w:rPr>
          <w:rFonts w:eastAsiaTheme="minorHAnsi" w:cstheme="minorBidi"/>
        </w:rPr>
        <w:t>ownership of the shoreside processor or vessel</w:t>
      </w:r>
      <w:r w:rsidR="00534195">
        <w:rPr>
          <w:rFonts w:eastAsiaTheme="minorHAnsi" w:cstheme="minorBidi"/>
        </w:rPr>
        <w:t>;</w:t>
      </w:r>
      <w:r w:rsidRPr="00463869" w:rsidR="00534195">
        <w:rPr>
          <w:rFonts w:eastAsiaTheme="minorHAnsi" w:cstheme="minorBidi"/>
        </w:rPr>
        <w:t xml:space="preserve"> </w:t>
      </w:r>
      <w:r w:rsidRPr="00463869">
        <w:rPr>
          <w:rFonts w:eastAsiaTheme="minorHAnsi" w:cstheme="minorBidi"/>
        </w:rPr>
        <w:t>the applicant’s signature</w:t>
      </w:r>
      <w:r w:rsidR="00534195">
        <w:rPr>
          <w:rFonts w:eastAsiaTheme="minorHAnsi" w:cstheme="minorBidi"/>
        </w:rPr>
        <w:t>;</w:t>
      </w:r>
      <w:r w:rsidRPr="00463869">
        <w:rPr>
          <w:rFonts w:eastAsiaTheme="minorHAnsi" w:cstheme="minorBidi"/>
        </w:rPr>
        <w:t xml:space="preserve"> and</w:t>
      </w:r>
      <w:r w:rsidR="005F4B7C">
        <w:rPr>
          <w:rFonts w:eastAsiaTheme="minorHAnsi" w:cstheme="minorBidi"/>
        </w:rPr>
        <w:t xml:space="preserve">, </w:t>
      </w:r>
      <w:r w:rsidRPr="00463869" w:rsidR="005F4B7C">
        <w:rPr>
          <w:rFonts w:eastAsiaTheme="minorHAnsi" w:cstheme="minorBidi"/>
        </w:rPr>
        <w:t>if requesting a new FPP or if changing the ownership</w:t>
      </w:r>
      <w:r w:rsidR="005F4B7C">
        <w:rPr>
          <w:rFonts w:eastAsiaTheme="minorHAnsi" w:cstheme="minorBidi"/>
        </w:rPr>
        <w:t>,</w:t>
      </w:r>
      <w:r w:rsidRPr="00463869">
        <w:rPr>
          <w:rFonts w:eastAsiaTheme="minorHAnsi" w:cstheme="minorBidi"/>
        </w:rPr>
        <w:t xml:space="preserve"> </w:t>
      </w:r>
      <w:r w:rsidR="005F4B7C">
        <w:rPr>
          <w:rFonts w:eastAsiaTheme="minorHAnsi" w:cstheme="minorBidi"/>
        </w:rPr>
        <w:t xml:space="preserve">requires the </w:t>
      </w:r>
      <w:r w:rsidRPr="00463869">
        <w:rPr>
          <w:rFonts w:eastAsiaTheme="minorHAnsi" w:cstheme="minorBidi"/>
        </w:rPr>
        <w:t>attachment of the USCG Abstract of Title or Certificate of Documentation.</w:t>
      </w:r>
    </w:p>
    <w:p w:rsidR="00463869" w:rsidRPr="00463869" w:rsidP="00060958" w14:paraId="7029E8AE" w14:textId="77777777">
      <w:pPr>
        <w:widowControl/>
        <w:autoSpaceDE w:val="0"/>
        <w:autoSpaceDN w:val="0"/>
        <w:rPr>
          <w:rFonts w:eastAsiaTheme="minorHAnsi" w:cstheme="minorBidi"/>
        </w:rPr>
      </w:pPr>
    </w:p>
    <w:p w:rsidR="00463869" w:rsidRPr="00463869" w:rsidP="00060958" w14:paraId="12D03E45" w14:textId="4353F43F">
      <w:pPr>
        <w:widowControl/>
        <w:autoSpaceDE w:val="0"/>
        <w:autoSpaceDN w:val="0"/>
        <w:rPr>
          <w:rFonts w:eastAsiaTheme="minorHAnsi" w:cstheme="minorBidi"/>
          <w:b/>
          <w:szCs w:val="22"/>
        </w:rPr>
      </w:pPr>
      <w:r w:rsidRPr="00463869">
        <w:rPr>
          <w:rFonts w:eastAsiaTheme="minorHAnsi" w:cstheme="minorBidi"/>
          <w:b/>
          <w:szCs w:val="22"/>
        </w:rPr>
        <w:t>Exempted Fishing Permit (EFP) application</w:t>
      </w:r>
    </w:p>
    <w:p w:rsidR="00463869" w:rsidRPr="00463869" w:rsidP="00060958" w14:paraId="59F195A3" w14:textId="77777777">
      <w:pPr>
        <w:widowControl/>
        <w:autoSpaceDE w:val="0"/>
        <w:autoSpaceDN w:val="0"/>
        <w:rPr>
          <w:rFonts w:eastAsiaTheme="minorHAnsi" w:cstheme="minorBidi"/>
          <w:szCs w:val="22"/>
        </w:rPr>
      </w:pPr>
    </w:p>
    <w:p w:rsidR="00C378BF" w:rsidRPr="00463869" w:rsidP="00C378BF" w14:paraId="4EB7F7F4" w14:textId="66F32B77">
      <w:pPr>
        <w:widowControl/>
        <w:autoSpaceDE w:val="0"/>
        <w:autoSpaceDN w:val="0"/>
      </w:pPr>
      <w:r w:rsidRPr="00C378BF">
        <w:t xml:space="preserve">For limited experimental purposes, the Regional Administrator may authorize, after consulting with the Council, </w:t>
      </w:r>
      <w:r w:rsidRPr="00C933F1" w:rsidR="00463869">
        <w:t xml:space="preserve">an EFP </w:t>
      </w:r>
      <w:r w:rsidRPr="00463869" w:rsidR="00463869">
        <w:t xml:space="preserve">to allow </w:t>
      </w:r>
      <w:r w:rsidRPr="00514210" w:rsidR="00514210">
        <w:t>the target or incidental harvest of species managed under a fishery management plan or fishery regulations that would otherwise be prohibited.</w:t>
      </w:r>
      <w:r w:rsidRPr="00463869" w:rsidR="00463869">
        <w:t xml:space="preserve"> EFPs are issued to support projects that could benefit fisheries and the environment and result in gathering information not otherwise available through research or commercial fishing operations. EFPs allow for science based, monitored research on </w:t>
      </w:r>
      <w:r w:rsidR="00E74835">
        <w:t xml:space="preserve">new ways to harvest resources. </w:t>
      </w:r>
      <w:r w:rsidRPr="00463869">
        <w:rPr>
          <w:rFonts w:eastAsiaTheme="minorHAnsi" w:cstheme="minorBidi"/>
          <w:szCs w:val="22"/>
        </w:rPr>
        <w:t>No exempted fishing may be conducted unless authorized by an EFP issued by the</w:t>
      </w:r>
      <w:r w:rsidRPr="00463869">
        <w:rPr>
          <w:rFonts w:eastAsiaTheme="minorHAnsi" w:cstheme="minorBidi"/>
          <w:szCs w:val="22"/>
        </w:rPr>
        <w:t xml:space="preserve"> Regional Administrator to the participating vessel owner in accordance with the criteria and procedures.</w:t>
      </w:r>
    </w:p>
    <w:p w:rsidR="00C378BF" w:rsidP="00060958" w14:paraId="12537D26" w14:textId="77777777">
      <w:pPr>
        <w:widowControl/>
        <w:shd w:val="clear" w:color="auto" w:fill="FFFFFF"/>
      </w:pPr>
    </w:p>
    <w:p w:rsidR="00463869" w:rsidRPr="00463869" w:rsidP="00060958" w14:paraId="24066D60" w14:textId="60E02760">
      <w:pPr>
        <w:widowControl/>
        <w:shd w:val="clear" w:color="auto" w:fill="FFFFFF"/>
      </w:pPr>
      <w:r w:rsidRPr="00463869">
        <w:rPr>
          <w:color w:val="000000"/>
          <w:shd w:val="clear" w:color="auto" w:fill="FFFFFF"/>
        </w:rPr>
        <w:t>Examples of past projects supported by EFPs include the development of new gear types for an underutilized fishery and development of devices that re</w:t>
      </w:r>
      <w:r w:rsidRPr="00463869">
        <w:rPr>
          <w:color w:val="000000"/>
          <w:shd w:val="clear" w:color="auto" w:fill="FFFFFF"/>
        </w:rPr>
        <w:t xml:space="preserve">duce prohibited species bycatch. </w:t>
      </w:r>
      <w:r w:rsidRPr="00463869">
        <w:t xml:space="preserve">NMFS Alaska Region, NMFS Alaska Fisheries Science Center, and the Council all use information collected as part of EFPs to inform future fishery management decisions and guide future EFPs. </w:t>
      </w:r>
    </w:p>
    <w:p w:rsidR="00463869" w:rsidRPr="00463869" w:rsidP="00060958" w14:paraId="614C7245" w14:textId="77777777">
      <w:pPr>
        <w:widowControl/>
        <w:autoSpaceDE w:val="0"/>
        <w:autoSpaceDN w:val="0"/>
      </w:pPr>
    </w:p>
    <w:p w:rsidR="00463869" w:rsidRPr="00463869" w:rsidP="00060958" w14:paraId="4CC89F53" w14:textId="77777777">
      <w:pPr>
        <w:widowControl/>
        <w:autoSpaceDE w:val="0"/>
        <w:autoSpaceDN w:val="0"/>
      </w:pPr>
      <w:r w:rsidRPr="00463869">
        <w:t>EFPs are issued without charge a</w:t>
      </w:r>
      <w:r w:rsidRPr="00463869">
        <w:t>nd expire at the end of a calendar year unless otherwise provided. This expiration requirement is necessary to avoid situations where information obtained from the fishing experiments might not be made available for several years, thereby denying the fishi</w:t>
      </w:r>
      <w:r w:rsidRPr="00463869">
        <w:t>ng industry information obtained from the experiment. The process to issue an EFP takes 6 to 12 months depending on the complexity of the project and the Council’s meeting schedule.</w:t>
      </w:r>
    </w:p>
    <w:p w:rsidR="00463869" w:rsidRPr="00463869" w:rsidP="00060958" w14:paraId="47952053" w14:textId="77777777">
      <w:pPr>
        <w:widowControl/>
        <w:autoSpaceDE w:val="0"/>
        <w:autoSpaceDN w:val="0"/>
        <w:rPr>
          <w:rFonts w:eastAsiaTheme="minorHAnsi" w:cstheme="minorBidi"/>
          <w:szCs w:val="22"/>
        </w:rPr>
      </w:pPr>
    </w:p>
    <w:p w:rsidR="00463869" w:rsidRPr="003D0C7B" w:rsidP="00060958" w14:paraId="3F05DC94" w14:textId="6C0ABE83">
      <w:pPr>
        <w:widowControl/>
        <w:autoSpaceDE w:val="0"/>
        <w:autoSpaceDN w:val="0"/>
        <w:rPr>
          <w:rFonts w:eastAsiaTheme="minorHAnsi" w:cstheme="minorBidi"/>
        </w:rPr>
      </w:pPr>
      <w:r>
        <w:rPr>
          <w:rFonts w:eastAsiaTheme="minorHAnsi" w:cstheme="minorBidi"/>
        </w:rPr>
        <w:t>There is no</w:t>
      </w:r>
      <w:r w:rsidRPr="003D0C7B">
        <w:rPr>
          <w:rFonts w:eastAsiaTheme="minorHAnsi" w:cstheme="minorBidi"/>
        </w:rPr>
        <w:t xml:space="preserve"> application form for this application; however, NMFS </w:t>
      </w:r>
      <w:r w:rsidRPr="003D0C7B" w:rsidR="003D0C7B">
        <w:rPr>
          <w:rFonts w:eastAsiaTheme="minorHAnsi" w:cstheme="minorBidi"/>
        </w:rPr>
        <w:t xml:space="preserve">posts a template for </w:t>
      </w:r>
      <w:r w:rsidRPr="003D0C7B">
        <w:rPr>
          <w:rFonts w:eastAsiaTheme="minorHAnsi" w:cstheme="minorBidi"/>
        </w:rPr>
        <w:t>a suggested EFP design</w:t>
      </w:r>
      <w:r w:rsidRPr="003D0C7B" w:rsidR="003D0C7B">
        <w:rPr>
          <w:rFonts w:eastAsiaTheme="minorHAnsi" w:cstheme="minorBidi"/>
        </w:rPr>
        <w:t xml:space="preserve"> on its Alaska Region website at </w:t>
      </w:r>
      <w:hyperlink r:id="rId15" w:history="1">
        <w:r w:rsidRPr="00C933F1" w:rsidR="00C933F1">
          <w:rPr>
            <w:rStyle w:val="Hyperlink"/>
            <w:rFonts w:eastAsiaTheme="minorHAnsi" w:cstheme="minorBidi"/>
          </w:rPr>
          <w:t>https://www.fisheries.noaa.gov/alaska/commercial-fishing/exempted-fishing-permit-application-process-alaska</w:t>
        </w:r>
      </w:hyperlink>
      <w:r w:rsidRPr="003D0C7B">
        <w:rPr>
          <w:rFonts w:eastAsiaTheme="minorHAnsi" w:cstheme="minorBidi"/>
        </w:rPr>
        <w:t>. The applicant need not be the owner or operator of the vessel(s). The EFP design must</w:t>
      </w:r>
      <w:r w:rsidRPr="003D0C7B">
        <w:rPr>
          <w:rFonts w:eastAsiaTheme="minorHAnsi"/>
        </w:rPr>
        <w:t>—</w:t>
      </w:r>
    </w:p>
    <w:p w:rsidR="00463869" w:rsidRPr="00463869" w:rsidP="00060958" w14:paraId="1E7FC0E1" w14:textId="77777777">
      <w:pPr>
        <w:widowControl/>
        <w:numPr>
          <w:ilvl w:val="0"/>
          <w:numId w:val="15"/>
        </w:numPr>
        <w:tabs>
          <w:tab w:val="left" w:pos="840"/>
        </w:tabs>
        <w:autoSpaceDE w:val="0"/>
        <w:autoSpaceDN w:val="0"/>
      </w:pPr>
      <w:r w:rsidRPr="00463869">
        <w:rPr>
          <w:rFonts w:eastAsiaTheme="minorHAnsi" w:cstheme="minorBidi"/>
          <w:szCs w:val="22"/>
        </w:rPr>
        <w:t>be approved by the Alaska Fisheries Science Center;</w:t>
      </w:r>
    </w:p>
    <w:p w:rsidR="00463869" w:rsidRPr="00463869" w:rsidP="00060958" w14:paraId="6196F203" w14:textId="77777777">
      <w:pPr>
        <w:widowControl/>
        <w:numPr>
          <w:ilvl w:val="0"/>
          <w:numId w:val="15"/>
        </w:numPr>
        <w:tabs>
          <w:tab w:val="left" w:pos="840"/>
        </w:tabs>
        <w:autoSpaceDE w:val="0"/>
        <w:autoSpaceDN w:val="0"/>
      </w:pPr>
      <w:r w:rsidRPr="00463869">
        <w:rPr>
          <w:rFonts w:eastAsiaTheme="minorHAnsi" w:cstheme="minorBidi"/>
          <w:szCs w:val="22"/>
        </w:rPr>
        <w:t>be presented at a Council meeting; and</w:t>
      </w:r>
    </w:p>
    <w:p w:rsidR="00463869" w:rsidRPr="00463869" w:rsidP="00060958" w14:paraId="0AF8E668" w14:textId="77777777">
      <w:pPr>
        <w:widowControl/>
        <w:numPr>
          <w:ilvl w:val="0"/>
          <w:numId w:val="15"/>
        </w:numPr>
        <w:tabs>
          <w:tab w:val="left" w:pos="840"/>
        </w:tabs>
        <w:autoSpaceDE w:val="0"/>
        <w:autoSpaceDN w:val="0"/>
      </w:pPr>
      <w:r w:rsidRPr="00463869">
        <w:rPr>
          <w:rFonts w:eastAsiaTheme="minorHAnsi" w:cstheme="minorBidi"/>
          <w:szCs w:val="22"/>
        </w:rPr>
        <w:t>must</w:t>
      </w:r>
      <w:r w:rsidRPr="00463869">
        <w:rPr>
          <w:rFonts w:eastAsiaTheme="minorHAnsi" w:cstheme="minorBidi"/>
          <w:szCs w:val="22"/>
        </w:rPr>
        <w:t xml:space="preserve"> include observers, if required by the Regional Administrator, and a description of accommodations and work space for the observer(s).</w:t>
      </w:r>
    </w:p>
    <w:p w:rsidR="00463869" w:rsidRPr="00463869" w:rsidP="00060958" w14:paraId="09ABD829" w14:textId="77777777">
      <w:pPr>
        <w:widowControl/>
        <w:autoSpaceDE w:val="0"/>
        <w:autoSpaceDN w:val="0"/>
        <w:ind w:left="360" w:hanging="360"/>
      </w:pPr>
    </w:p>
    <w:p w:rsidR="00463869" w:rsidRPr="00463869" w:rsidP="00060958" w14:paraId="20904F19" w14:textId="77777777">
      <w:pPr>
        <w:widowControl/>
        <w:autoSpaceDE w:val="0"/>
        <w:autoSpaceDN w:val="0"/>
      </w:pPr>
      <w:r w:rsidRPr="00463869">
        <w:rPr>
          <w:rFonts w:eastAsiaTheme="minorHAnsi" w:cstheme="minorBidi"/>
          <w:szCs w:val="22"/>
        </w:rPr>
        <w:t>For each EFP application, NMFS</w:t>
      </w:r>
      <w:r w:rsidRPr="00463869">
        <w:rPr>
          <w:rFonts w:ascii="Calibri" w:hAnsi="Calibri" w:eastAsiaTheme="minorHAnsi" w:cstheme="minorBidi"/>
          <w:szCs w:val="22"/>
        </w:rPr>
        <w:t>—</w:t>
      </w:r>
    </w:p>
    <w:p w:rsidR="00463869" w:rsidRPr="00463869" w:rsidP="00060958" w14:paraId="71ADC252" w14:textId="77777777">
      <w:pPr>
        <w:widowControl/>
        <w:numPr>
          <w:ilvl w:val="0"/>
          <w:numId w:val="18"/>
        </w:numPr>
        <w:tabs>
          <w:tab w:val="left" w:pos="840"/>
        </w:tabs>
        <w:autoSpaceDE w:val="0"/>
        <w:autoSpaceDN w:val="0"/>
      </w:pPr>
      <w:r w:rsidRPr="00463869">
        <w:rPr>
          <w:rFonts w:eastAsiaTheme="minorHAnsi" w:cstheme="minorBidi"/>
          <w:szCs w:val="22"/>
        </w:rPr>
        <w:t>may write an environmental analysis to determine the impacts of the EFP prior to awardin</w:t>
      </w:r>
      <w:r w:rsidRPr="00463869">
        <w:rPr>
          <w:rFonts w:eastAsiaTheme="minorHAnsi" w:cstheme="minorBidi"/>
          <w:szCs w:val="22"/>
        </w:rPr>
        <w:t>g the permit. This analysis would support the decision-making and inform the public of the effects of the EFP project.</w:t>
      </w:r>
    </w:p>
    <w:p w:rsidR="00463869" w:rsidRPr="00463869" w:rsidP="00060958" w14:paraId="792DD80E" w14:textId="77777777">
      <w:pPr>
        <w:widowControl/>
        <w:numPr>
          <w:ilvl w:val="0"/>
          <w:numId w:val="18"/>
        </w:numPr>
        <w:tabs>
          <w:tab w:val="left" w:pos="840"/>
        </w:tabs>
        <w:autoSpaceDE w:val="0"/>
        <w:autoSpaceDN w:val="0"/>
      </w:pPr>
      <w:r w:rsidRPr="00463869">
        <w:rPr>
          <w:rFonts w:eastAsiaTheme="minorHAnsi" w:cstheme="minorBidi"/>
          <w:szCs w:val="22"/>
        </w:rPr>
        <w:t xml:space="preserve">must consult with the Council. This includes filing a </w:t>
      </w:r>
      <w:r w:rsidRPr="00463869">
        <w:rPr>
          <w:rFonts w:eastAsiaTheme="minorHAnsi" w:cstheme="minorBidi"/>
          <w:i/>
          <w:szCs w:val="22"/>
        </w:rPr>
        <w:t xml:space="preserve">Federal Register </w:t>
      </w:r>
      <w:r w:rsidRPr="00463869">
        <w:rPr>
          <w:rFonts w:eastAsiaTheme="minorHAnsi" w:cstheme="minorBidi"/>
          <w:szCs w:val="22"/>
        </w:rPr>
        <w:t>notice announcing receipt of the EFP application and notifying the</w:t>
      </w:r>
      <w:r w:rsidRPr="00463869">
        <w:rPr>
          <w:rFonts w:eastAsiaTheme="minorHAnsi" w:cstheme="minorBidi"/>
          <w:szCs w:val="22"/>
        </w:rPr>
        <w:t xml:space="preserve"> public of which meeting NMFS will consult with the Council on the application.</w:t>
      </w:r>
    </w:p>
    <w:p w:rsidR="00463869" w:rsidRPr="00463869" w:rsidP="00060958" w14:paraId="5278B8F0" w14:textId="77777777">
      <w:pPr>
        <w:widowControl/>
        <w:numPr>
          <w:ilvl w:val="0"/>
          <w:numId w:val="18"/>
        </w:numPr>
        <w:tabs>
          <w:tab w:val="left" w:pos="840"/>
        </w:tabs>
        <w:autoSpaceDE w:val="0"/>
        <w:autoSpaceDN w:val="0"/>
      </w:pPr>
      <w:r w:rsidRPr="00463869">
        <w:rPr>
          <w:rFonts w:eastAsiaTheme="minorHAnsi" w:cstheme="minorBidi"/>
          <w:spacing w:val="-1"/>
          <w:szCs w:val="22"/>
        </w:rPr>
        <w:t>upon deciding to issue the EFP, develops the EFP. The EFP includes project-specific terms and conditions that must be met for the permit holder to be exempted from the stated r</w:t>
      </w:r>
      <w:r w:rsidRPr="00463869">
        <w:rPr>
          <w:rFonts w:eastAsiaTheme="minorHAnsi" w:cstheme="minorBidi"/>
          <w:spacing w:val="-1"/>
          <w:szCs w:val="22"/>
        </w:rPr>
        <w:t>egulations, and the timing, area, and vessel(s) to which the EFP applies.</w:t>
      </w:r>
    </w:p>
    <w:p w:rsidR="00463869" w:rsidRPr="00463869" w:rsidP="00060958" w14:paraId="63A9C0A0" w14:textId="77777777">
      <w:pPr>
        <w:widowControl/>
        <w:numPr>
          <w:ilvl w:val="0"/>
          <w:numId w:val="18"/>
        </w:numPr>
        <w:tabs>
          <w:tab w:val="left" w:pos="840"/>
        </w:tabs>
        <w:autoSpaceDE w:val="0"/>
        <w:autoSpaceDN w:val="0"/>
      </w:pPr>
      <w:r w:rsidRPr="00463869">
        <w:rPr>
          <w:rFonts w:eastAsiaTheme="minorHAnsi" w:cstheme="minorBidi"/>
          <w:szCs w:val="22"/>
        </w:rPr>
        <w:t>disseminates EFP project data and results when available. Through the release of information from NMFS and the EFP participants, other interested parties in the fishing industry coul</w:t>
      </w:r>
      <w:r w:rsidRPr="00463869">
        <w:rPr>
          <w:rFonts w:eastAsiaTheme="minorHAnsi" w:cstheme="minorBidi"/>
          <w:szCs w:val="22"/>
        </w:rPr>
        <w:t>d make use of information obtained and not duplicate efforts already expended by those who initially received an EFP.</w:t>
      </w:r>
    </w:p>
    <w:p w:rsidR="00463869" w:rsidRPr="00463869" w:rsidP="00060958" w14:paraId="024FB456" w14:textId="77777777">
      <w:pPr>
        <w:widowControl/>
        <w:autoSpaceDE w:val="0"/>
        <w:autoSpaceDN w:val="0"/>
        <w:ind w:left="1120" w:hanging="360"/>
      </w:pPr>
    </w:p>
    <w:p w:rsidR="00463869" w:rsidRPr="00463869" w:rsidP="00060958" w14:paraId="46C60489" w14:textId="77777777">
      <w:pPr>
        <w:widowControl/>
        <w:tabs>
          <w:tab w:val="left" w:pos="840"/>
        </w:tabs>
      </w:pPr>
      <w:r w:rsidRPr="00463869">
        <w:t xml:space="preserve">An EFP application includes information on the applicant, a description of the project design including how it will vary from current fishing regulations, the species affected and targeted, when and where the </w:t>
      </w:r>
      <w:r w:rsidRPr="00463869">
        <w:t>fishing will take place, the vessel that will b</w:t>
      </w:r>
      <w:r w:rsidRPr="00463869">
        <w:t xml:space="preserve">e used, a provision for public release of all obtained information, and a signature of the applicant(s). </w:t>
      </w:r>
    </w:p>
    <w:p w:rsidR="00463869" w:rsidRPr="00463869" w:rsidP="00060958" w14:paraId="35A8C594" w14:textId="77777777">
      <w:pPr>
        <w:widowControl/>
        <w:tabs>
          <w:tab w:val="left" w:pos="840"/>
        </w:tabs>
      </w:pPr>
    </w:p>
    <w:p w:rsidR="00463869" w:rsidRPr="00463869" w:rsidP="00060958" w14:paraId="26B08606" w14:textId="77041FEA">
      <w:pPr>
        <w:widowControl/>
        <w:tabs>
          <w:tab w:val="left" w:pos="840"/>
        </w:tabs>
        <w:rPr>
          <w:rFonts w:eastAsiaTheme="minorHAnsi" w:cstheme="minorBidi"/>
          <w:szCs w:val="22"/>
        </w:rPr>
      </w:pPr>
      <w:r w:rsidRPr="00463869">
        <w:t>A</w:t>
      </w:r>
      <w:r w:rsidR="006F74C3">
        <w:t>lthough a</w:t>
      </w:r>
      <w:r w:rsidRPr="00463869">
        <w:t>n EFP application</w:t>
      </w:r>
      <w:r w:rsidRPr="00463869">
        <w:rPr>
          <w:rFonts w:eastAsiaTheme="minorHAnsi" w:cstheme="minorBidi"/>
          <w:szCs w:val="22"/>
        </w:rPr>
        <w:t xml:space="preserve"> may be submitted to NMFS by mail, email, or fax</w:t>
      </w:r>
      <w:r w:rsidR="006F74C3">
        <w:rPr>
          <w:rFonts w:eastAsiaTheme="minorHAnsi" w:cstheme="minorBidi"/>
          <w:szCs w:val="22"/>
        </w:rPr>
        <w:t>, s</w:t>
      </w:r>
      <w:r w:rsidRPr="00463869">
        <w:rPr>
          <w:rFonts w:eastAsiaTheme="minorHAnsi" w:cstheme="minorBidi"/>
          <w:szCs w:val="22"/>
        </w:rPr>
        <w:t>ince the 2015 renewal/revision of this collection, all have been sent e</w:t>
      </w:r>
      <w:r w:rsidRPr="00463869">
        <w:rPr>
          <w:rFonts w:eastAsiaTheme="minorHAnsi" w:cstheme="minorBidi"/>
          <w:szCs w:val="22"/>
        </w:rPr>
        <w:t>lectronically and we expect this to continue.</w:t>
      </w:r>
    </w:p>
    <w:p w:rsidR="004908C0" w:rsidP="00060958" w14:paraId="5A20C78C" w14:textId="77777777">
      <w:pPr>
        <w:widowControl/>
        <w:pBdr>
          <w:top w:val="nil"/>
          <w:left w:val="nil"/>
          <w:bottom w:val="nil"/>
          <w:right w:val="nil"/>
          <w:between w:val="nil"/>
        </w:pBdr>
        <w:spacing w:before="7"/>
      </w:pPr>
    </w:p>
    <w:p w:rsidR="00774BBC" w:rsidP="00060958" w14:paraId="3F36331D"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w:t>
      </w:r>
      <w:r>
        <w:rPr>
          <w:b/>
          <w:color w:val="000000"/>
        </w:rPr>
        <w:t xml:space="preserve"> e.g. permitting electronic submission of responses, and the basis for the decision for adopting this means of collection. Also, describe any consideration of using information technology to reduce burden.</w:t>
      </w:r>
    </w:p>
    <w:p w:rsidR="004908C0" w:rsidRPr="004908C0" w:rsidP="00060958" w14:paraId="2D77C691" w14:textId="77777777">
      <w:pPr>
        <w:widowControl/>
      </w:pPr>
    </w:p>
    <w:p w:rsidR="00463869" w:rsidRPr="00463869" w:rsidP="00060958" w14:paraId="0216C1F5" w14:textId="5B10EB20">
      <w:pPr>
        <w:widowControl/>
        <w:autoSpaceDE w:val="0"/>
        <w:autoSpaceDN w:val="0"/>
        <w:rPr>
          <w:rFonts w:eastAsiaTheme="minorHAnsi" w:cstheme="minorBidi"/>
        </w:rPr>
      </w:pPr>
      <w:r w:rsidRPr="00463869">
        <w:rPr>
          <w:rFonts w:eastAsiaTheme="minorHAnsi" w:cstheme="minorBidi"/>
          <w:szCs w:val="22"/>
        </w:rPr>
        <w:t xml:space="preserve">The FFP and FPP applications are </w:t>
      </w:r>
      <w:r w:rsidR="00A54E07">
        <w:rPr>
          <w:rFonts w:eastAsiaTheme="minorHAnsi" w:cstheme="minorBidi"/>
          <w:szCs w:val="22"/>
        </w:rPr>
        <w:t>posted</w:t>
      </w:r>
      <w:r w:rsidRPr="00463869">
        <w:rPr>
          <w:rFonts w:eastAsiaTheme="minorHAnsi" w:cstheme="minorBidi"/>
          <w:szCs w:val="22"/>
        </w:rPr>
        <w:t xml:space="preserve"> on the NM</w:t>
      </w:r>
      <w:r w:rsidRPr="00463869">
        <w:rPr>
          <w:rFonts w:eastAsiaTheme="minorHAnsi" w:cstheme="minorBidi"/>
          <w:szCs w:val="22"/>
        </w:rPr>
        <w:t>FS Alaska Region website</w:t>
      </w:r>
      <w:r w:rsidR="00A54E07">
        <w:rPr>
          <w:rFonts w:eastAsiaTheme="minorHAnsi" w:cstheme="minorBidi"/>
          <w:szCs w:val="22"/>
        </w:rPr>
        <w:t xml:space="preserve"> at </w:t>
      </w:r>
      <w:hyperlink r:id="rId16" w:history="1">
        <w:r w:rsidRPr="00A54E07" w:rsidR="00A54E07">
          <w:rPr>
            <w:rStyle w:val="Hyperlink"/>
            <w:rFonts w:eastAsiaTheme="minorHAnsi" w:cstheme="minorBidi"/>
            <w:szCs w:val="22"/>
          </w:rPr>
          <w:t>https://www.fisheries.noaa.gov/permit/alaska-federal-fisheries-permit-and-federal-processor-permit-applications</w:t>
        </w:r>
      </w:hyperlink>
      <w:r w:rsidRPr="00463869">
        <w:rPr>
          <w:rFonts w:eastAsiaTheme="minorHAnsi" w:cstheme="minorBidi"/>
          <w:szCs w:val="22"/>
        </w:rPr>
        <w:t xml:space="preserve">. The applications may be completed online using the fillable PDF forms and then printed and faxed to the NMFS Alaska Region permits office. The FPP application may be renewed online through eFISH. </w:t>
      </w:r>
    </w:p>
    <w:p w:rsidR="00463869" w:rsidRPr="00463869" w:rsidP="00060958" w14:paraId="3E1B8336" w14:textId="77777777">
      <w:pPr>
        <w:widowControl/>
        <w:autoSpaceDE w:val="0"/>
        <w:autoSpaceDN w:val="0"/>
        <w:rPr>
          <w:rFonts w:eastAsiaTheme="minorHAnsi" w:cstheme="minorBidi"/>
          <w:szCs w:val="22"/>
        </w:rPr>
      </w:pPr>
    </w:p>
    <w:p w:rsidR="00463869" w:rsidRPr="00463869" w:rsidP="00060958" w14:paraId="408572BB" w14:textId="77777777">
      <w:pPr>
        <w:widowControl/>
        <w:autoSpaceDE w:val="0"/>
        <w:autoSpaceDN w:val="0"/>
        <w:rPr>
          <w:rFonts w:eastAsiaTheme="minorHAnsi" w:cstheme="minorBidi"/>
          <w:szCs w:val="22"/>
        </w:rPr>
      </w:pPr>
      <w:hyperlink r:id="rId17" w:history="1">
        <w:r w:rsidRPr="00463869">
          <w:rPr>
            <w:color w:val="0000FF" w:themeColor="hyperlink"/>
            <w:u w:val="single"/>
          </w:rPr>
          <w:t>eFISH</w:t>
        </w:r>
      </w:hyperlink>
      <w:r w:rsidRPr="00463869">
        <w:t xml:space="preserve"> is the NMFS Alaska Region online Fisheries Information System. </w:t>
      </w:r>
      <w:r w:rsidRPr="00463869">
        <w:rPr>
          <w:color w:val="000000"/>
        </w:rPr>
        <w:t>eFISH provides an online method to submit applications and access to participants’ NMFS permit accounts. Permit holders access eFISH through a User ID and password</w:t>
      </w:r>
      <w:r w:rsidRPr="00463869">
        <w:rPr>
          <w:color w:val="000000"/>
        </w:rPr>
        <w:t xml:space="preserve"> issued by NMFS. Instructions for using eFISH are posted on the NMFS Alaska Region website at </w:t>
      </w:r>
      <w:hyperlink r:id="rId18" w:history="1">
        <w:r w:rsidRPr="00463869">
          <w:rPr>
            <w:color w:val="0000FF"/>
            <w:u w:val="single"/>
          </w:rPr>
          <w:t>https://alaskafisheries.noaa.gov/node/30749</w:t>
        </w:r>
      </w:hyperlink>
      <w:r w:rsidRPr="00463869">
        <w:rPr>
          <w:color w:val="000000"/>
        </w:rPr>
        <w:t>.</w:t>
      </w:r>
    </w:p>
    <w:p w:rsidR="00463869" w:rsidRPr="00463869" w:rsidP="00060958" w14:paraId="5A8F3EAF" w14:textId="77777777">
      <w:pPr>
        <w:widowControl/>
        <w:autoSpaceDE w:val="0"/>
        <w:autoSpaceDN w:val="0"/>
        <w:rPr>
          <w:rFonts w:eastAsiaTheme="minorHAnsi" w:cstheme="minorBidi"/>
          <w:szCs w:val="22"/>
        </w:rPr>
      </w:pPr>
    </w:p>
    <w:p w:rsidR="00463869" w:rsidRPr="00463869" w:rsidP="00060958" w14:paraId="446495BE" w14:textId="11709AF9">
      <w:pPr>
        <w:widowControl/>
        <w:autoSpaceDE w:val="0"/>
        <w:autoSpaceDN w:val="0"/>
        <w:rPr>
          <w:b/>
          <w:bCs/>
          <w:sz w:val="17"/>
          <w:szCs w:val="17"/>
        </w:rPr>
      </w:pPr>
      <w:r>
        <w:rPr>
          <w:rFonts w:eastAsiaTheme="minorHAnsi" w:cstheme="minorBidi"/>
          <w:szCs w:val="22"/>
        </w:rPr>
        <w:t>The EFP template is posted</w:t>
      </w:r>
      <w:r w:rsidRPr="00463869">
        <w:rPr>
          <w:rFonts w:eastAsiaTheme="minorHAnsi" w:cstheme="minorBidi"/>
          <w:szCs w:val="22"/>
        </w:rPr>
        <w:t xml:space="preserve"> on t</w:t>
      </w:r>
      <w:r w:rsidR="002D6D49">
        <w:rPr>
          <w:rFonts w:eastAsiaTheme="minorHAnsi" w:cstheme="minorBidi"/>
          <w:szCs w:val="22"/>
        </w:rPr>
        <w:t>he NMFS Alaska Region Website</w:t>
      </w:r>
      <w:r>
        <w:rPr>
          <w:rFonts w:eastAsiaTheme="minorHAnsi" w:cstheme="minorBidi"/>
          <w:szCs w:val="22"/>
        </w:rPr>
        <w:t xml:space="preserve"> at </w:t>
      </w:r>
      <w:hyperlink r:id="rId15" w:history="1">
        <w:r w:rsidRPr="00A54E07">
          <w:rPr>
            <w:rStyle w:val="Hyperlink"/>
            <w:rFonts w:eastAsiaTheme="minorHAnsi" w:cstheme="minorBidi"/>
            <w:szCs w:val="22"/>
          </w:rPr>
          <w:t>https://www.fisheries.noaa.gov/alaska/commercial-fishing/exempted-fishing-permit-application-process-alaska</w:t>
        </w:r>
      </w:hyperlink>
      <w:r w:rsidR="002D6D49">
        <w:rPr>
          <w:rFonts w:eastAsiaTheme="minorHAnsi" w:cstheme="minorBidi"/>
          <w:szCs w:val="22"/>
        </w:rPr>
        <w:t xml:space="preserve">. </w:t>
      </w:r>
      <w:r w:rsidRPr="00463869">
        <w:rPr>
          <w:rFonts w:eastAsiaTheme="minorHAnsi" w:cstheme="minorBidi"/>
          <w:szCs w:val="22"/>
        </w:rPr>
        <w:t>EFP applicat</w:t>
      </w:r>
      <w:r w:rsidRPr="00463869">
        <w:rPr>
          <w:rFonts w:eastAsiaTheme="minorHAnsi" w:cstheme="minorBidi"/>
          <w:szCs w:val="22"/>
        </w:rPr>
        <w:t>ions may be submitted to NMFS Alaska Region Sustainable Fishery staff by email or fax.</w:t>
      </w:r>
    </w:p>
    <w:p w:rsidR="004908C0" w:rsidP="00060958" w14:paraId="6709861C" w14:textId="752A808E">
      <w:pPr>
        <w:widowControl/>
      </w:pPr>
    </w:p>
    <w:p w:rsidR="00A54E07" w:rsidRPr="004908C0" w:rsidP="00060958" w14:paraId="7A92D067" w14:textId="29199281">
      <w:pPr>
        <w:widowControl/>
      </w:pPr>
      <w:r w:rsidRPr="00A54E07">
        <w:t>NMFS Alaska Region is working toward offering more online services. The current data entry and retrieval system is nearing the end of its life, and a new database is in</w:t>
      </w:r>
      <w:r w:rsidRPr="00A54E07">
        <w:t xml:space="preserve"> development. NMFS is working on a new system whereby all of the </w:t>
      </w:r>
      <w:r>
        <w:t>permit applications</w:t>
      </w:r>
      <w:r w:rsidRPr="00A54E07">
        <w:t xml:space="preserve"> will be entered online and submitted directly and automatically into a database.</w:t>
      </w:r>
    </w:p>
    <w:p w:rsidR="004908C0" w:rsidRPr="004908C0" w:rsidP="00060958" w14:paraId="736ACD6A" w14:textId="77777777">
      <w:pPr>
        <w:widowControl/>
      </w:pPr>
    </w:p>
    <w:p w:rsidR="00774BBC" w:rsidP="00060958" w14:paraId="63575544"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efforts to identify duplication. Show specifically why any similar information a</w:t>
      </w:r>
      <w:r>
        <w:rPr>
          <w:b/>
          <w:color w:val="000000"/>
        </w:rPr>
        <w:t>lready available cannot be used or modified for use for the purposes described in Question 2</w:t>
      </w:r>
    </w:p>
    <w:p w:rsidR="00F90B2C" w:rsidRPr="00F90B2C" w:rsidP="00060958" w14:paraId="43463A0C" w14:textId="77777777">
      <w:pPr>
        <w:widowControl/>
        <w:pBdr>
          <w:top w:val="nil"/>
          <w:left w:val="nil"/>
          <w:bottom w:val="nil"/>
          <w:right w:val="nil"/>
          <w:between w:val="nil"/>
        </w:pBdr>
      </w:pPr>
    </w:p>
    <w:p w:rsidR="00463869" w:rsidRPr="00463869" w:rsidP="00060958" w14:paraId="1D76B06A" w14:textId="77777777">
      <w:pPr>
        <w:widowControl/>
        <w:autoSpaceDE w:val="0"/>
        <w:autoSpaceDN w:val="0"/>
        <w:rPr>
          <w:rFonts w:eastAsiaTheme="minorHAnsi" w:cstheme="minorBidi"/>
        </w:rPr>
      </w:pPr>
      <w:r w:rsidRPr="00463869">
        <w:rPr>
          <w:rFonts w:eastAsiaTheme="minorHAnsi"/>
        </w:rPr>
        <w:t>None of the information collected as part of this information collection duplicates other collections</w:t>
      </w:r>
      <w:r w:rsidRPr="00463869">
        <w:rPr>
          <w:rFonts w:eastAsiaTheme="minorHAnsi" w:cstheme="minorBidi"/>
        </w:rPr>
        <w:t xml:space="preserve">. Section 303(b)(1) of the Magnuson-Stevens Act specifically </w:t>
      </w:r>
      <w:r w:rsidRPr="00463869">
        <w:rPr>
          <w:rFonts w:eastAsiaTheme="minorHAnsi" w:cstheme="minorBidi"/>
        </w:rPr>
        <w:t xml:space="preserve">recognizes the need for permit issuance, and there are no alternate means or methods to perform the functions laid out in this supporting statement. </w:t>
      </w:r>
    </w:p>
    <w:p w:rsidR="00F90B2C" w:rsidP="00060958" w14:paraId="782DAE9B" w14:textId="199D031F">
      <w:pPr>
        <w:widowControl/>
        <w:pBdr>
          <w:top w:val="nil"/>
          <w:left w:val="nil"/>
          <w:bottom w:val="nil"/>
          <w:right w:val="nil"/>
          <w:between w:val="nil"/>
        </w:pBdr>
      </w:pPr>
    </w:p>
    <w:p w:rsidR="00463869" w:rsidRPr="00463869" w:rsidP="00060958" w14:paraId="4550A9AB" w14:textId="77777777">
      <w:pPr>
        <w:widowControl/>
        <w:rPr>
          <w:rFonts w:eastAsia="Calibri"/>
        </w:rPr>
      </w:pPr>
      <w:r w:rsidRPr="00463869">
        <w:rPr>
          <w:rFonts w:eastAsia="Calibri"/>
        </w:rPr>
        <w:t>In general, Alaska Region information collections are prepared and reviewed by staff familiar with all of</w:t>
      </w:r>
      <w:r w:rsidRPr="00463869">
        <w:rPr>
          <w:rFonts w:eastAsia="Calibri"/>
        </w:rPr>
        <w:t xml:space="preserve"> the information collection requirements for the region. Staff work together to develop information collection requirements for new programs. In addition, NMFS staff work closely with the staff of the Alaska Department of Fish and Game and the Internationa</w:t>
      </w:r>
      <w:r w:rsidRPr="00463869">
        <w:rPr>
          <w:rFonts w:eastAsia="Calibri"/>
        </w:rPr>
        <w:t>l Pacific Halibut Commission to reduce duplication in information collection requirements to the extent possible given overlapping jurisdictions and complex fisheries. Senior staff at the Alaska Region, NMFS headquarters, and the Department of Commerce Gen</w:t>
      </w:r>
      <w:r w:rsidRPr="00463869">
        <w:rPr>
          <w:rFonts w:eastAsia="Calibri"/>
        </w:rPr>
        <w:t>eral Counsel review all new and revised information collection requirements that are associated with rulemakings. This process minimizes the potential for duplication of information collection requirements for participants in the Federal fisheries off Alas</w:t>
      </w:r>
      <w:r w:rsidRPr="00463869">
        <w:rPr>
          <w:rFonts w:eastAsia="Calibri"/>
        </w:rPr>
        <w:t>ka.</w:t>
      </w:r>
    </w:p>
    <w:p w:rsidR="00463869" w:rsidRPr="00F90B2C" w:rsidP="00060958" w14:paraId="378D853E" w14:textId="77777777">
      <w:pPr>
        <w:widowControl/>
        <w:pBdr>
          <w:top w:val="nil"/>
          <w:left w:val="nil"/>
          <w:bottom w:val="nil"/>
          <w:right w:val="nil"/>
          <w:between w:val="nil"/>
        </w:pBdr>
      </w:pPr>
    </w:p>
    <w:p w:rsidR="00774BBC" w:rsidP="00060958" w14:paraId="3C8FE210"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If the collection of information impacts small businesses or other small entities, describe any methods used to minimize burden.</w:t>
      </w:r>
    </w:p>
    <w:p w:rsidR="00F90B2C" w:rsidRPr="00F90B2C" w:rsidP="00060958" w14:paraId="16C559E3" w14:textId="77777777">
      <w:pPr>
        <w:widowControl/>
        <w:pBdr>
          <w:top w:val="nil"/>
          <w:left w:val="nil"/>
          <w:bottom w:val="nil"/>
          <w:right w:val="nil"/>
          <w:between w:val="nil"/>
        </w:pBdr>
      </w:pPr>
    </w:p>
    <w:p w:rsidR="00086961" w:rsidP="00060958" w14:paraId="60F1D5E1" w14:textId="665E4059">
      <w:pPr>
        <w:widowControl/>
        <w:pBdr>
          <w:top w:val="nil"/>
          <w:left w:val="nil"/>
          <w:bottom w:val="nil"/>
          <w:right w:val="nil"/>
          <w:between w:val="nil"/>
        </w:pBdr>
      </w:pPr>
      <w:r>
        <w:t>The information collection affects small entities. NMFS attempts to minimize the burden of this collection on all respond</w:t>
      </w:r>
      <w:r>
        <w:t xml:space="preserve">ents </w:t>
      </w:r>
      <w:r w:rsidRPr="00282FF3" w:rsidR="00282FF3">
        <w:t xml:space="preserve">by collecting only information necessary to manage the </w:t>
      </w:r>
      <w:r w:rsidR="00282FF3">
        <w:t>Federal</w:t>
      </w:r>
      <w:r w:rsidRPr="00282FF3" w:rsidR="00282FF3">
        <w:t xml:space="preserve"> fisher</w:t>
      </w:r>
      <w:r w:rsidR="00282FF3">
        <w:t>ies</w:t>
      </w:r>
      <w:r w:rsidRPr="00282FF3" w:rsidR="00282FF3">
        <w:t>, by providing options for submitting the information when possible, and by providing help to participants by phone and through online help options and user guides.</w:t>
      </w:r>
    </w:p>
    <w:p w:rsidR="00086961" w:rsidP="00060958" w14:paraId="38A7151F" w14:textId="77777777">
      <w:pPr>
        <w:widowControl/>
        <w:pBdr>
          <w:top w:val="nil"/>
          <w:left w:val="nil"/>
          <w:bottom w:val="nil"/>
          <w:right w:val="nil"/>
          <w:between w:val="nil"/>
        </w:pBdr>
      </w:pPr>
    </w:p>
    <w:p w:rsidR="00086961" w:rsidP="00060958" w14:paraId="7CE20DD1" w14:textId="7FF040E2">
      <w:pPr>
        <w:widowControl/>
        <w:pBdr>
          <w:top w:val="nil"/>
          <w:left w:val="nil"/>
          <w:bottom w:val="nil"/>
          <w:right w:val="nil"/>
          <w:between w:val="nil"/>
        </w:pBdr>
      </w:pPr>
      <w:r>
        <w:t>The FFP and F</w:t>
      </w:r>
      <w:r>
        <w:t xml:space="preserve">PP applications are available online as fillable pdfs and may be submitted by fax. The FFP has a 3-year renewal cycle, so participants are not required to submit an application every year. The EFP </w:t>
      </w:r>
      <w:r w:rsidR="00253B90">
        <w:t>template is available online,</w:t>
      </w:r>
      <w:r>
        <w:t xml:space="preserve"> and example </w:t>
      </w:r>
      <w:r w:rsidR="00253B90">
        <w:t xml:space="preserve">EFP </w:t>
      </w:r>
      <w:r>
        <w:t xml:space="preserve">applications </w:t>
      </w:r>
      <w:r>
        <w:t>are provided on the NMFS EFP webpage. The required information for the EFP may be submitted by email or fax. For help or more information on the FFP, FPP, or EFP, persons may contact NMFS staff through email and toll-free phone numbers.</w:t>
      </w:r>
    </w:p>
    <w:p w:rsidR="00F90B2C" w:rsidRPr="00F90B2C" w:rsidP="00060958" w14:paraId="6756F010" w14:textId="77777777">
      <w:pPr>
        <w:widowControl/>
        <w:pBdr>
          <w:top w:val="nil"/>
          <w:left w:val="nil"/>
          <w:bottom w:val="nil"/>
          <w:right w:val="nil"/>
          <w:between w:val="nil"/>
        </w:pBdr>
      </w:pPr>
    </w:p>
    <w:p w:rsidR="00774BBC" w:rsidP="00060958" w14:paraId="0D448024"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the conse</w:t>
      </w:r>
      <w:r>
        <w:rPr>
          <w:b/>
          <w:color w:val="000000"/>
        </w:rPr>
        <w:t>quence to Federal program or policy activities if the collection is not conducted or is conducted less frequently, as well as any technical or legal obstacles to reducing burden.</w:t>
      </w:r>
    </w:p>
    <w:p w:rsidR="00F90B2C" w:rsidRPr="00F90B2C" w:rsidP="00060958" w14:paraId="1C1A81F1" w14:textId="77777777">
      <w:pPr>
        <w:widowControl/>
        <w:pBdr>
          <w:top w:val="nil"/>
          <w:left w:val="nil"/>
          <w:bottom w:val="nil"/>
          <w:right w:val="nil"/>
          <w:between w:val="nil"/>
        </w:pBdr>
      </w:pPr>
    </w:p>
    <w:p w:rsidR="00F90B2C" w:rsidRPr="00F90B2C" w:rsidP="00060958" w14:paraId="3FF7CE79" w14:textId="0E05F102">
      <w:pPr>
        <w:widowControl/>
        <w:pBdr>
          <w:top w:val="nil"/>
          <w:left w:val="nil"/>
          <w:bottom w:val="nil"/>
          <w:right w:val="nil"/>
          <w:between w:val="nil"/>
        </w:pBdr>
      </w:pPr>
      <w:r w:rsidRPr="00086961">
        <w:t xml:space="preserve">The permit system is an integral part of the management of </w:t>
      </w:r>
      <w:r w:rsidR="00C378BF">
        <w:t>Federal</w:t>
      </w:r>
      <w:r w:rsidRPr="00086961">
        <w:t xml:space="preserve"> fisheries</w:t>
      </w:r>
      <w:r w:rsidRPr="00086961">
        <w:t xml:space="preserve"> in the Alaska Region. It would not be possible to carry out the mandates of the Magnuson-Stevens Act and other laws if approval to continue these previously approved collections were to be denied. The yearly application for the FPP ensures that all partic</w:t>
      </w:r>
      <w:r w:rsidRPr="00086961">
        <w:t>ipants are up to date in payment of their observer fees, which in turn ensures a high quality of data into NMFS’s catch accounting systems, which ultimately feeds into future stock assessments. EFP applications are only required if fishing will deviate fro</w:t>
      </w:r>
      <w:r w:rsidRPr="00086961">
        <w:t>m normal activities. An EFP may be issued for any justified length of time, but are usually issued for one year, with the option to renew with the foundation of the existing application. It is necessary to review and renew EFP applications for the time len</w:t>
      </w:r>
      <w:r w:rsidRPr="00086961">
        <w:t>gth specified in the original permit in order to monitor the effects of new fishing activities on a fishery and to meet the requirements of the Magnuson-Stevens Act.</w:t>
      </w:r>
    </w:p>
    <w:p w:rsidR="00F90B2C" w:rsidRPr="00F90B2C" w:rsidP="00060958" w14:paraId="20B8BC38" w14:textId="77777777">
      <w:pPr>
        <w:widowControl/>
        <w:pBdr>
          <w:top w:val="nil"/>
          <w:left w:val="nil"/>
          <w:bottom w:val="nil"/>
          <w:right w:val="nil"/>
          <w:between w:val="nil"/>
        </w:pBdr>
      </w:pPr>
    </w:p>
    <w:p w:rsidR="00774BBC" w:rsidP="00060958" w14:paraId="6A197606"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any special circumstances that would cause an information collection to be conduc</w:t>
      </w:r>
      <w:r>
        <w:rPr>
          <w:b/>
          <w:color w:val="000000"/>
        </w:rPr>
        <w:t>ted in a manner inconsistent with OMB guidelines.</w:t>
      </w:r>
    </w:p>
    <w:p w:rsidR="00495DCA" w:rsidP="00060958" w14:paraId="30B8ED6A" w14:textId="06FF0894">
      <w:pPr>
        <w:widowControl/>
        <w:pBdr>
          <w:top w:val="nil"/>
          <w:left w:val="nil"/>
          <w:bottom w:val="nil"/>
          <w:right w:val="nil"/>
          <w:between w:val="nil"/>
        </w:pBdr>
      </w:pPr>
    </w:p>
    <w:p w:rsidR="00B744B6" w:rsidP="00B744B6" w14:paraId="02A87F3B" w14:textId="77777777">
      <w:pPr>
        <w:widowControl/>
        <w:pBdr>
          <w:top w:val="nil"/>
          <w:left w:val="nil"/>
          <w:bottom w:val="nil"/>
          <w:right w:val="nil"/>
          <w:between w:val="nil"/>
        </w:pBdr>
        <w:spacing w:after="120"/>
      </w:pPr>
      <w:r w:rsidRPr="00B744B6">
        <w:t>This collection is conducted in a manner that is consistent with OMB guidelines.</w:t>
      </w:r>
    </w:p>
    <w:p w:rsidR="001C0D5D" w:rsidP="00B744B6" w14:paraId="68191DD7" w14:textId="46674400">
      <w:pPr>
        <w:pStyle w:val="ListParagraph"/>
        <w:widowControl/>
        <w:numPr>
          <w:ilvl w:val="0"/>
          <w:numId w:val="21"/>
        </w:numPr>
        <w:pBdr>
          <w:top w:val="nil"/>
          <w:left w:val="nil"/>
          <w:bottom w:val="nil"/>
          <w:right w:val="nil"/>
          <w:between w:val="nil"/>
        </w:pBdr>
        <w:spacing w:after="120"/>
      </w:pPr>
      <w:r>
        <w:t>This collection does not require respondents to report information to the agency more often than quarterly.</w:t>
      </w:r>
    </w:p>
    <w:p w:rsidR="001C0D5D" w:rsidP="00B744B6" w14:paraId="269ABD90" w14:textId="77777777">
      <w:pPr>
        <w:pStyle w:val="ListParagraph"/>
        <w:widowControl/>
        <w:numPr>
          <w:ilvl w:val="0"/>
          <w:numId w:val="20"/>
        </w:numPr>
        <w:pBdr>
          <w:top w:val="nil"/>
          <w:left w:val="nil"/>
          <w:bottom w:val="nil"/>
          <w:right w:val="nil"/>
          <w:between w:val="nil"/>
        </w:pBdr>
        <w:spacing w:before="120"/>
      </w:pPr>
      <w:r>
        <w:t xml:space="preserve">This collection </w:t>
      </w:r>
      <w:r>
        <w:t>does not require respondents to prepare a written response to a collection of information in fewer than 30 days after receipt of it.</w:t>
      </w:r>
    </w:p>
    <w:p w:rsidR="001C0D5D" w:rsidP="00B744B6" w14:paraId="19670BD7" w14:textId="77777777">
      <w:pPr>
        <w:pStyle w:val="ListParagraph"/>
        <w:widowControl/>
        <w:numPr>
          <w:ilvl w:val="0"/>
          <w:numId w:val="20"/>
        </w:numPr>
        <w:pBdr>
          <w:top w:val="nil"/>
          <w:left w:val="nil"/>
          <w:bottom w:val="nil"/>
          <w:right w:val="nil"/>
          <w:between w:val="nil"/>
        </w:pBdr>
        <w:spacing w:before="120"/>
      </w:pPr>
      <w:r>
        <w:t>This collection does not require respondents to submit more than an original and two copies of any document.</w:t>
      </w:r>
    </w:p>
    <w:p w:rsidR="001C0D5D" w:rsidP="00B744B6" w14:paraId="213DF85F" w14:textId="77777777">
      <w:pPr>
        <w:pStyle w:val="ListParagraph"/>
        <w:widowControl/>
        <w:numPr>
          <w:ilvl w:val="0"/>
          <w:numId w:val="20"/>
        </w:numPr>
        <w:pBdr>
          <w:top w:val="nil"/>
          <w:left w:val="nil"/>
          <w:bottom w:val="nil"/>
          <w:right w:val="nil"/>
          <w:between w:val="nil"/>
        </w:pBdr>
        <w:spacing w:before="120"/>
      </w:pPr>
      <w:r>
        <w:t>This collectio</w:t>
      </w:r>
      <w:r>
        <w:t>n does not require respondents to retain records, other than health, medical, government contract, grant-in- aid, or tax records for more than three years.</w:t>
      </w:r>
    </w:p>
    <w:p w:rsidR="001C0D5D" w:rsidP="00B744B6" w14:paraId="616E1001" w14:textId="0AF039CA">
      <w:pPr>
        <w:pStyle w:val="ListParagraph"/>
        <w:widowControl/>
        <w:numPr>
          <w:ilvl w:val="0"/>
          <w:numId w:val="20"/>
        </w:numPr>
        <w:pBdr>
          <w:top w:val="nil"/>
          <w:left w:val="nil"/>
          <w:bottom w:val="nil"/>
          <w:right w:val="nil"/>
          <w:between w:val="nil"/>
        </w:pBdr>
        <w:spacing w:before="120"/>
      </w:pPr>
      <w:r>
        <w:t>This collection is not in connec</w:t>
      </w:r>
      <w:r w:rsidR="00B94D90">
        <w:t xml:space="preserve">tion with a statistical survey, </w:t>
      </w:r>
      <w:r>
        <w:t>that is not designed to produce vali</w:t>
      </w:r>
      <w:r>
        <w:t>d and reliable results that can be generalized to the universe of study.</w:t>
      </w:r>
      <w:r>
        <w:tab/>
      </w:r>
    </w:p>
    <w:p w:rsidR="001C0D5D" w:rsidP="00B744B6" w14:paraId="5668D8BE" w14:textId="77777777">
      <w:pPr>
        <w:pStyle w:val="ListParagraph"/>
        <w:widowControl/>
        <w:numPr>
          <w:ilvl w:val="0"/>
          <w:numId w:val="20"/>
        </w:numPr>
        <w:pBdr>
          <w:top w:val="nil"/>
          <w:left w:val="nil"/>
          <w:bottom w:val="nil"/>
          <w:right w:val="nil"/>
          <w:between w:val="nil"/>
        </w:pBdr>
        <w:spacing w:before="120"/>
      </w:pPr>
      <w:r>
        <w:t>This collection does not require the use of a statistical data classification that has not been reviewed and approved by OMB.</w:t>
      </w:r>
    </w:p>
    <w:p w:rsidR="001C0D5D" w:rsidP="00B744B6" w14:paraId="0F4FDDD3" w14:textId="77777777">
      <w:pPr>
        <w:pStyle w:val="ListParagraph"/>
        <w:widowControl/>
        <w:numPr>
          <w:ilvl w:val="0"/>
          <w:numId w:val="20"/>
        </w:numPr>
        <w:pBdr>
          <w:top w:val="nil"/>
          <w:left w:val="nil"/>
          <w:bottom w:val="nil"/>
          <w:right w:val="nil"/>
          <w:between w:val="nil"/>
        </w:pBdr>
        <w:spacing w:before="120"/>
      </w:pPr>
      <w:r>
        <w:t>This collection does not include a pledge of confidentia</w:t>
      </w:r>
      <w:r>
        <w:t>lity that is not supported by authority established in statute or regulation, that is not supported by disclosure and data security policies that are consistent with the pledge, or which unnecessarily impedes sharing of data with other agencies for compati</w:t>
      </w:r>
      <w:r>
        <w:t>ble confidential use.</w:t>
      </w:r>
    </w:p>
    <w:p w:rsidR="001C0D5D" w:rsidP="00B744B6" w14:paraId="05FD913E" w14:textId="77777777">
      <w:pPr>
        <w:pStyle w:val="ListParagraph"/>
        <w:widowControl/>
        <w:numPr>
          <w:ilvl w:val="0"/>
          <w:numId w:val="20"/>
        </w:numPr>
        <w:pBdr>
          <w:top w:val="nil"/>
          <w:left w:val="nil"/>
          <w:bottom w:val="nil"/>
          <w:right w:val="nil"/>
          <w:between w:val="nil"/>
        </w:pBdr>
        <w:spacing w:before="120"/>
      </w:pPr>
      <w:r>
        <w:t>This collection does not require respondents to submit proprietary trade secret, or other confidential information unless the agency can demonstrate that it has instituted procedures to protect the information's confidentiality to the</w:t>
      </w:r>
      <w:r>
        <w:t xml:space="preserve"> extent permitted by law.</w:t>
      </w:r>
    </w:p>
    <w:p w:rsidR="00F90B2C" w:rsidRPr="00F90B2C" w:rsidP="00060958" w14:paraId="774C41C5" w14:textId="77777777">
      <w:pPr>
        <w:widowControl/>
        <w:pBdr>
          <w:top w:val="nil"/>
          <w:left w:val="nil"/>
          <w:bottom w:val="nil"/>
          <w:right w:val="nil"/>
          <w:between w:val="nil"/>
        </w:pBdr>
      </w:pPr>
    </w:p>
    <w:p w:rsidR="00774BBC" w:rsidP="00060958" w14:paraId="43842BFC"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If applicable, provide a copy and identify the date and page number of publications in the Federal Register of the agency's notice, required by 5 CFR 1320.8 (d), soliciting comments on the information collection prior to </w:t>
      </w:r>
      <w:r>
        <w:rPr>
          <w:b/>
          <w:color w:val="000000"/>
        </w:rPr>
        <w:t>submission to OMB. Summarize public comments received in response to that notice and describe actions taken by the agency in response to these comments. Specifically address comments received on cost and hour burden.</w:t>
      </w:r>
    </w:p>
    <w:p w:rsidR="00996A24" w:rsidRPr="00996A24" w:rsidP="00060958" w14:paraId="6582A59D" w14:textId="77777777">
      <w:pPr>
        <w:widowControl/>
        <w:pBdr>
          <w:top w:val="nil"/>
          <w:left w:val="nil"/>
          <w:bottom w:val="nil"/>
          <w:right w:val="nil"/>
          <w:between w:val="nil"/>
        </w:pBdr>
      </w:pPr>
    </w:p>
    <w:p w:rsidR="00BA6899" w:rsidP="00060958" w14:paraId="6BA7BECD" w14:textId="77777777">
      <w:pPr>
        <w:widowControl/>
      </w:pPr>
      <w:r w:rsidRPr="00253B90">
        <w:t xml:space="preserve">A </w:t>
      </w:r>
      <w:r w:rsidRPr="00472875">
        <w:rPr>
          <w:i/>
        </w:rPr>
        <w:t>Federal Register</w:t>
      </w:r>
      <w:r w:rsidRPr="00253B90">
        <w:t xml:space="preserve"> Notice published on</w:t>
      </w:r>
      <w:r w:rsidRPr="00253B90">
        <w:t xml:space="preserve"> </w:t>
      </w:r>
      <w:r>
        <w:t xml:space="preserve">October 3, </w:t>
      </w:r>
      <w:r w:rsidRPr="00253B90">
        <w:t>2023 (</w:t>
      </w:r>
      <w:hyperlink r:id="rId19" w:history="1">
        <w:r w:rsidRPr="008E2331" w:rsidR="00472875">
          <w:rPr>
            <w:rStyle w:val="Hyperlink"/>
          </w:rPr>
          <w:t>88 FR 68110</w:t>
        </w:r>
      </w:hyperlink>
      <w:r w:rsidRPr="00253B90">
        <w:t xml:space="preserve">), that solicited public comments. </w:t>
      </w:r>
      <w:r w:rsidR="00495DCA">
        <w:t>The comment period ended December 4, 2023.</w:t>
      </w:r>
      <w:r>
        <w:t xml:space="preserve"> </w:t>
      </w:r>
      <w:r w:rsidRPr="00BC5D9C">
        <w:rPr>
          <w:shd w:val="clear" w:color="auto" w:fill="FFFFFF"/>
        </w:rPr>
        <w:t>No comments were received.</w:t>
      </w:r>
      <w:r w:rsidRPr="00BC5D9C" w:rsidR="00495DCA">
        <w:t xml:space="preserve"> </w:t>
      </w:r>
    </w:p>
    <w:p w:rsidR="00BA6899" w:rsidP="00060958" w14:paraId="173605E4" w14:textId="77777777">
      <w:pPr>
        <w:widowControl/>
        <w:rPr>
          <w:shd w:val="clear" w:color="auto" w:fill="FFFFFF"/>
        </w:rPr>
      </w:pPr>
    </w:p>
    <w:p w:rsidR="00BC5D9C" w:rsidRPr="00BC5D9C" w:rsidP="00060958" w14:paraId="73AC47F3" w14:textId="1D4FBDEE">
      <w:pPr>
        <w:widowControl/>
      </w:pPr>
      <w:bookmarkStart w:id="0" w:name="_GoBack"/>
      <w:bookmarkEnd w:id="0"/>
      <w:r w:rsidRPr="00BC5D9C">
        <w:rPr>
          <w:shd w:val="clear" w:color="auto" w:fill="FFFFFF"/>
        </w:rPr>
        <w:t>In addition to the </w:t>
      </w:r>
      <w:r w:rsidRPr="00BC5D9C">
        <w:rPr>
          <w:i/>
          <w:iCs/>
          <w:shd w:val="clear" w:color="auto" w:fill="FFFFFF"/>
        </w:rPr>
        <w:t>Federal Register</w:t>
      </w:r>
      <w:r w:rsidRPr="00BC5D9C">
        <w:rPr>
          <w:shd w:val="clear" w:color="auto" w:fill="FFFFFF"/>
        </w:rPr>
        <w:t> notice, NMFS contacted</w:t>
      </w:r>
      <w:r w:rsidRPr="00BC5D9C">
        <w:rPr>
          <w:shd w:val="clear" w:color="auto" w:fill="FFFFFF"/>
        </w:rPr>
        <w:t xml:space="preserve"> stakeholders outside the agency to obtain their views on the availability of data, frequency of collection, the clarity of instructions and recordkeeping, disclosure, or reporting format, and on the data elements to be recorded, disclosed, or reported. Co</w:t>
      </w:r>
      <w:r w:rsidRPr="00BC5D9C">
        <w:rPr>
          <w:shd w:val="clear" w:color="auto" w:fill="FFFFFF"/>
        </w:rPr>
        <w:t>mments were received from two FFP holders and one EFP holder. The comments and NMFS’s responses to those comments are provided below:</w:t>
      </w:r>
    </w:p>
    <w:p w:rsidR="00495DCA" w:rsidP="00060958" w14:paraId="7B24D971" w14:textId="7FC2BCEE">
      <w:pPr>
        <w:widowControl/>
      </w:pPr>
    </w:p>
    <w:p w:rsidR="00876A24" w:rsidP="00876A24" w14:paraId="2FFB8F32" w14:textId="10362B88">
      <w:pPr>
        <w:widowControl/>
      </w:pPr>
      <w:r w:rsidRPr="00104395">
        <w:rPr>
          <w:i/>
        </w:rPr>
        <w:t>Comment 1</w:t>
      </w:r>
      <w:r>
        <w:t xml:space="preserve">: One FFP holder stated they had no comments on this information collection. </w:t>
      </w:r>
    </w:p>
    <w:p w:rsidR="00104395" w:rsidP="00876A24" w14:paraId="0930CB7D" w14:textId="1B9C4196">
      <w:pPr>
        <w:widowControl/>
      </w:pPr>
    </w:p>
    <w:p w:rsidR="00104395" w:rsidP="00876A24" w14:paraId="548CE198" w14:textId="249755A9">
      <w:pPr>
        <w:widowControl/>
      </w:pPr>
      <w:r w:rsidRPr="00104395">
        <w:rPr>
          <w:i/>
        </w:rPr>
        <w:t>Response</w:t>
      </w:r>
      <w:r>
        <w:t>: NMFS acknowledges the c</w:t>
      </w:r>
      <w:r>
        <w:t>omment.</w:t>
      </w:r>
    </w:p>
    <w:p w:rsidR="00876A24" w:rsidP="00876A24" w14:paraId="54ECD1DF" w14:textId="77777777">
      <w:pPr>
        <w:widowControl/>
      </w:pPr>
    </w:p>
    <w:p w:rsidR="00876A24" w:rsidP="00876A24" w14:paraId="0EB7FA91" w14:textId="6D9232E7">
      <w:pPr>
        <w:widowControl/>
      </w:pPr>
      <w:r w:rsidRPr="00104395">
        <w:rPr>
          <w:i/>
        </w:rPr>
        <w:t>Comment 2</w:t>
      </w:r>
      <w:r>
        <w:t xml:space="preserve">: </w:t>
      </w:r>
      <w:r w:rsidR="00D352C4">
        <w:t>The</w:t>
      </w:r>
      <w:r>
        <w:t xml:space="preserve"> second FFP holder </w:t>
      </w:r>
      <w:r w:rsidR="00D352C4">
        <w:t>stated</w:t>
      </w:r>
      <w:r>
        <w:t xml:space="preserve"> the FFP is a </w:t>
      </w:r>
      <w:r w:rsidR="00D352C4">
        <w:t>“</w:t>
      </w:r>
      <w:r>
        <w:t>very basic renewal if no changes</w:t>
      </w:r>
      <w:r w:rsidR="00D352C4">
        <w:t>”</w:t>
      </w:r>
      <w:r>
        <w:t xml:space="preserve"> </w:t>
      </w:r>
      <w:r w:rsidR="00D352C4">
        <w:t>and takes 5 minutes</w:t>
      </w:r>
      <w:r w:rsidR="00FB69E9">
        <w:t>,</w:t>
      </w:r>
      <w:r w:rsidR="00D352C4">
        <w:t xml:space="preserve"> and that </w:t>
      </w:r>
      <w:r>
        <w:t xml:space="preserve">the hourly wage rate for </w:t>
      </w:r>
      <w:r w:rsidR="00FB69E9">
        <w:t>the FFP</w:t>
      </w:r>
      <w:r>
        <w:t xml:space="preserve"> application is </w:t>
      </w:r>
      <w:r w:rsidR="00D352C4">
        <w:t>“</w:t>
      </w:r>
      <w:r>
        <w:t>probably closer to $35</w:t>
      </w:r>
      <w:r w:rsidR="00994C4A">
        <w:t>.</w:t>
      </w:r>
      <w:r w:rsidR="00D352C4">
        <w:t>”</w:t>
      </w:r>
      <w:r w:rsidR="00994C4A">
        <w:t xml:space="preserve"> </w:t>
      </w:r>
      <w:r>
        <w:t xml:space="preserve"> Th</w:t>
      </w:r>
      <w:r w:rsidR="00FB69E9">
        <w:t xml:space="preserve">is </w:t>
      </w:r>
      <w:r w:rsidR="00D352C4">
        <w:t>commenter</w:t>
      </w:r>
      <w:r>
        <w:t xml:space="preserve"> renew</w:t>
      </w:r>
      <w:r w:rsidR="00D352C4">
        <w:t>s</w:t>
      </w:r>
      <w:r>
        <w:t xml:space="preserve"> online and only print</w:t>
      </w:r>
      <w:r w:rsidR="00FB69E9">
        <w:t>s</w:t>
      </w:r>
      <w:r>
        <w:t xml:space="preserve"> the actua</w:t>
      </w:r>
      <w:r>
        <w:t>l permit</w:t>
      </w:r>
      <w:r w:rsidR="00FB69E9">
        <w:t>. They</w:t>
      </w:r>
      <w:r>
        <w:t xml:space="preserve"> </w:t>
      </w:r>
      <w:r w:rsidR="00FB69E9">
        <w:t xml:space="preserve">stated it costs </w:t>
      </w:r>
      <w:r>
        <w:t>50 cents</w:t>
      </w:r>
      <w:r w:rsidR="00FB69E9">
        <w:t xml:space="preserve"> to comply with the </w:t>
      </w:r>
      <w:r w:rsidRPr="00FB69E9" w:rsidR="00FB69E9">
        <w:t>permit application process</w:t>
      </w:r>
      <w:r>
        <w:t xml:space="preserve">. </w:t>
      </w:r>
      <w:r w:rsidR="008C7644">
        <w:t xml:space="preserve">This commenter also suggested </w:t>
      </w:r>
      <w:r w:rsidR="00FB69E9">
        <w:t>“</w:t>
      </w:r>
      <w:r w:rsidR="008C7644">
        <w:t>o</w:t>
      </w:r>
      <w:r w:rsidRPr="008C7644" w:rsidR="008C7644">
        <w:t>ne streamlined application that handled IFQ, skipper, Vessel, and a page if you needed to renew this would be great as would being able to go to one website and do all of the above. But some things are annual, some are paper only, etc.</w:t>
      </w:r>
      <w:r w:rsidR="00FB69E9">
        <w:t>”</w:t>
      </w:r>
    </w:p>
    <w:p w:rsidR="00876A24" w:rsidP="00876A24" w14:paraId="6A7FE836" w14:textId="4296F7BD">
      <w:pPr>
        <w:widowControl/>
      </w:pPr>
    </w:p>
    <w:p w:rsidR="00890AE0" w:rsidP="00876A24" w14:paraId="6B2764B3" w14:textId="41586D5D">
      <w:pPr>
        <w:widowControl/>
      </w:pPr>
      <w:r w:rsidRPr="00104395">
        <w:rPr>
          <w:i/>
        </w:rPr>
        <w:t>Response</w:t>
      </w:r>
      <w:r>
        <w:t xml:space="preserve">: </w:t>
      </w:r>
      <w:r w:rsidR="005A24A3">
        <w:t xml:space="preserve">At this time, no changes are being made </w:t>
      </w:r>
      <w:r>
        <w:t xml:space="preserve">to the time burden or the hourly wage rate for the FFP application. The commenter’s time to renew the </w:t>
      </w:r>
      <w:r w:rsidR="00F35D22">
        <w:t xml:space="preserve">FFP </w:t>
      </w:r>
      <w:r>
        <w:t>is below the current burden estimate of 21 minutes for the</w:t>
      </w:r>
      <w:r w:rsidR="00F35D22">
        <w:t xml:space="preserve"> FFP application. The </w:t>
      </w:r>
      <w:r w:rsidRPr="00F35D22" w:rsidR="00F35D22">
        <w:t xml:space="preserve">current estimate </w:t>
      </w:r>
      <w:r w:rsidR="00F35D22">
        <w:t xml:space="preserve">includes </w:t>
      </w:r>
      <w:r w:rsidRPr="00F35D22" w:rsidR="00F35D22">
        <w:t xml:space="preserve">time for </w:t>
      </w:r>
      <w:r w:rsidR="00A92476">
        <w:t>any</w:t>
      </w:r>
      <w:r w:rsidRPr="00F35D22" w:rsidR="00A92476">
        <w:t xml:space="preserve"> </w:t>
      </w:r>
      <w:r w:rsidR="002075D6">
        <w:t>use</w:t>
      </w:r>
      <w:r w:rsidRPr="00F35D22" w:rsidR="00F35D22">
        <w:t xml:space="preserve"> of this application</w:t>
      </w:r>
      <w:r w:rsidR="00F35D22">
        <w:t>—</w:t>
      </w:r>
      <w:r w:rsidRPr="00F35D22" w:rsidR="00F35D22">
        <w:t>request a new</w:t>
      </w:r>
      <w:r w:rsidR="00F35D22">
        <w:t xml:space="preserve"> FFP, amend an </w:t>
      </w:r>
      <w:r w:rsidRPr="00F35D22" w:rsidR="00F35D22">
        <w:t xml:space="preserve">FFP, </w:t>
      </w:r>
      <w:r w:rsidR="00F35D22">
        <w:t xml:space="preserve">renew an FFP, or </w:t>
      </w:r>
      <w:r w:rsidRPr="00F35D22" w:rsidR="00F35D22">
        <w:t xml:space="preserve">surrender an FFP. </w:t>
      </w:r>
      <w:r w:rsidR="00522B6F">
        <w:t xml:space="preserve">NMFS attempts to minimize the burden of the FFP application </w:t>
      </w:r>
      <w:r w:rsidR="008B0D23">
        <w:t xml:space="preserve">by </w:t>
      </w:r>
      <w:r w:rsidRPr="00282FF3" w:rsidR="008B0D23">
        <w:t xml:space="preserve">providing </w:t>
      </w:r>
      <w:r w:rsidR="008B0D23">
        <w:t xml:space="preserve">the option to renew an FFP online and </w:t>
      </w:r>
      <w:r w:rsidR="00522B6F">
        <w:t xml:space="preserve">by </w:t>
      </w:r>
      <w:r w:rsidRPr="00282FF3" w:rsidR="00522B6F">
        <w:t xml:space="preserve">collecting only information necessary </w:t>
      </w:r>
      <w:r w:rsidR="008B0D23">
        <w:t xml:space="preserve">for permit issuance necessary </w:t>
      </w:r>
      <w:r w:rsidRPr="00282FF3" w:rsidR="00522B6F">
        <w:t>to manage the Federal fisheries</w:t>
      </w:r>
      <w:r w:rsidR="00522B6F">
        <w:t>.</w:t>
      </w:r>
      <w:r w:rsidR="005A24A3">
        <w:t xml:space="preserve"> T</w:t>
      </w:r>
      <w:r w:rsidR="006A5510">
        <w:t xml:space="preserve">he </w:t>
      </w:r>
      <w:r w:rsidRPr="00A92476" w:rsidR="00A92476">
        <w:t>U. S. Burea</w:t>
      </w:r>
      <w:r w:rsidR="00A92476">
        <w:t xml:space="preserve">u of Labor Statistics </w:t>
      </w:r>
      <w:r w:rsidRPr="00A92476" w:rsidR="00A92476">
        <w:t>mean hourly wage for Alaska for Occupation Code 45-0000 (Farming, Fishing, and Forestry Occupations</w:t>
      </w:r>
      <w:r w:rsidR="00A92476">
        <w:t>)</w:t>
      </w:r>
      <w:r w:rsidRPr="00A92476" w:rsidR="00A92476">
        <w:t xml:space="preserve"> </w:t>
      </w:r>
      <w:r w:rsidR="005A24A3">
        <w:t xml:space="preserve">will continue to be used </w:t>
      </w:r>
      <w:r w:rsidR="006A5510">
        <w:t xml:space="preserve">for </w:t>
      </w:r>
      <w:r w:rsidR="00A14CB3">
        <w:t>the FFP</w:t>
      </w:r>
      <w:r w:rsidR="006A5510">
        <w:t xml:space="preserve"> a</w:t>
      </w:r>
      <w:r w:rsidR="00A14CB3">
        <w:t xml:space="preserve">pplication because </w:t>
      </w:r>
      <w:r w:rsidR="002075D6">
        <w:t xml:space="preserve">this rate </w:t>
      </w:r>
      <w:r w:rsidR="00A14CB3">
        <w:t xml:space="preserve">is used </w:t>
      </w:r>
      <w:r w:rsidR="002075D6">
        <w:t xml:space="preserve">for </w:t>
      </w:r>
      <w:r w:rsidR="00A92476">
        <w:t>t</w:t>
      </w:r>
      <w:r w:rsidR="00A14CB3">
        <w:t>his respondent type</w:t>
      </w:r>
      <w:r w:rsidR="00A92476">
        <w:t xml:space="preserve"> in other NMFS Alaska Region information collection</w:t>
      </w:r>
      <w:r w:rsidR="002075D6">
        <w:t>s</w:t>
      </w:r>
      <w:r w:rsidR="00A92476">
        <w:t xml:space="preserve">. </w:t>
      </w:r>
      <w:r w:rsidR="002075D6">
        <w:t>However,</w:t>
      </w:r>
      <w:r w:rsidR="00A92476">
        <w:t xml:space="preserve"> if</w:t>
      </w:r>
      <w:r w:rsidR="002075D6">
        <w:t xml:space="preserve"> </w:t>
      </w:r>
      <w:r w:rsidR="00A92476">
        <w:t xml:space="preserve">comments </w:t>
      </w:r>
      <w:r w:rsidR="002075D6">
        <w:t xml:space="preserve">are </w:t>
      </w:r>
      <w:r w:rsidR="00A92476">
        <w:t>received</w:t>
      </w:r>
      <w:r w:rsidR="002075D6">
        <w:t xml:space="preserve"> for other </w:t>
      </w:r>
      <w:r w:rsidR="00634DAD">
        <w:t xml:space="preserve">NMFS Alaska Region </w:t>
      </w:r>
      <w:r w:rsidR="002075D6">
        <w:t>information collections that indicate the rate</w:t>
      </w:r>
      <w:r w:rsidR="00A92476">
        <w:t xml:space="preserve"> for this respondent type </w:t>
      </w:r>
      <w:r w:rsidR="002075D6">
        <w:t>should</w:t>
      </w:r>
      <w:r w:rsidR="00A92476">
        <w:t xml:space="preserve"> be revised</w:t>
      </w:r>
      <w:r w:rsidR="002075D6">
        <w:t>, this rate will be updated in a future supporting statement</w:t>
      </w:r>
      <w:r w:rsidR="00A92476">
        <w:t xml:space="preserve">. </w:t>
      </w:r>
      <w:r w:rsidR="006A5510">
        <w:t xml:space="preserve"> </w:t>
      </w:r>
    </w:p>
    <w:p w:rsidR="00890AE0" w:rsidP="00876A24" w14:paraId="317A3071" w14:textId="77777777">
      <w:pPr>
        <w:widowControl/>
      </w:pPr>
    </w:p>
    <w:p w:rsidR="00282FF3" w:rsidP="00876A24" w14:paraId="75A4D67E" w14:textId="080BB8A2">
      <w:pPr>
        <w:widowControl/>
      </w:pPr>
      <w:r w:rsidRPr="009C4707">
        <w:t xml:space="preserve">NMFS </w:t>
      </w:r>
      <w:r>
        <w:t>A</w:t>
      </w:r>
      <w:r w:rsidR="008B0D23">
        <w:t>laska Region</w:t>
      </w:r>
      <w:r>
        <w:t xml:space="preserve"> </w:t>
      </w:r>
      <w:r w:rsidR="008B0D23">
        <w:t xml:space="preserve">is working toward fully electronic submission of all of its application forms. We are </w:t>
      </w:r>
      <w:r w:rsidRPr="009C4707">
        <w:t xml:space="preserve">currently developing an online system that will allow </w:t>
      </w:r>
      <w:r w:rsidRPr="008B0D23" w:rsidR="008B0D23">
        <w:t>electronic submission of applications</w:t>
      </w:r>
      <w:r w:rsidR="00286B95">
        <w:t>. This system will streamline the application process</w:t>
      </w:r>
      <w:r w:rsidR="008B0D23">
        <w:t xml:space="preserve"> </w:t>
      </w:r>
      <w:r w:rsidR="00286B95">
        <w:t>as well as</w:t>
      </w:r>
      <w:r w:rsidR="008B0D23">
        <w:t xml:space="preserve"> provide better customer support. </w:t>
      </w:r>
      <w:r w:rsidRPr="009C4707">
        <w:t xml:space="preserve">One of the </w:t>
      </w:r>
      <w:r w:rsidRPr="009C4707">
        <w:t xml:space="preserve">goals of this new system is to provide </w:t>
      </w:r>
      <w:r>
        <w:t>more electronic process</w:t>
      </w:r>
      <w:r w:rsidR="008B0D23">
        <w:t>es</w:t>
      </w:r>
      <w:r w:rsidRPr="009C4707">
        <w:t xml:space="preserve"> to facilitate faster service and secure data transmission.</w:t>
      </w:r>
      <w:r>
        <w:t xml:space="preserve"> </w:t>
      </w:r>
    </w:p>
    <w:p w:rsidR="00104395" w:rsidP="00876A24" w14:paraId="4CF97FA5" w14:textId="77777777">
      <w:pPr>
        <w:widowControl/>
      </w:pPr>
    </w:p>
    <w:p w:rsidR="00801CB9" w:rsidP="00060958" w14:paraId="318A54FB" w14:textId="4772AA2B">
      <w:pPr>
        <w:widowControl/>
      </w:pPr>
      <w:r w:rsidRPr="00104395">
        <w:rPr>
          <w:i/>
        </w:rPr>
        <w:t>Comment 3</w:t>
      </w:r>
      <w:r>
        <w:t xml:space="preserve">: </w:t>
      </w:r>
      <w:r w:rsidRPr="00801CB9">
        <w:t>I think they are reasonab</w:t>
      </w:r>
      <w:r w:rsidR="008832E1">
        <w:t xml:space="preserve">le for a “fairly general” EFP. </w:t>
      </w:r>
      <w:r w:rsidRPr="00801CB9">
        <w:t>At times in the North Pacific the expectation set by</w:t>
      </w:r>
      <w:r w:rsidRPr="00801CB9">
        <w:t xml:space="preserve"> the SSC</w:t>
      </w:r>
      <w:r>
        <w:rPr>
          <w:rStyle w:val="FootnoteReference"/>
        </w:rPr>
        <w:footnoteReference w:id="3"/>
      </w:r>
      <w:r w:rsidRPr="00801CB9">
        <w:t xml:space="preserve"> for EFPs applications can be that the applicant include a statistical power analysis (thought is that it is needed to demonstrate that the proposed amount of test fishing will generate statistically valid estimates of, for example, differences in</w:t>
      </w:r>
      <w:r w:rsidRPr="00801CB9">
        <w:t xml:space="preserve"> catch rates with and without </w:t>
      </w:r>
      <w:r>
        <w:t xml:space="preserve">the bycatch reduction device). </w:t>
      </w:r>
      <w:r w:rsidRPr="00801CB9">
        <w:t>This has been the case with several EFPs I have been involved with. When this occurs, we have engaged the expertise of statisticians who have experience with experimen</w:t>
      </w:r>
      <w:r>
        <w:t>tal design and power analyse</w:t>
      </w:r>
      <w:r>
        <w:t xml:space="preserve">s. </w:t>
      </w:r>
      <w:r w:rsidRPr="00801CB9">
        <w:t>There aren’t a ton of these applied statisticians who have experience developing experimental designs and hypothesis tests for real world fishery performance situat</w:t>
      </w:r>
      <w:r>
        <w:t xml:space="preserve">ions so this can be expensive. </w:t>
      </w:r>
      <w:r w:rsidRPr="00801CB9">
        <w:t>Typically it’s like $300 to $500 per hour and 10</w:t>
      </w:r>
      <w:r>
        <w:t>–</w:t>
      </w:r>
      <w:r w:rsidRPr="00801CB9">
        <w:t xml:space="preserve">20 hours </w:t>
      </w:r>
      <w:r w:rsidRPr="00801CB9">
        <w:t>of their time to work through and write up a power</w:t>
      </w:r>
      <w:r>
        <w:t xml:space="preserve"> analysis, and it can be more. </w:t>
      </w:r>
      <w:r w:rsidRPr="00801CB9">
        <w:t>Just wanted you to know that in these situations, your estimates of costs are consid</w:t>
      </w:r>
      <w:r>
        <w:t xml:space="preserve">erably under the actual costs. </w:t>
      </w:r>
      <w:r w:rsidRPr="00801CB9">
        <w:t>Thanks for your interest in EFP costs and process from peopl</w:t>
      </w:r>
      <w:r w:rsidRPr="00801CB9">
        <w:t>e who have used EFPs for fishing gear experiments.</w:t>
      </w:r>
    </w:p>
    <w:p w:rsidR="00801CB9" w:rsidP="00060958" w14:paraId="3BAD3A0C" w14:textId="77777777">
      <w:pPr>
        <w:widowControl/>
      </w:pPr>
    </w:p>
    <w:p w:rsidR="00495DCA" w:rsidRPr="00253B90" w:rsidP="00060958" w14:paraId="3291E177" w14:textId="6BC7A7ED">
      <w:pPr>
        <w:widowControl/>
      </w:pPr>
      <w:r w:rsidRPr="009B2EEE">
        <w:rPr>
          <w:i/>
        </w:rPr>
        <w:t>Response</w:t>
      </w:r>
      <w:r>
        <w:t xml:space="preserve">: </w:t>
      </w:r>
      <w:r w:rsidR="009B2EEE">
        <w:t xml:space="preserve"> Based on this comment, the response to question #13 has been updated to include the cost of hiring a statistician if a statistical power analysis is needed for the EFP application. </w:t>
      </w:r>
    </w:p>
    <w:p w:rsidR="00996A24" w:rsidRPr="00996A24" w:rsidP="00060958" w14:paraId="20B3686B" w14:textId="77777777">
      <w:pPr>
        <w:widowControl/>
        <w:pBdr>
          <w:top w:val="nil"/>
          <w:left w:val="nil"/>
          <w:bottom w:val="nil"/>
          <w:right w:val="nil"/>
          <w:between w:val="nil"/>
        </w:pBdr>
      </w:pPr>
    </w:p>
    <w:p w:rsidR="00774BBC" w:rsidRPr="00996A24" w:rsidP="00060958" w14:paraId="1DB99D4D" w14:textId="77777777">
      <w:pPr>
        <w:widowControl/>
        <w:numPr>
          <w:ilvl w:val="0"/>
          <w:numId w:val="3"/>
        </w:numPr>
        <w:pBdr>
          <w:top w:val="nil"/>
          <w:left w:val="nil"/>
          <w:bottom w:val="nil"/>
          <w:right w:val="nil"/>
          <w:between w:val="nil"/>
        </w:pBdr>
        <w:tabs>
          <w:tab w:val="left" w:pos="360"/>
        </w:tabs>
        <w:ind w:left="0" w:firstLine="0"/>
        <w:rPr>
          <w:b/>
        </w:rPr>
      </w:pPr>
      <w:r w:rsidRPr="00996A24">
        <w:rPr>
          <w:b/>
        </w:rPr>
        <w:t>Explain an</w:t>
      </w:r>
      <w:r w:rsidRPr="00996A24">
        <w:rPr>
          <w:b/>
        </w:rPr>
        <w:t>y decision to provide any payment or gift to respondents, other than remuneration of contractors or grantees.</w:t>
      </w:r>
    </w:p>
    <w:p w:rsidR="00086961" w:rsidP="00060958" w14:paraId="62C33146" w14:textId="77777777">
      <w:pPr>
        <w:widowControl/>
        <w:pBdr>
          <w:top w:val="nil"/>
          <w:left w:val="nil"/>
          <w:bottom w:val="nil"/>
          <w:right w:val="nil"/>
          <w:between w:val="nil"/>
        </w:pBdr>
      </w:pPr>
    </w:p>
    <w:p w:rsidR="00996A24" w:rsidRPr="00996A24" w:rsidP="00060958" w14:paraId="3FAD028A" w14:textId="23CBF6AE">
      <w:pPr>
        <w:widowControl/>
        <w:pBdr>
          <w:top w:val="nil"/>
          <w:left w:val="nil"/>
          <w:bottom w:val="nil"/>
          <w:right w:val="nil"/>
          <w:between w:val="nil"/>
        </w:pBdr>
      </w:pPr>
      <w:r>
        <w:t>No payment or gift is provided to respondents.</w:t>
      </w:r>
    </w:p>
    <w:p w:rsidR="00996A24" w:rsidRPr="00996A24" w:rsidP="00060958" w14:paraId="6B472E6A" w14:textId="77777777">
      <w:pPr>
        <w:widowControl/>
        <w:pBdr>
          <w:top w:val="nil"/>
          <w:left w:val="nil"/>
          <w:bottom w:val="nil"/>
          <w:right w:val="nil"/>
          <w:between w:val="nil"/>
        </w:pBdr>
      </w:pPr>
    </w:p>
    <w:p w:rsidR="00774BBC" w:rsidRPr="00996A24" w:rsidP="00060958" w14:paraId="24CC80E3" w14:textId="77777777">
      <w:pPr>
        <w:widowControl/>
        <w:numPr>
          <w:ilvl w:val="0"/>
          <w:numId w:val="3"/>
        </w:numPr>
        <w:pBdr>
          <w:top w:val="nil"/>
          <w:left w:val="nil"/>
          <w:bottom w:val="nil"/>
          <w:right w:val="nil"/>
          <w:between w:val="nil"/>
        </w:pBdr>
        <w:tabs>
          <w:tab w:val="left" w:pos="360"/>
        </w:tabs>
        <w:ind w:left="0" w:firstLine="0"/>
        <w:rPr>
          <w:b/>
        </w:rPr>
      </w:pPr>
      <w:r w:rsidRPr="00996A24">
        <w:rPr>
          <w:b/>
        </w:rPr>
        <w:t>Describe any assurance of confidentiality provided to respondents and the basis for the assurance</w:t>
      </w:r>
      <w:r w:rsidRPr="00996A24">
        <w:rPr>
          <w:b/>
        </w:rPr>
        <w:t xml:space="preserve"> in statute, regulation, or agency policy. If the collection requires a systems of records notice (SORN) or privacy impact assessment (PIA), those should be cited and described here.</w:t>
      </w:r>
    </w:p>
    <w:p w:rsidR="00996A24" w:rsidRPr="00996A24" w:rsidP="00060958" w14:paraId="498C2869" w14:textId="77777777">
      <w:pPr>
        <w:widowControl/>
        <w:pBdr>
          <w:top w:val="nil"/>
          <w:left w:val="nil"/>
          <w:bottom w:val="nil"/>
          <w:right w:val="nil"/>
          <w:between w:val="nil"/>
        </w:pBdr>
      </w:pPr>
    </w:p>
    <w:p w:rsidR="003C31B6" w:rsidP="00060958" w14:paraId="08EBAD04" w14:textId="77777777">
      <w:pPr>
        <w:keepNext/>
        <w:widowControl/>
        <w:autoSpaceDE w:val="0"/>
        <w:autoSpaceDN w:val="0"/>
      </w:pPr>
      <w:r w:rsidRPr="003C31B6">
        <w:t xml:space="preserve">All data collected by the </w:t>
      </w:r>
      <w:r>
        <w:t>EFP</w:t>
      </w:r>
      <w:r w:rsidRPr="003C31B6">
        <w:t xml:space="preserve"> holder on the vessel named on the Vessel D</w:t>
      </w:r>
      <w:r w:rsidRPr="003C31B6">
        <w:t xml:space="preserve">esignation Sheet submitted to NMFS for fishing under </w:t>
      </w:r>
      <w:r>
        <w:t>the EFP</w:t>
      </w:r>
      <w:r w:rsidRPr="003C31B6">
        <w:t xml:space="preserve"> are disclosable to the public, except for haul-specific catch data and vessel-specific fishing locations and other proprietary business information not relevant to the studies, which are otherwis</w:t>
      </w:r>
      <w:r w:rsidRPr="003C31B6">
        <w:t>e treated consistent with confidentiality provisions under the Magnuson-Stevens Act. Data collected by</w:t>
      </w:r>
      <w:r>
        <w:t xml:space="preserve"> NMFS observers relevant to the</w:t>
      </w:r>
      <w:r w:rsidRPr="003C31B6">
        <w:t xml:space="preserve"> EFP are disclosable to the public; otherwise, observer data will be treated consistent with data confidentiality provision</w:t>
      </w:r>
      <w:r w:rsidRPr="003C31B6">
        <w:t>s under the Magnuson-Stevens Act.</w:t>
      </w:r>
      <w:r>
        <w:t xml:space="preserve"> </w:t>
      </w:r>
    </w:p>
    <w:p w:rsidR="003C31B6" w:rsidP="00060958" w14:paraId="719C74A8" w14:textId="77777777">
      <w:pPr>
        <w:keepNext/>
        <w:widowControl/>
        <w:autoSpaceDE w:val="0"/>
        <w:autoSpaceDN w:val="0"/>
      </w:pPr>
    </w:p>
    <w:p w:rsidR="001B0187" w:rsidRPr="001B0187" w:rsidP="00060958" w14:paraId="1C117900" w14:textId="30E23874">
      <w:pPr>
        <w:keepNext/>
        <w:widowControl/>
        <w:autoSpaceDE w:val="0"/>
        <w:autoSpaceDN w:val="0"/>
      </w:pPr>
      <w:r w:rsidRPr="001B0187">
        <w:t xml:space="preserve">All information collections by NMFS Alaska Region are protected under confidentiality provisions of section 402(b) of the Magnuson-Stevens Act as amended in 2006 (16 U.S.C. 1801, </w:t>
      </w:r>
      <w:r w:rsidRPr="001B0187">
        <w:rPr>
          <w:i/>
        </w:rPr>
        <w:t>et seq</w:t>
      </w:r>
      <w:r w:rsidRPr="001B0187">
        <w:t xml:space="preserve">.) and under </w:t>
      </w:r>
      <w:hyperlink r:id="rId20">
        <w:r w:rsidRPr="001B0187">
          <w:t>NOAA</w:t>
        </w:r>
      </w:hyperlink>
      <w:hyperlink r:id="rId20">
        <w:r w:rsidRPr="001B0187">
          <w:t xml:space="preserve"> Administrative Order 216-100,</w:t>
        </w:r>
      </w:hyperlink>
      <w:r w:rsidRPr="001B0187">
        <w:t xml:space="preserve"> which sets forth procedures to protect confidentiality of fishery statistics.</w:t>
      </w:r>
    </w:p>
    <w:p w:rsidR="001B0187" w:rsidRPr="001B0187" w:rsidP="00060958" w14:paraId="655BBAE8" w14:textId="77777777">
      <w:pPr>
        <w:widowControl/>
        <w:autoSpaceDE w:val="0"/>
        <w:autoSpaceDN w:val="0"/>
        <w:rPr>
          <w:sz w:val="23"/>
          <w:szCs w:val="23"/>
        </w:rPr>
      </w:pPr>
    </w:p>
    <w:p w:rsidR="001B0187" w:rsidRPr="001B0187" w:rsidP="00060958" w14:paraId="0B1E422E" w14:textId="63EFA575">
      <w:pPr>
        <w:widowControl/>
      </w:pPr>
      <w:r>
        <w:t>The System of Records Notice (SORN</w:t>
      </w:r>
      <w:r w:rsidRPr="001B0187">
        <w:t xml:space="preserve">) that cover this information collection is </w:t>
      </w:r>
      <w:hyperlink r:id="rId21" w:history="1">
        <w:r w:rsidRPr="001B0187">
          <w:rPr>
            <w:color w:val="0000FF"/>
            <w:u w:val="single"/>
          </w:rPr>
          <w:t xml:space="preserve">COMMERCE/NOAA-19, </w:t>
        </w:r>
        <w:r w:rsidRPr="001B0187">
          <w:rPr>
            <w:color w:val="0000FF"/>
            <w:u w:val="single"/>
          </w:rPr>
          <w:t>Permits and Registrations for United States Federally Regulated Fisheries</w:t>
        </w:r>
      </w:hyperlink>
      <w:r w:rsidRPr="001B0187">
        <w:t xml:space="preserve">. An amended Privacy Act SORN for COMMERCE/NOAA-19 was published in the </w:t>
      </w:r>
      <w:r w:rsidRPr="001B0187">
        <w:rPr>
          <w:i/>
        </w:rPr>
        <w:t>Federal Register</w:t>
      </w:r>
      <w:r w:rsidRPr="001B0187">
        <w:t xml:space="preserve"> on August 7, 2015 (80 FR 47457), and became effective September 15, 2015 (80 FR 55327).</w:t>
      </w:r>
    </w:p>
    <w:p w:rsidR="001B0187" w:rsidRPr="001B0187" w:rsidP="00060958" w14:paraId="22DDA7C5" w14:textId="77777777">
      <w:pPr>
        <w:widowControl/>
      </w:pPr>
    </w:p>
    <w:p w:rsidR="001B0187" w:rsidRPr="001B0187" w:rsidP="00060958" w14:paraId="2C79E7DD" w14:textId="77777777">
      <w:pPr>
        <w:widowControl/>
        <w:autoSpaceDE w:val="0"/>
        <w:autoSpaceDN w:val="0"/>
        <w:rPr>
          <w:rFonts w:eastAsiaTheme="minorHAnsi"/>
        </w:rPr>
      </w:pPr>
      <w:r w:rsidRPr="001B0187">
        <w:rPr>
          <w:rFonts w:eastAsiaTheme="minorHAnsi"/>
        </w:rPr>
        <w:t>The P</w:t>
      </w:r>
      <w:r w:rsidRPr="001B0187">
        <w:rPr>
          <w:rFonts w:eastAsiaTheme="minorHAnsi"/>
        </w:rPr>
        <w:t xml:space="preserve">rivacy Impact Assessment that covers this information collection is </w:t>
      </w:r>
      <w:hyperlink r:id="rId22" w:history="1">
        <w:r w:rsidRPr="001B0187">
          <w:rPr>
            <w:rFonts w:eastAsiaTheme="minorHAnsi"/>
            <w:color w:val="0000FF" w:themeColor="hyperlink"/>
            <w:u w:val="single"/>
          </w:rPr>
          <w:t>NOAA NMFS Alaska Region Local Area Network (NOAA4700)</w:t>
        </w:r>
      </w:hyperlink>
      <w:r w:rsidRPr="001B0187">
        <w:rPr>
          <w:rFonts w:eastAsiaTheme="minorHAnsi"/>
        </w:rPr>
        <w:t>.</w:t>
      </w:r>
    </w:p>
    <w:p w:rsidR="00996A24" w:rsidRPr="00996A24" w:rsidP="00060958" w14:paraId="20F73091" w14:textId="77777777">
      <w:pPr>
        <w:widowControl/>
        <w:pBdr>
          <w:top w:val="nil"/>
          <w:left w:val="nil"/>
          <w:bottom w:val="nil"/>
          <w:right w:val="nil"/>
          <w:between w:val="nil"/>
        </w:pBdr>
      </w:pPr>
    </w:p>
    <w:p w:rsidR="00774BBC" w:rsidRPr="00996A24" w:rsidP="00060958" w14:paraId="4838B89E" w14:textId="77777777">
      <w:pPr>
        <w:widowControl/>
        <w:numPr>
          <w:ilvl w:val="0"/>
          <w:numId w:val="3"/>
        </w:numPr>
        <w:pBdr>
          <w:top w:val="nil"/>
          <w:left w:val="nil"/>
          <w:bottom w:val="nil"/>
          <w:right w:val="nil"/>
          <w:between w:val="nil"/>
        </w:pBdr>
        <w:tabs>
          <w:tab w:val="left" w:pos="360"/>
        </w:tabs>
        <w:ind w:left="0" w:firstLine="0"/>
        <w:rPr>
          <w:b/>
        </w:rPr>
      </w:pPr>
      <w:r w:rsidRPr="00996A24">
        <w:rPr>
          <w:b/>
        </w:rPr>
        <w:t>Provide additional justification fo</w:t>
      </w:r>
      <w:r w:rsidRPr="00996A24">
        <w:rPr>
          <w:b/>
        </w:rPr>
        <w:t>r any questions of a sensitive nature, such as sexual behavior or attitudes, religious beliefs, and other matters that are commonly considered private. This justification should include the reasons why the agency considers the questions necessary, the spec</w:t>
      </w:r>
      <w:r w:rsidRPr="00996A24">
        <w:rPr>
          <w:b/>
        </w:rPr>
        <w:t>ific uses to be made of the information, the explanation to be given to persons from whom the information is requested, and any steps to be taken to obtain their consent.</w:t>
      </w:r>
    </w:p>
    <w:p w:rsidR="00660756" w:rsidRPr="00660756" w:rsidP="00060958" w14:paraId="7FEC89DB" w14:textId="40941443">
      <w:pPr>
        <w:widowControl/>
      </w:pPr>
    </w:p>
    <w:p w:rsidR="00660756" w:rsidRPr="00660756" w:rsidP="00060958" w14:paraId="0BDA31C6" w14:textId="532236DD">
      <w:pPr>
        <w:widowControl/>
      </w:pPr>
      <w:r w:rsidRPr="001B0187">
        <w:t>This information collection does not involve information of a sensitive nature.</w:t>
      </w:r>
    </w:p>
    <w:p w:rsidR="00660756" w:rsidRPr="00660756" w:rsidP="00060958" w14:paraId="50C54D7C" w14:textId="77777777">
      <w:pPr>
        <w:widowControl/>
      </w:pPr>
    </w:p>
    <w:p w:rsidR="00774BBC" w:rsidP="00060958" w14:paraId="5ED304B8"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Pro</w:t>
      </w:r>
      <w:r>
        <w:rPr>
          <w:b/>
          <w:color w:val="000000"/>
        </w:rPr>
        <w:t>vide estimates of the hour burden of the collection of information.</w:t>
      </w:r>
    </w:p>
    <w:p w:rsidR="00996A24" w:rsidP="00060958" w14:paraId="5409074E" w14:textId="374D2CDE">
      <w:pPr>
        <w:widowControl/>
        <w:ind w:left="43" w:hanging="43"/>
      </w:pPr>
    </w:p>
    <w:p w:rsidR="00472875" w:rsidP="00060958" w14:paraId="149F6096" w14:textId="2DC42726">
      <w:pPr>
        <w:widowControl/>
      </w:pPr>
      <w:r>
        <w:t>The</w:t>
      </w:r>
      <w:r w:rsidRPr="004C3486">
        <w:t xml:space="preserve"> respondents, responses</w:t>
      </w:r>
      <w:r>
        <w:t>, burden, and labor costs for the A</w:t>
      </w:r>
      <w:r w:rsidRPr="004C3486">
        <w:t>pplication</w:t>
      </w:r>
      <w:r>
        <w:t xml:space="preserve"> for Federal Fisheries Permit </w:t>
      </w:r>
      <w:r w:rsidR="00670383">
        <w:t>are</w:t>
      </w:r>
      <w:r>
        <w:t xml:space="preserve"> annualized because this application</w:t>
      </w:r>
      <w:r w:rsidRPr="004C3486">
        <w:t xml:space="preserve"> is renewed on a 3</w:t>
      </w:r>
      <w:r>
        <w:t>-</w:t>
      </w:r>
      <w:r w:rsidRPr="004C3486">
        <w:t xml:space="preserve">year cycle. </w:t>
      </w:r>
      <w:r>
        <w:t>The hour</w:t>
      </w:r>
      <w:r w:rsidR="00F91198">
        <w:t>ly</w:t>
      </w:r>
      <w:r>
        <w:t xml:space="preserve"> wage </w:t>
      </w:r>
      <w:r>
        <w:t xml:space="preserve">rate </w:t>
      </w:r>
      <w:r w:rsidR="00670383">
        <w:t>used for the FFP and FPP applications i</w:t>
      </w:r>
      <w:r>
        <w:t>s the</w:t>
      </w:r>
      <w:r w:rsidRPr="00E97D42">
        <w:t xml:space="preserve"> U. S. Bureau of Labor Statistics</w:t>
      </w:r>
      <w:r>
        <w:t xml:space="preserve"> (BLS) mean </w:t>
      </w:r>
      <w:r w:rsidRPr="004C13EA">
        <w:t>hour</w:t>
      </w:r>
      <w:r>
        <w:t>ly</w:t>
      </w:r>
      <w:r w:rsidRPr="004C13EA">
        <w:t xml:space="preserve"> wage </w:t>
      </w:r>
      <w:r>
        <w:t xml:space="preserve">for Alaska </w:t>
      </w:r>
      <w:r w:rsidRPr="004C13EA">
        <w:t xml:space="preserve">for </w:t>
      </w:r>
      <w:r>
        <w:t xml:space="preserve">Occupation Code </w:t>
      </w:r>
      <w:r w:rsidRPr="003A2667">
        <w:t>45-0000 (Farming, F</w:t>
      </w:r>
      <w:r>
        <w:t>ishing, and Forestry Occupations</w:t>
      </w:r>
      <w:r w:rsidR="00474A41">
        <w:t xml:space="preserve">; </w:t>
      </w:r>
      <w:hyperlink r:id="rId23" w:history="1">
        <w:r w:rsidRPr="00F61796" w:rsidR="00474A41">
          <w:rPr>
            <w:rStyle w:val="Hyperlink"/>
          </w:rPr>
          <w:t>https://www.bls.gov/oes/current/oes_ak.htm</w:t>
        </w:r>
      </w:hyperlink>
      <w:r>
        <w:t>).</w:t>
      </w:r>
      <w:r w:rsidRPr="00F61796">
        <w:t xml:space="preserve"> </w:t>
      </w:r>
      <w:r w:rsidRPr="00B0772D">
        <w:t xml:space="preserve">The rate </w:t>
      </w:r>
      <w:r>
        <w:t>has</w:t>
      </w:r>
      <w:r w:rsidRPr="00B0772D">
        <w:t xml:space="preserve"> been updated to use the most current BLS rate available (May 2022)</w:t>
      </w:r>
      <w:r>
        <w:t>.</w:t>
      </w:r>
      <w:r w:rsidRPr="00472875">
        <w:t xml:space="preserve"> The hourly wage rate for </w:t>
      </w:r>
      <w:r w:rsidR="00474A41">
        <w:t>the EFP Industry Representative</w:t>
      </w:r>
      <w:r w:rsidRPr="00472875">
        <w:t xml:space="preserve"> is based on comments </w:t>
      </w:r>
      <w:r w:rsidR="00474A41">
        <w:t xml:space="preserve">that were previously </w:t>
      </w:r>
      <w:r w:rsidRPr="00472875">
        <w:t>received</w:t>
      </w:r>
      <w:r>
        <w:t>.</w:t>
      </w:r>
    </w:p>
    <w:p w:rsidR="00996A24" w:rsidRPr="00996A24" w:rsidP="00996A24" w14:paraId="796A1EEA" w14:textId="77777777">
      <w:pPr>
        <w:ind w:left="43" w:hanging="43"/>
      </w:pPr>
    </w:p>
    <w:tbl>
      <w:tblPr>
        <w:tblStyle w:val="a0"/>
        <w:tblW w:w="10736" w:type="dxa"/>
        <w:jc w:val="center"/>
        <w:tblLayout w:type="fixed"/>
        <w:tblLook w:val="0400"/>
      </w:tblPr>
      <w:tblGrid>
        <w:gridCol w:w="1970"/>
        <w:gridCol w:w="1440"/>
        <w:gridCol w:w="1170"/>
        <w:gridCol w:w="1080"/>
        <w:gridCol w:w="990"/>
        <w:gridCol w:w="900"/>
        <w:gridCol w:w="990"/>
        <w:gridCol w:w="1080"/>
        <w:gridCol w:w="1116"/>
      </w:tblGrid>
      <w:tr w14:paraId="4C2050C2" w14:textId="53B0AD54" w:rsidTr="00F91198">
        <w:tblPrEx>
          <w:tblW w:w="10736" w:type="dxa"/>
          <w:jc w:val="center"/>
          <w:tblLayout w:type="fixed"/>
          <w:tblLook w:val="0400"/>
        </w:tblPrEx>
        <w:trPr>
          <w:trHeight w:val="1105"/>
          <w:jc w:val="center"/>
        </w:trPr>
        <w:tc>
          <w:tcPr>
            <w:tcW w:w="197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EC6E89" w:rsidRPr="005E296F" w:rsidP="00EC6E89" w14:paraId="7730E034" w14:textId="77777777">
            <w:pPr>
              <w:widowControl/>
              <w:jc w:val="center"/>
              <w:rPr>
                <w:rFonts w:eastAsia="Calibri" w:asciiTheme="minorHAnsi" w:hAnsiTheme="minorHAnsi" w:cstheme="minorHAnsi"/>
                <w:b/>
                <w:color w:val="000000"/>
                <w:sz w:val="16"/>
                <w:szCs w:val="16"/>
              </w:rPr>
            </w:pPr>
            <w:r w:rsidRPr="005E296F">
              <w:rPr>
                <w:rFonts w:eastAsia="Calibri" w:asciiTheme="minorHAnsi" w:hAnsiTheme="minorHAnsi" w:cstheme="minorHAnsi"/>
                <w:b/>
                <w:color w:val="000000"/>
                <w:sz w:val="16"/>
                <w:szCs w:val="16"/>
              </w:rPr>
              <w:t xml:space="preserve">Information </w:t>
            </w:r>
            <w:r w:rsidRPr="005E296F">
              <w:rPr>
                <w:rFonts w:eastAsia="Calibri" w:asciiTheme="minorHAnsi" w:hAnsiTheme="minorHAnsi" w:cstheme="minorHAnsi"/>
                <w:b/>
                <w:color w:val="000000"/>
                <w:sz w:val="16"/>
                <w:szCs w:val="16"/>
              </w:rPr>
              <w:t>Collection</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EC6E89" w:rsidRPr="005E296F" w:rsidP="00EC6E89" w14:paraId="29162BFE" w14:textId="77777777">
            <w:pPr>
              <w:widowControl/>
              <w:jc w:val="center"/>
              <w:rPr>
                <w:rFonts w:eastAsia="Calibri" w:asciiTheme="minorHAnsi" w:hAnsiTheme="minorHAnsi" w:cstheme="minorHAnsi"/>
                <w:b/>
                <w:color w:val="000000"/>
                <w:sz w:val="16"/>
                <w:szCs w:val="16"/>
              </w:rPr>
            </w:pPr>
            <w:r w:rsidRPr="005E296F">
              <w:rPr>
                <w:rFonts w:eastAsia="Calibri" w:asciiTheme="minorHAnsi" w:hAnsiTheme="minorHAnsi" w:cstheme="minorHAnsi"/>
                <w:b/>
                <w:color w:val="000000"/>
                <w:sz w:val="16"/>
                <w:szCs w:val="16"/>
              </w:rPr>
              <w:t>Type of Respondent (e.g., Occupational Title)</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EC6E89" w:rsidRPr="005E296F" w:rsidP="00EC6E89" w14:paraId="52A287EA" w14:textId="77777777">
            <w:pPr>
              <w:widowControl/>
              <w:jc w:val="center"/>
              <w:rPr>
                <w:rFonts w:eastAsia="Calibri" w:asciiTheme="minorHAnsi" w:hAnsiTheme="minorHAnsi" w:cstheme="minorHAnsi"/>
                <w:b/>
                <w:color w:val="000000"/>
                <w:sz w:val="16"/>
                <w:szCs w:val="16"/>
              </w:rPr>
            </w:pPr>
            <w:r w:rsidRPr="005E296F">
              <w:rPr>
                <w:rFonts w:eastAsia="Calibri" w:asciiTheme="minorHAnsi" w:hAnsiTheme="minorHAnsi" w:cstheme="minorHAnsi"/>
                <w:b/>
                <w:color w:val="000000"/>
                <w:sz w:val="16"/>
                <w:szCs w:val="16"/>
              </w:rPr>
              <w:t># of Respondents/year</w:t>
            </w:r>
            <w:r w:rsidRPr="005E296F">
              <w:rPr>
                <w:rFonts w:eastAsia="Calibri" w:asciiTheme="minorHAnsi" w:hAnsiTheme="minorHAnsi" w:cstheme="minorHAnsi"/>
                <w:b/>
                <w:color w:val="000000"/>
                <w:sz w:val="16"/>
                <w:szCs w:val="16"/>
              </w:rPr>
              <w:br/>
              <w:t>(a)</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EC6E89" w:rsidRPr="005E296F" w:rsidP="00EC6E89" w14:paraId="4044F147" w14:textId="77777777">
            <w:pPr>
              <w:widowControl/>
              <w:jc w:val="center"/>
              <w:rPr>
                <w:rFonts w:eastAsia="Calibri" w:asciiTheme="minorHAnsi" w:hAnsiTheme="minorHAnsi" w:cstheme="minorHAnsi"/>
                <w:b/>
                <w:color w:val="000000"/>
                <w:sz w:val="16"/>
                <w:szCs w:val="16"/>
              </w:rPr>
            </w:pPr>
            <w:r w:rsidRPr="005E296F">
              <w:rPr>
                <w:rFonts w:eastAsia="Calibri" w:asciiTheme="minorHAnsi" w:hAnsiTheme="minorHAnsi" w:cstheme="minorHAnsi"/>
                <w:b/>
                <w:color w:val="000000"/>
                <w:sz w:val="16"/>
                <w:szCs w:val="16"/>
              </w:rPr>
              <w:t>Annual # of Responses / Respondent</w:t>
            </w:r>
            <w:r w:rsidRPr="005E296F">
              <w:rPr>
                <w:rFonts w:eastAsia="Calibri" w:asciiTheme="minorHAnsi" w:hAnsiTheme="minorHAnsi" w:cstheme="minorHAnsi"/>
                <w:b/>
                <w:color w:val="000000"/>
                <w:sz w:val="16"/>
                <w:szCs w:val="16"/>
              </w:rPr>
              <w:br/>
              <w:t>(b)</w:t>
            </w:r>
          </w:p>
        </w:tc>
        <w:tc>
          <w:tcPr>
            <w:tcW w:w="990" w:type="dxa"/>
            <w:tcBorders>
              <w:top w:val="single" w:sz="8" w:space="0" w:color="000000"/>
              <w:left w:val="nil"/>
              <w:bottom w:val="single" w:sz="8" w:space="0" w:color="000000"/>
              <w:right w:val="single" w:sz="8" w:space="0" w:color="000000"/>
            </w:tcBorders>
            <w:shd w:val="clear" w:color="auto" w:fill="BDD7EE"/>
            <w:vAlign w:val="center"/>
          </w:tcPr>
          <w:p w:rsidR="00EC6E89" w:rsidRPr="005E296F" w:rsidP="00EC6E89" w14:paraId="2FE8FF65" w14:textId="5DB1837A">
            <w:pPr>
              <w:widowControl/>
              <w:jc w:val="center"/>
              <w:rPr>
                <w:rFonts w:eastAsia="Calibri" w:asciiTheme="minorHAnsi" w:hAnsiTheme="minorHAnsi" w:cstheme="minorHAnsi"/>
                <w:b/>
                <w:color w:val="000000"/>
                <w:sz w:val="16"/>
                <w:szCs w:val="16"/>
              </w:rPr>
            </w:pPr>
            <w:r w:rsidRPr="005E296F">
              <w:rPr>
                <w:rFonts w:eastAsia="Calibri" w:asciiTheme="minorHAnsi" w:hAnsiTheme="minorHAnsi" w:cstheme="minorHAnsi"/>
                <w:b/>
                <w:color w:val="000000"/>
                <w:sz w:val="16"/>
                <w:szCs w:val="16"/>
              </w:rPr>
              <w:t>Total # of Annual Responses</w:t>
            </w:r>
            <w:r w:rsidRPr="005E296F">
              <w:rPr>
                <w:rFonts w:eastAsia="Calibri" w:asciiTheme="minorHAnsi" w:hAnsiTheme="minorHAnsi" w:cstheme="minorHAnsi"/>
                <w:b/>
                <w:color w:val="000000"/>
                <w:sz w:val="16"/>
                <w:szCs w:val="16"/>
              </w:rPr>
              <w:br/>
              <w:t>(c) = (a) x (b)</w:t>
            </w:r>
          </w:p>
        </w:tc>
        <w:tc>
          <w:tcPr>
            <w:tcW w:w="900" w:type="dxa"/>
            <w:tcBorders>
              <w:top w:val="single" w:sz="8" w:space="0" w:color="000000"/>
              <w:left w:val="nil"/>
              <w:bottom w:val="single" w:sz="8" w:space="0" w:color="000000"/>
              <w:right w:val="single" w:sz="8" w:space="0" w:color="000000"/>
            </w:tcBorders>
            <w:shd w:val="clear" w:color="auto" w:fill="BDD7EE"/>
            <w:vAlign w:val="center"/>
          </w:tcPr>
          <w:p w:rsidR="00EC6E89" w:rsidRPr="005E296F" w:rsidP="00EC6E89" w14:paraId="189A8DED" w14:textId="39448540">
            <w:pPr>
              <w:widowControl/>
              <w:jc w:val="center"/>
              <w:rPr>
                <w:rFonts w:eastAsia="Calibri" w:asciiTheme="minorHAnsi" w:hAnsiTheme="minorHAnsi" w:cstheme="minorHAnsi"/>
                <w:b/>
                <w:color w:val="000000"/>
                <w:sz w:val="16"/>
                <w:szCs w:val="16"/>
              </w:rPr>
            </w:pPr>
            <w:r w:rsidRPr="005E296F">
              <w:rPr>
                <w:rFonts w:eastAsia="Calibri" w:asciiTheme="minorHAnsi" w:hAnsiTheme="minorHAnsi" w:cstheme="minorHAnsi"/>
                <w:b/>
                <w:color w:val="000000"/>
                <w:sz w:val="16"/>
                <w:szCs w:val="16"/>
              </w:rPr>
              <w:t>Burden Hrs / Response</w:t>
            </w:r>
            <w:r w:rsidRPr="005E296F">
              <w:rPr>
                <w:rFonts w:eastAsia="Calibri" w:asciiTheme="minorHAnsi" w:hAnsiTheme="minorHAnsi" w:cstheme="minorHAnsi"/>
                <w:b/>
                <w:color w:val="000000"/>
                <w:sz w:val="16"/>
                <w:szCs w:val="16"/>
              </w:rPr>
              <w:br/>
              <w:t>(d)</w:t>
            </w:r>
          </w:p>
        </w:tc>
        <w:tc>
          <w:tcPr>
            <w:tcW w:w="990" w:type="dxa"/>
            <w:tcBorders>
              <w:top w:val="single" w:sz="8" w:space="0" w:color="000000"/>
              <w:left w:val="nil"/>
              <w:bottom w:val="single" w:sz="8" w:space="0" w:color="000000"/>
              <w:right w:val="single" w:sz="8" w:space="0" w:color="000000"/>
            </w:tcBorders>
            <w:shd w:val="clear" w:color="auto" w:fill="BDD7EE"/>
            <w:vAlign w:val="center"/>
          </w:tcPr>
          <w:p w:rsidR="00EC6E89" w:rsidRPr="005E296F" w:rsidP="00EC6E89" w14:paraId="7C437477" w14:textId="77777777">
            <w:pPr>
              <w:widowControl/>
              <w:jc w:val="center"/>
              <w:rPr>
                <w:rFonts w:eastAsia="Calibri" w:asciiTheme="minorHAnsi" w:hAnsiTheme="minorHAnsi" w:cstheme="minorHAnsi"/>
                <w:b/>
                <w:color w:val="000000"/>
                <w:sz w:val="16"/>
                <w:szCs w:val="16"/>
              </w:rPr>
            </w:pPr>
            <w:r w:rsidRPr="005E296F">
              <w:rPr>
                <w:rFonts w:eastAsia="Calibri" w:asciiTheme="minorHAnsi" w:hAnsiTheme="minorHAnsi" w:cstheme="minorHAnsi"/>
                <w:b/>
                <w:color w:val="000000"/>
                <w:sz w:val="16"/>
                <w:szCs w:val="16"/>
              </w:rPr>
              <w:t>Total Annual Burden Hrs</w:t>
            </w:r>
            <w:r w:rsidRPr="005E296F">
              <w:rPr>
                <w:rFonts w:eastAsia="Calibri" w:asciiTheme="minorHAnsi" w:hAnsiTheme="minorHAnsi" w:cstheme="minorHAnsi"/>
                <w:b/>
                <w:color w:val="000000"/>
                <w:sz w:val="16"/>
                <w:szCs w:val="16"/>
              </w:rPr>
              <w:br/>
              <w:t>(e)  = (c) x (d)</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EC6E89" w:rsidRPr="005E296F" w:rsidP="00EC6E89" w14:paraId="42D80259" w14:textId="0F858356">
            <w:pPr>
              <w:widowControl/>
              <w:jc w:val="center"/>
              <w:rPr>
                <w:rFonts w:eastAsia="Calibri" w:asciiTheme="minorHAnsi" w:hAnsiTheme="minorHAnsi" w:cstheme="minorHAnsi"/>
                <w:b/>
                <w:color w:val="000000"/>
                <w:sz w:val="16"/>
                <w:szCs w:val="16"/>
              </w:rPr>
            </w:pPr>
            <w:r w:rsidRPr="005E296F">
              <w:rPr>
                <w:rFonts w:eastAsia="Calibri" w:asciiTheme="minorHAnsi" w:hAnsiTheme="minorHAnsi" w:cstheme="minorHAnsi"/>
                <w:b/>
                <w:color w:val="000000"/>
                <w:sz w:val="16"/>
                <w:szCs w:val="16"/>
              </w:rPr>
              <w:t>Hourly Wage Rate (for T</w:t>
            </w:r>
            <w:r w:rsidRPr="005E296F">
              <w:rPr>
                <w:rFonts w:eastAsia="Calibri" w:asciiTheme="minorHAnsi" w:hAnsiTheme="minorHAnsi" w:cstheme="minorHAnsi"/>
                <w:b/>
                <w:color w:val="000000"/>
                <w:sz w:val="16"/>
                <w:szCs w:val="16"/>
              </w:rPr>
              <w:t>ype of Respondent)</w:t>
            </w:r>
            <w:r w:rsidRPr="005E296F">
              <w:rPr>
                <w:rFonts w:eastAsia="Calibri" w:asciiTheme="minorHAnsi" w:hAnsiTheme="minorHAnsi" w:cstheme="minorHAnsi"/>
                <w:b/>
                <w:color w:val="000000"/>
                <w:sz w:val="16"/>
                <w:szCs w:val="16"/>
              </w:rPr>
              <w:br/>
              <w:t>(f)</w:t>
            </w:r>
          </w:p>
        </w:tc>
        <w:tc>
          <w:tcPr>
            <w:tcW w:w="1116" w:type="dxa"/>
            <w:tcBorders>
              <w:top w:val="single" w:sz="8" w:space="0" w:color="000000"/>
              <w:left w:val="nil"/>
              <w:bottom w:val="single" w:sz="8" w:space="0" w:color="000000"/>
              <w:right w:val="single" w:sz="8" w:space="0" w:color="000000"/>
            </w:tcBorders>
            <w:shd w:val="clear" w:color="auto" w:fill="BDD7EE"/>
            <w:vAlign w:val="center"/>
          </w:tcPr>
          <w:p w:rsidR="00EC6E89" w:rsidRPr="005E296F" w:rsidP="00EC6E89" w14:paraId="3BF65904" w14:textId="2938CA7A">
            <w:pPr>
              <w:widowControl/>
              <w:jc w:val="center"/>
              <w:rPr>
                <w:rFonts w:eastAsia="Calibri" w:asciiTheme="minorHAnsi" w:hAnsiTheme="minorHAnsi" w:cstheme="minorHAnsi"/>
                <w:b/>
                <w:color w:val="000000"/>
                <w:sz w:val="16"/>
                <w:szCs w:val="16"/>
              </w:rPr>
            </w:pPr>
            <w:r w:rsidRPr="005E296F">
              <w:rPr>
                <w:rFonts w:eastAsia="Calibri" w:asciiTheme="minorHAnsi" w:hAnsiTheme="minorHAnsi" w:cstheme="minorHAnsi"/>
                <w:b/>
                <w:color w:val="000000"/>
                <w:sz w:val="16"/>
                <w:szCs w:val="16"/>
              </w:rPr>
              <w:t>Total Annual Wage Burden Costs</w:t>
            </w:r>
            <w:r w:rsidRPr="005E296F">
              <w:rPr>
                <w:rFonts w:eastAsia="Calibri" w:asciiTheme="minorHAnsi" w:hAnsiTheme="minorHAnsi" w:cstheme="minorHAnsi"/>
                <w:b/>
                <w:color w:val="000000"/>
                <w:sz w:val="16"/>
                <w:szCs w:val="16"/>
              </w:rPr>
              <w:br/>
              <w:t>(g) = (e) x (f)</w:t>
            </w:r>
          </w:p>
        </w:tc>
      </w:tr>
      <w:tr w14:paraId="1971DC32" w14:textId="74C1BEB3" w:rsidTr="00F91198">
        <w:tblPrEx>
          <w:tblW w:w="10736" w:type="dxa"/>
          <w:jc w:val="center"/>
          <w:tblLayout w:type="fixed"/>
          <w:tblLook w:val="0400"/>
        </w:tblPrEx>
        <w:trPr>
          <w:trHeight w:val="294"/>
          <w:jc w:val="center"/>
        </w:trPr>
        <w:tc>
          <w:tcPr>
            <w:tcW w:w="1970" w:type="dxa"/>
            <w:tcBorders>
              <w:top w:val="nil"/>
              <w:left w:val="single" w:sz="8" w:space="0" w:color="auto"/>
              <w:bottom w:val="single" w:sz="4" w:space="0" w:color="auto"/>
              <w:right w:val="single" w:sz="4" w:space="0" w:color="auto"/>
            </w:tcBorders>
            <w:shd w:val="clear" w:color="auto" w:fill="auto"/>
            <w:vAlign w:val="center"/>
          </w:tcPr>
          <w:p w:rsidR="001B0187" w:rsidRPr="00EC6E89" w:rsidP="001B0187" w14:paraId="0EC6EED5" w14:textId="7DBB1576">
            <w:pPr>
              <w:widowControl/>
              <w:rPr>
                <w:rFonts w:eastAsia="Calibri" w:asciiTheme="minorHAnsi" w:hAnsiTheme="minorHAnsi" w:cstheme="minorHAnsi"/>
                <w:color w:val="000000"/>
                <w:sz w:val="18"/>
                <w:szCs w:val="18"/>
              </w:rPr>
            </w:pPr>
            <w:r>
              <w:rPr>
                <w:rFonts w:asciiTheme="minorHAnsi" w:hAnsiTheme="minorHAnsi" w:cstheme="minorHAnsi"/>
                <w:sz w:val="18"/>
                <w:szCs w:val="18"/>
              </w:rPr>
              <w:t xml:space="preserve">Application for </w:t>
            </w:r>
            <w:r w:rsidRPr="008D2938">
              <w:rPr>
                <w:rFonts w:asciiTheme="minorHAnsi" w:hAnsiTheme="minorHAnsi" w:cstheme="minorHAnsi"/>
                <w:sz w:val="18"/>
                <w:szCs w:val="18"/>
              </w:rPr>
              <w:t>Federal Fisheries</w:t>
            </w:r>
            <w:r>
              <w:rPr>
                <w:rFonts w:asciiTheme="minorHAnsi" w:hAnsiTheme="minorHAnsi" w:cstheme="minorHAnsi"/>
                <w:sz w:val="18"/>
                <w:szCs w:val="18"/>
              </w:rPr>
              <w:t xml:space="preserve"> </w:t>
            </w:r>
            <w:r w:rsidRPr="008D2938">
              <w:rPr>
                <w:rFonts w:asciiTheme="minorHAnsi" w:hAnsiTheme="minorHAnsi" w:cstheme="minorHAnsi"/>
                <w:sz w:val="18"/>
                <w:szCs w:val="18"/>
              </w:rPr>
              <w:t>Permit</w:t>
            </w:r>
            <w:r>
              <w:rPr>
                <w:rFonts w:asciiTheme="minorHAnsi" w:hAnsiTheme="minorHAnsi" w:cstheme="minorHAnsi"/>
                <w:sz w:val="18"/>
                <w:szCs w:val="18"/>
              </w:rPr>
              <w:t xml:space="preserve"> (FFP)</w:t>
            </w:r>
          </w:p>
        </w:tc>
        <w:tc>
          <w:tcPr>
            <w:tcW w:w="1440" w:type="dxa"/>
            <w:tcBorders>
              <w:top w:val="nil"/>
              <w:left w:val="nil"/>
              <w:bottom w:val="single" w:sz="4" w:space="0" w:color="auto"/>
              <w:right w:val="single" w:sz="4" w:space="0" w:color="auto"/>
            </w:tcBorders>
            <w:shd w:val="clear" w:color="auto" w:fill="auto"/>
            <w:vAlign w:val="center"/>
          </w:tcPr>
          <w:p w:rsidR="001B0187" w:rsidRPr="00EC6E89" w:rsidP="001B0187" w14:paraId="00C51861" w14:textId="767686B0">
            <w:pPr>
              <w:widowControl/>
              <w:jc w:val="center"/>
              <w:rPr>
                <w:rFonts w:eastAsia="Calibri" w:asciiTheme="minorHAnsi" w:hAnsiTheme="minorHAnsi" w:cstheme="minorHAnsi"/>
                <w:color w:val="000000"/>
                <w:sz w:val="18"/>
                <w:szCs w:val="18"/>
              </w:rPr>
            </w:pPr>
            <w:r>
              <w:rPr>
                <w:rFonts w:asciiTheme="minorHAnsi" w:hAnsiTheme="minorHAnsi" w:cstheme="minorHAnsi"/>
                <w:color w:val="000000"/>
                <w:sz w:val="18"/>
                <w:szCs w:val="18"/>
              </w:rPr>
              <w:t>vessel owner or representative</w:t>
            </w:r>
          </w:p>
        </w:tc>
        <w:tc>
          <w:tcPr>
            <w:tcW w:w="1170" w:type="dxa"/>
            <w:tcBorders>
              <w:top w:val="nil"/>
              <w:left w:val="nil"/>
              <w:bottom w:val="single" w:sz="4" w:space="0" w:color="auto"/>
              <w:right w:val="single" w:sz="4" w:space="0" w:color="auto"/>
            </w:tcBorders>
            <w:shd w:val="clear" w:color="auto" w:fill="auto"/>
            <w:vAlign w:val="center"/>
          </w:tcPr>
          <w:p w:rsidR="001B0187" w:rsidRPr="004C3486" w:rsidP="001B0187" w14:paraId="24450127" w14:textId="4F3B65C9">
            <w:pPr>
              <w:widowControl/>
              <w:jc w:val="center"/>
              <w:rPr>
                <w:rFonts w:eastAsia="Calibri" w:asciiTheme="minorHAnsi" w:hAnsiTheme="minorHAnsi" w:cstheme="minorHAnsi"/>
                <w:color w:val="000000"/>
                <w:sz w:val="18"/>
                <w:szCs w:val="18"/>
              </w:rPr>
            </w:pPr>
            <w:r w:rsidRPr="004C3486">
              <w:rPr>
                <w:rFonts w:asciiTheme="minorHAnsi" w:hAnsiTheme="minorHAnsi" w:cstheme="minorHAnsi"/>
                <w:color w:val="000000"/>
                <w:sz w:val="18"/>
                <w:szCs w:val="18"/>
              </w:rPr>
              <w:t>350</w:t>
            </w:r>
          </w:p>
        </w:tc>
        <w:tc>
          <w:tcPr>
            <w:tcW w:w="1080" w:type="dxa"/>
            <w:tcBorders>
              <w:top w:val="nil"/>
              <w:left w:val="nil"/>
              <w:bottom w:val="single" w:sz="4" w:space="0" w:color="auto"/>
              <w:right w:val="single" w:sz="4" w:space="0" w:color="auto"/>
            </w:tcBorders>
            <w:shd w:val="clear" w:color="auto" w:fill="auto"/>
            <w:vAlign w:val="center"/>
          </w:tcPr>
          <w:p w:rsidR="001B0187" w:rsidRPr="004C3486" w:rsidP="001B0187" w14:paraId="064A0CB0" w14:textId="15FDF5DB">
            <w:pPr>
              <w:widowControl/>
              <w:jc w:val="center"/>
              <w:rPr>
                <w:rFonts w:eastAsia="Calibri" w:asciiTheme="minorHAnsi" w:hAnsiTheme="minorHAnsi" w:cstheme="minorHAnsi"/>
                <w:color w:val="000000"/>
                <w:sz w:val="18"/>
                <w:szCs w:val="18"/>
              </w:rPr>
            </w:pPr>
            <w:r w:rsidRPr="004C3486">
              <w:rPr>
                <w:rFonts w:asciiTheme="minorHAnsi" w:hAnsiTheme="minorHAnsi" w:cstheme="minorHAnsi"/>
                <w:color w:val="000000"/>
                <w:sz w:val="18"/>
                <w:szCs w:val="18"/>
              </w:rPr>
              <w:t>1</w:t>
            </w:r>
          </w:p>
        </w:tc>
        <w:tc>
          <w:tcPr>
            <w:tcW w:w="990" w:type="dxa"/>
            <w:tcBorders>
              <w:top w:val="nil"/>
              <w:left w:val="nil"/>
              <w:bottom w:val="single" w:sz="4" w:space="0" w:color="auto"/>
              <w:right w:val="single" w:sz="4" w:space="0" w:color="auto"/>
            </w:tcBorders>
            <w:shd w:val="clear" w:color="auto" w:fill="auto"/>
            <w:vAlign w:val="center"/>
          </w:tcPr>
          <w:p w:rsidR="001B0187" w:rsidRPr="004C3486" w:rsidP="001B0187" w14:paraId="61D580E8" w14:textId="34BCBADE">
            <w:pPr>
              <w:widowControl/>
              <w:jc w:val="center"/>
              <w:rPr>
                <w:rFonts w:eastAsia="Calibri" w:asciiTheme="minorHAnsi" w:hAnsiTheme="minorHAnsi" w:cstheme="minorHAnsi"/>
                <w:color w:val="000000"/>
                <w:sz w:val="18"/>
                <w:szCs w:val="18"/>
              </w:rPr>
            </w:pPr>
            <w:r w:rsidRPr="004C3486">
              <w:rPr>
                <w:rFonts w:asciiTheme="minorHAnsi" w:hAnsiTheme="minorHAnsi" w:cstheme="minorHAnsi"/>
                <w:color w:val="000000"/>
                <w:sz w:val="18"/>
                <w:szCs w:val="18"/>
              </w:rPr>
              <w:t>350</w:t>
            </w:r>
          </w:p>
        </w:tc>
        <w:tc>
          <w:tcPr>
            <w:tcW w:w="900" w:type="dxa"/>
            <w:tcBorders>
              <w:top w:val="nil"/>
              <w:left w:val="nil"/>
              <w:bottom w:val="single" w:sz="4" w:space="0" w:color="auto"/>
              <w:right w:val="single" w:sz="4" w:space="0" w:color="auto"/>
            </w:tcBorders>
            <w:shd w:val="clear" w:color="auto" w:fill="auto"/>
            <w:vAlign w:val="center"/>
          </w:tcPr>
          <w:p w:rsidR="001B0187" w:rsidRPr="004C3486" w:rsidP="001B0187" w14:paraId="56BF38FB" w14:textId="4942BCF3">
            <w:pPr>
              <w:widowControl/>
              <w:jc w:val="center"/>
              <w:rPr>
                <w:rFonts w:eastAsia="Calibri" w:asciiTheme="minorHAnsi" w:hAnsiTheme="minorHAnsi" w:cstheme="minorHAnsi"/>
                <w:color w:val="000000"/>
                <w:sz w:val="18"/>
                <w:szCs w:val="18"/>
              </w:rPr>
            </w:pPr>
            <w:r w:rsidRPr="004C3486">
              <w:rPr>
                <w:rFonts w:asciiTheme="minorHAnsi" w:hAnsiTheme="minorHAnsi" w:cstheme="minorHAnsi"/>
                <w:color w:val="000000"/>
                <w:sz w:val="18"/>
                <w:szCs w:val="18"/>
              </w:rPr>
              <w:t>21 min</w:t>
            </w:r>
          </w:p>
        </w:tc>
        <w:tc>
          <w:tcPr>
            <w:tcW w:w="990" w:type="dxa"/>
            <w:tcBorders>
              <w:top w:val="nil"/>
              <w:left w:val="nil"/>
              <w:bottom w:val="single" w:sz="4" w:space="0" w:color="auto"/>
              <w:right w:val="single" w:sz="4" w:space="0" w:color="auto"/>
            </w:tcBorders>
            <w:shd w:val="clear" w:color="auto" w:fill="auto"/>
            <w:vAlign w:val="center"/>
          </w:tcPr>
          <w:p w:rsidR="001B0187" w:rsidRPr="004C3486" w:rsidP="001B0187" w14:paraId="00F9DE89" w14:textId="4759B13D">
            <w:pPr>
              <w:widowControl/>
              <w:jc w:val="center"/>
              <w:rPr>
                <w:rFonts w:eastAsia="Calibri" w:asciiTheme="minorHAnsi" w:hAnsiTheme="minorHAnsi" w:cstheme="minorHAnsi"/>
                <w:color w:val="000000"/>
                <w:sz w:val="18"/>
                <w:szCs w:val="18"/>
              </w:rPr>
            </w:pPr>
            <w:r w:rsidRPr="004C3486">
              <w:rPr>
                <w:rFonts w:asciiTheme="minorHAnsi" w:hAnsiTheme="minorHAnsi" w:cstheme="minorHAnsi"/>
                <w:color w:val="000000"/>
                <w:sz w:val="18"/>
                <w:szCs w:val="18"/>
              </w:rPr>
              <w:t>123</w:t>
            </w:r>
          </w:p>
        </w:tc>
        <w:tc>
          <w:tcPr>
            <w:tcW w:w="1080" w:type="dxa"/>
            <w:tcBorders>
              <w:top w:val="nil"/>
              <w:left w:val="nil"/>
              <w:bottom w:val="single" w:sz="4" w:space="0" w:color="auto"/>
              <w:right w:val="single" w:sz="4" w:space="0" w:color="auto"/>
            </w:tcBorders>
            <w:shd w:val="clear" w:color="auto" w:fill="auto"/>
            <w:vAlign w:val="center"/>
          </w:tcPr>
          <w:p w:rsidR="001B0187" w:rsidRPr="00EC6E89" w:rsidP="00474A41" w14:paraId="0CDAF016" w14:textId="56F13BCA">
            <w:pPr>
              <w:widowControl/>
              <w:jc w:val="center"/>
              <w:rPr>
                <w:rFonts w:eastAsia="Calibri" w:asciiTheme="minorHAnsi" w:hAnsiTheme="minorHAnsi" w:cstheme="minorHAnsi"/>
                <w:color w:val="000000"/>
                <w:sz w:val="18"/>
                <w:szCs w:val="18"/>
              </w:rPr>
            </w:pPr>
            <w:r w:rsidRPr="008D2938">
              <w:rPr>
                <w:rFonts w:asciiTheme="minorHAnsi" w:hAnsiTheme="minorHAnsi" w:cstheme="minorHAnsi"/>
                <w:color w:val="000000"/>
                <w:sz w:val="18"/>
                <w:szCs w:val="18"/>
              </w:rPr>
              <w:t>$</w:t>
            </w:r>
            <w:r w:rsidR="00474A41">
              <w:rPr>
                <w:rFonts w:asciiTheme="minorHAnsi" w:hAnsiTheme="minorHAnsi" w:cstheme="minorHAnsi"/>
                <w:color w:val="000000"/>
                <w:sz w:val="18"/>
                <w:szCs w:val="18"/>
              </w:rPr>
              <w:t>22.52</w:t>
            </w:r>
          </w:p>
        </w:tc>
        <w:tc>
          <w:tcPr>
            <w:tcW w:w="1116" w:type="dxa"/>
            <w:tcBorders>
              <w:top w:val="nil"/>
              <w:left w:val="nil"/>
              <w:bottom w:val="single" w:sz="4" w:space="0" w:color="auto"/>
              <w:right w:val="single" w:sz="8" w:space="0" w:color="auto"/>
            </w:tcBorders>
            <w:shd w:val="clear" w:color="auto" w:fill="auto"/>
            <w:vAlign w:val="center"/>
          </w:tcPr>
          <w:p w:rsidR="001B0187" w:rsidRPr="00EC6E89" w:rsidP="00474A41" w14:paraId="47BDC779" w14:textId="76DFE1DC">
            <w:pPr>
              <w:widowControl/>
              <w:jc w:val="center"/>
              <w:rPr>
                <w:rFonts w:eastAsia="Calibri" w:asciiTheme="minorHAnsi" w:hAnsiTheme="minorHAnsi" w:cstheme="minorHAnsi"/>
                <w:color w:val="000000"/>
                <w:sz w:val="18"/>
                <w:szCs w:val="18"/>
              </w:rPr>
            </w:pPr>
            <w:r w:rsidRPr="008D2938">
              <w:rPr>
                <w:rFonts w:asciiTheme="minorHAnsi" w:hAnsiTheme="minorHAnsi" w:cstheme="minorHAnsi"/>
                <w:color w:val="000000"/>
                <w:sz w:val="18"/>
                <w:szCs w:val="18"/>
              </w:rPr>
              <w:t>$</w:t>
            </w:r>
            <w:r w:rsidR="004C3486">
              <w:rPr>
                <w:rFonts w:asciiTheme="minorHAnsi" w:hAnsiTheme="minorHAnsi" w:cstheme="minorHAnsi"/>
                <w:color w:val="000000"/>
                <w:sz w:val="18"/>
                <w:szCs w:val="18"/>
              </w:rPr>
              <w:t>2,770</w:t>
            </w:r>
          </w:p>
        </w:tc>
      </w:tr>
      <w:tr w14:paraId="714B73D1" w14:textId="569A3CE8" w:rsidTr="00F91198">
        <w:tblPrEx>
          <w:tblW w:w="10736" w:type="dxa"/>
          <w:jc w:val="center"/>
          <w:tblLayout w:type="fixed"/>
          <w:tblLook w:val="0400"/>
        </w:tblPrEx>
        <w:trPr>
          <w:trHeight w:val="294"/>
          <w:jc w:val="center"/>
        </w:trPr>
        <w:tc>
          <w:tcPr>
            <w:tcW w:w="1970" w:type="dxa"/>
            <w:tcBorders>
              <w:top w:val="nil"/>
              <w:left w:val="single" w:sz="8" w:space="0" w:color="auto"/>
              <w:bottom w:val="single" w:sz="4" w:space="0" w:color="auto"/>
              <w:right w:val="single" w:sz="4" w:space="0" w:color="auto"/>
            </w:tcBorders>
            <w:shd w:val="clear" w:color="auto" w:fill="auto"/>
            <w:vAlign w:val="center"/>
          </w:tcPr>
          <w:p w:rsidR="001B0187" w:rsidRPr="00EC6E89" w:rsidP="001B0187" w14:paraId="40191E2A" w14:textId="0D333EEA">
            <w:pPr>
              <w:widowControl/>
              <w:rPr>
                <w:rFonts w:eastAsia="Calibri" w:asciiTheme="minorHAnsi" w:hAnsiTheme="minorHAnsi" w:cstheme="minorHAnsi"/>
                <w:color w:val="000000"/>
                <w:sz w:val="18"/>
                <w:szCs w:val="18"/>
              </w:rPr>
            </w:pPr>
            <w:r>
              <w:rPr>
                <w:rFonts w:asciiTheme="minorHAnsi" w:hAnsiTheme="minorHAnsi" w:cstheme="minorHAnsi"/>
                <w:sz w:val="18"/>
                <w:szCs w:val="18"/>
              </w:rPr>
              <w:t xml:space="preserve">Application for </w:t>
            </w:r>
            <w:r w:rsidRPr="008D2938">
              <w:rPr>
                <w:rFonts w:asciiTheme="minorHAnsi" w:hAnsiTheme="minorHAnsi" w:cstheme="minorHAnsi"/>
                <w:sz w:val="18"/>
                <w:szCs w:val="18"/>
              </w:rPr>
              <w:t>Federal Processor</w:t>
            </w:r>
            <w:r>
              <w:rPr>
                <w:rFonts w:asciiTheme="minorHAnsi" w:hAnsiTheme="minorHAnsi" w:cstheme="minorHAnsi"/>
                <w:sz w:val="18"/>
                <w:szCs w:val="18"/>
              </w:rPr>
              <w:t xml:space="preserve"> </w:t>
            </w:r>
            <w:r w:rsidRPr="008D2938">
              <w:rPr>
                <w:rFonts w:asciiTheme="minorHAnsi" w:hAnsiTheme="minorHAnsi" w:cstheme="minorHAnsi"/>
                <w:sz w:val="18"/>
                <w:szCs w:val="18"/>
              </w:rPr>
              <w:t>Permit</w:t>
            </w:r>
            <w:r>
              <w:rPr>
                <w:rFonts w:asciiTheme="minorHAnsi" w:hAnsiTheme="minorHAnsi" w:cstheme="minorHAnsi"/>
                <w:sz w:val="18"/>
                <w:szCs w:val="18"/>
              </w:rPr>
              <w:t xml:space="preserve"> (FPP)</w:t>
            </w:r>
          </w:p>
        </w:tc>
        <w:tc>
          <w:tcPr>
            <w:tcW w:w="1440" w:type="dxa"/>
            <w:tcBorders>
              <w:top w:val="nil"/>
              <w:left w:val="nil"/>
              <w:bottom w:val="single" w:sz="4" w:space="0" w:color="auto"/>
              <w:right w:val="single" w:sz="4" w:space="0" w:color="auto"/>
            </w:tcBorders>
            <w:shd w:val="clear" w:color="auto" w:fill="auto"/>
            <w:vAlign w:val="center"/>
          </w:tcPr>
          <w:p w:rsidR="001B0187" w:rsidRPr="00EC6E89" w:rsidP="001B0187" w14:paraId="1EA70D59" w14:textId="7F8F8AEC">
            <w:pPr>
              <w:widowControl/>
              <w:jc w:val="center"/>
              <w:rPr>
                <w:rFonts w:eastAsia="Calibri" w:asciiTheme="minorHAnsi" w:hAnsiTheme="minorHAnsi" w:cstheme="minorHAnsi"/>
                <w:color w:val="000000"/>
                <w:sz w:val="18"/>
                <w:szCs w:val="18"/>
              </w:rPr>
            </w:pPr>
            <w:r>
              <w:rPr>
                <w:rFonts w:asciiTheme="minorHAnsi" w:hAnsiTheme="minorHAnsi" w:cstheme="minorHAnsi"/>
                <w:color w:val="000000"/>
                <w:sz w:val="18"/>
                <w:szCs w:val="18"/>
              </w:rPr>
              <w:t xml:space="preserve">processor owner or </w:t>
            </w:r>
            <w:r>
              <w:rPr>
                <w:rFonts w:asciiTheme="minorHAnsi" w:hAnsiTheme="minorHAnsi" w:cstheme="minorHAnsi"/>
                <w:color w:val="000000"/>
                <w:sz w:val="18"/>
                <w:szCs w:val="18"/>
              </w:rPr>
              <w:t>representative</w:t>
            </w:r>
          </w:p>
        </w:tc>
        <w:tc>
          <w:tcPr>
            <w:tcW w:w="1170" w:type="dxa"/>
            <w:tcBorders>
              <w:top w:val="nil"/>
              <w:left w:val="nil"/>
              <w:bottom w:val="single" w:sz="4" w:space="0" w:color="auto"/>
              <w:right w:val="single" w:sz="4" w:space="0" w:color="auto"/>
            </w:tcBorders>
            <w:shd w:val="clear" w:color="auto" w:fill="auto"/>
            <w:vAlign w:val="center"/>
          </w:tcPr>
          <w:p w:rsidR="001B0187" w:rsidRPr="005E296F" w:rsidP="001B0187" w14:paraId="09B7CBE1" w14:textId="401EF1FC">
            <w:pPr>
              <w:widowControl/>
              <w:jc w:val="center"/>
              <w:rPr>
                <w:rFonts w:eastAsia="Calibri" w:asciiTheme="minorHAnsi" w:hAnsiTheme="minorHAnsi" w:cstheme="minorHAnsi"/>
                <w:color w:val="000000"/>
                <w:sz w:val="18"/>
                <w:szCs w:val="18"/>
                <w:highlight w:val="cyan"/>
              </w:rPr>
            </w:pPr>
            <w:r w:rsidRPr="00B20397">
              <w:rPr>
                <w:rFonts w:asciiTheme="minorHAnsi" w:hAnsiTheme="minorHAnsi" w:cstheme="minorHAnsi"/>
                <w:color w:val="000000"/>
                <w:sz w:val="18"/>
                <w:szCs w:val="18"/>
              </w:rPr>
              <w:t>79</w:t>
            </w:r>
          </w:p>
        </w:tc>
        <w:tc>
          <w:tcPr>
            <w:tcW w:w="1080" w:type="dxa"/>
            <w:tcBorders>
              <w:top w:val="nil"/>
              <w:left w:val="nil"/>
              <w:bottom w:val="single" w:sz="4" w:space="0" w:color="auto"/>
              <w:right w:val="single" w:sz="4" w:space="0" w:color="auto"/>
            </w:tcBorders>
            <w:shd w:val="clear" w:color="auto" w:fill="auto"/>
            <w:vAlign w:val="center"/>
          </w:tcPr>
          <w:p w:rsidR="001B0187" w:rsidRPr="00EC6E89" w:rsidP="001B0187" w14:paraId="6B152138" w14:textId="2ACB8D3D">
            <w:pPr>
              <w:widowControl/>
              <w:jc w:val="center"/>
              <w:rPr>
                <w:rFonts w:eastAsia="Calibri" w:asciiTheme="minorHAnsi" w:hAnsiTheme="minorHAnsi" w:cstheme="minorHAnsi"/>
                <w:color w:val="000000"/>
                <w:sz w:val="18"/>
                <w:szCs w:val="18"/>
              </w:rPr>
            </w:pPr>
            <w:r w:rsidRPr="008D2938">
              <w:rPr>
                <w:rFonts w:asciiTheme="minorHAnsi" w:hAnsiTheme="minorHAnsi" w:cstheme="minorHAnsi"/>
                <w:color w:val="000000"/>
                <w:sz w:val="18"/>
                <w:szCs w:val="18"/>
              </w:rPr>
              <w:t>1</w:t>
            </w:r>
          </w:p>
        </w:tc>
        <w:tc>
          <w:tcPr>
            <w:tcW w:w="990" w:type="dxa"/>
            <w:tcBorders>
              <w:top w:val="nil"/>
              <w:left w:val="nil"/>
              <w:bottom w:val="single" w:sz="4" w:space="0" w:color="auto"/>
              <w:right w:val="single" w:sz="4" w:space="0" w:color="auto"/>
            </w:tcBorders>
            <w:shd w:val="clear" w:color="auto" w:fill="auto"/>
            <w:vAlign w:val="center"/>
          </w:tcPr>
          <w:p w:rsidR="001B0187" w:rsidRPr="00B20397" w:rsidP="001B0187" w14:paraId="24A8612C" w14:textId="5DF62A56">
            <w:pPr>
              <w:widowControl/>
              <w:jc w:val="center"/>
              <w:rPr>
                <w:rFonts w:eastAsia="Calibri" w:asciiTheme="minorHAnsi" w:hAnsiTheme="minorHAnsi" w:cstheme="minorHAnsi"/>
                <w:color w:val="000000"/>
                <w:sz w:val="18"/>
                <w:szCs w:val="18"/>
              </w:rPr>
            </w:pPr>
            <w:r w:rsidRPr="00B20397">
              <w:rPr>
                <w:rFonts w:asciiTheme="minorHAnsi" w:hAnsiTheme="minorHAnsi" w:cstheme="minorHAnsi"/>
                <w:color w:val="000000"/>
                <w:sz w:val="18"/>
                <w:szCs w:val="18"/>
              </w:rPr>
              <w:t>79 </w:t>
            </w:r>
          </w:p>
        </w:tc>
        <w:tc>
          <w:tcPr>
            <w:tcW w:w="900" w:type="dxa"/>
            <w:tcBorders>
              <w:top w:val="nil"/>
              <w:left w:val="nil"/>
              <w:bottom w:val="single" w:sz="4" w:space="0" w:color="auto"/>
              <w:right w:val="single" w:sz="4" w:space="0" w:color="auto"/>
            </w:tcBorders>
            <w:shd w:val="clear" w:color="auto" w:fill="auto"/>
            <w:vAlign w:val="center"/>
          </w:tcPr>
          <w:p w:rsidR="001B0187" w:rsidRPr="00B20397" w:rsidP="001B0187" w14:paraId="6AA4AA53" w14:textId="47C30287">
            <w:pPr>
              <w:widowControl/>
              <w:jc w:val="center"/>
              <w:rPr>
                <w:rFonts w:eastAsia="Calibri" w:asciiTheme="minorHAnsi" w:hAnsiTheme="minorHAnsi" w:cstheme="minorHAnsi"/>
                <w:color w:val="000000"/>
                <w:sz w:val="18"/>
                <w:szCs w:val="18"/>
              </w:rPr>
            </w:pPr>
            <w:r w:rsidRPr="00B20397">
              <w:rPr>
                <w:rFonts w:asciiTheme="minorHAnsi" w:hAnsiTheme="minorHAnsi" w:cstheme="minorHAnsi"/>
                <w:color w:val="000000"/>
                <w:sz w:val="18"/>
                <w:szCs w:val="18"/>
              </w:rPr>
              <w:t>25 min</w:t>
            </w:r>
          </w:p>
        </w:tc>
        <w:tc>
          <w:tcPr>
            <w:tcW w:w="990" w:type="dxa"/>
            <w:tcBorders>
              <w:top w:val="nil"/>
              <w:left w:val="nil"/>
              <w:bottom w:val="single" w:sz="4" w:space="0" w:color="auto"/>
              <w:right w:val="single" w:sz="4" w:space="0" w:color="auto"/>
            </w:tcBorders>
            <w:shd w:val="clear" w:color="auto" w:fill="auto"/>
            <w:vAlign w:val="center"/>
          </w:tcPr>
          <w:p w:rsidR="001B0187" w:rsidRPr="00B20397" w:rsidP="001B0187" w14:paraId="4A272E15" w14:textId="1F44D45B">
            <w:pPr>
              <w:widowControl/>
              <w:jc w:val="center"/>
              <w:rPr>
                <w:rFonts w:eastAsia="Calibri" w:asciiTheme="minorHAnsi" w:hAnsiTheme="minorHAnsi" w:cstheme="minorHAnsi"/>
                <w:color w:val="000000"/>
                <w:sz w:val="18"/>
                <w:szCs w:val="18"/>
              </w:rPr>
            </w:pPr>
            <w:r w:rsidRPr="00B20397">
              <w:rPr>
                <w:rFonts w:asciiTheme="minorHAnsi" w:hAnsiTheme="minorHAnsi" w:cstheme="minorHAnsi"/>
                <w:color w:val="000000"/>
                <w:sz w:val="18"/>
                <w:szCs w:val="18"/>
              </w:rPr>
              <w:t>33</w:t>
            </w:r>
          </w:p>
        </w:tc>
        <w:tc>
          <w:tcPr>
            <w:tcW w:w="1080" w:type="dxa"/>
            <w:tcBorders>
              <w:top w:val="nil"/>
              <w:left w:val="nil"/>
              <w:bottom w:val="single" w:sz="4" w:space="0" w:color="auto"/>
              <w:right w:val="single" w:sz="4" w:space="0" w:color="auto"/>
            </w:tcBorders>
            <w:shd w:val="clear" w:color="auto" w:fill="auto"/>
            <w:vAlign w:val="center"/>
          </w:tcPr>
          <w:p w:rsidR="001B0187" w:rsidRPr="00EC6E89" w:rsidP="00474A41" w14:paraId="5C1FC61A" w14:textId="40D17812">
            <w:pPr>
              <w:widowControl/>
              <w:jc w:val="center"/>
              <w:rPr>
                <w:rFonts w:eastAsia="Calibri" w:asciiTheme="minorHAnsi" w:hAnsiTheme="minorHAnsi" w:cstheme="minorHAnsi"/>
                <w:color w:val="000000"/>
                <w:sz w:val="18"/>
                <w:szCs w:val="18"/>
              </w:rPr>
            </w:pPr>
            <w:r w:rsidRPr="008D2938">
              <w:rPr>
                <w:rFonts w:asciiTheme="minorHAnsi" w:hAnsiTheme="minorHAnsi" w:cstheme="minorHAnsi"/>
                <w:color w:val="000000"/>
                <w:sz w:val="18"/>
                <w:szCs w:val="18"/>
              </w:rPr>
              <w:t>$</w:t>
            </w:r>
            <w:r w:rsidR="00474A41">
              <w:rPr>
                <w:rFonts w:asciiTheme="minorHAnsi" w:hAnsiTheme="minorHAnsi" w:cstheme="minorHAnsi"/>
                <w:color w:val="000000"/>
                <w:sz w:val="18"/>
                <w:szCs w:val="18"/>
              </w:rPr>
              <w:t>22.52</w:t>
            </w:r>
          </w:p>
        </w:tc>
        <w:tc>
          <w:tcPr>
            <w:tcW w:w="1116" w:type="dxa"/>
            <w:tcBorders>
              <w:top w:val="nil"/>
              <w:left w:val="nil"/>
              <w:bottom w:val="single" w:sz="4" w:space="0" w:color="auto"/>
              <w:right w:val="single" w:sz="8" w:space="0" w:color="auto"/>
            </w:tcBorders>
            <w:shd w:val="clear" w:color="auto" w:fill="auto"/>
            <w:vAlign w:val="center"/>
          </w:tcPr>
          <w:p w:rsidR="001B0187" w:rsidRPr="00EC6E89" w:rsidP="00474A41" w14:paraId="761F62D9" w14:textId="1C29A9D5">
            <w:pPr>
              <w:widowControl/>
              <w:jc w:val="center"/>
              <w:rPr>
                <w:rFonts w:eastAsia="Calibri" w:asciiTheme="minorHAnsi" w:hAnsiTheme="minorHAnsi" w:cstheme="minorHAnsi"/>
                <w:color w:val="000000"/>
                <w:sz w:val="18"/>
                <w:szCs w:val="18"/>
              </w:rPr>
            </w:pPr>
            <w:r w:rsidRPr="008D2938">
              <w:rPr>
                <w:rFonts w:asciiTheme="minorHAnsi" w:hAnsiTheme="minorHAnsi" w:cstheme="minorHAnsi"/>
                <w:color w:val="000000"/>
                <w:sz w:val="18"/>
                <w:szCs w:val="18"/>
              </w:rPr>
              <w:t>$</w:t>
            </w:r>
            <w:r w:rsidR="00B20397">
              <w:rPr>
                <w:rFonts w:asciiTheme="minorHAnsi" w:hAnsiTheme="minorHAnsi" w:cstheme="minorHAnsi"/>
                <w:color w:val="000000"/>
                <w:sz w:val="18"/>
                <w:szCs w:val="18"/>
              </w:rPr>
              <w:t>743</w:t>
            </w:r>
          </w:p>
        </w:tc>
      </w:tr>
      <w:tr w14:paraId="00B53F45" w14:textId="2D20257B" w:rsidTr="00F91198">
        <w:tblPrEx>
          <w:tblW w:w="10736" w:type="dxa"/>
          <w:jc w:val="center"/>
          <w:tblLayout w:type="fixed"/>
          <w:tblLook w:val="0400"/>
        </w:tblPrEx>
        <w:trPr>
          <w:trHeight w:val="294"/>
          <w:jc w:val="center"/>
        </w:trPr>
        <w:tc>
          <w:tcPr>
            <w:tcW w:w="1970" w:type="dxa"/>
            <w:tcBorders>
              <w:top w:val="nil"/>
              <w:left w:val="single" w:sz="8" w:space="0" w:color="auto"/>
              <w:bottom w:val="single" w:sz="4" w:space="0" w:color="auto"/>
              <w:right w:val="single" w:sz="4" w:space="0" w:color="auto"/>
            </w:tcBorders>
            <w:shd w:val="clear" w:color="auto" w:fill="auto"/>
            <w:vAlign w:val="center"/>
          </w:tcPr>
          <w:p w:rsidR="001B0187" w:rsidRPr="00EC6E89" w:rsidP="00EB73DB" w14:paraId="76A713F4" w14:textId="6C21D32E">
            <w:pPr>
              <w:widowControl/>
              <w:rPr>
                <w:rFonts w:eastAsia="Calibri" w:asciiTheme="minorHAnsi" w:hAnsiTheme="minorHAnsi" w:cstheme="minorHAnsi"/>
                <w:color w:val="000000"/>
                <w:sz w:val="18"/>
                <w:szCs w:val="18"/>
              </w:rPr>
            </w:pPr>
            <w:r w:rsidRPr="00546F01">
              <w:rPr>
                <w:rFonts w:asciiTheme="minorHAnsi" w:hAnsiTheme="minorHAnsi" w:cstheme="minorHAnsi"/>
                <w:sz w:val="18"/>
                <w:szCs w:val="18"/>
              </w:rPr>
              <w:t>Exempted Fishing Permit (EFP) Application</w:t>
            </w:r>
          </w:p>
        </w:tc>
        <w:tc>
          <w:tcPr>
            <w:tcW w:w="1440" w:type="dxa"/>
            <w:tcBorders>
              <w:top w:val="nil"/>
              <w:left w:val="nil"/>
              <w:bottom w:val="single" w:sz="4" w:space="0" w:color="auto"/>
              <w:right w:val="single" w:sz="4" w:space="0" w:color="auto"/>
            </w:tcBorders>
            <w:shd w:val="clear" w:color="auto" w:fill="auto"/>
            <w:vAlign w:val="center"/>
          </w:tcPr>
          <w:p w:rsidR="001B0187" w:rsidRPr="00EC6E89" w:rsidP="00B20397" w14:paraId="02B581BD" w14:textId="7B4829C6">
            <w:pPr>
              <w:widowControl/>
              <w:jc w:val="center"/>
              <w:rPr>
                <w:rFonts w:eastAsia="Calibri" w:asciiTheme="minorHAnsi" w:hAnsiTheme="minorHAnsi" w:cstheme="minorHAnsi"/>
                <w:color w:val="000000"/>
                <w:sz w:val="18"/>
                <w:szCs w:val="18"/>
              </w:rPr>
            </w:pPr>
            <w:r>
              <w:rPr>
                <w:rFonts w:asciiTheme="minorHAnsi" w:hAnsiTheme="minorHAnsi" w:cstheme="minorHAnsi"/>
                <w:color w:val="000000"/>
                <w:sz w:val="18"/>
                <w:szCs w:val="18"/>
              </w:rPr>
              <w:t>in</w:t>
            </w:r>
            <w:r w:rsidRPr="008D2938">
              <w:rPr>
                <w:rFonts w:asciiTheme="minorHAnsi" w:hAnsiTheme="minorHAnsi" w:cstheme="minorHAnsi"/>
                <w:color w:val="000000"/>
                <w:sz w:val="18"/>
                <w:szCs w:val="18"/>
              </w:rPr>
              <w:t xml:space="preserve">dustry </w:t>
            </w:r>
            <w:r>
              <w:rPr>
                <w:rFonts w:asciiTheme="minorHAnsi" w:hAnsiTheme="minorHAnsi" w:cstheme="minorHAnsi"/>
                <w:color w:val="000000"/>
                <w:sz w:val="18"/>
                <w:szCs w:val="18"/>
              </w:rPr>
              <w:t>r</w:t>
            </w:r>
            <w:r w:rsidRPr="008D2938">
              <w:rPr>
                <w:rFonts w:asciiTheme="minorHAnsi" w:hAnsiTheme="minorHAnsi" w:cstheme="minorHAnsi"/>
                <w:color w:val="000000"/>
                <w:sz w:val="18"/>
                <w:szCs w:val="18"/>
              </w:rPr>
              <w:t>epresentative</w:t>
            </w:r>
          </w:p>
        </w:tc>
        <w:tc>
          <w:tcPr>
            <w:tcW w:w="1170" w:type="dxa"/>
            <w:tcBorders>
              <w:top w:val="nil"/>
              <w:left w:val="nil"/>
              <w:bottom w:val="single" w:sz="4" w:space="0" w:color="auto"/>
              <w:right w:val="single" w:sz="4" w:space="0" w:color="auto"/>
            </w:tcBorders>
            <w:shd w:val="clear" w:color="auto" w:fill="auto"/>
            <w:vAlign w:val="center"/>
          </w:tcPr>
          <w:p w:rsidR="001B0187" w:rsidRPr="00D75D71" w:rsidP="00474A41" w14:paraId="083EDA26" w14:textId="79B3E3C0">
            <w:pPr>
              <w:widowControl/>
              <w:jc w:val="center"/>
              <w:rPr>
                <w:rFonts w:eastAsia="Calibri" w:asciiTheme="minorHAnsi" w:hAnsiTheme="minorHAnsi" w:cstheme="minorHAnsi"/>
                <w:color w:val="000000"/>
                <w:sz w:val="18"/>
                <w:szCs w:val="18"/>
              </w:rPr>
            </w:pPr>
            <w:r w:rsidRPr="00D75D71">
              <w:rPr>
                <w:rFonts w:asciiTheme="minorHAnsi" w:hAnsiTheme="minorHAnsi" w:cstheme="minorHAnsi"/>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tcPr>
          <w:p w:rsidR="001B0187" w:rsidRPr="00D75D71" w:rsidP="001B0187" w14:paraId="6E4396E8" w14:textId="412EB4D1">
            <w:pPr>
              <w:widowControl/>
              <w:jc w:val="center"/>
              <w:rPr>
                <w:rFonts w:eastAsia="Calibri" w:asciiTheme="minorHAnsi" w:hAnsiTheme="minorHAnsi" w:cstheme="minorHAnsi"/>
                <w:color w:val="000000"/>
                <w:sz w:val="18"/>
                <w:szCs w:val="18"/>
              </w:rPr>
            </w:pPr>
            <w:r w:rsidRPr="00D75D71">
              <w:rPr>
                <w:rFonts w:asciiTheme="minorHAnsi" w:hAnsiTheme="minorHAnsi" w:cstheme="minorHAnsi"/>
                <w:color w:val="000000"/>
                <w:sz w:val="18"/>
                <w:szCs w:val="18"/>
              </w:rPr>
              <w:t>1</w:t>
            </w:r>
          </w:p>
        </w:tc>
        <w:tc>
          <w:tcPr>
            <w:tcW w:w="990" w:type="dxa"/>
            <w:tcBorders>
              <w:top w:val="nil"/>
              <w:left w:val="nil"/>
              <w:bottom w:val="single" w:sz="4" w:space="0" w:color="auto"/>
              <w:right w:val="single" w:sz="4" w:space="0" w:color="auto"/>
            </w:tcBorders>
            <w:shd w:val="clear" w:color="auto" w:fill="auto"/>
            <w:vAlign w:val="center"/>
          </w:tcPr>
          <w:p w:rsidR="001B0187" w:rsidRPr="00D75D71" w:rsidP="001B0187" w14:paraId="32012E78" w14:textId="05353C48">
            <w:pPr>
              <w:widowControl/>
              <w:jc w:val="center"/>
              <w:rPr>
                <w:rFonts w:eastAsia="Calibri" w:asciiTheme="minorHAnsi" w:hAnsiTheme="minorHAnsi" w:cstheme="minorHAnsi"/>
                <w:color w:val="000000"/>
                <w:sz w:val="18"/>
                <w:szCs w:val="18"/>
              </w:rPr>
            </w:pPr>
            <w:r w:rsidRPr="00D75D71">
              <w:rPr>
                <w:rFonts w:asciiTheme="minorHAnsi" w:hAnsiTheme="minorHAnsi" w:cstheme="minorHAnsi"/>
                <w:color w:val="000000"/>
                <w:sz w:val="18"/>
                <w:szCs w:val="18"/>
              </w:rPr>
              <w:t>1 </w:t>
            </w:r>
          </w:p>
        </w:tc>
        <w:tc>
          <w:tcPr>
            <w:tcW w:w="900" w:type="dxa"/>
            <w:tcBorders>
              <w:top w:val="nil"/>
              <w:left w:val="nil"/>
              <w:bottom w:val="single" w:sz="4" w:space="0" w:color="auto"/>
              <w:right w:val="single" w:sz="4" w:space="0" w:color="auto"/>
            </w:tcBorders>
            <w:shd w:val="clear" w:color="auto" w:fill="auto"/>
            <w:vAlign w:val="center"/>
          </w:tcPr>
          <w:p w:rsidR="001B0187" w:rsidRPr="00D75D71" w:rsidP="001B0187" w14:paraId="72608762" w14:textId="7CC28866">
            <w:pPr>
              <w:widowControl/>
              <w:jc w:val="center"/>
              <w:rPr>
                <w:rFonts w:eastAsia="Calibri" w:asciiTheme="minorHAnsi" w:hAnsiTheme="minorHAnsi" w:cstheme="minorHAnsi"/>
                <w:color w:val="000000"/>
                <w:sz w:val="18"/>
                <w:szCs w:val="18"/>
              </w:rPr>
            </w:pPr>
            <w:r w:rsidRPr="00D75D71">
              <w:rPr>
                <w:rFonts w:asciiTheme="minorHAnsi" w:hAnsiTheme="minorHAnsi" w:cstheme="minorHAnsi"/>
                <w:color w:val="000000"/>
                <w:sz w:val="18"/>
                <w:szCs w:val="18"/>
              </w:rPr>
              <w:t>100 hr</w:t>
            </w:r>
          </w:p>
        </w:tc>
        <w:tc>
          <w:tcPr>
            <w:tcW w:w="990" w:type="dxa"/>
            <w:tcBorders>
              <w:top w:val="nil"/>
              <w:left w:val="nil"/>
              <w:bottom w:val="single" w:sz="4" w:space="0" w:color="auto"/>
              <w:right w:val="single" w:sz="4" w:space="0" w:color="auto"/>
            </w:tcBorders>
            <w:shd w:val="clear" w:color="auto" w:fill="auto"/>
            <w:vAlign w:val="center"/>
          </w:tcPr>
          <w:p w:rsidR="001B0187" w:rsidRPr="00D75D71" w:rsidP="001B0187" w14:paraId="7C36B9FA" w14:textId="66564FA0">
            <w:pPr>
              <w:widowControl/>
              <w:jc w:val="center"/>
              <w:rPr>
                <w:rFonts w:eastAsia="Calibri" w:asciiTheme="minorHAnsi" w:hAnsiTheme="minorHAnsi" w:cstheme="minorHAnsi"/>
                <w:color w:val="000000"/>
                <w:sz w:val="18"/>
                <w:szCs w:val="18"/>
              </w:rPr>
            </w:pPr>
            <w:r w:rsidRPr="00D75D71">
              <w:rPr>
                <w:rFonts w:asciiTheme="minorHAnsi" w:hAnsiTheme="minorHAnsi" w:cstheme="minorHAnsi"/>
                <w:color w:val="000000"/>
                <w:sz w:val="18"/>
                <w:szCs w:val="18"/>
              </w:rPr>
              <w:t>100</w:t>
            </w:r>
          </w:p>
        </w:tc>
        <w:tc>
          <w:tcPr>
            <w:tcW w:w="1080" w:type="dxa"/>
            <w:tcBorders>
              <w:top w:val="nil"/>
              <w:left w:val="nil"/>
              <w:bottom w:val="single" w:sz="4" w:space="0" w:color="auto"/>
              <w:right w:val="single" w:sz="4" w:space="0" w:color="auto"/>
            </w:tcBorders>
            <w:shd w:val="clear" w:color="auto" w:fill="auto"/>
            <w:vAlign w:val="center"/>
          </w:tcPr>
          <w:p w:rsidR="001B0187" w:rsidRPr="00D75D71" w:rsidP="00472875" w14:paraId="5A89A3EE" w14:textId="61053630">
            <w:pPr>
              <w:widowControl/>
              <w:jc w:val="center"/>
              <w:rPr>
                <w:rFonts w:eastAsia="Calibri" w:asciiTheme="minorHAnsi" w:hAnsiTheme="minorHAnsi" w:cstheme="minorHAnsi"/>
                <w:color w:val="000000"/>
                <w:sz w:val="18"/>
                <w:szCs w:val="18"/>
              </w:rPr>
            </w:pPr>
            <w:r w:rsidRPr="00D75D71">
              <w:rPr>
                <w:rFonts w:asciiTheme="minorHAnsi" w:hAnsiTheme="minorHAnsi" w:cstheme="minorHAnsi"/>
                <w:color w:val="000000"/>
                <w:sz w:val="18"/>
                <w:szCs w:val="18"/>
              </w:rPr>
              <w:t>$100.00</w:t>
            </w:r>
          </w:p>
        </w:tc>
        <w:tc>
          <w:tcPr>
            <w:tcW w:w="1116" w:type="dxa"/>
            <w:tcBorders>
              <w:top w:val="nil"/>
              <w:left w:val="nil"/>
              <w:bottom w:val="single" w:sz="4" w:space="0" w:color="auto"/>
              <w:right w:val="single" w:sz="8" w:space="0" w:color="auto"/>
            </w:tcBorders>
            <w:shd w:val="clear" w:color="auto" w:fill="auto"/>
            <w:vAlign w:val="center"/>
          </w:tcPr>
          <w:p w:rsidR="001B0187" w:rsidRPr="00D75D71" w:rsidP="00D75D71" w14:paraId="454AA2E5" w14:textId="68C03BDF">
            <w:pPr>
              <w:widowControl/>
              <w:jc w:val="center"/>
              <w:rPr>
                <w:rFonts w:eastAsia="Calibri" w:asciiTheme="minorHAnsi" w:hAnsiTheme="minorHAnsi" w:cstheme="minorHAnsi"/>
                <w:color w:val="000000"/>
                <w:sz w:val="18"/>
                <w:szCs w:val="18"/>
              </w:rPr>
            </w:pPr>
            <w:r w:rsidRPr="00D75D71">
              <w:rPr>
                <w:rFonts w:asciiTheme="minorHAnsi" w:hAnsiTheme="minorHAnsi" w:cstheme="minorHAnsi"/>
                <w:color w:val="000000"/>
                <w:sz w:val="18"/>
                <w:szCs w:val="18"/>
              </w:rPr>
              <w:t>$</w:t>
            </w:r>
            <w:r w:rsidR="00D75D71">
              <w:rPr>
                <w:rFonts w:asciiTheme="minorHAnsi" w:hAnsiTheme="minorHAnsi" w:cstheme="minorHAnsi"/>
                <w:color w:val="000000"/>
                <w:sz w:val="18"/>
                <w:szCs w:val="18"/>
              </w:rPr>
              <w:t>1</w:t>
            </w:r>
            <w:r w:rsidRPr="00D75D71" w:rsidR="00D75D71">
              <w:rPr>
                <w:rFonts w:asciiTheme="minorHAnsi" w:hAnsiTheme="minorHAnsi" w:cstheme="minorHAnsi"/>
                <w:color w:val="000000"/>
                <w:sz w:val="18"/>
                <w:szCs w:val="18"/>
              </w:rPr>
              <w:t>0</w:t>
            </w:r>
            <w:r w:rsidRPr="00D75D71">
              <w:rPr>
                <w:rFonts w:asciiTheme="minorHAnsi" w:hAnsiTheme="minorHAnsi" w:cstheme="minorHAnsi"/>
                <w:color w:val="000000"/>
                <w:sz w:val="18"/>
                <w:szCs w:val="18"/>
              </w:rPr>
              <w:t>,000</w:t>
            </w:r>
          </w:p>
        </w:tc>
      </w:tr>
      <w:tr w14:paraId="4CC97875" w14:textId="44D3C09F" w:rsidTr="00F91198">
        <w:tblPrEx>
          <w:tblW w:w="10736" w:type="dxa"/>
          <w:jc w:val="center"/>
          <w:tblLayout w:type="fixed"/>
          <w:tblLook w:val="0400"/>
        </w:tblPrEx>
        <w:trPr>
          <w:trHeight w:val="431"/>
          <w:jc w:val="center"/>
        </w:trPr>
        <w:tc>
          <w:tcPr>
            <w:tcW w:w="1970" w:type="dxa"/>
            <w:tcBorders>
              <w:top w:val="nil"/>
              <w:left w:val="single" w:sz="8" w:space="0" w:color="000000"/>
              <w:bottom w:val="single" w:sz="8" w:space="0" w:color="000000"/>
              <w:right w:val="single" w:sz="8" w:space="0" w:color="000000"/>
            </w:tcBorders>
            <w:shd w:val="clear" w:color="auto" w:fill="DDEBF7"/>
            <w:vAlign w:val="center"/>
          </w:tcPr>
          <w:p w:rsidR="00EC6E89" w:rsidRPr="00D75D71" w:rsidP="00EC6E89" w14:paraId="4D83CFBE" w14:textId="44B9247D">
            <w:pPr>
              <w:widowControl/>
              <w:rPr>
                <w:rFonts w:eastAsia="Calibri" w:asciiTheme="minorHAnsi" w:hAnsiTheme="minorHAnsi" w:cstheme="minorHAnsi"/>
                <w:b/>
                <w:color w:val="000000"/>
                <w:sz w:val="18"/>
                <w:szCs w:val="18"/>
              </w:rPr>
            </w:pPr>
            <w:r w:rsidRPr="00D75D71">
              <w:rPr>
                <w:rFonts w:ascii="Calibri" w:eastAsia="Calibri" w:hAnsi="Calibri" w:cs="Calibri"/>
                <w:b/>
                <w:color w:val="000000"/>
                <w:sz w:val="18"/>
                <w:szCs w:val="18"/>
              </w:rPr>
              <w:t>Totals</w:t>
            </w:r>
          </w:p>
        </w:tc>
        <w:tc>
          <w:tcPr>
            <w:tcW w:w="1440" w:type="dxa"/>
            <w:tcBorders>
              <w:top w:val="nil"/>
              <w:left w:val="nil"/>
              <w:bottom w:val="single" w:sz="8" w:space="0" w:color="000000"/>
              <w:right w:val="single" w:sz="8" w:space="0" w:color="000000"/>
            </w:tcBorders>
            <w:shd w:val="clear" w:color="auto" w:fill="000000"/>
            <w:vAlign w:val="center"/>
          </w:tcPr>
          <w:p w:rsidR="00EC6E89" w:rsidRPr="00D75D71" w:rsidP="00EC6E89" w14:paraId="54C5845D" w14:textId="786FD876">
            <w:pPr>
              <w:widowControl/>
              <w:jc w:val="center"/>
              <w:rPr>
                <w:rFonts w:eastAsia="Calibri" w:asciiTheme="minorHAnsi" w:hAnsiTheme="minorHAnsi" w:cstheme="minorHAnsi"/>
                <w:b/>
                <w:color w:val="000000"/>
                <w:sz w:val="18"/>
                <w:szCs w:val="18"/>
              </w:rPr>
            </w:pPr>
          </w:p>
        </w:tc>
        <w:tc>
          <w:tcPr>
            <w:tcW w:w="1170" w:type="dxa"/>
            <w:tcBorders>
              <w:top w:val="nil"/>
              <w:left w:val="nil"/>
              <w:bottom w:val="single" w:sz="8" w:space="0" w:color="000000"/>
              <w:right w:val="single" w:sz="8" w:space="0" w:color="000000"/>
            </w:tcBorders>
            <w:shd w:val="clear" w:color="auto" w:fill="000000"/>
            <w:vAlign w:val="center"/>
          </w:tcPr>
          <w:p w:rsidR="00EC6E89" w:rsidRPr="00D75D71" w:rsidP="00EC6E89" w14:paraId="3873C38B" w14:textId="3B63A2F8">
            <w:pPr>
              <w:widowControl/>
              <w:jc w:val="center"/>
              <w:rPr>
                <w:rFonts w:eastAsia="Calibri" w:asciiTheme="minorHAnsi" w:hAnsiTheme="minorHAnsi" w:cstheme="minorHAnsi"/>
                <w:b/>
                <w:color w:val="000000"/>
                <w:sz w:val="18"/>
                <w:szCs w:val="18"/>
              </w:rPr>
            </w:pPr>
          </w:p>
        </w:tc>
        <w:tc>
          <w:tcPr>
            <w:tcW w:w="1080" w:type="dxa"/>
            <w:tcBorders>
              <w:top w:val="nil"/>
              <w:left w:val="nil"/>
              <w:bottom w:val="single" w:sz="8" w:space="0" w:color="000000"/>
              <w:right w:val="single" w:sz="8" w:space="0" w:color="000000"/>
            </w:tcBorders>
            <w:shd w:val="clear" w:color="auto" w:fill="000000"/>
            <w:vAlign w:val="center"/>
          </w:tcPr>
          <w:p w:rsidR="00EC6E89" w:rsidRPr="00D75D71" w:rsidP="00EC6E89" w14:paraId="4C218A94" w14:textId="4996DB30">
            <w:pPr>
              <w:widowControl/>
              <w:jc w:val="center"/>
              <w:rPr>
                <w:rFonts w:eastAsia="Calibri" w:asciiTheme="minorHAnsi" w:hAnsiTheme="minorHAnsi" w:cstheme="minorHAnsi"/>
                <w:b/>
                <w:color w:val="000000"/>
                <w:sz w:val="18"/>
                <w:szCs w:val="18"/>
              </w:rPr>
            </w:pPr>
          </w:p>
        </w:tc>
        <w:tc>
          <w:tcPr>
            <w:tcW w:w="990" w:type="dxa"/>
            <w:tcBorders>
              <w:top w:val="nil"/>
              <w:left w:val="nil"/>
              <w:bottom w:val="single" w:sz="8" w:space="0" w:color="000000"/>
              <w:right w:val="single" w:sz="8" w:space="0" w:color="000000"/>
            </w:tcBorders>
            <w:shd w:val="clear" w:color="auto" w:fill="DDEBF7"/>
            <w:vAlign w:val="center"/>
          </w:tcPr>
          <w:p w:rsidR="00EC6E89" w:rsidRPr="00B20397" w:rsidP="00EC6E89" w14:paraId="3DCE3CDD" w14:textId="2FC2B7DE">
            <w:pPr>
              <w:widowControl/>
              <w:jc w:val="center"/>
              <w:rPr>
                <w:rFonts w:eastAsia="Calibri" w:asciiTheme="minorHAnsi" w:hAnsiTheme="minorHAnsi" w:cstheme="minorHAnsi"/>
                <w:b/>
                <w:color w:val="000000"/>
                <w:sz w:val="18"/>
                <w:szCs w:val="18"/>
              </w:rPr>
            </w:pPr>
            <w:r w:rsidRPr="00B20397">
              <w:rPr>
                <w:rFonts w:eastAsia="Calibri" w:asciiTheme="minorHAnsi" w:hAnsiTheme="minorHAnsi" w:cstheme="minorHAnsi"/>
                <w:b/>
                <w:color w:val="000000"/>
                <w:sz w:val="18"/>
                <w:szCs w:val="18"/>
              </w:rPr>
              <w:t>430</w:t>
            </w:r>
          </w:p>
        </w:tc>
        <w:tc>
          <w:tcPr>
            <w:tcW w:w="900" w:type="dxa"/>
            <w:tcBorders>
              <w:top w:val="nil"/>
              <w:left w:val="nil"/>
              <w:bottom w:val="single" w:sz="8" w:space="0" w:color="000000"/>
              <w:right w:val="single" w:sz="8" w:space="0" w:color="000000"/>
            </w:tcBorders>
            <w:shd w:val="clear" w:color="auto" w:fill="000000"/>
            <w:vAlign w:val="center"/>
          </w:tcPr>
          <w:p w:rsidR="00EC6E89" w:rsidRPr="00B20397" w:rsidP="00EC6E89" w14:paraId="2C01AFBF" w14:textId="213F9564">
            <w:pPr>
              <w:widowControl/>
              <w:jc w:val="center"/>
              <w:rPr>
                <w:rFonts w:eastAsia="Calibri" w:asciiTheme="minorHAnsi" w:hAnsiTheme="minorHAnsi" w:cstheme="minorHAnsi"/>
                <w:b/>
                <w:color w:val="000000"/>
                <w:sz w:val="18"/>
                <w:szCs w:val="18"/>
              </w:rPr>
            </w:pPr>
          </w:p>
        </w:tc>
        <w:tc>
          <w:tcPr>
            <w:tcW w:w="990" w:type="dxa"/>
            <w:tcBorders>
              <w:top w:val="nil"/>
              <w:left w:val="nil"/>
              <w:bottom w:val="single" w:sz="8" w:space="0" w:color="000000"/>
              <w:right w:val="single" w:sz="8" w:space="0" w:color="000000"/>
            </w:tcBorders>
            <w:shd w:val="clear" w:color="auto" w:fill="DDEBF7"/>
            <w:vAlign w:val="center"/>
          </w:tcPr>
          <w:p w:rsidR="00EC6E89" w:rsidRPr="00B20397" w:rsidP="00EC6E89" w14:paraId="57BFF479" w14:textId="5C147CDD">
            <w:pPr>
              <w:widowControl/>
              <w:jc w:val="center"/>
              <w:rPr>
                <w:rFonts w:eastAsia="Calibri" w:asciiTheme="minorHAnsi" w:hAnsiTheme="minorHAnsi" w:cstheme="minorHAnsi"/>
                <w:b/>
                <w:color w:val="000000"/>
                <w:sz w:val="18"/>
                <w:szCs w:val="18"/>
              </w:rPr>
            </w:pPr>
            <w:r w:rsidRPr="00B20397">
              <w:rPr>
                <w:rFonts w:eastAsia="Calibri" w:asciiTheme="minorHAnsi" w:hAnsiTheme="minorHAnsi" w:cstheme="minorHAnsi"/>
                <w:b/>
                <w:color w:val="000000"/>
                <w:sz w:val="18"/>
                <w:szCs w:val="18"/>
              </w:rPr>
              <w:t xml:space="preserve">256 </w:t>
            </w:r>
            <w:r w:rsidRPr="00B20397" w:rsidR="001B0187">
              <w:rPr>
                <w:rFonts w:eastAsia="Calibri" w:asciiTheme="minorHAnsi" w:hAnsiTheme="minorHAnsi" w:cstheme="minorHAnsi"/>
                <w:b/>
                <w:color w:val="000000"/>
                <w:sz w:val="18"/>
                <w:szCs w:val="18"/>
              </w:rPr>
              <w:t>hrs</w:t>
            </w:r>
          </w:p>
        </w:tc>
        <w:tc>
          <w:tcPr>
            <w:tcW w:w="1080" w:type="dxa"/>
            <w:tcBorders>
              <w:top w:val="nil"/>
              <w:left w:val="nil"/>
              <w:bottom w:val="single" w:sz="8" w:space="0" w:color="000000"/>
              <w:right w:val="single" w:sz="8" w:space="0" w:color="000000"/>
            </w:tcBorders>
            <w:shd w:val="clear" w:color="auto" w:fill="000000"/>
            <w:vAlign w:val="center"/>
          </w:tcPr>
          <w:p w:rsidR="00EC6E89" w:rsidRPr="00B20397" w:rsidP="00EC6E89" w14:paraId="7A12A7BC" w14:textId="7E0DCFB6">
            <w:pPr>
              <w:widowControl/>
              <w:jc w:val="center"/>
              <w:rPr>
                <w:rFonts w:eastAsia="Calibri" w:asciiTheme="minorHAnsi" w:hAnsiTheme="minorHAnsi" w:cstheme="minorHAnsi"/>
                <w:b/>
                <w:color w:val="000000"/>
                <w:sz w:val="18"/>
                <w:szCs w:val="18"/>
              </w:rPr>
            </w:pPr>
          </w:p>
        </w:tc>
        <w:tc>
          <w:tcPr>
            <w:tcW w:w="1116" w:type="dxa"/>
            <w:tcBorders>
              <w:top w:val="nil"/>
              <w:left w:val="nil"/>
              <w:bottom w:val="single" w:sz="8" w:space="0" w:color="000000"/>
              <w:right w:val="single" w:sz="8" w:space="0" w:color="000000"/>
            </w:tcBorders>
            <w:shd w:val="clear" w:color="auto" w:fill="DDEBF7"/>
            <w:vAlign w:val="center"/>
          </w:tcPr>
          <w:p w:rsidR="00EC6E89" w:rsidRPr="00B20397" w:rsidP="00474A41" w14:paraId="0A916AC2" w14:textId="5D3681E7">
            <w:pPr>
              <w:widowControl/>
              <w:jc w:val="center"/>
              <w:rPr>
                <w:rFonts w:eastAsia="Calibri" w:asciiTheme="minorHAnsi" w:hAnsiTheme="minorHAnsi" w:cstheme="minorHAnsi"/>
                <w:b/>
                <w:color w:val="000000"/>
                <w:sz w:val="18"/>
                <w:szCs w:val="18"/>
              </w:rPr>
            </w:pPr>
            <w:r w:rsidRPr="00B20397">
              <w:rPr>
                <w:rFonts w:eastAsia="Calibri" w:asciiTheme="minorHAnsi" w:hAnsiTheme="minorHAnsi" w:cstheme="minorHAnsi"/>
                <w:b/>
                <w:color w:val="000000"/>
                <w:sz w:val="18"/>
                <w:szCs w:val="18"/>
              </w:rPr>
              <w:t>$</w:t>
            </w:r>
            <w:r w:rsidRPr="00B20397" w:rsidR="00B20397">
              <w:rPr>
                <w:rFonts w:eastAsia="Calibri" w:asciiTheme="minorHAnsi" w:hAnsiTheme="minorHAnsi" w:cstheme="minorHAnsi"/>
                <w:b/>
                <w:color w:val="000000"/>
                <w:sz w:val="18"/>
                <w:szCs w:val="18"/>
              </w:rPr>
              <w:t>13,513</w:t>
            </w:r>
          </w:p>
        </w:tc>
      </w:tr>
    </w:tbl>
    <w:p w:rsidR="00996A24" w:rsidRPr="008832E1" w:rsidP="008832E1" w14:paraId="70F368F2" w14:textId="642CC725"/>
    <w:p w:rsidR="008832E1" w:rsidRPr="008832E1" w:rsidP="008832E1" w14:paraId="24E0B05C" w14:textId="47B6F7A7"/>
    <w:p w:rsidR="00774BBC" w:rsidP="00996A24" w14:paraId="42FB6A29"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 xml:space="preserve">Provide an estimate for the total annual cost burden to respondents or </w:t>
      </w:r>
      <w:r>
        <w:rPr>
          <w:b/>
          <w:color w:val="000000"/>
        </w:rPr>
        <w:t>record keepers resulting from the collection of information. (Do not include the cost of any hour burden already reflected on the burden worksheet).</w:t>
      </w:r>
    </w:p>
    <w:p w:rsidR="00D75D71" w:rsidP="00996A24" w14:paraId="2F18C01B" w14:textId="77777777">
      <w:pPr>
        <w:pBdr>
          <w:top w:val="nil"/>
          <w:left w:val="nil"/>
          <w:bottom w:val="nil"/>
          <w:right w:val="nil"/>
          <w:between w:val="nil"/>
        </w:pBdr>
      </w:pPr>
    </w:p>
    <w:p w:rsidR="00A731E6" w:rsidP="00996A24" w14:paraId="1DC97386" w14:textId="77777777">
      <w:pPr>
        <w:pBdr>
          <w:top w:val="nil"/>
          <w:left w:val="nil"/>
          <w:bottom w:val="nil"/>
          <w:right w:val="nil"/>
          <w:between w:val="nil"/>
        </w:pBdr>
      </w:pPr>
      <w:r w:rsidRPr="00D75D71">
        <w:t>Operating costs account for the typical inclusive general office services packages that include expenses f</w:t>
      </w:r>
      <w:r w:rsidRPr="00D75D71">
        <w:t>or email, fax, copying, mailing, printing, and internet.</w:t>
      </w:r>
      <w:r w:rsidR="008832E1">
        <w:t xml:space="preserve"> </w:t>
      </w:r>
    </w:p>
    <w:p w:rsidR="00A731E6" w:rsidP="00996A24" w14:paraId="28B7486F" w14:textId="77777777">
      <w:pPr>
        <w:pBdr>
          <w:top w:val="nil"/>
          <w:left w:val="nil"/>
          <w:bottom w:val="nil"/>
          <w:right w:val="nil"/>
          <w:between w:val="nil"/>
        </w:pBdr>
      </w:pPr>
    </w:p>
    <w:p w:rsidR="00996A24" w:rsidP="00996A24" w14:paraId="4EC97DCA" w14:textId="52E2F36A">
      <w:pPr>
        <w:pBdr>
          <w:top w:val="nil"/>
          <w:left w:val="nil"/>
          <w:bottom w:val="nil"/>
          <w:right w:val="nil"/>
          <w:between w:val="nil"/>
        </w:pBdr>
      </w:pPr>
      <w:r>
        <w:t>Additional costs may be incurred for the EFP application</w:t>
      </w:r>
      <w:r w:rsidR="00A731E6">
        <w:t xml:space="preserve"> but are not included in the table below because it depends on the design of the EFP. I</w:t>
      </w:r>
      <w:r>
        <w:t>f a statistical power analysis is needed for the EFP a</w:t>
      </w:r>
      <w:r>
        <w:t xml:space="preserve">pplication, the applicant </w:t>
      </w:r>
      <w:r w:rsidR="00A731E6">
        <w:t xml:space="preserve">may </w:t>
      </w:r>
      <w:r>
        <w:t>hire a statistician with</w:t>
      </w:r>
      <w:r w:rsidRPr="008832E1">
        <w:t xml:space="preserve"> experience with experimental design and power analyses.</w:t>
      </w:r>
      <w:r w:rsidRPr="00A731E6" w:rsidR="00A731E6">
        <w:t xml:space="preserve"> </w:t>
      </w:r>
      <w:r w:rsidR="00A731E6">
        <w:t xml:space="preserve">Based on a comment received during this renewal, the cost for a statistician to </w:t>
      </w:r>
      <w:r w:rsidRPr="00A731E6" w:rsidR="00A731E6">
        <w:t>work through and write up a power analysis</w:t>
      </w:r>
      <w:r w:rsidR="00A731E6">
        <w:t xml:space="preserve"> is </w:t>
      </w:r>
      <w:r w:rsidRPr="00A731E6" w:rsidR="00A731E6">
        <w:t xml:space="preserve">$300 to $500 per hour and </w:t>
      </w:r>
      <w:r w:rsidR="00A731E6">
        <w:t xml:space="preserve">takes 10 to </w:t>
      </w:r>
      <w:r w:rsidRPr="00A731E6" w:rsidR="00A731E6">
        <w:t>20 hours</w:t>
      </w:r>
      <w:r w:rsidR="00A731E6">
        <w:t xml:space="preserve"> or more.</w:t>
      </w:r>
    </w:p>
    <w:p w:rsidR="00D75D71" w:rsidRPr="00996A24" w:rsidP="00996A24" w14:paraId="51A0225E" w14:textId="77777777">
      <w:pPr>
        <w:pBdr>
          <w:top w:val="nil"/>
          <w:left w:val="nil"/>
          <w:bottom w:val="nil"/>
          <w:right w:val="nil"/>
          <w:between w:val="nil"/>
        </w:pBdr>
      </w:pPr>
    </w:p>
    <w:tbl>
      <w:tblPr>
        <w:tblStyle w:val="a1"/>
        <w:tblW w:w="10081" w:type="dxa"/>
        <w:jc w:val="center"/>
        <w:tblLayout w:type="fixed"/>
        <w:tblLook w:val="0400"/>
      </w:tblPr>
      <w:tblGrid>
        <w:gridCol w:w="2690"/>
        <w:gridCol w:w="1464"/>
        <w:gridCol w:w="1424"/>
        <w:gridCol w:w="1252"/>
        <w:gridCol w:w="1751"/>
        <w:gridCol w:w="1500"/>
      </w:tblGrid>
      <w:tr w14:paraId="38CE8511" w14:textId="77777777" w:rsidTr="00475959">
        <w:tblPrEx>
          <w:tblW w:w="10081" w:type="dxa"/>
          <w:jc w:val="center"/>
          <w:tblLayout w:type="fixed"/>
          <w:tblLook w:val="0400"/>
        </w:tblPrEx>
        <w:trPr>
          <w:trHeight w:val="719"/>
          <w:jc w:val="center"/>
        </w:trPr>
        <w:tc>
          <w:tcPr>
            <w:tcW w:w="269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774BBC" w:rsidRPr="00475959" w14:paraId="22EB87ED" w14:textId="77777777">
            <w:pPr>
              <w:widowControl/>
              <w:jc w:val="center"/>
              <w:rPr>
                <w:rFonts w:ascii="Calibri" w:eastAsia="Calibri" w:hAnsi="Calibri" w:cs="Calibri"/>
                <w:b/>
                <w:color w:val="000000"/>
                <w:sz w:val="16"/>
                <w:szCs w:val="16"/>
              </w:rPr>
            </w:pPr>
            <w:r w:rsidRPr="00475959">
              <w:rPr>
                <w:rFonts w:ascii="Calibri" w:eastAsia="Calibri" w:hAnsi="Calibri" w:cs="Calibri"/>
                <w:b/>
                <w:color w:val="000000"/>
                <w:sz w:val="16"/>
                <w:szCs w:val="16"/>
              </w:rPr>
              <w:t>Information Collection</w:t>
            </w:r>
          </w:p>
        </w:tc>
        <w:tc>
          <w:tcPr>
            <w:tcW w:w="1464" w:type="dxa"/>
            <w:tcBorders>
              <w:top w:val="single" w:sz="8" w:space="0" w:color="000000"/>
              <w:left w:val="nil"/>
              <w:bottom w:val="single" w:sz="8" w:space="0" w:color="000000"/>
              <w:right w:val="single" w:sz="8" w:space="0" w:color="000000"/>
            </w:tcBorders>
            <w:shd w:val="clear" w:color="auto" w:fill="BDD7EE"/>
            <w:vAlign w:val="center"/>
          </w:tcPr>
          <w:p w:rsidR="00774BBC" w:rsidRPr="00475959" w14:paraId="40CA44E5" w14:textId="77777777">
            <w:pPr>
              <w:widowControl/>
              <w:jc w:val="center"/>
              <w:rPr>
                <w:rFonts w:ascii="Calibri" w:eastAsia="Calibri" w:hAnsi="Calibri" w:cs="Calibri"/>
                <w:b/>
                <w:color w:val="000000"/>
                <w:sz w:val="16"/>
                <w:szCs w:val="16"/>
              </w:rPr>
            </w:pPr>
            <w:r w:rsidRPr="00475959">
              <w:rPr>
                <w:rFonts w:ascii="Calibri" w:eastAsia="Calibri" w:hAnsi="Calibri" w:cs="Calibri"/>
                <w:b/>
                <w:color w:val="000000"/>
                <w:sz w:val="16"/>
                <w:szCs w:val="16"/>
              </w:rPr>
              <w:t># of Respondents/year</w:t>
            </w:r>
            <w:r w:rsidRPr="00475959">
              <w:rPr>
                <w:rFonts w:ascii="Calibri" w:eastAsia="Calibri" w:hAnsi="Calibri" w:cs="Calibri"/>
                <w:b/>
                <w:color w:val="000000"/>
                <w:sz w:val="16"/>
                <w:szCs w:val="16"/>
              </w:rPr>
              <w:br/>
              <w:t>(a)</w:t>
            </w:r>
          </w:p>
        </w:tc>
        <w:tc>
          <w:tcPr>
            <w:tcW w:w="1424" w:type="dxa"/>
            <w:tcBorders>
              <w:top w:val="single" w:sz="8" w:space="0" w:color="000000"/>
              <w:left w:val="nil"/>
              <w:bottom w:val="single" w:sz="8" w:space="0" w:color="000000"/>
              <w:right w:val="single" w:sz="8" w:space="0" w:color="000000"/>
            </w:tcBorders>
            <w:shd w:val="clear" w:color="auto" w:fill="BDD7EE"/>
            <w:vAlign w:val="center"/>
          </w:tcPr>
          <w:p w:rsidR="00774BBC" w:rsidRPr="00475959" w14:paraId="2AC1EF11" w14:textId="77777777">
            <w:pPr>
              <w:widowControl/>
              <w:jc w:val="center"/>
              <w:rPr>
                <w:rFonts w:ascii="Calibri" w:eastAsia="Calibri" w:hAnsi="Calibri" w:cs="Calibri"/>
                <w:b/>
                <w:color w:val="000000"/>
                <w:sz w:val="16"/>
                <w:szCs w:val="16"/>
              </w:rPr>
            </w:pPr>
            <w:r w:rsidRPr="00475959">
              <w:rPr>
                <w:rFonts w:ascii="Calibri" w:eastAsia="Calibri" w:hAnsi="Calibri" w:cs="Calibri"/>
                <w:b/>
                <w:color w:val="000000"/>
                <w:sz w:val="16"/>
                <w:szCs w:val="16"/>
              </w:rPr>
              <w:t>Annual # of Responses / Respondent</w:t>
            </w:r>
            <w:r w:rsidRPr="00475959">
              <w:rPr>
                <w:rFonts w:ascii="Calibri" w:eastAsia="Calibri" w:hAnsi="Calibri" w:cs="Calibri"/>
                <w:b/>
                <w:color w:val="000000"/>
                <w:sz w:val="16"/>
                <w:szCs w:val="16"/>
              </w:rPr>
              <w:br/>
              <w:t>(b)</w:t>
            </w:r>
          </w:p>
        </w:tc>
        <w:tc>
          <w:tcPr>
            <w:tcW w:w="1252" w:type="dxa"/>
            <w:tcBorders>
              <w:top w:val="single" w:sz="8" w:space="0" w:color="000000"/>
              <w:left w:val="nil"/>
              <w:bottom w:val="single" w:sz="8" w:space="0" w:color="000000"/>
              <w:right w:val="single" w:sz="8" w:space="0" w:color="000000"/>
            </w:tcBorders>
            <w:shd w:val="clear" w:color="auto" w:fill="BDD7EE"/>
            <w:vAlign w:val="center"/>
          </w:tcPr>
          <w:p w:rsidR="00774BBC" w:rsidRPr="00475959" w14:paraId="6CFD2BE6" w14:textId="77777777">
            <w:pPr>
              <w:widowControl/>
              <w:jc w:val="center"/>
              <w:rPr>
                <w:rFonts w:ascii="Calibri" w:eastAsia="Calibri" w:hAnsi="Calibri" w:cs="Calibri"/>
                <w:b/>
                <w:color w:val="000000"/>
                <w:sz w:val="16"/>
                <w:szCs w:val="16"/>
              </w:rPr>
            </w:pPr>
            <w:r w:rsidRPr="00475959">
              <w:rPr>
                <w:rFonts w:ascii="Calibri" w:eastAsia="Calibri" w:hAnsi="Calibri" w:cs="Calibri"/>
                <w:b/>
                <w:color w:val="000000"/>
                <w:sz w:val="16"/>
                <w:szCs w:val="16"/>
              </w:rPr>
              <w:t xml:space="preserve"> Total # of Annual Responses</w:t>
            </w:r>
            <w:r w:rsidRPr="00475959">
              <w:rPr>
                <w:rFonts w:ascii="Calibri" w:eastAsia="Calibri" w:hAnsi="Calibri" w:cs="Calibri"/>
                <w:b/>
                <w:color w:val="000000"/>
                <w:sz w:val="16"/>
                <w:szCs w:val="16"/>
              </w:rPr>
              <w:br/>
              <w:t>(c) = (a) x (b)</w:t>
            </w:r>
          </w:p>
        </w:tc>
        <w:tc>
          <w:tcPr>
            <w:tcW w:w="1751" w:type="dxa"/>
            <w:tcBorders>
              <w:top w:val="single" w:sz="8" w:space="0" w:color="000000"/>
              <w:left w:val="nil"/>
              <w:bottom w:val="single" w:sz="8" w:space="0" w:color="000000"/>
              <w:right w:val="single" w:sz="8" w:space="0" w:color="000000"/>
            </w:tcBorders>
            <w:shd w:val="clear" w:color="auto" w:fill="BDD7EE"/>
            <w:vAlign w:val="center"/>
          </w:tcPr>
          <w:p w:rsidR="00774BBC" w:rsidRPr="00475959" w14:paraId="478A16C2" w14:textId="59C333E5">
            <w:pPr>
              <w:widowControl/>
              <w:jc w:val="center"/>
              <w:rPr>
                <w:rFonts w:ascii="Calibri" w:eastAsia="Calibri" w:hAnsi="Calibri" w:cs="Calibri"/>
                <w:b/>
                <w:color w:val="000000"/>
                <w:sz w:val="16"/>
                <w:szCs w:val="16"/>
              </w:rPr>
            </w:pPr>
            <w:r w:rsidRPr="00475959">
              <w:rPr>
                <w:rFonts w:ascii="Calibri" w:eastAsia="Calibri" w:hAnsi="Calibri" w:cs="Calibri"/>
                <w:b/>
                <w:color w:val="000000"/>
                <w:sz w:val="16"/>
                <w:szCs w:val="16"/>
              </w:rPr>
              <w:t>Cost Burden / Respondent</w:t>
            </w:r>
            <w:r w:rsidRPr="00475959">
              <w:rPr>
                <w:rFonts w:ascii="Calibri" w:eastAsia="Calibri" w:hAnsi="Calibri" w:cs="Calibri"/>
                <w:b/>
                <w:color w:val="000000"/>
                <w:sz w:val="16"/>
                <w:szCs w:val="16"/>
              </w:rPr>
              <w:br/>
              <w:t>(h)</w:t>
            </w:r>
          </w:p>
        </w:tc>
        <w:tc>
          <w:tcPr>
            <w:tcW w:w="1500" w:type="dxa"/>
            <w:tcBorders>
              <w:top w:val="single" w:sz="8" w:space="0" w:color="000000"/>
              <w:left w:val="nil"/>
              <w:bottom w:val="single" w:sz="8" w:space="0" w:color="000000"/>
              <w:right w:val="single" w:sz="8" w:space="0" w:color="000000"/>
            </w:tcBorders>
            <w:shd w:val="clear" w:color="auto" w:fill="BDD7EE"/>
            <w:vAlign w:val="center"/>
          </w:tcPr>
          <w:p w:rsidR="00774BBC" w:rsidRPr="00475959" w14:paraId="1797E23A" w14:textId="77777777">
            <w:pPr>
              <w:widowControl/>
              <w:jc w:val="center"/>
              <w:rPr>
                <w:rFonts w:ascii="Calibri" w:eastAsia="Calibri" w:hAnsi="Calibri" w:cs="Calibri"/>
                <w:b/>
                <w:color w:val="000000"/>
                <w:sz w:val="16"/>
                <w:szCs w:val="16"/>
              </w:rPr>
            </w:pPr>
            <w:r w:rsidRPr="00475959">
              <w:rPr>
                <w:rFonts w:ascii="Calibri" w:eastAsia="Calibri" w:hAnsi="Calibri" w:cs="Calibri"/>
                <w:b/>
                <w:color w:val="000000"/>
                <w:sz w:val="16"/>
                <w:szCs w:val="16"/>
              </w:rPr>
              <w:t>Total Annual Cost Burden</w:t>
            </w:r>
            <w:r w:rsidRPr="00475959">
              <w:rPr>
                <w:rFonts w:ascii="Calibri" w:eastAsia="Calibri" w:hAnsi="Calibri" w:cs="Calibri"/>
                <w:b/>
                <w:color w:val="000000"/>
                <w:sz w:val="16"/>
                <w:szCs w:val="16"/>
              </w:rPr>
              <w:br/>
              <w:t>(i) = (c) x (h)</w:t>
            </w:r>
          </w:p>
        </w:tc>
      </w:tr>
      <w:tr w14:paraId="70418733" w14:textId="77777777" w:rsidTr="00475959">
        <w:tblPrEx>
          <w:tblW w:w="10081" w:type="dxa"/>
          <w:jc w:val="center"/>
          <w:tblLayout w:type="fixed"/>
          <w:tblLook w:val="0400"/>
        </w:tblPrEx>
        <w:trPr>
          <w:trHeight w:val="234"/>
          <w:jc w:val="center"/>
        </w:trPr>
        <w:tc>
          <w:tcPr>
            <w:tcW w:w="2690" w:type="dxa"/>
            <w:tcBorders>
              <w:top w:val="nil"/>
              <w:left w:val="single" w:sz="4" w:space="0" w:color="auto"/>
              <w:bottom w:val="single" w:sz="4" w:space="0" w:color="auto"/>
              <w:right w:val="single" w:sz="4" w:space="0" w:color="auto"/>
            </w:tcBorders>
            <w:shd w:val="clear" w:color="auto" w:fill="auto"/>
            <w:vAlign w:val="center"/>
          </w:tcPr>
          <w:p w:rsidR="001B0187" w:rsidRPr="0094588B" w:rsidP="001B0187" w14:paraId="65D3A747" w14:textId="14125265">
            <w:pPr>
              <w:widowControl/>
              <w:rPr>
                <w:rFonts w:ascii="Calibri" w:eastAsia="Calibri" w:hAnsi="Calibri" w:cs="Calibri"/>
                <w:color w:val="000000"/>
                <w:sz w:val="18"/>
                <w:szCs w:val="18"/>
              </w:rPr>
            </w:pPr>
            <w:r>
              <w:rPr>
                <w:rFonts w:ascii="Calibri" w:hAnsi="Calibri" w:cs="Calibri"/>
                <w:color w:val="000000"/>
                <w:sz w:val="18"/>
                <w:szCs w:val="18"/>
              </w:rPr>
              <w:t xml:space="preserve">Application for </w:t>
            </w:r>
            <w:r w:rsidRPr="00BF3431">
              <w:rPr>
                <w:rFonts w:ascii="Calibri" w:hAnsi="Calibri" w:cs="Calibri"/>
                <w:color w:val="000000"/>
                <w:sz w:val="18"/>
                <w:szCs w:val="18"/>
              </w:rPr>
              <w:t xml:space="preserve">Federal </w:t>
            </w:r>
            <w:r>
              <w:rPr>
                <w:rFonts w:ascii="Calibri" w:hAnsi="Calibri" w:cs="Calibri"/>
                <w:color w:val="000000"/>
                <w:sz w:val="18"/>
                <w:szCs w:val="18"/>
              </w:rPr>
              <w:t>F</w:t>
            </w:r>
            <w:r w:rsidRPr="00BF3431">
              <w:rPr>
                <w:rFonts w:ascii="Calibri" w:hAnsi="Calibri" w:cs="Calibri"/>
                <w:color w:val="000000"/>
                <w:sz w:val="18"/>
                <w:szCs w:val="18"/>
              </w:rPr>
              <w:t xml:space="preserve">isheries </w:t>
            </w:r>
            <w:r>
              <w:rPr>
                <w:rFonts w:ascii="Calibri" w:hAnsi="Calibri" w:cs="Calibri"/>
                <w:color w:val="000000"/>
                <w:sz w:val="18"/>
                <w:szCs w:val="18"/>
              </w:rPr>
              <w:t>P</w:t>
            </w:r>
            <w:r w:rsidRPr="00BF3431">
              <w:rPr>
                <w:rFonts w:ascii="Calibri" w:hAnsi="Calibri" w:cs="Calibri"/>
                <w:color w:val="000000"/>
                <w:sz w:val="18"/>
                <w:szCs w:val="18"/>
              </w:rPr>
              <w:t xml:space="preserve">ermit </w:t>
            </w:r>
            <w:r>
              <w:rPr>
                <w:rFonts w:ascii="Calibri" w:hAnsi="Calibri" w:cs="Calibri"/>
                <w:color w:val="000000"/>
                <w:sz w:val="18"/>
                <w:szCs w:val="18"/>
              </w:rPr>
              <w:t>(FFP)</w:t>
            </w:r>
          </w:p>
        </w:tc>
        <w:tc>
          <w:tcPr>
            <w:tcW w:w="1464" w:type="dxa"/>
            <w:tcBorders>
              <w:top w:val="nil"/>
              <w:left w:val="nil"/>
              <w:bottom w:val="single" w:sz="4" w:space="0" w:color="auto"/>
              <w:right w:val="single" w:sz="4" w:space="0" w:color="auto"/>
            </w:tcBorders>
            <w:shd w:val="clear" w:color="000000" w:fill="FFFFFF"/>
            <w:vAlign w:val="center"/>
          </w:tcPr>
          <w:p w:rsidR="001B0187" w:rsidRPr="0094588B" w:rsidP="001B0187" w14:paraId="03C5414A" w14:textId="52A1190D">
            <w:pPr>
              <w:widowControl/>
              <w:jc w:val="center"/>
              <w:rPr>
                <w:rFonts w:ascii="Calibri" w:eastAsia="Calibri" w:hAnsi="Calibri" w:cs="Calibri"/>
                <w:color w:val="000000"/>
                <w:sz w:val="18"/>
                <w:szCs w:val="18"/>
              </w:rPr>
            </w:pPr>
            <w:r>
              <w:rPr>
                <w:rFonts w:ascii="Calibri" w:eastAsia="Calibri" w:hAnsi="Calibri" w:cs="Calibri"/>
                <w:color w:val="000000"/>
                <w:sz w:val="18"/>
                <w:szCs w:val="18"/>
              </w:rPr>
              <w:t>350</w:t>
            </w:r>
          </w:p>
        </w:tc>
        <w:tc>
          <w:tcPr>
            <w:tcW w:w="1424" w:type="dxa"/>
            <w:tcBorders>
              <w:top w:val="nil"/>
              <w:left w:val="nil"/>
              <w:bottom w:val="single" w:sz="4" w:space="0" w:color="auto"/>
              <w:right w:val="single" w:sz="4" w:space="0" w:color="auto"/>
            </w:tcBorders>
            <w:shd w:val="clear" w:color="000000" w:fill="FFFFFF"/>
            <w:vAlign w:val="center"/>
          </w:tcPr>
          <w:p w:rsidR="001B0187" w:rsidRPr="0094588B" w:rsidP="001B0187" w14:paraId="416655FA" w14:textId="0C95A6A9">
            <w:pPr>
              <w:widowControl/>
              <w:jc w:val="center"/>
              <w:rPr>
                <w:rFonts w:ascii="Calibri" w:eastAsia="Calibri" w:hAnsi="Calibri" w:cs="Calibri"/>
                <w:color w:val="000000"/>
                <w:sz w:val="18"/>
                <w:szCs w:val="18"/>
              </w:rPr>
            </w:pPr>
            <w:r w:rsidRPr="00BF3431">
              <w:rPr>
                <w:rFonts w:ascii="Calibri" w:hAnsi="Calibri" w:cs="Calibri"/>
                <w:color w:val="000000"/>
                <w:sz w:val="18"/>
                <w:szCs w:val="18"/>
              </w:rPr>
              <w:t>1</w:t>
            </w:r>
          </w:p>
        </w:tc>
        <w:tc>
          <w:tcPr>
            <w:tcW w:w="1252" w:type="dxa"/>
            <w:tcBorders>
              <w:top w:val="nil"/>
              <w:left w:val="nil"/>
              <w:bottom w:val="single" w:sz="4" w:space="0" w:color="auto"/>
              <w:right w:val="single" w:sz="4" w:space="0" w:color="auto"/>
            </w:tcBorders>
            <w:shd w:val="clear" w:color="000000" w:fill="FFFFFF"/>
            <w:vAlign w:val="center"/>
          </w:tcPr>
          <w:p w:rsidR="001B0187" w:rsidRPr="0094588B" w:rsidP="001B0187" w14:paraId="0DFD241A" w14:textId="5C1678D9">
            <w:pPr>
              <w:widowControl/>
              <w:jc w:val="center"/>
              <w:rPr>
                <w:rFonts w:ascii="Calibri" w:eastAsia="Calibri" w:hAnsi="Calibri" w:cs="Calibri"/>
                <w:color w:val="000000"/>
                <w:sz w:val="18"/>
                <w:szCs w:val="18"/>
              </w:rPr>
            </w:pPr>
            <w:r>
              <w:rPr>
                <w:rFonts w:ascii="Calibri" w:eastAsia="Calibri" w:hAnsi="Calibri" w:cs="Calibri"/>
                <w:color w:val="000000"/>
                <w:sz w:val="18"/>
                <w:szCs w:val="18"/>
              </w:rPr>
              <w:t>350</w:t>
            </w:r>
          </w:p>
        </w:tc>
        <w:tc>
          <w:tcPr>
            <w:tcW w:w="1751" w:type="dxa"/>
            <w:tcBorders>
              <w:top w:val="nil"/>
              <w:left w:val="nil"/>
              <w:bottom w:val="single" w:sz="4" w:space="0" w:color="auto"/>
              <w:right w:val="single" w:sz="4" w:space="0" w:color="auto"/>
            </w:tcBorders>
            <w:shd w:val="clear" w:color="000000" w:fill="FFFFFF"/>
            <w:vAlign w:val="center"/>
          </w:tcPr>
          <w:p w:rsidR="001B0187" w:rsidRPr="0094588B" w:rsidP="001B0187" w14:paraId="435EA979" w14:textId="52ADCF2B">
            <w:pPr>
              <w:widowControl/>
              <w:jc w:val="center"/>
              <w:rPr>
                <w:rFonts w:ascii="Calibri" w:eastAsia="Calibri" w:hAnsi="Calibri" w:cs="Calibri"/>
                <w:color w:val="000000"/>
                <w:sz w:val="18"/>
                <w:szCs w:val="18"/>
              </w:rPr>
            </w:pPr>
            <w:r>
              <w:rPr>
                <w:rFonts w:ascii="Calibri" w:hAnsi="Calibri" w:cs="Calibri"/>
                <w:color w:val="000000"/>
                <w:sz w:val="18"/>
                <w:szCs w:val="18"/>
              </w:rPr>
              <w:t xml:space="preserve">Operating costs - </w:t>
            </w:r>
            <w:r w:rsidRPr="00BF3431">
              <w:rPr>
                <w:rFonts w:ascii="Calibri" w:hAnsi="Calibri" w:cs="Calibri"/>
                <w:color w:val="000000"/>
                <w:sz w:val="18"/>
                <w:szCs w:val="18"/>
              </w:rPr>
              <w:t>$5</w:t>
            </w:r>
          </w:p>
        </w:tc>
        <w:tc>
          <w:tcPr>
            <w:tcW w:w="1500" w:type="dxa"/>
            <w:tcBorders>
              <w:top w:val="nil"/>
              <w:left w:val="nil"/>
              <w:bottom w:val="single" w:sz="4" w:space="0" w:color="auto"/>
              <w:right w:val="single" w:sz="8" w:space="0" w:color="auto"/>
            </w:tcBorders>
            <w:shd w:val="clear" w:color="000000" w:fill="FFFFFF"/>
            <w:vAlign w:val="center"/>
          </w:tcPr>
          <w:p w:rsidR="001B0187" w:rsidRPr="0094588B" w:rsidP="001B0187" w14:paraId="2198715B" w14:textId="0331BA75">
            <w:pPr>
              <w:widowControl/>
              <w:jc w:val="center"/>
              <w:rPr>
                <w:rFonts w:ascii="Calibri" w:eastAsia="Calibri" w:hAnsi="Calibri" w:cs="Calibri"/>
                <w:color w:val="000000"/>
                <w:sz w:val="18"/>
                <w:szCs w:val="18"/>
              </w:rPr>
            </w:pPr>
            <w:r>
              <w:rPr>
                <w:rFonts w:ascii="Calibri" w:eastAsia="Calibri" w:hAnsi="Calibri" w:cs="Calibri"/>
                <w:color w:val="000000"/>
                <w:sz w:val="18"/>
                <w:szCs w:val="18"/>
              </w:rPr>
              <w:t>$1,750</w:t>
            </w:r>
          </w:p>
        </w:tc>
      </w:tr>
      <w:tr w14:paraId="1476ABDB" w14:textId="77777777" w:rsidTr="00475959">
        <w:tblPrEx>
          <w:tblW w:w="10081" w:type="dxa"/>
          <w:jc w:val="center"/>
          <w:tblLayout w:type="fixed"/>
          <w:tblLook w:val="0400"/>
        </w:tblPrEx>
        <w:trPr>
          <w:trHeight w:val="234"/>
          <w:jc w:val="center"/>
        </w:trPr>
        <w:tc>
          <w:tcPr>
            <w:tcW w:w="2690" w:type="dxa"/>
            <w:tcBorders>
              <w:top w:val="nil"/>
              <w:left w:val="single" w:sz="4" w:space="0" w:color="auto"/>
              <w:bottom w:val="single" w:sz="4" w:space="0" w:color="auto"/>
              <w:right w:val="single" w:sz="4" w:space="0" w:color="auto"/>
            </w:tcBorders>
            <w:shd w:val="clear" w:color="auto" w:fill="auto"/>
            <w:vAlign w:val="center"/>
          </w:tcPr>
          <w:p w:rsidR="001B0187" w:rsidRPr="0094588B" w:rsidP="001B0187" w14:paraId="1CEC92E2" w14:textId="7BAA053E">
            <w:pPr>
              <w:widowControl/>
              <w:rPr>
                <w:rFonts w:ascii="Calibri" w:eastAsia="Calibri" w:hAnsi="Calibri" w:cs="Calibri"/>
                <w:color w:val="000000"/>
                <w:sz w:val="18"/>
                <w:szCs w:val="18"/>
              </w:rPr>
            </w:pPr>
            <w:r>
              <w:rPr>
                <w:rFonts w:ascii="Calibri" w:hAnsi="Calibri" w:cs="Calibri"/>
                <w:color w:val="000000"/>
                <w:sz w:val="18"/>
                <w:szCs w:val="18"/>
              </w:rPr>
              <w:t xml:space="preserve">Application for </w:t>
            </w:r>
            <w:r w:rsidRPr="00BF3431">
              <w:rPr>
                <w:rFonts w:ascii="Calibri" w:hAnsi="Calibri" w:cs="Calibri"/>
                <w:color w:val="000000"/>
                <w:sz w:val="18"/>
                <w:szCs w:val="18"/>
              </w:rPr>
              <w:t xml:space="preserve">Federal </w:t>
            </w:r>
            <w:r>
              <w:rPr>
                <w:rFonts w:ascii="Calibri" w:hAnsi="Calibri" w:cs="Calibri"/>
                <w:color w:val="000000"/>
                <w:sz w:val="18"/>
                <w:szCs w:val="18"/>
              </w:rPr>
              <w:t>Processor</w:t>
            </w:r>
            <w:r w:rsidRPr="00BF3431">
              <w:rPr>
                <w:rFonts w:ascii="Calibri" w:hAnsi="Calibri" w:cs="Calibri"/>
                <w:color w:val="000000"/>
                <w:sz w:val="18"/>
                <w:szCs w:val="18"/>
              </w:rPr>
              <w:t xml:space="preserve"> </w:t>
            </w:r>
            <w:r>
              <w:rPr>
                <w:rFonts w:ascii="Calibri" w:hAnsi="Calibri" w:cs="Calibri"/>
                <w:color w:val="000000"/>
                <w:sz w:val="18"/>
                <w:szCs w:val="18"/>
              </w:rPr>
              <w:t>P</w:t>
            </w:r>
            <w:r w:rsidRPr="00BF3431">
              <w:rPr>
                <w:rFonts w:ascii="Calibri" w:hAnsi="Calibri" w:cs="Calibri"/>
                <w:color w:val="000000"/>
                <w:sz w:val="18"/>
                <w:szCs w:val="18"/>
              </w:rPr>
              <w:t>ermit</w:t>
            </w:r>
            <w:r>
              <w:rPr>
                <w:rFonts w:ascii="Calibri" w:hAnsi="Calibri" w:cs="Calibri"/>
                <w:color w:val="000000"/>
                <w:sz w:val="18"/>
                <w:szCs w:val="18"/>
              </w:rPr>
              <w:t xml:space="preserve"> (FPP)</w:t>
            </w:r>
            <w:r w:rsidRPr="00BF3431">
              <w:rPr>
                <w:rFonts w:ascii="Calibri" w:hAnsi="Calibri" w:cs="Calibri"/>
                <w:color w:val="000000"/>
                <w:sz w:val="18"/>
                <w:szCs w:val="18"/>
              </w:rPr>
              <w:t xml:space="preserve"> </w:t>
            </w:r>
          </w:p>
        </w:tc>
        <w:tc>
          <w:tcPr>
            <w:tcW w:w="1464" w:type="dxa"/>
            <w:tcBorders>
              <w:top w:val="nil"/>
              <w:left w:val="nil"/>
              <w:bottom w:val="single" w:sz="4" w:space="0" w:color="auto"/>
              <w:right w:val="single" w:sz="4" w:space="0" w:color="auto"/>
            </w:tcBorders>
            <w:shd w:val="clear" w:color="000000" w:fill="FFFFFF"/>
            <w:vAlign w:val="center"/>
          </w:tcPr>
          <w:p w:rsidR="001B0187" w:rsidRPr="0094588B" w:rsidP="001B0187" w14:paraId="3ACBBC8C" w14:textId="6623251B">
            <w:pPr>
              <w:widowControl/>
              <w:jc w:val="center"/>
              <w:rPr>
                <w:rFonts w:ascii="Calibri" w:eastAsia="Calibri" w:hAnsi="Calibri" w:cs="Calibri"/>
                <w:color w:val="000000"/>
                <w:sz w:val="18"/>
                <w:szCs w:val="18"/>
              </w:rPr>
            </w:pPr>
            <w:r>
              <w:rPr>
                <w:rFonts w:ascii="Calibri" w:eastAsia="Calibri" w:hAnsi="Calibri" w:cs="Calibri"/>
                <w:color w:val="000000"/>
                <w:sz w:val="18"/>
                <w:szCs w:val="18"/>
              </w:rPr>
              <w:t>79</w:t>
            </w:r>
          </w:p>
        </w:tc>
        <w:tc>
          <w:tcPr>
            <w:tcW w:w="1424" w:type="dxa"/>
            <w:tcBorders>
              <w:top w:val="nil"/>
              <w:left w:val="nil"/>
              <w:bottom w:val="single" w:sz="4" w:space="0" w:color="auto"/>
              <w:right w:val="single" w:sz="4" w:space="0" w:color="auto"/>
            </w:tcBorders>
            <w:shd w:val="clear" w:color="000000" w:fill="FFFFFF"/>
            <w:vAlign w:val="center"/>
          </w:tcPr>
          <w:p w:rsidR="001B0187" w:rsidRPr="0094588B" w:rsidP="001B0187" w14:paraId="350D1589" w14:textId="19EE0603">
            <w:pPr>
              <w:widowControl/>
              <w:jc w:val="center"/>
              <w:rPr>
                <w:rFonts w:ascii="Calibri" w:eastAsia="Calibri" w:hAnsi="Calibri" w:cs="Calibri"/>
                <w:color w:val="000000"/>
                <w:sz w:val="18"/>
                <w:szCs w:val="18"/>
              </w:rPr>
            </w:pPr>
            <w:r w:rsidRPr="00BF3431">
              <w:rPr>
                <w:rFonts w:ascii="Calibri" w:hAnsi="Calibri" w:cs="Calibri"/>
                <w:color w:val="000000"/>
                <w:sz w:val="18"/>
                <w:szCs w:val="18"/>
              </w:rPr>
              <w:t>1</w:t>
            </w:r>
          </w:p>
        </w:tc>
        <w:tc>
          <w:tcPr>
            <w:tcW w:w="1252" w:type="dxa"/>
            <w:tcBorders>
              <w:top w:val="nil"/>
              <w:left w:val="nil"/>
              <w:bottom w:val="single" w:sz="4" w:space="0" w:color="auto"/>
              <w:right w:val="single" w:sz="4" w:space="0" w:color="auto"/>
            </w:tcBorders>
            <w:shd w:val="clear" w:color="000000" w:fill="FFFFFF"/>
            <w:vAlign w:val="center"/>
          </w:tcPr>
          <w:p w:rsidR="001B0187" w:rsidRPr="0094588B" w:rsidP="001B0187" w14:paraId="51FFF7F8" w14:textId="5BD5C49F">
            <w:pPr>
              <w:widowControl/>
              <w:jc w:val="center"/>
              <w:rPr>
                <w:rFonts w:ascii="Calibri" w:eastAsia="Calibri" w:hAnsi="Calibri" w:cs="Calibri"/>
                <w:color w:val="000000"/>
                <w:sz w:val="18"/>
                <w:szCs w:val="18"/>
              </w:rPr>
            </w:pPr>
            <w:r>
              <w:rPr>
                <w:rFonts w:ascii="Calibri" w:eastAsia="Calibri" w:hAnsi="Calibri" w:cs="Calibri"/>
                <w:color w:val="000000"/>
                <w:sz w:val="18"/>
                <w:szCs w:val="18"/>
              </w:rPr>
              <w:t>79</w:t>
            </w:r>
          </w:p>
        </w:tc>
        <w:tc>
          <w:tcPr>
            <w:tcW w:w="1751" w:type="dxa"/>
            <w:tcBorders>
              <w:top w:val="nil"/>
              <w:left w:val="nil"/>
              <w:bottom w:val="single" w:sz="4" w:space="0" w:color="auto"/>
              <w:right w:val="single" w:sz="4" w:space="0" w:color="auto"/>
            </w:tcBorders>
            <w:shd w:val="clear" w:color="000000" w:fill="FFFFFF"/>
            <w:vAlign w:val="center"/>
          </w:tcPr>
          <w:p w:rsidR="001B0187" w:rsidRPr="0094588B" w:rsidP="001B0187" w14:paraId="63D8BEB5" w14:textId="7245B733">
            <w:pPr>
              <w:widowControl/>
              <w:jc w:val="center"/>
              <w:rPr>
                <w:rFonts w:ascii="Calibri" w:eastAsia="Calibri" w:hAnsi="Calibri" w:cs="Calibri"/>
                <w:color w:val="000000"/>
                <w:sz w:val="18"/>
                <w:szCs w:val="18"/>
              </w:rPr>
            </w:pPr>
            <w:r w:rsidRPr="00502541">
              <w:rPr>
                <w:rFonts w:ascii="Calibri" w:hAnsi="Calibri" w:cs="Calibri"/>
                <w:color w:val="000000"/>
                <w:sz w:val="18"/>
                <w:szCs w:val="18"/>
              </w:rPr>
              <w:t xml:space="preserve">Operating costs - </w:t>
            </w:r>
            <w:r w:rsidRPr="00BF3431">
              <w:rPr>
                <w:rFonts w:ascii="Calibri" w:hAnsi="Calibri" w:cs="Calibri"/>
                <w:color w:val="000000"/>
                <w:sz w:val="18"/>
                <w:szCs w:val="18"/>
              </w:rPr>
              <w:t>$5</w:t>
            </w:r>
          </w:p>
        </w:tc>
        <w:tc>
          <w:tcPr>
            <w:tcW w:w="1500" w:type="dxa"/>
            <w:tcBorders>
              <w:top w:val="nil"/>
              <w:left w:val="nil"/>
              <w:bottom w:val="single" w:sz="4" w:space="0" w:color="auto"/>
              <w:right w:val="single" w:sz="8" w:space="0" w:color="auto"/>
            </w:tcBorders>
            <w:shd w:val="clear" w:color="000000" w:fill="FFFFFF"/>
            <w:vAlign w:val="center"/>
          </w:tcPr>
          <w:p w:rsidR="001B0187" w:rsidRPr="0094588B" w:rsidP="001B0187" w14:paraId="0D1908E3" w14:textId="6F4AA02F">
            <w:pPr>
              <w:widowControl/>
              <w:jc w:val="center"/>
              <w:rPr>
                <w:rFonts w:ascii="Calibri" w:eastAsia="Calibri" w:hAnsi="Calibri" w:cs="Calibri"/>
                <w:color w:val="000000"/>
                <w:sz w:val="18"/>
                <w:szCs w:val="18"/>
              </w:rPr>
            </w:pPr>
            <w:r>
              <w:rPr>
                <w:rFonts w:ascii="Calibri" w:eastAsia="Calibri" w:hAnsi="Calibri" w:cs="Calibri"/>
                <w:color w:val="000000"/>
                <w:sz w:val="18"/>
                <w:szCs w:val="18"/>
              </w:rPr>
              <w:t>$395</w:t>
            </w:r>
          </w:p>
        </w:tc>
      </w:tr>
      <w:tr w14:paraId="11B40E63" w14:textId="77777777" w:rsidTr="00475959">
        <w:tblPrEx>
          <w:tblW w:w="10081" w:type="dxa"/>
          <w:jc w:val="center"/>
          <w:tblLayout w:type="fixed"/>
          <w:tblLook w:val="0400"/>
        </w:tblPrEx>
        <w:trPr>
          <w:trHeight w:val="234"/>
          <w:jc w:val="center"/>
        </w:trPr>
        <w:tc>
          <w:tcPr>
            <w:tcW w:w="2690" w:type="dxa"/>
            <w:tcBorders>
              <w:top w:val="nil"/>
              <w:left w:val="single" w:sz="4" w:space="0" w:color="auto"/>
              <w:bottom w:val="single" w:sz="4" w:space="0" w:color="auto"/>
              <w:right w:val="single" w:sz="4" w:space="0" w:color="auto"/>
            </w:tcBorders>
            <w:shd w:val="clear" w:color="auto" w:fill="auto"/>
            <w:vAlign w:val="center"/>
          </w:tcPr>
          <w:p w:rsidR="001B0187" w:rsidRPr="0094588B" w:rsidP="001B0187" w14:paraId="27ABBDA9" w14:textId="3FADB84E">
            <w:pPr>
              <w:widowControl/>
              <w:rPr>
                <w:rFonts w:ascii="Calibri" w:eastAsia="Calibri" w:hAnsi="Calibri" w:cs="Calibri"/>
                <w:color w:val="000000"/>
                <w:sz w:val="18"/>
                <w:szCs w:val="18"/>
              </w:rPr>
            </w:pPr>
            <w:r w:rsidRPr="008C4441">
              <w:rPr>
                <w:rFonts w:ascii="Calibri" w:hAnsi="Calibri" w:cs="Calibri"/>
                <w:color w:val="000000"/>
                <w:sz w:val="18"/>
                <w:szCs w:val="18"/>
              </w:rPr>
              <w:t>Exempted Fishing Permit (EFP) Application</w:t>
            </w:r>
          </w:p>
        </w:tc>
        <w:tc>
          <w:tcPr>
            <w:tcW w:w="1464" w:type="dxa"/>
            <w:tcBorders>
              <w:top w:val="nil"/>
              <w:left w:val="nil"/>
              <w:bottom w:val="single" w:sz="4" w:space="0" w:color="auto"/>
              <w:right w:val="single" w:sz="4" w:space="0" w:color="auto"/>
            </w:tcBorders>
            <w:shd w:val="clear" w:color="000000" w:fill="FFFFFF"/>
            <w:vAlign w:val="center"/>
          </w:tcPr>
          <w:p w:rsidR="001B0187" w:rsidRPr="0094588B" w:rsidP="001B0187" w14:paraId="0297D2B7" w14:textId="41FAE055">
            <w:pPr>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424" w:type="dxa"/>
            <w:tcBorders>
              <w:top w:val="nil"/>
              <w:left w:val="nil"/>
              <w:bottom w:val="single" w:sz="4" w:space="0" w:color="auto"/>
              <w:right w:val="single" w:sz="4" w:space="0" w:color="auto"/>
            </w:tcBorders>
            <w:shd w:val="clear" w:color="000000" w:fill="FFFFFF"/>
            <w:vAlign w:val="center"/>
          </w:tcPr>
          <w:p w:rsidR="001B0187" w:rsidRPr="0094588B" w:rsidP="001B0187" w14:paraId="157B738D" w14:textId="265EC113">
            <w:pPr>
              <w:widowControl/>
              <w:jc w:val="center"/>
              <w:rPr>
                <w:rFonts w:ascii="Calibri" w:eastAsia="Calibri" w:hAnsi="Calibri" w:cs="Calibri"/>
                <w:color w:val="000000"/>
                <w:sz w:val="18"/>
                <w:szCs w:val="18"/>
              </w:rPr>
            </w:pPr>
            <w:r w:rsidRPr="00BF3431">
              <w:rPr>
                <w:rFonts w:ascii="Calibri" w:hAnsi="Calibri" w:cs="Calibri"/>
                <w:color w:val="000000"/>
                <w:sz w:val="18"/>
                <w:szCs w:val="18"/>
              </w:rPr>
              <w:t>1</w:t>
            </w:r>
          </w:p>
        </w:tc>
        <w:tc>
          <w:tcPr>
            <w:tcW w:w="1252" w:type="dxa"/>
            <w:tcBorders>
              <w:top w:val="nil"/>
              <w:left w:val="nil"/>
              <w:bottom w:val="single" w:sz="4" w:space="0" w:color="auto"/>
              <w:right w:val="single" w:sz="4" w:space="0" w:color="auto"/>
            </w:tcBorders>
            <w:shd w:val="clear" w:color="000000" w:fill="FFFFFF"/>
            <w:vAlign w:val="center"/>
          </w:tcPr>
          <w:p w:rsidR="001B0187" w:rsidRPr="0094588B" w:rsidP="001B0187" w14:paraId="3C0C9D20" w14:textId="039C9F1C">
            <w:pPr>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751" w:type="dxa"/>
            <w:tcBorders>
              <w:top w:val="nil"/>
              <w:left w:val="nil"/>
              <w:bottom w:val="single" w:sz="4" w:space="0" w:color="auto"/>
              <w:right w:val="single" w:sz="4" w:space="0" w:color="auto"/>
            </w:tcBorders>
            <w:shd w:val="clear" w:color="000000" w:fill="FFFFFF"/>
            <w:vAlign w:val="center"/>
          </w:tcPr>
          <w:p w:rsidR="001B0187" w:rsidRPr="0094588B" w:rsidP="001B0187" w14:paraId="4AF4A83F" w14:textId="553A5F94">
            <w:pPr>
              <w:widowControl/>
              <w:jc w:val="center"/>
              <w:rPr>
                <w:rFonts w:ascii="Calibri" w:eastAsia="Calibri" w:hAnsi="Calibri" w:cs="Calibri"/>
                <w:color w:val="000000"/>
                <w:sz w:val="18"/>
                <w:szCs w:val="18"/>
              </w:rPr>
            </w:pPr>
            <w:r w:rsidRPr="00502541">
              <w:rPr>
                <w:rFonts w:ascii="Calibri" w:hAnsi="Calibri" w:cs="Calibri"/>
                <w:color w:val="000000"/>
                <w:sz w:val="18"/>
                <w:szCs w:val="18"/>
              </w:rPr>
              <w:t>Operating costs - $5</w:t>
            </w:r>
          </w:p>
        </w:tc>
        <w:tc>
          <w:tcPr>
            <w:tcW w:w="1500" w:type="dxa"/>
            <w:tcBorders>
              <w:top w:val="nil"/>
              <w:left w:val="nil"/>
              <w:bottom w:val="single" w:sz="4" w:space="0" w:color="auto"/>
              <w:right w:val="single" w:sz="8" w:space="0" w:color="auto"/>
            </w:tcBorders>
            <w:shd w:val="clear" w:color="000000" w:fill="FFFFFF"/>
            <w:vAlign w:val="center"/>
          </w:tcPr>
          <w:p w:rsidR="001B0187" w:rsidRPr="0094588B" w:rsidP="001B0187" w14:paraId="26E747A3" w14:textId="05CFEEC2">
            <w:pPr>
              <w:widowControl/>
              <w:jc w:val="center"/>
              <w:rPr>
                <w:rFonts w:ascii="Calibri" w:eastAsia="Calibri" w:hAnsi="Calibri" w:cs="Calibri"/>
                <w:color w:val="000000"/>
                <w:sz w:val="18"/>
                <w:szCs w:val="18"/>
              </w:rPr>
            </w:pPr>
            <w:r>
              <w:rPr>
                <w:rFonts w:ascii="Calibri" w:eastAsia="Calibri" w:hAnsi="Calibri" w:cs="Calibri"/>
                <w:color w:val="000000"/>
                <w:sz w:val="18"/>
                <w:szCs w:val="18"/>
              </w:rPr>
              <w:t>$</w:t>
            </w:r>
            <w:r w:rsidR="00D75D71">
              <w:rPr>
                <w:rFonts w:ascii="Calibri" w:eastAsia="Calibri" w:hAnsi="Calibri" w:cs="Calibri"/>
                <w:color w:val="000000"/>
                <w:sz w:val="18"/>
                <w:szCs w:val="18"/>
              </w:rPr>
              <w:t>5</w:t>
            </w:r>
          </w:p>
        </w:tc>
      </w:tr>
      <w:tr w14:paraId="41AD2EA4" w14:textId="77777777" w:rsidTr="00475959">
        <w:tblPrEx>
          <w:tblW w:w="10081" w:type="dxa"/>
          <w:jc w:val="center"/>
          <w:tblLayout w:type="fixed"/>
          <w:tblLook w:val="0400"/>
        </w:tblPrEx>
        <w:trPr>
          <w:trHeight w:val="245"/>
          <w:jc w:val="center"/>
        </w:trPr>
        <w:tc>
          <w:tcPr>
            <w:tcW w:w="2690" w:type="dxa"/>
            <w:tcBorders>
              <w:top w:val="single" w:sz="8" w:space="0" w:color="000000"/>
              <w:left w:val="single" w:sz="8" w:space="0" w:color="000000"/>
              <w:bottom w:val="single" w:sz="8" w:space="0" w:color="000000"/>
              <w:right w:val="single" w:sz="4" w:space="0" w:color="000000"/>
            </w:tcBorders>
            <w:shd w:val="clear" w:color="auto" w:fill="DDEBF7"/>
            <w:vAlign w:val="center"/>
          </w:tcPr>
          <w:p w:rsidR="00774BBC" w:rsidRPr="0094588B" w14:paraId="6CAB219E" w14:textId="77777777">
            <w:pPr>
              <w:widowControl/>
              <w:jc w:val="right"/>
              <w:rPr>
                <w:rFonts w:ascii="Calibri" w:eastAsia="Calibri" w:hAnsi="Calibri" w:cs="Calibri"/>
                <w:b/>
                <w:color w:val="000000"/>
                <w:sz w:val="18"/>
                <w:szCs w:val="18"/>
              </w:rPr>
            </w:pPr>
            <w:r w:rsidRPr="0094588B">
              <w:rPr>
                <w:rFonts w:ascii="Calibri" w:eastAsia="Calibri" w:hAnsi="Calibri" w:cs="Calibri"/>
                <w:b/>
                <w:color w:val="000000"/>
                <w:sz w:val="18"/>
                <w:szCs w:val="18"/>
              </w:rPr>
              <w:t>TOTALS</w:t>
            </w:r>
          </w:p>
        </w:tc>
        <w:tc>
          <w:tcPr>
            <w:tcW w:w="1464" w:type="dxa"/>
            <w:tcBorders>
              <w:top w:val="single" w:sz="8" w:space="0" w:color="000000"/>
              <w:left w:val="nil"/>
              <w:bottom w:val="single" w:sz="8" w:space="0" w:color="000000"/>
              <w:right w:val="single" w:sz="4" w:space="0" w:color="000000"/>
            </w:tcBorders>
            <w:shd w:val="clear" w:color="auto" w:fill="DDEBF7"/>
            <w:vAlign w:val="center"/>
          </w:tcPr>
          <w:p w:rsidR="00774BBC" w:rsidRPr="00D75D71" w:rsidP="00D75D71" w14:paraId="7C3599BD" w14:textId="5F50BCAC">
            <w:pPr>
              <w:widowControl/>
              <w:jc w:val="center"/>
              <w:rPr>
                <w:rFonts w:ascii="Calibri" w:eastAsia="Calibri" w:hAnsi="Calibri" w:cs="Calibri"/>
                <w:b/>
                <w:color w:val="000000"/>
                <w:sz w:val="18"/>
                <w:szCs w:val="18"/>
                <w:highlight w:val="cyan"/>
              </w:rPr>
            </w:pPr>
            <w:r w:rsidRPr="00B20397">
              <w:rPr>
                <w:rFonts w:ascii="Calibri" w:eastAsia="Calibri" w:hAnsi="Calibri" w:cs="Calibri"/>
                <w:b/>
                <w:color w:val="000000"/>
                <w:sz w:val="18"/>
                <w:szCs w:val="18"/>
              </w:rPr>
              <w:t>430</w:t>
            </w:r>
          </w:p>
        </w:tc>
        <w:tc>
          <w:tcPr>
            <w:tcW w:w="1424" w:type="dxa"/>
            <w:tcBorders>
              <w:top w:val="single" w:sz="8" w:space="0" w:color="000000"/>
              <w:left w:val="nil"/>
              <w:bottom w:val="single" w:sz="8" w:space="0" w:color="000000"/>
              <w:right w:val="single" w:sz="4" w:space="0" w:color="000000"/>
            </w:tcBorders>
            <w:shd w:val="clear" w:color="auto" w:fill="000000" w:themeFill="text1"/>
            <w:vAlign w:val="center"/>
          </w:tcPr>
          <w:p w:rsidR="00774BBC" w:rsidRPr="00D75D71" w:rsidP="0094588B" w14:paraId="2F57E4DE" w14:textId="4A07BE47">
            <w:pPr>
              <w:widowControl/>
              <w:jc w:val="center"/>
              <w:rPr>
                <w:rFonts w:ascii="Calibri" w:eastAsia="Calibri" w:hAnsi="Calibri" w:cs="Calibri"/>
                <w:b/>
                <w:color w:val="000000"/>
                <w:sz w:val="18"/>
                <w:szCs w:val="18"/>
                <w:highlight w:val="cyan"/>
              </w:rPr>
            </w:pPr>
          </w:p>
        </w:tc>
        <w:tc>
          <w:tcPr>
            <w:tcW w:w="1252" w:type="dxa"/>
            <w:tcBorders>
              <w:top w:val="single" w:sz="8" w:space="0" w:color="000000"/>
              <w:left w:val="nil"/>
              <w:bottom w:val="single" w:sz="8" w:space="0" w:color="000000"/>
              <w:right w:val="single" w:sz="4" w:space="0" w:color="000000"/>
            </w:tcBorders>
            <w:shd w:val="clear" w:color="auto" w:fill="DDEBF7"/>
            <w:vAlign w:val="center"/>
          </w:tcPr>
          <w:p w:rsidR="00774BBC" w:rsidRPr="00D75D71" w:rsidP="0094588B" w14:paraId="59F3E034" w14:textId="3762F8EA">
            <w:pPr>
              <w:widowControl/>
              <w:jc w:val="center"/>
              <w:rPr>
                <w:rFonts w:ascii="Calibri" w:eastAsia="Calibri" w:hAnsi="Calibri" w:cs="Calibri"/>
                <w:b/>
                <w:color w:val="000000"/>
                <w:sz w:val="18"/>
                <w:szCs w:val="18"/>
                <w:highlight w:val="cyan"/>
              </w:rPr>
            </w:pPr>
            <w:r w:rsidRPr="00B20397">
              <w:rPr>
                <w:rFonts w:ascii="Calibri" w:eastAsia="Calibri" w:hAnsi="Calibri" w:cs="Calibri"/>
                <w:b/>
                <w:color w:val="000000"/>
                <w:sz w:val="18"/>
                <w:szCs w:val="18"/>
              </w:rPr>
              <w:t>430</w:t>
            </w:r>
          </w:p>
        </w:tc>
        <w:tc>
          <w:tcPr>
            <w:tcW w:w="1751" w:type="dxa"/>
            <w:tcBorders>
              <w:top w:val="single" w:sz="8" w:space="0" w:color="000000"/>
              <w:left w:val="nil"/>
              <w:bottom w:val="single" w:sz="8" w:space="0" w:color="000000"/>
              <w:right w:val="single" w:sz="4" w:space="0" w:color="000000"/>
            </w:tcBorders>
            <w:shd w:val="clear" w:color="auto" w:fill="000000" w:themeFill="text1"/>
            <w:vAlign w:val="center"/>
          </w:tcPr>
          <w:p w:rsidR="00774BBC" w:rsidRPr="00D75D71" w:rsidP="0094588B" w14:paraId="7BED16A2" w14:textId="0A6A48D5">
            <w:pPr>
              <w:widowControl/>
              <w:jc w:val="center"/>
              <w:rPr>
                <w:rFonts w:ascii="Calibri" w:eastAsia="Calibri" w:hAnsi="Calibri" w:cs="Calibri"/>
                <w:b/>
                <w:color w:val="000000"/>
                <w:sz w:val="18"/>
                <w:szCs w:val="18"/>
                <w:highlight w:val="cyan"/>
              </w:rPr>
            </w:pPr>
          </w:p>
        </w:tc>
        <w:tc>
          <w:tcPr>
            <w:tcW w:w="1500" w:type="dxa"/>
            <w:tcBorders>
              <w:top w:val="single" w:sz="8" w:space="0" w:color="000000"/>
              <w:left w:val="nil"/>
              <w:bottom w:val="single" w:sz="8" w:space="0" w:color="000000"/>
              <w:right w:val="single" w:sz="8" w:space="0" w:color="000000"/>
            </w:tcBorders>
            <w:shd w:val="clear" w:color="auto" w:fill="DDEBF7"/>
            <w:vAlign w:val="center"/>
          </w:tcPr>
          <w:p w:rsidR="00774BBC" w:rsidRPr="00D75D71" w:rsidP="0094588B" w14:paraId="518A4CB2" w14:textId="6AF3E818">
            <w:pPr>
              <w:widowControl/>
              <w:jc w:val="center"/>
              <w:rPr>
                <w:rFonts w:ascii="Calibri" w:eastAsia="Calibri" w:hAnsi="Calibri" w:cs="Calibri"/>
                <w:b/>
                <w:color w:val="000000"/>
                <w:sz w:val="18"/>
                <w:szCs w:val="18"/>
                <w:highlight w:val="cyan"/>
              </w:rPr>
            </w:pPr>
            <w:r w:rsidRPr="00B20397">
              <w:rPr>
                <w:rFonts w:ascii="Calibri" w:eastAsia="Calibri" w:hAnsi="Calibri" w:cs="Calibri"/>
                <w:b/>
                <w:color w:val="000000"/>
                <w:sz w:val="18"/>
                <w:szCs w:val="18"/>
              </w:rPr>
              <w:t>$2,150</w:t>
            </w:r>
          </w:p>
        </w:tc>
      </w:tr>
    </w:tbl>
    <w:p w:rsidR="00A3045E" w14:paraId="41F7AACB" w14:textId="77777777">
      <w:pPr>
        <w:pBdr>
          <w:top w:val="nil"/>
          <w:left w:val="nil"/>
          <w:bottom w:val="nil"/>
          <w:right w:val="nil"/>
          <w:between w:val="nil"/>
        </w:pBdr>
        <w:spacing w:before="7"/>
        <w:rPr>
          <w:b/>
          <w:color w:val="000000"/>
        </w:rPr>
      </w:pPr>
    </w:p>
    <w:p w:rsidR="00774BBC" w:rsidP="00A731E6" w14:paraId="5CF90B01" w14:textId="77777777">
      <w:pPr>
        <w:keepNext/>
        <w:keepLines/>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Provide estimates of annualized cost to the Federal government. Also, provide a description of the method used to estimate cost, which should include quantification of hours, operational expenses (such as equipment, overhead, printing, and </w:t>
      </w:r>
      <w:r>
        <w:rPr>
          <w:b/>
          <w:color w:val="000000"/>
        </w:rPr>
        <w:t>support staff), and any other expense that would not have been incurred without this collection of information.</w:t>
      </w:r>
    </w:p>
    <w:p w:rsidR="00996A24" w:rsidP="00A731E6" w14:paraId="009C4C47" w14:textId="5D0F5314">
      <w:pPr>
        <w:keepNext/>
        <w:keepLines/>
        <w:pBdr>
          <w:top w:val="nil"/>
          <w:left w:val="nil"/>
          <w:bottom w:val="nil"/>
          <w:right w:val="nil"/>
          <w:between w:val="nil"/>
        </w:pBdr>
      </w:pPr>
    </w:p>
    <w:p w:rsidR="004A672E" w:rsidP="00A731E6" w14:paraId="2FF2FD7C" w14:textId="533C03A7">
      <w:pPr>
        <w:keepNext/>
        <w:keepLines/>
      </w:pPr>
      <w:r w:rsidRPr="004A672E">
        <w:rPr>
          <w:rFonts w:eastAsia="SimSun"/>
        </w:rPr>
        <w:t xml:space="preserve">Salaries </w:t>
      </w:r>
      <w:r>
        <w:rPr>
          <w:rFonts w:eastAsia="SimSun"/>
        </w:rPr>
        <w:t xml:space="preserve">are </w:t>
      </w:r>
      <w:r w:rsidRPr="004A672E">
        <w:rPr>
          <w:rFonts w:eastAsia="SimSun"/>
        </w:rPr>
        <w:t>based on capped out salar</w:t>
      </w:r>
      <w:r>
        <w:rPr>
          <w:rFonts w:eastAsia="SimSun"/>
        </w:rPr>
        <w:t>ies</w:t>
      </w:r>
      <w:r w:rsidRPr="004A672E">
        <w:rPr>
          <w:rFonts w:eastAsia="SimSun"/>
        </w:rPr>
        <w:t xml:space="preserve"> of </w:t>
      </w:r>
      <w:r>
        <w:rPr>
          <w:rFonts w:eastAsia="SimSun"/>
        </w:rPr>
        <w:t xml:space="preserve">full time employees </w:t>
      </w:r>
      <w:r w:rsidRPr="004A672E">
        <w:rPr>
          <w:rFonts w:eastAsia="SimSun"/>
        </w:rPr>
        <w:t xml:space="preserve">in Juneau, Alaska. </w:t>
      </w:r>
      <w:r>
        <w:rPr>
          <w:rFonts w:eastAsia="SimSun"/>
        </w:rPr>
        <w:t>The f</w:t>
      </w:r>
      <w:r w:rsidRPr="004A672E">
        <w:rPr>
          <w:rFonts w:eastAsia="SimSun"/>
        </w:rPr>
        <w:t>ully loaded salary costs include 52</w:t>
      </w:r>
      <w:r>
        <w:rPr>
          <w:rFonts w:eastAsia="SimSun"/>
        </w:rPr>
        <w:t xml:space="preserve"> percent</w:t>
      </w:r>
      <w:r w:rsidRPr="004A672E">
        <w:rPr>
          <w:rFonts w:eastAsia="SimSun"/>
        </w:rPr>
        <w:t xml:space="preserve"> of the sal</w:t>
      </w:r>
      <w:r w:rsidRPr="004A672E">
        <w:rPr>
          <w:rFonts w:eastAsia="SimSun"/>
        </w:rPr>
        <w:t xml:space="preserve">ary to account for benefits and other overhead costs (e.g., </w:t>
      </w:r>
      <w:r w:rsidRPr="000174E3" w:rsidR="000174E3">
        <w:rPr>
          <w:rFonts w:eastAsia="SimSun"/>
        </w:rPr>
        <w:t>$82,117</w:t>
      </w:r>
      <w:r w:rsidR="000174E3">
        <w:rPr>
          <w:rFonts w:eastAsia="SimSun"/>
        </w:rPr>
        <w:t xml:space="preserve"> ×</w:t>
      </w:r>
      <w:r w:rsidRPr="000174E3" w:rsidR="000174E3">
        <w:rPr>
          <w:rFonts w:eastAsia="SimSun"/>
        </w:rPr>
        <w:t xml:space="preserve"> 1.52 = $124,818</w:t>
      </w:r>
      <w:r w:rsidR="000174E3">
        <w:rPr>
          <w:rFonts w:eastAsia="SimSun"/>
        </w:rPr>
        <w:t xml:space="preserve"> </w:t>
      </w:r>
      <w:r w:rsidRPr="004A672E">
        <w:rPr>
          <w:rFonts w:eastAsia="SimSun"/>
        </w:rPr>
        <w:t>loaded salary).</w:t>
      </w:r>
      <w:r w:rsidR="00756E2F">
        <w:rPr>
          <w:rFonts w:eastAsia="SimSun"/>
        </w:rPr>
        <w:t xml:space="preserve"> </w:t>
      </w:r>
      <w:r w:rsidRPr="004A672E">
        <w:rPr>
          <w:rFonts w:eastAsia="SimSun"/>
        </w:rPr>
        <w:t>The grade and step are from the Department of Commerce Alternative Personnel System (CAPS) 2024 pay tables (</w:t>
      </w:r>
      <w:hyperlink r:id="rId24" w:history="1">
        <w:r w:rsidRPr="004A672E">
          <w:rPr>
            <w:rFonts w:eastAsia="Batang"/>
            <w:color w:val="0000FF" w:themeColor="hyperlink"/>
            <w:u w:val="single"/>
            <w:shd w:val="clear" w:color="auto" w:fill="FFFFFF"/>
          </w:rPr>
          <w:t>https://www.commerce.gov/hr/practitioners/caps/pay-administration</w:t>
        </w:r>
      </w:hyperlink>
      <w:r w:rsidRPr="004A672E">
        <w:rPr>
          <w:rFonts w:eastAsia="SimSun"/>
        </w:rPr>
        <w:t>). The general schedule grade equivalent for CAPS is included in parentheses.</w:t>
      </w:r>
    </w:p>
    <w:p w:rsidR="004A672E" w:rsidRPr="00996A24" w:rsidP="00756E2F" w14:paraId="3AD0A785" w14:textId="77777777">
      <w:pPr>
        <w:pBdr>
          <w:top w:val="nil"/>
          <w:left w:val="nil"/>
          <w:bottom w:val="nil"/>
          <w:right w:val="nil"/>
          <w:between w:val="nil"/>
        </w:pBdr>
      </w:pPr>
    </w:p>
    <w:tbl>
      <w:tblPr>
        <w:tblStyle w:val="a2"/>
        <w:tblW w:w="9051" w:type="dxa"/>
        <w:jc w:val="center"/>
        <w:tblLayout w:type="fixed"/>
        <w:tblLook w:val="0400"/>
      </w:tblPr>
      <w:tblGrid>
        <w:gridCol w:w="2330"/>
        <w:gridCol w:w="1405"/>
        <w:gridCol w:w="1252"/>
        <w:gridCol w:w="1230"/>
        <w:gridCol w:w="1406"/>
        <w:gridCol w:w="1428"/>
      </w:tblGrid>
      <w:tr w14:paraId="32AEA4DC" w14:textId="77777777" w:rsidTr="000174E3">
        <w:tblPrEx>
          <w:tblW w:w="9051" w:type="dxa"/>
          <w:jc w:val="center"/>
          <w:tblLayout w:type="fixed"/>
          <w:tblLook w:val="0400"/>
        </w:tblPrEx>
        <w:trPr>
          <w:trHeight w:val="550"/>
          <w:jc w:val="center"/>
        </w:trPr>
        <w:tc>
          <w:tcPr>
            <w:tcW w:w="2330" w:type="dxa"/>
            <w:tcBorders>
              <w:top w:val="single" w:sz="8" w:space="0" w:color="000000"/>
              <w:left w:val="single" w:sz="8" w:space="0" w:color="000000"/>
              <w:bottom w:val="nil"/>
              <w:right w:val="single" w:sz="8" w:space="0" w:color="000000"/>
            </w:tcBorders>
            <w:shd w:val="clear" w:color="auto" w:fill="BDD7EE"/>
            <w:vAlign w:val="center"/>
          </w:tcPr>
          <w:p w:rsidR="00774BBC" w:rsidRPr="0094588B" w14:paraId="0726FBF7" w14:textId="77777777">
            <w:pPr>
              <w:widowControl/>
              <w:jc w:val="center"/>
              <w:rPr>
                <w:rFonts w:eastAsia="Calibri" w:asciiTheme="minorHAnsi" w:hAnsiTheme="minorHAnsi" w:cstheme="minorHAnsi"/>
                <w:b/>
                <w:color w:val="000000"/>
                <w:sz w:val="18"/>
                <w:szCs w:val="18"/>
              </w:rPr>
            </w:pPr>
            <w:r w:rsidRPr="0094588B">
              <w:rPr>
                <w:rFonts w:eastAsia="Calibri" w:asciiTheme="minorHAnsi" w:hAnsiTheme="minorHAnsi" w:cstheme="minorHAnsi"/>
                <w:b/>
                <w:color w:val="000000"/>
                <w:sz w:val="18"/>
                <w:szCs w:val="18"/>
              </w:rPr>
              <w:t>Cost Descriptions</w:t>
            </w:r>
          </w:p>
        </w:tc>
        <w:tc>
          <w:tcPr>
            <w:tcW w:w="1405" w:type="dxa"/>
            <w:tcBorders>
              <w:top w:val="single" w:sz="8" w:space="0" w:color="000000"/>
              <w:left w:val="nil"/>
              <w:bottom w:val="nil"/>
              <w:right w:val="single" w:sz="8" w:space="0" w:color="000000"/>
            </w:tcBorders>
            <w:shd w:val="clear" w:color="auto" w:fill="BDD7EE"/>
            <w:vAlign w:val="center"/>
          </w:tcPr>
          <w:p w:rsidR="00774BBC" w:rsidRPr="0094588B" w14:paraId="7D9CEC3B" w14:textId="77777777">
            <w:pPr>
              <w:widowControl/>
              <w:jc w:val="center"/>
              <w:rPr>
                <w:rFonts w:eastAsia="Calibri" w:asciiTheme="minorHAnsi" w:hAnsiTheme="minorHAnsi" w:cstheme="minorHAnsi"/>
                <w:b/>
                <w:color w:val="000000"/>
                <w:sz w:val="18"/>
                <w:szCs w:val="18"/>
              </w:rPr>
            </w:pPr>
            <w:r w:rsidRPr="0094588B">
              <w:rPr>
                <w:rFonts w:eastAsia="Calibri" w:asciiTheme="minorHAnsi" w:hAnsiTheme="minorHAnsi" w:cstheme="minorHAnsi"/>
                <w:b/>
                <w:color w:val="000000"/>
                <w:sz w:val="18"/>
                <w:szCs w:val="18"/>
              </w:rPr>
              <w:t>Grade/Step</w:t>
            </w:r>
          </w:p>
        </w:tc>
        <w:tc>
          <w:tcPr>
            <w:tcW w:w="1252" w:type="dxa"/>
            <w:tcBorders>
              <w:top w:val="single" w:sz="8" w:space="0" w:color="000000"/>
              <w:left w:val="nil"/>
              <w:bottom w:val="nil"/>
              <w:right w:val="single" w:sz="8" w:space="0" w:color="000000"/>
            </w:tcBorders>
            <w:shd w:val="clear" w:color="auto" w:fill="BDD7EE"/>
            <w:vAlign w:val="center"/>
          </w:tcPr>
          <w:p w:rsidR="00774BBC" w:rsidRPr="0094588B" w14:paraId="081F9F86" w14:textId="54489B51">
            <w:pPr>
              <w:widowControl/>
              <w:jc w:val="center"/>
              <w:rPr>
                <w:rFonts w:eastAsia="Calibri" w:asciiTheme="minorHAnsi" w:hAnsiTheme="minorHAnsi" w:cstheme="minorHAnsi"/>
                <w:b/>
                <w:color w:val="000000"/>
                <w:sz w:val="18"/>
                <w:szCs w:val="18"/>
              </w:rPr>
            </w:pPr>
            <w:r w:rsidRPr="0094588B">
              <w:rPr>
                <w:rFonts w:eastAsia="Calibri" w:asciiTheme="minorHAnsi" w:hAnsiTheme="minorHAnsi" w:cstheme="minorHAnsi"/>
                <w:b/>
                <w:color w:val="000000"/>
                <w:sz w:val="18"/>
                <w:szCs w:val="18"/>
              </w:rPr>
              <w:t>Loaded Salary /Cost</w:t>
            </w:r>
          </w:p>
        </w:tc>
        <w:tc>
          <w:tcPr>
            <w:tcW w:w="1230" w:type="dxa"/>
            <w:tcBorders>
              <w:top w:val="single" w:sz="8" w:space="0" w:color="000000"/>
              <w:left w:val="nil"/>
              <w:bottom w:val="nil"/>
              <w:right w:val="single" w:sz="8" w:space="0" w:color="000000"/>
            </w:tcBorders>
            <w:shd w:val="clear" w:color="auto" w:fill="BDD7EE"/>
            <w:vAlign w:val="center"/>
          </w:tcPr>
          <w:p w:rsidR="00774BBC" w:rsidRPr="0094588B" w14:paraId="40379D70" w14:textId="77777777">
            <w:pPr>
              <w:widowControl/>
              <w:jc w:val="center"/>
              <w:rPr>
                <w:rFonts w:eastAsia="Calibri" w:asciiTheme="minorHAnsi" w:hAnsiTheme="minorHAnsi" w:cstheme="minorHAnsi"/>
                <w:b/>
                <w:color w:val="000000"/>
                <w:sz w:val="18"/>
                <w:szCs w:val="18"/>
              </w:rPr>
            </w:pPr>
            <w:r w:rsidRPr="0094588B">
              <w:rPr>
                <w:rFonts w:eastAsia="Calibri" w:asciiTheme="minorHAnsi" w:hAnsiTheme="minorHAnsi" w:cstheme="minorHAnsi"/>
                <w:b/>
                <w:color w:val="000000"/>
                <w:sz w:val="18"/>
                <w:szCs w:val="18"/>
              </w:rPr>
              <w:t>% of Effort</w:t>
            </w:r>
          </w:p>
        </w:tc>
        <w:tc>
          <w:tcPr>
            <w:tcW w:w="1406" w:type="dxa"/>
            <w:tcBorders>
              <w:top w:val="single" w:sz="8" w:space="0" w:color="000000"/>
              <w:left w:val="nil"/>
              <w:bottom w:val="nil"/>
              <w:right w:val="single" w:sz="8" w:space="0" w:color="000000"/>
            </w:tcBorders>
            <w:shd w:val="clear" w:color="auto" w:fill="BDD7EE"/>
            <w:vAlign w:val="center"/>
          </w:tcPr>
          <w:p w:rsidR="00774BBC" w:rsidRPr="0094588B" w14:paraId="309FAFA6" w14:textId="77777777">
            <w:pPr>
              <w:widowControl/>
              <w:jc w:val="center"/>
              <w:rPr>
                <w:rFonts w:eastAsia="Calibri" w:asciiTheme="minorHAnsi" w:hAnsiTheme="minorHAnsi" w:cstheme="minorHAnsi"/>
                <w:b/>
                <w:color w:val="000000"/>
                <w:sz w:val="18"/>
                <w:szCs w:val="18"/>
              </w:rPr>
            </w:pPr>
            <w:r w:rsidRPr="0094588B">
              <w:rPr>
                <w:rFonts w:eastAsia="Calibri" w:asciiTheme="minorHAnsi" w:hAnsiTheme="minorHAnsi" w:cstheme="minorHAnsi"/>
                <w:b/>
                <w:color w:val="000000"/>
                <w:sz w:val="18"/>
                <w:szCs w:val="18"/>
              </w:rPr>
              <w:t xml:space="preserve">Fringe (if </w:t>
            </w:r>
            <w:r w:rsidRPr="0094588B">
              <w:rPr>
                <w:rFonts w:eastAsia="Calibri" w:asciiTheme="minorHAnsi" w:hAnsiTheme="minorHAnsi" w:cstheme="minorHAnsi"/>
                <w:b/>
                <w:color w:val="000000"/>
                <w:sz w:val="18"/>
                <w:szCs w:val="18"/>
              </w:rPr>
              <w:t>Applicable)</w:t>
            </w:r>
          </w:p>
        </w:tc>
        <w:tc>
          <w:tcPr>
            <w:tcW w:w="1428" w:type="dxa"/>
            <w:tcBorders>
              <w:top w:val="single" w:sz="8" w:space="0" w:color="000000"/>
              <w:left w:val="nil"/>
              <w:bottom w:val="nil"/>
              <w:right w:val="single" w:sz="8" w:space="0" w:color="000000"/>
            </w:tcBorders>
            <w:shd w:val="clear" w:color="auto" w:fill="BDD7EE"/>
            <w:vAlign w:val="center"/>
          </w:tcPr>
          <w:p w:rsidR="00774BBC" w:rsidRPr="0094588B" w14:paraId="79224499" w14:textId="77777777">
            <w:pPr>
              <w:widowControl/>
              <w:jc w:val="center"/>
              <w:rPr>
                <w:rFonts w:eastAsia="Calibri" w:asciiTheme="minorHAnsi" w:hAnsiTheme="minorHAnsi" w:cstheme="minorHAnsi"/>
                <w:b/>
                <w:color w:val="000000"/>
                <w:sz w:val="18"/>
                <w:szCs w:val="18"/>
              </w:rPr>
            </w:pPr>
            <w:r w:rsidRPr="0094588B">
              <w:rPr>
                <w:rFonts w:eastAsia="Calibri" w:asciiTheme="minorHAnsi" w:hAnsiTheme="minorHAnsi" w:cstheme="minorHAnsi"/>
                <w:b/>
                <w:color w:val="000000"/>
                <w:sz w:val="18"/>
                <w:szCs w:val="18"/>
              </w:rPr>
              <w:t>Total Cost to Government</w:t>
            </w:r>
          </w:p>
        </w:tc>
      </w:tr>
      <w:tr w14:paraId="0E74DA7C" w14:textId="77777777" w:rsidTr="000174E3">
        <w:tblPrEx>
          <w:tblW w:w="9051" w:type="dxa"/>
          <w:jc w:val="center"/>
          <w:tblLayout w:type="fixed"/>
          <w:tblLook w:val="0400"/>
        </w:tblPrEx>
        <w:trPr>
          <w:trHeight w:val="337"/>
          <w:jc w:val="center"/>
        </w:trPr>
        <w:tc>
          <w:tcPr>
            <w:tcW w:w="2330" w:type="dxa"/>
            <w:tcBorders>
              <w:top w:val="single" w:sz="4" w:space="0" w:color="000000"/>
              <w:left w:val="single" w:sz="8" w:space="0" w:color="000000"/>
              <w:bottom w:val="single" w:sz="4" w:space="0" w:color="000000"/>
              <w:right w:val="single" w:sz="8" w:space="0" w:color="000000"/>
            </w:tcBorders>
            <w:shd w:val="clear" w:color="auto" w:fill="auto"/>
            <w:vAlign w:val="center"/>
          </w:tcPr>
          <w:p w:rsidR="00774BBC" w:rsidRPr="0094588B" w14:paraId="70F74863" w14:textId="77777777">
            <w:pPr>
              <w:widowControl/>
              <w:rPr>
                <w:rFonts w:eastAsia="Calibri" w:asciiTheme="minorHAnsi" w:hAnsiTheme="minorHAnsi" w:cstheme="minorHAnsi"/>
                <w:b/>
                <w:color w:val="000000"/>
                <w:sz w:val="18"/>
                <w:szCs w:val="18"/>
              </w:rPr>
            </w:pPr>
            <w:r w:rsidRPr="0094588B">
              <w:rPr>
                <w:rFonts w:eastAsia="Calibri" w:asciiTheme="minorHAnsi" w:hAnsiTheme="minorHAnsi" w:cstheme="minorHAnsi"/>
                <w:b/>
                <w:color w:val="000000"/>
                <w:sz w:val="18"/>
                <w:szCs w:val="18"/>
              </w:rPr>
              <w:t>Federal Oversight</w:t>
            </w:r>
          </w:p>
        </w:tc>
        <w:tc>
          <w:tcPr>
            <w:tcW w:w="1405" w:type="dxa"/>
            <w:tcBorders>
              <w:top w:val="single" w:sz="4" w:space="0" w:color="000000"/>
              <w:left w:val="nil"/>
              <w:bottom w:val="single" w:sz="4" w:space="0" w:color="000000"/>
              <w:right w:val="single" w:sz="4" w:space="0" w:color="000000"/>
            </w:tcBorders>
            <w:shd w:val="clear" w:color="auto" w:fill="auto"/>
            <w:vAlign w:val="center"/>
          </w:tcPr>
          <w:p w:rsidR="00774BBC" w:rsidRPr="0094588B" w:rsidP="000174E3" w14:paraId="59A0EE35" w14:textId="20A5E5B5">
            <w:pPr>
              <w:widowControl/>
              <w:jc w:val="center"/>
              <w:rPr>
                <w:rFonts w:eastAsia="Calibri" w:asciiTheme="minorHAnsi" w:hAnsiTheme="minorHAnsi" w:cstheme="minorHAnsi"/>
                <w:color w:val="000000"/>
                <w:sz w:val="18"/>
                <w:szCs w:val="18"/>
              </w:rPr>
            </w:pPr>
          </w:p>
        </w:tc>
        <w:tc>
          <w:tcPr>
            <w:tcW w:w="1252" w:type="dxa"/>
            <w:tcBorders>
              <w:top w:val="single" w:sz="4" w:space="0" w:color="000000"/>
              <w:left w:val="nil"/>
              <w:bottom w:val="single" w:sz="4" w:space="0" w:color="000000"/>
              <w:right w:val="single" w:sz="4" w:space="0" w:color="000000"/>
            </w:tcBorders>
            <w:shd w:val="clear" w:color="auto" w:fill="auto"/>
            <w:vAlign w:val="center"/>
          </w:tcPr>
          <w:p w:rsidR="00774BBC" w:rsidRPr="0094588B" w:rsidP="000174E3" w14:paraId="0DDF44FE" w14:textId="0BB101FC">
            <w:pPr>
              <w:widowControl/>
              <w:jc w:val="center"/>
              <w:rPr>
                <w:rFonts w:eastAsia="Calibri" w:asciiTheme="minorHAnsi" w:hAnsiTheme="minorHAnsi" w:cstheme="minorHAnsi"/>
                <w:color w:val="000000"/>
                <w:sz w:val="18"/>
                <w:szCs w:val="18"/>
              </w:rPr>
            </w:pPr>
          </w:p>
        </w:tc>
        <w:tc>
          <w:tcPr>
            <w:tcW w:w="1230" w:type="dxa"/>
            <w:tcBorders>
              <w:top w:val="single" w:sz="4" w:space="0" w:color="000000"/>
              <w:left w:val="nil"/>
              <w:bottom w:val="single" w:sz="4" w:space="0" w:color="000000"/>
              <w:right w:val="single" w:sz="4" w:space="0" w:color="000000"/>
            </w:tcBorders>
            <w:shd w:val="clear" w:color="auto" w:fill="auto"/>
            <w:vAlign w:val="center"/>
          </w:tcPr>
          <w:p w:rsidR="00774BBC" w:rsidRPr="0094588B" w:rsidP="000174E3" w14:paraId="496680AA" w14:textId="5AEB3083">
            <w:pPr>
              <w:widowControl/>
              <w:jc w:val="center"/>
              <w:rPr>
                <w:rFonts w:eastAsia="Calibri" w:asciiTheme="minorHAnsi" w:hAnsiTheme="minorHAnsi" w:cstheme="minorHAnsi"/>
                <w:color w:val="000000"/>
                <w:sz w:val="18"/>
                <w:szCs w:val="18"/>
              </w:rPr>
            </w:pPr>
          </w:p>
        </w:tc>
        <w:tc>
          <w:tcPr>
            <w:tcW w:w="1406" w:type="dxa"/>
            <w:tcBorders>
              <w:top w:val="single" w:sz="4" w:space="0" w:color="000000"/>
              <w:left w:val="nil"/>
              <w:bottom w:val="single" w:sz="4" w:space="0" w:color="000000"/>
              <w:right w:val="single" w:sz="4" w:space="0" w:color="000000"/>
            </w:tcBorders>
            <w:shd w:val="clear" w:color="auto" w:fill="808080"/>
            <w:vAlign w:val="center"/>
          </w:tcPr>
          <w:p w:rsidR="00774BBC" w:rsidRPr="0094588B" w:rsidP="000174E3" w14:paraId="7C62E307" w14:textId="52F34D59">
            <w:pPr>
              <w:widowControl/>
              <w:jc w:val="center"/>
              <w:rPr>
                <w:rFonts w:eastAsia="Calibri" w:asciiTheme="minorHAnsi" w:hAnsiTheme="minorHAnsi" w:cstheme="minorHAnsi"/>
                <w:color w:val="000000"/>
                <w:sz w:val="18"/>
                <w:szCs w:val="18"/>
              </w:rPr>
            </w:pPr>
          </w:p>
        </w:tc>
        <w:tc>
          <w:tcPr>
            <w:tcW w:w="1428" w:type="dxa"/>
            <w:tcBorders>
              <w:top w:val="single" w:sz="4" w:space="0" w:color="000000"/>
              <w:left w:val="nil"/>
              <w:bottom w:val="single" w:sz="4" w:space="0" w:color="000000"/>
              <w:right w:val="single" w:sz="8" w:space="0" w:color="000000"/>
            </w:tcBorders>
            <w:shd w:val="clear" w:color="auto" w:fill="auto"/>
            <w:vAlign w:val="center"/>
          </w:tcPr>
          <w:p w:rsidR="00774BBC" w:rsidRPr="0094588B" w:rsidP="000174E3" w14:paraId="78AC8B9C" w14:textId="0B6F96A7">
            <w:pPr>
              <w:widowControl/>
              <w:jc w:val="center"/>
              <w:rPr>
                <w:rFonts w:eastAsia="Calibri" w:asciiTheme="minorHAnsi" w:hAnsiTheme="minorHAnsi" w:cstheme="minorHAnsi"/>
                <w:color w:val="000000"/>
                <w:sz w:val="18"/>
                <w:szCs w:val="18"/>
              </w:rPr>
            </w:pPr>
          </w:p>
        </w:tc>
      </w:tr>
      <w:tr w14:paraId="4948C879" w14:textId="77777777" w:rsidTr="000174E3">
        <w:tblPrEx>
          <w:tblW w:w="9051" w:type="dxa"/>
          <w:jc w:val="center"/>
          <w:tblLayout w:type="fixed"/>
          <w:tblLook w:val="0400"/>
        </w:tblPrEx>
        <w:trPr>
          <w:trHeight w:val="296"/>
          <w:jc w:val="center"/>
        </w:trPr>
        <w:tc>
          <w:tcPr>
            <w:tcW w:w="2330" w:type="dxa"/>
            <w:tcBorders>
              <w:top w:val="nil"/>
              <w:left w:val="single" w:sz="8" w:space="0" w:color="000000"/>
              <w:bottom w:val="single" w:sz="4" w:space="0" w:color="000000"/>
              <w:right w:val="single" w:sz="8" w:space="0" w:color="000000"/>
            </w:tcBorders>
            <w:shd w:val="clear" w:color="auto" w:fill="auto"/>
            <w:vAlign w:val="center"/>
          </w:tcPr>
          <w:p w:rsidR="00774BBC" w:rsidRPr="0094588B" w14:paraId="33EE6F6F" w14:textId="77777777">
            <w:pPr>
              <w:widowControl/>
              <w:rPr>
                <w:rFonts w:eastAsia="Calibri" w:asciiTheme="minorHAnsi" w:hAnsiTheme="minorHAnsi" w:cstheme="minorHAnsi"/>
                <w:color w:val="000000"/>
                <w:sz w:val="18"/>
                <w:szCs w:val="18"/>
              </w:rPr>
            </w:pPr>
            <w:r w:rsidRPr="0094588B">
              <w:rPr>
                <w:rFonts w:eastAsia="Calibri" w:asciiTheme="minorHAnsi" w:hAnsiTheme="minorHAnsi" w:cstheme="minorHAnsi"/>
                <w:color w:val="000000"/>
                <w:sz w:val="18"/>
                <w:szCs w:val="18"/>
              </w:rPr>
              <w:t>Other Federal Positions</w:t>
            </w:r>
          </w:p>
        </w:tc>
        <w:tc>
          <w:tcPr>
            <w:tcW w:w="1405" w:type="dxa"/>
            <w:tcBorders>
              <w:top w:val="nil"/>
              <w:left w:val="nil"/>
              <w:bottom w:val="single" w:sz="4" w:space="0" w:color="000000"/>
              <w:right w:val="single" w:sz="4" w:space="0" w:color="000000"/>
            </w:tcBorders>
            <w:shd w:val="clear" w:color="auto" w:fill="auto"/>
            <w:vAlign w:val="center"/>
          </w:tcPr>
          <w:p w:rsidR="00774BBC" w:rsidRPr="0094588B" w:rsidP="000174E3" w14:paraId="5D35CB7E" w14:textId="3EEF547B">
            <w:pPr>
              <w:widowControl/>
              <w:jc w:val="center"/>
              <w:rPr>
                <w:rFonts w:eastAsia="Calibri" w:asciiTheme="minorHAnsi" w:hAnsiTheme="minorHAnsi" w:cstheme="minorHAnsi"/>
                <w:color w:val="000000"/>
                <w:sz w:val="18"/>
                <w:szCs w:val="18"/>
              </w:rPr>
            </w:pPr>
          </w:p>
        </w:tc>
        <w:tc>
          <w:tcPr>
            <w:tcW w:w="1252" w:type="dxa"/>
            <w:tcBorders>
              <w:top w:val="nil"/>
              <w:left w:val="nil"/>
              <w:bottom w:val="single" w:sz="4" w:space="0" w:color="000000"/>
              <w:right w:val="single" w:sz="4" w:space="0" w:color="000000"/>
            </w:tcBorders>
            <w:shd w:val="clear" w:color="auto" w:fill="auto"/>
            <w:vAlign w:val="center"/>
          </w:tcPr>
          <w:p w:rsidR="00774BBC" w:rsidRPr="0094588B" w:rsidP="000174E3" w14:paraId="73CC7644" w14:textId="300B5CAE">
            <w:pPr>
              <w:widowControl/>
              <w:jc w:val="center"/>
              <w:rPr>
                <w:rFonts w:eastAsia="Calibri" w:asciiTheme="minorHAnsi" w:hAnsiTheme="minorHAnsi" w:cstheme="minorHAnsi"/>
                <w:color w:val="000000"/>
                <w:sz w:val="18"/>
                <w:szCs w:val="18"/>
              </w:rPr>
            </w:pPr>
          </w:p>
        </w:tc>
        <w:tc>
          <w:tcPr>
            <w:tcW w:w="1230" w:type="dxa"/>
            <w:tcBorders>
              <w:top w:val="nil"/>
              <w:left w:val="nil"/>
              <w:bottom w:val="single" w:sz="4" w:space="0" w:color="000000"/>
              <w:right w:val="single" w:sz="4" w:space="0" w:color="000000"/>
            </w:tcBorders>
            <w:shd w:val="clear" w:color="auto" w:fill="auto"/>
            <w:vAlign w:val="center"/>
          </w:tcPr>
          <w:p w:rsidR="00774BBC" w:rsidRPr="0094588B" w:rsidP="000174E3" w14:paraId="05E1F236" w14:textId="1A5AFF93">
            <w:pPr>
              <w:widowControl/>
              <w:jc w:val="center"/>
              <w:rPr>
                <w:rFonts w:eastAsia="Calibri" w:asciiTheme="minorHAnsi" w:hAnsiTheme="minorHAnsi" w:cstheme="minorHAnsi"/>
                <w:color w:val="000000"/>
                <w:sz w:val="18"/>
                <w:szCs w:val="18"/>
              </w:rPr>
            </w:pPr>
          </w:p>
        </w:tc>
        <w:tc>
          <w:tcPr>
            <w:tcW w:w="1406" w:type="dxa"/>
            <w:tcBorders>
              <w:top w:val="nil"/>
              <w:left w:val="nil"/>
              <w:bottom w:val="single" w:sz="4" w:space="0" w:color="000000"/>
              <w:right w:val="single" w:sz="4" w:space="0" w:color="000000"/>
            </w:tcBorders>
            <w:shd w:val="clear" w:color="auto" w:fill="808080"/>
            <w:vAlign w:val="center"/>
          </w:tcPr>
          <w:p w:rsidR="00774BBC" w:rsidRPr="0094588B" w:rsidP="000174E3" w14:paraId="4815BD7C" w14:textId="5CF411C8">
            <w:pPr>
              <w:widowControl/>
              <w:jc w:val="center"/>
              <w:rPr>
                <w:rFonts w:eastAsia="Calibri" w:asciiTheme="minorHAnsi" w:hAnsiTheme="minorHAnsi" w:cstheme="minorHAnsi"/>
                <w:color w:val="000000"/>
                <w:sz w:val="18"/>
                <w:szCs w:val="18"/>
              </w:rPr>
            </w:pPr>
          </w:p>
        </w:tc>
        <w:tc>
          <w:tcPr>
            <w:tcW w:w="1428" w:type="dxa"/>
            <w:tcBorders>
              <w:top w:val="nil"/>
              <w:left w:val="nil"/>
              <w:bottom w:val="single" w:sz="4" w:space="0" w:color="000000"/>
              <w:right w:val="single" w:sz="8" w:space="0" w:color="000000"/>
            </w:tcBorders>
            <w:shd w:val="clear" w:color="auto" w:fill="auto"/>
            <w:vAlign w:val="center"/>
          </w:tcPr>
          <w:p w:rsidR="00774BBC" w:rsidRPr="0094588B" w:rsidP="000174E3" w14:paraId="05131CE9" w14:textId="176A1D55">
            <w:pPr>
              <w:widowControl/>
              <w:jc w:val="center"/>
              <w:rPr>
                <w:rFonts w:eastAsia="Calibri" w:asciiTheme="minorHAnsi" w:hAnsiTheme="minorHAnsi" w:cstheme="minorHAnsi"/>
                <w:color w:val="000000"/>
                <w:sz w:val="18"/>
                <w:szCs w:val="18"/>
              </w:rPr>
            </w:pPr>
          </w:p>
        </w:tc>
      </w:tr>
      <w:tr w14:paraId="666F76A3" w14:textId="77777777" w:rsidTr="000174E3">
        <w:tblPrEx>
          <w:tblW w:w="9051" w:type="dxa"/>
          <w:jc w:val="center"/>
          <w:tblLayout w:type="fixed"/>
          <w:tblLook w:val="0400"/>
        </w:tblPrEx>
        <w:trPr>
          <w:trHeight w:val="296"/>
          <w:jc w:val="center"/>
        </w:trPr>
        <w:tc>
          <w:tcPr>
            <w:tcW w:w="2330" w:type="dxa"/>
            <w:tcBorders>
              <w:top w:val="nil"/>
              <w:left w:val="single" w:sz="8" w:space="0" w:color="auto"/>
              <w:bottom w:val="single" w:sz="4" w:space="0" w:color="auto"/>
              <w:right w:val="single" w:sz="8" w:space="0" w:color="auto"/>
            </w:tcBorders>
            <w:shd w:val="clear" w:color="auto" w:fill="auto"/>
            <w:vAlign w:val="center"/>
          </w:tcPr>
          <w:p w:rsidR="0007696E" w:rsidRPr="0094588B" w:rsidP="0007696E" w14:paraId="083F9BC8" w14:textId="4149028A">
            <w:pPr>
              <w:widowControl/>
              <w:rPr>
                <w:rFonts w:eastAsia="Calibri" w:asciiTheme="minorHAnsi" w:hAnsiTheme="minorHAnsi" w:cstheme="minorHAnsi"/>
                <w:color w:val="000000"/>
                <w:sz w:val="18"/>
                <w:szCs w:val="18"/>
              </w:rPr>
            </w:pPr>
            <w:r w:rsidRPr="00BF3431">
              <w:rPr>
                <w:rFonts w:asciiTheme="minorHAnsi" w:hAnsiTheme="minorHAnsi" w:cstheme="minorHAnsi"/>
                <w:color w:val="000000"/>
                <w:sz w:val="18"/>
                <w:szCs w:val="18"/>
              </w:rPr>
              <w:t>EFP Application Processing</w:t>
            </w:r>
          </w:p>
        </w:tc>
        <w:tc>
          <w:tcPr>
            <w:tcW w:w="1405" w:type="dxa"/>
            <w:tcBorders>
              <w:top w:val="nil"/>
              <w:left w:val="nil"/>
              <w:bottom w:val="single" w:sz="4" w:space="0" w:color="auto"/>
              <w:right w:val="single" w:sz="4" w:space="0" w:color="auto"/>
            </w:tcBorders>
            <w:shd w:val="clear" w:color="auto" w:fill="auto"/>
            <w:vAlign w:val="center"/>
          </w:tcPr>
          <w:p w:rsidR="0007696E" w:rsidRPr="0094588B" w:rsidP="000174E3" w14:paraId="0B48089F" w14:textId="35D4DF94">
            <w:pPr>
              <w:widowControl/>
              <w:jc w:val="center"/>
              <w:rPr>
                <w:rFonts w:eastAsia="Calibri" w:asciiTheme="minorHAnsi" w:hAnsiTheme="minorHAnsi" w:cstheme="minorHAnsi"/>
                <w:color w:val="000000"/>
                <w:sz w:val="18"/>
                <w:szCs w:val="18"/>
              </w:rPr>
            </w:pPr>
            <w:r>
              <w:rPr>
                <w:rFonts w:asciiTheme="minorHAnsi" w:hAnsiTheme="minorHAnsi" w:cstheme="minorHAnsi"/>
                <w:color w:val="000000"/>
                <w:sz w:val="18"/>
                <w:szCs w:val="18"/>
              </w:rPr>
              <w:t xml:space="preserve">(x2) </w:t>
            </w:r>
            <w:r w:rsidR="00294350">
              <w:rPr>
                <w:rFonts w:asciiTheme="minorHAnsi" w:hAnsiTheme="minorHAnsi" w:cstheme="minorHAnsi"/>
                <w:color w:val="000000"/>
                <w:sz w:val="18"/>
                <w:szCs w:val="18"/>
              </w:rPr>
              <w:t>ZP-3 step 3 (GS 11/12)</w:t>
            </w:r>
          </w:p>
        </w:tc>
        <w:tc>
          <w:tcPr>
            <w:tcW w:w="1252" w:type="dxa"/>
            <w:tcBorders>
              <w:top w:val="nil"/>
              <w:left w:val="nil"/>
              <w:bottom w:val="single" w:sz="4" w:space="0" w:color="auto"/>
              <w:right w:val="single" w:sz="4" w:space="0" w:color="auto"/>
            </w:tcBorders>
            <w:shd w:val="clear" w:color="auto" w:fill="auto"/>
            <w:vAlign w:val="center"/>
          </w:tcPr>
          <w:p w:rsidR="0007696E" w:rsidRPr="00475959" w:rsidP="000174E3" w14:paraId="657F81BE" w14:textId="07676404">
            <w:pPr>
              <w:widowControl/>
              <w:jc w:val="center"/>
              <w:rPr>
                <w:rFonts w:eastAsia="Calibri" w:asciiTheme="minorHAnsi" w:hAnsiTheme="minorHAnsi" w:cstheme="minorHAnsi"/>
                <w:color w:val="000000"/>
                <w:sz w:val="18"/>
                <w:szCs w:val="18"/>
                <w:highlight w:val="cyan"/>
              </w:rPr>
            </w:pPr>
            <w:r w:rsidRPr="00294350">
              <w:rPr>
                <w:rFonts w:asciiTheme="minorHAnsi" w:hAnsiTheme="minorHAnsi" w:cstheme="minorHAnsi"/>
                <w:color w:val="000000"/>
                <w:sz w:val="18"/>
                <w:szCs w:val="18"/>
              </w:rPr>
              <w:t>$</w:t>
            </w:r>
            <w:r w:rsidRPr="00C52E3E" w:rsidR="00C52E3E">
              <w:rPr>
                <w:rFonts w:asciiTheme="minorHAnsi" w:hAnsiTheme="minorHAnsi" w:cstheme="minorHAnsi"/>
                <w:color w:val="000000"/>
                <w:sz w:val="18"/>
                <w:szCs w:val="18"/>
              </w:rPr>
              <w:t>194,101</w:t>
            </w:r>
          </w:p>
        </w:tc>
        <w:tc>
          <w:tcPr>
            <w:tcW w:w="1230" w:type="dxa"/>
            <w:tcBorders>
              <w:top w:val="nil"/>
              <w:left w:val="nil"/>
              <w:bottom w:val="single" w:sz="4" w:space="0" w:color="auto"/>
              <w:right w:val="single" w:sz="4" w:space="0" w:color="auto"/>
            </w:tcBorders>
            <w:shd w:val="clear" w:color="auto" w:fill="auto"/>
            <w:vAlign w:val="center"/>
          </w:tcPr>
          <w:p w:rsidR="0007696E" w:rsidRPr="00475959" w:rsidP="000174E3" w14:paraId="67A148E3" w14:textId="2474A401">
            <w:pPr>
              <w:widowControl/>
              <w:jc w:val="center"/>
              <w:rPr>
                <w:rFonts w:eastAsia="Calibri" w:asciiTheme="minorHAnsi" w:hAnsiTheme="minorHAnsi" w:cstheme="minorHAnsi"/>
                <w:color w:val="000000"/>
                <w:sz w:val="18"/>
                <w:szCs w:val="18"/>
                <w:highlight w:val="cyan"/>
              </w:rPr>
            </w:pPr>
            <w:r>
              <w:rPr>
                <w:rFonts w:asciiTheme="minorHAnsi" w:hAnsiTheme="minorHAnsi" w:cstheme="minorHAnsi"/>
                <w:color w:val="000000"/>
                <w:sz w:val="18"/>
                <w:szCs w:val="18"/>
              </w:rPr>
              <w:t>4</w:t>
            </w:r>
            <w:r w:rsidRPr="00294350">
              <w:rPr>
                <w:rFonts w:asciiTheme="minorHAnsi" w:hAnsiTheme="minorHAnsi" w:cstheme="minorHAnsi"/>
                <w:color w:val="000000"/>
                <w:sz w:val="18"/>
                <w:szCs w:val="18"/>
              </w:rPr>
              <w:t>%</w:t>
            </w:r>
          </w:p>
        </w:tc>
        <w:tc>
          <w:tcPr>
            <w:tcW w:w="1406" w:type="dxa"/>
            <w:tcBorders>
              <w:top w:val="nil"/>
              <w:left w:val="nil"/>
              <w:bottom w:val="single" w:sz="4" w:space="0" w:color="000000"/>
              <w:right w:val="single" w:sz="4" w:space="0" w:color="000000"/>
            </w:tcBorders>
            <w:shd w:val="clear" w:color="auto" w:fill="808080"/>
            <w:vAlign w:val="center"/>
          </w:tcPr>
          <w:p w:rsidR="0007696E" w:rsidRPr="00475959" w:rsidP="000174E3" w14:paraId="317617C3" w14:textId="5F6BD5C0">
            <w:pPr>
              <w:widowControl/>
              <w:jc w:val="center"/>
              <w:rPr>
                <w:rFonts w:eastAsia="Calibri" w:asciiTheme="minorHAnsi" w:hAnsiTheme="minorHAnsi" w:cstheme="minorHAnsi"/>
                <w:color w:val="000000"/>
                <w:sz w:val="18"/>
                <w:szCs w:val="18"/>
                <w:highlight w:val="cyan"/>
              </w:rPr>
            </w:pPr>
          </w:p>
        </w:tc>
        <w:tc>
          <w:tcPr>
            <w:tcW w:w="1428" w:type="dxa"/>
            <w:tcBorders>
              <w:top w:val="nil"/>
              <w:left w:val="nil"/>
              <w:bottom w:val="single" w:sz="4" w:space="0" w:color="auto"/>
              <w:right w:val="single" w:sz="8" w:space="0" w:color="auto"/>
            </w:tcBorders>
            <w:shd w:val="clear" w:color="auto" w:fill="auto"/>
            <w:vAlign w:val="center"/>
          </w:tcPr>
          <w:p w:rsidR="0007696E" w:rsidRPr="00475959" w:rsidP="000174E3" w14:paraId="1A7A71E1" w14:textId="2BAB5074">
            <w:pPr>
              <w:widowControl/>
              <w:jc w:val="center"/>
              <w:rPr>
                <w:rFonts w:eastAsia="Calibri" w:asciiTheme="minorHAnsi" w:hAnsiTheme="minorHAnsi" w:cstheme="minorHAnsi"/>
                <w:color w:val="000000"/>
                <w:sz w:val="18"/>
                <w:szCs w:val="18"/>
                <w:highlight w:val="cyan"/>
              </w:rPr>
            </w:pPr>
            <w:r w:rsidRPr="00294350">
              <w:rPr>
                <w:rFonts w:asciiTheme="minorHAnsi" w:hAnsiTheme="minorHAnsi" w:cstheme="minorHAnsi"/>
                <w:color w:val="000000"/>
                <w:sz w:val="18"/>
                <w:szCs w:val="18"/>
              </w:rPr>
              <w:t>$</w:t>
            </w:r>
            <w:r w:rsidR="00635B29">
              <w:rPr>
                <w:rFonts w:asciiTheme="minorHAnsi" w:hAnsiTheme="minorHAnsi" w:cstheme="minorHAnsi"/>
                <w:color w:val="000000"/>
                <w:sz w:val="18"/>
                <w:szCs w:val="18"/>
              </w:rPr>
              <w:t>15,528</w:t>
            </w:r>
          </w:p>
        </w:tc>
      </w:tr>
      <w:tr w14:paraId="1D5A8103" w14:textId="77777777" w:rsidTr="000174E3">
        <w:tblPrEx>
          <w:tblW w:w="9051" w:type="dxa"/>
          <w:jc w:val="center"/>
          <w:tblLayout w:type="fixed"/>
          <w:tblLook w:val="0400"/>
        </w:tblPrEx>
        <w:trPr>
          <w:trHeight w:val="296"/>
          <w:jc w:val="center"/>
        </w:trPr>
        <w:tc>
          <w:tcPr>
            <w:tcW w:w="2330" w:type="dxa"/>
            <w:tcBorders>
              <w:top w:val="nil"/>
              <w:left w:val="single" w:sz="8" w:space="0" w:color="auto"/>
              <w:bottom w:val="single" w:sz="4" w:space="0" w:color="auto"/>
              <w:right w:val="single" w:sz="8" w:space="0" w:color="auto"/>
            </w:tcBorders>
            <w:shd w:val="clear" w:color="auto" w:fill="auto"/>
            <w:vAlign w:val="center"/>
          </w:tcPr>
          <w:p w:rsidR="0007696E" w:rsidRPr="0094588B" w:rsidP="0007696E" w14:paraId="2F5F6682" w14:textId="30224873">
            <w:pPr>
              <w:widowControl/>
              <w:rPr>
                <w:rFonts w:eastAsia="Calibri" w:asciiTheme="minorHAnsi" w:hAnsiTheme="minorHAnsi" w:cstheme="minorHAnsi"/>
                <w:color w:val="000000"/>
                <w:sz w:val="18"/>
                <w:szCs w:val="18"/>
              </w:rPr>
            </w:pPr>
            <w:r w:rsidRPr="00BF3431">
              <w:rPr>
                <w:rFonts w:asciiTheme="minorHAnsi" w:hAnsiTheme="minorHAnsi" w:cstheme="minorHAnsi"/>
                <w:color w:val="000000"/>
                <w:sz w:val="18"/>
                <w:szCs w:val="18"/>
              </w:rPr>
              <w:t>EFP Application Processing</w:t>
            </w:r>
          </w:p>
        </w:tc>
        <w:tc>
          <w:tcPr>
            <w:tcW w:w="1405" w:type="dxa"/>
            <w:tcBorders>
              <w:top w:val="nil"/>
              <w:left w:val="nil"/>
              <w:bottom w:val="single" w:sz="4" w:space="0" w:color="auto"/>
              <w:right w:val="single" w:sz="4" w:space="0" w:color="auto"/>
            </w:tcBorders>
            <w:shd w:val="clear" w:color="auto" w:fill="auto"/>
            <w:vAlign w:val="center"/>
          </w:tcPr>
          <w:p w:rsidR="0007696E" w:rsidRPr="0094588B" w:rsidP="000174E3" w14:paraId="79EC4B89" w14:textId="61403EDE">
            <w:pPr>
              <w:widowControl/>
              <w:jc w:val="center"/>
              <w:rPr>
                <w:rFonts w:eastAsia="Calibri" w:asciiTheme="minorHAnsi" w:hAnsiTheme="minorHAnsi" w:cstheme="minorHAnsi"/>
                <w:color w:val="000000"/>
                <w:sz w:val="18"/>
                <w:szCs w:val="18"/>
              </w:rPr>
            </w:pPr>
            <w:r>
              <w:rPr>
                <w:rFonts w:asciiTheme="minorHAnsi" w:hAnsiTheme="minorHAnsi" w:cstheme="minorHAnsi"/>
                <w:color w:val="000000"/>
                <w:sz w:val="18"/>
                <w:szCs w:val="18"/>
              </w:rPr>
              <w:t xml:space="preserve">(x2) </w:t>
            </w:r>
            <w:r w:rsidR="00C52E3E">
              <w:rPr>
                <w:rFonts w:asciiTheme="minorHAnsi" w:hAnsiTheme="minorHAnsi" w:cstheme="minorHAnsi"/>
                <w:color w:val="000000"/>
                <w:sz w:val="18"/>
                <w:szCs w:val="18"/>
              </w:rPr>
              <w:t>ZP-4 step 3 (GS 13/14)</w:t>
            </w:r>
          </w:p>
        </w:tc>
        <w:tc>
          <w:tcPr>
            <w:tcW w:w="1252" w:type="dxa"/>
            <w:tcBorders>
              <w:top w:val="nil"/>
              <w:left w:val="nil"/>
              <w:bottom w:val="single" w:sz="4" w:space="0" w:color="auto"/>
              <w:right w:val="single" w:sz="4" w:space="0" w:color="auto"/>
            </w:tcBorders>
            <w:shd w:val="clear" w:color="auto" w:fill="auto"/>
            <w:vAlign w:val="center"/>
          </w:tcPr>
          <w:p w:rsidR="0007696E" w:rsidRPr="00475959" w:rsidP="000174E3" w14:paraId="791ABD74" w14:textId="629312A7">
            <w:pPr>
              <w:widowControl/>
              <w:jc w:val="center"/>
              <w:rPr>
                <w:rFonts w:eastAsia="Calibri" w:asciiTheme="minorHAnsi" w:hAnsiTheme="minorHAnsi" w:cstheme="minorHAnsi"/>
                <w:color w:val="000000"/>
                <w:sz w:val="18"/>
                <w:szCs w:val="18"/>
                <w:highlight w:val="cyan"/>
              </w:rPr>
            </w:pPr>
            <w:r>
              <w:rPr>
                <w:rFonts w:asciiTheme="minorHAnsi" w:hAnsiTheme="minorHAnsi" w:cstheme="minorHAnsi"/>
                <w:color w:val="000000"/>
                <w:sz w:val="18"/>
                <w:szCs w:val="18"/>
              </w:rPr>
              <w:t>$</w:t>
            </w:r>
            <w:r w:rsidRPr="00C52E3E">
              <w:rPr>
                <w:rFonts w:asciiTheme="minorHAnsi" w:hAnsiTheme="minorHAnsi" w:cstheme="minorHAnsi"/>
                <w:color w:val="000000"/>
                <w:sz w:val="18"/>
                <w:szCs w:val="18"/>
              </w:rPr>
              <w:t>272,761</w:t>
            </w:r>
          </w:p>
        </w:tc>
        <w:tc>
          <w:tcPr>
            <w:tcW w:w="1230" w:type="dxa"/>
            <w:tcBorders>
              <w:top w:val="nil"/>
              <w:left w:val="nil"/>
              <w:bottom w:val="single" w:sz="4" w:space="0" w:color="auto"/>
              <w:right w:val="single" w:sz="4" w:space="0" w:color="auto"/>
            </w:tcBorders>
            <w:shd w:val="clear" w:color="auto" w:fill="auto"/>
            <w:vAlign w:val="center"/>
          </w:tcPr>
          <w:p w:rsidR="0007696E" w:rsidRPr="00475959" w:rsidP="000174E3" w14:paraId="11E3008E" w14:textId="3F3F7AD7">
            <w:pPr>
              <w:widowControl/>
              <w:jc w:val="center"/>
              <w:rPr>
                <w:rFonts w:eastAsia="Calibri" w:asciiTheme="minorHAnsi" w:hAnsiTheme="minorHAnsi" w:cstheme="minorHAnsi"/>
                <w:color w:val="000000"/>
                <w:sz w:val="18"/>
                <w:szCs w:val="18"/>
                <w:highlight w:val="cyan"/>
              </w:rPr>
            </w:pPr>
            <w:r>
              <w:rPr>
                <w:rFonts w:asciiTheme="minorHAnsi" w:hAnsiTheme="minorHAnsi" w:cstheme="minorHAnsi"/>
                <w:color w:val="000000"/>
                <w:sz w:val="18"/>
                <w:szCs w:val="18"/>
              </w:rPr>
              <w:t>4</w:t>
            </w:r>
            <w:r w:rsidRPr="00C52E3E">
              <w:rPr>
                <w:rFonts w:asciiTheme="minorHAnsi" w:hAnsiTheme="minorHAnsi" w:cstheme="minorHAnsi"/>
                <w:color w:val="000000"/>
                <w:sz w:val="18"/>
                <w:szCs w:val="18"/>
              </w:rPr>
              <w:t>%</w:t>
            </w:r>
          </w:p>
        </w:tc>
        <w:tc>
          <w:tcPr>
            <w:tcW w:w="1406" w:type="dxa"/>
            <w:tcBorders>
              <w:top w:val="nil"/>
              <w:left w:val="nil"/>
              <w:bottom w:val="single" w:sz="4" w:space="0" w:color="000000"/>
              <w:right w:val="single" w:sz="4" w:space="0" w:color="000000"/>
            </w:tcBorders>
            <w:shd w:val="clear" w:color="auto" w:fill="808080"/>
            <w:vAlign w:val="center"/>
          </w:tcPr>
          <w:p w:rsidR="0007696E" w:rsidRPr="000174E3" w:rsidP="000174E3" w14:paraId="4C991357" w14:textId="77777777">
            <w:pPr>
              <w:widowControl/>
              <w:jc w:val="center"/>
              <w:rPr>
                <w:rFonts w:eastAsia="Calibri" w:asciiTheme="minorHAnsi" w:hAnsiTheme="minorHAnsi" w:cstheme="minorHAnsi"/>
                <w:color w:val="000000"/>
                <w:sz w:val="18"/>
                <w:szCs w:val="18"/>
              </w:rPr>
            </w:pPr>
          </w:p>
        </w:tc>
        <w:tc>
          <w:tcPr>
            <w:tcW w:w="1428" w:type="dxa"/>
            <w:tcBorders>
              <w:top w:val="nil"/>
              <w:left w:val="nil"/>
              <w:bottom w:val="single" w:sz="4" w:space="0" w:color="auto"/>
              <w:right w:val="single" w:sz="8" w:space="0" w:color="auto"/>
            </w:tcBorders>
            <w:shd w:val="clear" w:color="auto" w:fill="auto"/>
            <w:vAlign w:val="center"/>
          </w:tcPr>
          <w:p w:rsidR="0007696E" w:rsidRPr="000174E3" w:rsidP="000174E3" w14:paraId="2787BC96" w14:textId="015872B6">
            <w:pPr>
              <w:widowControl/>
              <w:jc w:val="center"/>
              <w:rPr>
                <w:rFonts w:eastAsia="Calibri" w:asciiTheme="minorHAnsi" w:hAnsiTheme="minorHAnsi" w:cstheme="minorHAnsi"/>
                <w:color w:val="000000"/>
                <w:sz w:val="18"/>
                <w:szCs w:val="18"/>
              </w:rPr>
            </w:pPr>
            <w:r w:rsidRPr="000174E3">
              <w:rPr>
                <w:rFonts w:asciiTheme="minorHAnsi" w:hAnsiTheme="minorHAnsi" w:cstheme="minorHAnsi"/>
                <w:color w:val="000000"/>
                <w:sz w:val="18"/>
                <w:szCs w:val="18"/>
              </w:rPr>
              <w:t>$</w:t>
            </w:r>
            <w:r w:rsidRPr="000174E3" w:rsidR="000174E3">
              <w:rPr>
                <w:rFonts w:asciiTheme="minorHAnsi" w:hAnsiTheme="minorHAnsi" w:cstheme="minorHAnsi"/>
                <w:color w:val="000000"/>
                <w:sz w:val="18"/>
                <w:szCs w:val="18"/>
              </w:rPr>
              <w:t>21,821</w:t>
            </w:r>
          </w:p>
        </w:tc>
      </w:tr>
      <w:tr w14:paraId="28E742AC" w14:textId="77777777" w:rsidTr="000174E3">
        <w:tblPrEx>
          <w:tblW w:w="9051" w:type="dxa"/>
          <w:jc w:val="center"/>
          <w:tblLayout w:type="fixed"/>
          <w:tblLook w:val="0400"/>
        </w:tblPrEx>
        <w:trPr>
          <w:trHeight w:val="296"/>
          <w:jc w:val="center"/>
        </w:trPr>
        <w:tc>
          <w:tcPr>
            <w:tcW w:w="2330" w:type="dxa"/>
            <w:tcBorders>
              <w:top w:val="nil"/>
              <w:left w:val="single" w:sz="8" w:space="0" w:color="auto"/>
              <w:bottom w:val="single" w:sz="4" w:space="0" w:color="auto"/>
              <w:right w:val="single" w:sz="8" w:space="0" w:color="auto"/>
            </w:tcBorders>
            <w:shd w:val="clear" w:color="auto" w:fill="auto"/>
            <w:vAlign w:val="center"/>
          </w:tcPr>
          <w:p w:rsidR="0007696E" w:rsidRPr="0094588B" w:rsidP="0007696E" w14:paraId="0003E69B" w14:textId="3B20D38E">
            <w:pPr>
              <w:widowControl/>
              <w:rPr>
                <w:rFonts w:eastAsia="Calibri" w:asciiTheme="minorHAnsi" w:hAnsiTheme="minorHAnsi" w:cstheme="minorHAnsi"/>
                <w:color w:val="000000"/>
                <w:sz w:val="18"/>
                <w:szCs w:val="18"/>
              </w:rPr>
            </w:pPr>
            <w:r w:rsidRPr="00BF3431">
              <w:rPr>
                <w:rFonts w:asciiTheme="minorHAnsi" w:hAnsiTheme="minorHAnsi" w:cstheme="minorHAnsi"/>
                <w:color w:val="000000"/>
                <w:sz w:val="18"/>
                <w:szCs w:val="18"/>
              </w:rPr>
              <w:t xml:space="preserve">FFP and </w:t>
            </w:r>
            <w:r w:rsidRPr="00BF3431">
              <w:rPr>
                <w:rFonts w:asciiTheme="minorHAnsi" w:hAnsiTheme="minorHAnsi" w:cstheme="minorHAnsi"/>
                <w:color w:val="000000"/>
                <w:sz w:val="18"/>
                <w:szCs w:val="18"/>
              </w:rPr>
              <w:t>FPP Application Processing</w:t>
            </w:r>
          </w:p>
        </w:tc>
        <w:tc>
          <w:tcPr>
            <w:tcW w:w="1405" w:type="dxa"/>
            <w:tcBorders>
              <w:top w:val="nil"/>
              <w:left w:val="nil"/>
              <w:bottom w:val="single" w:sz="4" w:space="0" w:color="auto"/>
              <w:right w:val="single" w:sz="4" w:space="0" w:color="auto"/>
            </w:tcBorders>
            <w:shd w:val="clear" w:color="auto" w:fill="auto"/>
            <w:vAlign w:val="center"/>
          </w:tcPr>
          <w:p w:rsidR="00756E2F" w:rsidRPr="00756E2F" w:rsidP="000174E3" w14:paraId="4FB0EAC4" w14:textId="77777777">
            <w:pPr>
              <w:widowControl/>
              <w:jc w:val="center"/>
              <w:rPr>
                <w:rFonts w:asciiTheme="minorHAnsi" w:hAnsiTheme="minorHAnsi" w:cstheme="minorHAnsi"/>
                <w:color w:val="000000"/>
                <w:sz w:val="18"/>
                <w:szCs w:val="18"/>
              </w:rPr>
            </w:pPr>
            <w:r w:rsidRPr="00BF3431">
              <w:rPr>
                <w:rFonts w:asciiTheme="minorHAnsi" w:hAnsiTheme="minorHAnsi" w:cstheme="minorHAnsi"/>
                <w:color w:val="000000"/>
                <w:sz w:val="18"/>
                <w:szCs w:val="18"/>
              </w:rPr>
              <w:t xml:space="preserve">(x3) </w:t>
            </w:r>
            <w:r w:rsidRPr="00756E2F">
              <w:rPr>
                <w:rFonts w:asciiTheme="minorHAnsi" w:hAnsiTheme="minorHAnsi" w:cstheme="minorHAnsi"/>
                <w:color w:val="000000"/>
                <w:sz w:val="18"/>
                <w:szCs w:val="18"/>
              </w:rPr>
              <w:t>ZS-4 step 4</w:t>
            </w:r>
          </w:p>
          <w:p w:rsidR="0007696E" w:rsidRPr="0094588B" w:rsidP="000174E3" w14:paraId="30B2787D" w14:textId="512B3306">
            <w:pPr>
              <w:widowControl/>
              <w:jc w:val="center"/>
              <w:rPr>
                <w:rFonts w:eastAsia="Calibri" w:asciiTheme="minorHAnsi" w:hAnsiTheme="minorHAnsi" w:cstheme="minorHAnsi"/>
                <w:color w:val="000000"/>
                <w:sz w:val="18"/>
                <w:szCs w:val="18"/>
              </w:rPr>
            </w:pPr>
            <w:r w:rsidRPr="00756E2F">
              <w:rPr>
                <w:rFonts w:asciiTheme="minorHAnsi" w:hAnsiTheme="minorHAnsi" w:cstheme="minorHAnsi"/>
                <w:color w:val="000000"/>
                <w:sz w:val="18"/>
                <w:szCs w:val="18"/>
              </w:rPr>
              <w:t>(GS 7/8)</w:t>
            </w:r>
          </w:p>
        </w:tc>
        <w:tc>
          <w:tcPr>
            <w:tcW w:w="1252" w:type="dxa"/>
            <w:tcBorders>
              <w:top w:val="nil"/>
              <w:left w:val="nil"/>
              <w:bottom w:val="single" w:sz="4" w:space="0" w:color="auto"/>
              <w:right w:val="single" w:sz="4" w:space="0" w:color="auto"/>
            </w:tcBorders>
            <w:shd w:val="clear" w:color="auto" w:fill="auto"/>
            <w:vAlign w:val="center"/>
          </w:tcPr>
          <w:p w:rsidR="0007696E" w:rsidRPr="00475959" w:rsidP="000174E3" w14:paraId="49C52562" w14:textId="65BC8FD2">
            <w:pPr>
              <w:widowControl/>
              <w:jc w:val="center"/>
              <w:rPr>
                <w:rFonts w:eastAsia="Calibri" w:asciiTheme="minorHAnsi" w:hAnsiTheme="minorHAnsi" w:cstheme="minorHAnsi"/>
                <w:color w:val="000000"/>
                <w:sz w:val="18"/>
                <w:szCs w:val="18"/>
                <w:highlight w:val="cyan"/>
              </w:rPr>
            </w:pPr>
            <w:r w:rsidRPr="00756E2F">
              <w:rPr>
                <w:rFonts w:asciiTheme="minorHAnsi" w:hAnsiTheme="minorHAnsi" w:cstheme="minorHAnsi"/>
                <w:color w:val="000000"/>
                <w:sz w:val="18"/>
                <w:szCs w:val="18"/>
              </w:rPr>
              <w:t>$124,818</w:t>
            </w:r>
          </w:p>
        </w:tc>
        <w:tc>
          <w:tcPr>
            <w:tcW w:w="1230" w:type="dxa"/>
            <w:tcBorders>
              <w:top w:val="nil"/>
              <w:left w:val="nil"/>
              <w:bottom w:val="single" w:sz="4" w:space="0" w:color="auto"/>
              <w:right w:val="single" w:sz="4" w:space="0" w:color="auto"/>
            </w:tcBorders>
            <w:shd w:val="clear" w:color="auto" w:fill="auto"/>
            <w:vAlign w:val="center"/>
          </w:tcPr>
          <w:p w:rsidR="0007696E" w:rsidRPr="00475959" w:rsidP="000174E3" w14:paraId="2B37FD54" w14:textId="3935531C">
            <w:pPr>
              <w:widowControl/>
              <w:jc w:val="center"/>
              <w:rPr>
                <w:rFonts w:eastAsia="Calibri" w:asciiTheme="minorHAnsi" w:hAnsiTheme="minorHAnsi" w:cstheme="minorHAnsi"/>
                <w:color w:val="000000"/>
                <w:sz w:val="18"/>
                <w:szCs w:val="18"/>
                <w:highlight w:val="cyan"/>
              </w:rPr>
            </w:pPr>
            <w:r w:rsidRPr="00756E2F">
              <w:rPr>
                <w:rFonts w:asciiTheme="minorHAnsi" w:hAnsiTheme="minorHAnsi" w:cstheme="minorHAnsi"/>
                <w:color w:val="000000"/>
                <w:sz w:val="18"/>
                <w:szCs w:val="18"/>
              </w:rPr>
              <w:t>10%</w:t>
            </w:r>
          </w:p>
        </w:tc>
        <w:tc>
          <w:tcPr>
            <w:tcW w:w="1406" w:type="dxa"/>
            <w:tcBorders>
              <w:top w:val="nil"/>
              <w:left w:val="nil"/>
              <w:bottom w:val="single" w:sz="4" w:space="0" w:color="000000"/>
              <w:right w:val="single" w:sz="4" w:space="0" w:color="000000"/>
            </w:tcBorders>
            <w:shd w:val="clear" w:color="auto" w:fill="808080"/>
            <w:vAlign w:val="center"/>
          </w:tcPr>
          <w:p w:rsidR="0007696E" w:rsidRPr="00475959" w:rsidP="000174E3" w14:paraId="1DFE3DB5" w14:textId="77777777">
            <w:pPr>
              <w:widowControl/>
              <w:jc w:val="center"/>
              <w:rPr>
                <w:rFonts w:eastAsia="Calibri" w:asciiTheme="minorHAnsi" w:hAnsiTheme="minorHAnsi" w:cstheme="minorHAnsi"/>
                <w:color w:val="000000"/>
                <w:sz w:val="18"/>
                <w:szCs w:val="18"/>
                <w:highlight w:val="cyan"/>
              </w:rPr>
            </w:pPr>
          </w:p>
        </w:tc>
        <w:tc>
          <w:tcPr>
            <w:tcW w:w="1428" w:type="dxa"/>
            <w:tcBorders>
              <w:top w:val="nil"/>
              <w:left w:val="nil"/>
              <w:bottom w:val="single" w:sz="4" w:space="0" w:color="auto"/>
              <w:right w:val="single" w:sz="8" w:space="0" w:color="auto"/>
            </w:tcBorders>
            <w:shd w:val="clear" w:color="auto" w:fill="auto"/>
            <w:vAlign w:val="center"/>
          </w:tcPr>
          <w:p w:rsidR="0007696E" w:rsidRPr="00475959" w:rsidP="000174E3" w14:paraId="3D921974" w14:textId="516C2FC2">
            <w:pPr>
              <w:widowControl/>
              <w:jc w:val="center"/>
              <w:rPr>
                <w:rFonts w:eastAsia="Calibri" w:asciiTheme="minorHAnsi" w:hAnsiTheme="minorHAnsi" w:cstheme="minorHAnsi"/>
                <w:color w:val="000000"/>
                <w:sz w:val="18"/>
                <w:szCs w:val="18"/>
                <w:highlight w:val="cyan"/>
              </w:rPr>
            </w:pPr>
            <w:r w:rsidRPr="00756E2F">
              <w:rPr>
                <w:rFonts w:asciiTheme="minorHAnsi" w:hAnsiTheme="minorHAnsi" w:cstheme="minorHAnsi"/>
                <w:color w:val="000000"/>
                <w:sz w:val="18"/>
                <w:szCs w:val="18"/>
              </w:rPr>
              <w:t>$</w:t>
            </w:r>
            <w:r w:rsidRPr="00756E2F" w:rsidR="00756E2F">
              <w:rPr>
                <w:rFonts w:asciiTheme="minorHAnsi" w:hAnsiTheme="minorHAnsi" w:cstheme="minorHAnsi"/>
                <w:color w:val="000000"/>
                <w:sz w:val="18"/>
                <w:szCs w:val="18"/>
              </w:rPr>
              <w:t>37,445</w:t>
            </w:r>
          </w:p>
        </w:tc>
      </w:tr>
      <w:tr w14:paraId="385172CC" w14:textId="77777777" w:rsidTr="000174E3">
        <w:tblPrEx>
          <w:tblW w:w="9051" w:type="dxa"/>
          <w:jc w:val="center"/>
          <w:tblLayout w:type="fixed"/>
          <w:tblLook w:val="0400"/>
        </w:tblPrEx>
        <w:trPr>
          <w:trHeight w:val="283"/>
          <w:jc w:val="center"/>
        </w:trPr>
        <w:tc>
          <w:tcPr>
            <w:tcW w:w="2330" w:type="dxa"/>
            <w:tcBorders>
              <w:top w:val="nil"/>
              <w:left w:val="single" w:sz="8" w:space="0" w:color="000000"/>
              <w:bottom w:val="single" w:sz="4" w:space="0" w:color="000000"/>
              <w:right w:val="single" w:sz="8" w:space="0" w:color="000000"/>
            </w:tcBorders>
            <w:shd w:val="clear" w:color="auto" w:fill="auto"/>
            <w:vAlign w:val="center"/>
          </w:tcPr>
          <w:p w:rsidR="0007696E" w:rsidRPr="0094588B" w:rsidP="0007696E" w14:paraId="5C13ED55" w14:textId="77777777">
            <w:pPr>
              <w:widowControl/>
              <w:rPr>
                <w:rFonts w:eastAsia="Calibri" w:asciiTheme="minorHAnsi" w:hAnsiTheme="minorHAnsi" w:cstheme="minorHAnsi"/>
                <w:b/>
                <w:color w:val="000000"/>
                <w:sz w:val="18"/>
                <w:szCs w:val="18"/>
              </w:rPr>
            </w:pPr>
            <w:r w:rsidRPr="0094588B">
              <w:rPr>
                <w:rFonts w:eastAsia="Calibri" w:asciiTheme="minorHAnsi" w:hAnsiTheme="minorHAnsi" w:cstheme="minorHAnsi"/>
                <w:b/>
                <w:color w:val="000000"/>
                <w:sz w:val="18"/>
                <w:szCs w:val="18"/>
              </w:rPr>
              <w:t>Contractor Cost</w:t>
            </w:r>
          </w:p>
        </w:tc>
        <w:tc>
          <w:tcPr>
            <w:tcW w:w="1405" w:type="dxa"/>
            <w:tcBorders>
              <w:top w:val="nil"/>
              <w:left w:val="nil"/>
              <w:bottom w:val="single" w:sz="4" w:space="0" w:color="000000"/>
              <w:right w:val="single" w:sz="4" w:space="0" w:color="000000"/>
            </w:tcBorders>
            <w:shd w:val="clear" w:color="auto" w:fill="808080"/>
            <w:vAlign w:val="center"/>
          </w:tcPr>
          <w:p w:rsidR="0007696E" w:rsidRPr="0094588B" w:rsidP="000174E3" w14:paraId="0384C96C" w14:textId="4464D3EA">
            <w:pPr>
              <w:widowControl/>
              <w:jc w:val="center"/>
              <w:rPr>
                <w:rFonts w:eastAsia="Calibri" w:asciiTheme="minorHAnsi" w:hAnsiTheme="minorHAnsi" w:cstheme="minorHAnsi"/>
                <w:color w:val="000000"/>
                <w:sz w:val="18"/>
                <w:szCs w:val="18"/>
              </w:rPr>
            </w:pPr>
          </w:p>
        </w:tc>
        <w:tc>
          <w:tcPr>
            <w:tcW w:w="1252" w:type="dxa"/>
            <w:tcBorders>
              <w:top w:val="nil"/>
              <w:left w:val="nil"/>
              <w:bottom w:val="single" w:sz="4" w:space="0" w:color="000000"/>
              <w:right w:val="single" w:sz="4" w:space="0" w:color="000000"/>
            </w:tcBorders>
            <w:shd w:val="clear" w:color="auto" w:fill="auto"/>
            <w:vAlign w:val="center"/>
          </w:tcPr>
          <w:p w:rsidR="0007696E" w:rsidRPr="00475959" w:rsidP="000174E3" w14:paraId="182FEB29" w14:textId="0CC032AD">
            <w:pPr>
              <w:widowControl/>
              <w:jc w:val="center"/>
              <w:rPr>
                <w:rFonts w:eastAsia="Calibri" w:asciiTheme="minorHAnsi" w:hAnsiTheme="minorHAnsi" w:cstheme="minorHAnsi"/>
                <w:color w:val="000000"/>
                <w:sz w:val="18"/>
                <w:szCs w:val="18"/>
                <w:highlight w:val="cyan"/>
              </w:rPr>
            </w:pPr>
          </w:p>
        </w:tc>
        <w:tc>
          <w:tcPr>
            <w:tcW w:w="1230" w:type="dxa"/>
            <w:tcBorders>
              <w:top w:val="nil"/>
              <w:left w:val="nil"/>
              <w:bottom w:val="single" w:sz="4" w:space="0" w:color="000000"/>
              <w:right w:val="single" w:sz="4" w:space="0" w:color="000000"/>
            </w:tcBorders>
            <w:shd w:val="clear" w:color="auto" w:fill="auto"/>
            <w:vAlign w:val="center"/>
          </w:tcPr>
          <w:p w:rsidR="0007696E" w:rsidRPr="00475959" w:rsidP="000174E3" w14:paraId="015D3CD8" w14:textId="545CF217">
            <w:pPr>
              <w:widowControl/>
              <w:jc w:val="center"/>
              <w:rPr>
                <w:rFonts w:eastAsia="Calibri" w:asciiTheme="minorHAnsi" w:hAnsiTheme="minorHAnsi" w:cstheme="minorHAnsi"/>
                <w:color w:val="000000"/>
                <w:sz w:val="18"/>
                <w:szCs w:val="18"/>
                <w:highlight w:val="cyan"/>
              </w:rPr>
            </w:pPr>
          </w:p>
        </w:tc>
        <w:tc>
          <w:tcPr>
            <w:tcW w:w="1406" w:type="dxa"/>
            <w:tcBorders>
              <w:top w:val="nil"/>
              <w:left w:val="nil"/>
              <w:bottom w:val="single" w:sz="4" w:space="0" w:color="000000"/>
              <w:right w:val="single" w:sz="4" w:space="0" w:color="000000"/>
            </w:tcBorders>
            <w:shd w:val="clear" w:color="auto" w:fill="auto"/>
            <w:vAlign w:val="center"/>
          </w:tcPr>
          <w:p w:rsidR="0007696E" w:rsidRPr="00475959" w:rsidP="000174E3" w14:paraId="70F3DFBD" w14:textId="12FECF21">
            <w:pPr>
              <w:widowControl/>
              <w:jc w:val="center"/>
              <w:rPr>
                <w:rFonts w:eastAsia="Calibri" w:asciiTheme="minorHAnsi" w:hAnsiTheme="minorHAnsi" w:cstheme="minorHAnsi"/>
                <w:color w:val="000000"/>
                <w:sz w:val="18"/>
                <w:szCs w:val="18"/>
                <w:highlight w:val="cyan"/>
              </w:rPr>
            </w:pPr>
          </w:p>
        </w:tc>
        <w:tc>
          <w:tcPr>
            <w:tcW w:w="1428" w:type="dxa"/>
            <w:tcBorders>
              <w:top w:val="nil"/>
              <w:left w:val="nil"/>
              <w:bottom w:val="single" w:sz="4" w:space="0" w:color="auto"/>
              <w:right w:val="single" w:sz="8" w:space="0" w:color="auto"/>
            </w:tcBorders>
            <w:shd w:val="clear" w:color="auto" w:fill="auto"/>
            <w:vAlign w:val="center"/>
          </w:tcPr>
          <w:p w:rsidR="0007696E" w:rsidRPr="00756E2F" w:rsidP="000174E3" w14:paraId="56DB5B7B" w14:textId="1B2CA992">
            <w:pPr>
              <w:widowControl/>
              <w:jc w:val="center"/>
              <w:rPr>
                <w:rFonts w:eastAsia="Calibri" w:asciiTheme="minorHAnsi" w:hAnsiTheme="minorHAnsi" w:cstheme="minorHAnsi"/>
                <w:color w:val="000000"/>
                <w:sz w:val="18"/>
                <w:szCs w:val="18"/>
              </w:rPr>
            </w:pPr>
            <w:r w:rsidRPr="00756E2F">
              <w:rPr>
                <w:rFonts w:eastAsia="Calibri" w:asciiTheme="minorHAnsi" w:hAnsiTheme="minorHAnsi" w:cstheme="minorHAnsi"/>
                <w:color w:val="000000"/>
                <w:sz w:val="18"/>
                <w:szCs w:val="18"/>
              </w:rPr>
              <w:t>—</w:t>
            </w:r>
          </w:p>
        </w:tc>
      </w:tr>
      <w:tr w14:paraId="3FAC69C3" w14:textId="77777777" w:rsidTr="000174E3">
        <w:tblPrEx>
          <w:tblW w:w="9051" w:type="dxa"/>
          <w:jc w:val="center"/>
          <w:tblLayout w:type="fixed"/>
          <w:tblLook w:val="0400"/>
        </w:tblPrEx>
        <w:trPr>
          <w:trHeight w:val="159"/>
          <w:jc w:val="center"/>
        </w:trPr>
        <w:tc>
          <w:tcPr>
            <w:tcW w:w="2330" w:type="dxa"/>
            <w:tcBorders>
              <w:top w:val="nil"/>
              <w:left w:val="single" w:sz="8" w:space="0" w:color="000000"/>
              <w:bottom w:val="single" w:sz="4" w:space="0" w:color="000000"/>
              <w:right w:val="single" w:sz="8" w:space="0" w:color="000000"/>
            </w:tcBorders>
            <w:shd w:val="clear" w:color="auto" w:fill="auto"/>
            <w:vAlign w:val="center"/>
          </w:tcPr>
          <w:p w:rsidR="0007696E" w:rsidRPr="0094588B" w:rsidP="0007696E" w14:paraId="293AB1AF" w14:textId="77777777">
            <w:pPr>
              <w:widowControl/>
              <w:rPr>
                <w:rFonts w:eastAsia="Calibri" w:asciiTheme="minorHAnsi" w:hAnsiTheme="minorHAnsi" w:cstheme="minorHAnsi"/>
                <w:b/>
                <w:color w:val="000000"/>
                <w:sz w:val="18"/>
                <w:szCs w:val="18"/>
              </w:rPr>
            </w:pPr>
            <w:r w:rsidRPr="0094588B">
              <w:rPr>
                <w:rFonts w:eastAsia="Calibri" w:asciiTheme="minorHAnsi" w:hAnsiTheme="minorHAnsi" w:cstheme="minorHAnsi"/>
                <w:b/>
                <w:color w:val="000000"/>
                <w:sz w:val="18"/>
                <w:szCs w:val="18"/>
              </w:rPr>
              <w:t>Travel</w:t>
            </w:r>
          </w:p>
        </w:tc>
        <w:tc>
          <w:tcPr>
            <w:tcW w:w="1405" w:type="dxa"/>
            <w:tcBorders>
              <w:top w:val="nil"/>
              <w:left w:val="nil"/>
              <w:bottom w:val="single" w:sz="4" w:space="0" w:color="000000"/>
              <w:right w:val="single" w:sz="4" w:space="0" w:color="000000"/>
            </w:tcBorders>
            <w:shd w:val="clear" w:color="auto" w:fill="808080"/>
            <w:vAlign w:val="center"/>
          </w:tcPr>
          <w:p w:rsidR="0007696E" w:rsidRPr="0094588B" w:rsidP="000174E3" w14:paraId="4BBF53E6" w14:textId="3867D8F2">
            <w:pPr>
              <w:widowControl/>
              <w:jc w:val="center"/>
              <w:rPr>
                <w:rFonts w:eastAsia="Calibri" w:asciiTheme="minorHAnsi" w:hAnsiTheme="minorHAnsi" w:cstheme="minorHAnsi"/>
                <w:color w:val="000000"/>
                <w:sz w:val="18"/>
                <w:szCs w:val="18"/>
              </w:rPr>
            </w:pPr>
          </w:p>
        </w:tc>
        <w:tc>
          <w:tcPr>
            <w:tcW w:w="1252" w:type="dxa"/>
            <w:tcBorders>
              <w:top w:val="nil"/>
              <w:left w:val="nil"/>
              <w:bottom w:val="single" w:sz="4" w:space="0" w:color="000000"/>
              <w:right w:val="single" w:sz="4" w:space="0" w:color="000000"/>
            </w:tcBorders>
            <w:shd w:val="clear" w:color="auto" w:fill="808080"/>
            <w:vAlign w:val="center"/>
          </w:tcPr>
          <w:p w:rsidR="0007696E" w:rsidRPr="00475959" w:rsidP="000174E3" w14:paraId="060289C8" w14:textId="21078436">
            <w:pPr>
              <w:widowControl/>
              <w:jc w:val="center"/>
              <w:rPr>
                <w:rFonts w:eastAsia="Calibri" w:asciiTheme="minorHAnsi" w:hAnsiTheme="minorHAnsi" w:cstheme="minorHAnsi"/>
                <w:color w:val="000000"/>
                <w:sz w:val="18"/>
                <w:szCs w:val="18"/>
                <w:highlight w:val="cyan"/>
              </w:rPr>
            </w:pPr>
          </w:p>
        </w:tc>
        <w:tc>
          <w:tcPr>
            <w:tcW w:w="1230" w:type="dxa"/>
            <w:tcBorders>
              <w:top w:val="nil"/>
              <w:left w:val="nil"/>
              <w:bottom w:val="single" w:sz="4" w:space="0" w:color="000000"/>
              <w:right w:val="single" w:sz="4" w:space="0" w:color="000000"/>
            </w:tcBorders>
            <w:shd w:val="clear" w:color="auto" w:fill="808080"/>
            <w:vAlign w:val="center"/>
          </w:tcPr>
          <w:p w:rsidR="0007696E" w:rsidRPr="00475959" w:rsidP="000174E3" w14:paraId="2A6C6E5C" w14:textId="30F779C7">
            <w:pPr>
              <w:widowControl/>
              <w:jc w:val="center"/>
              <w:rPr>
                <w:rFonts w:eastAsia="Calibri" w:asciiTheme="minorHAnsi" w:hAnsiTheme="minorHAnsi" w:cstheme="minorHAnsi"/>
                <w:color w:val="000000"/>
                <w:sz w:val="18"/>
                <w:szCs w:val="18"/>
                <w:highlight w:val="cyan"/>
              </w:rPr>
            </w:pPr>
          </w:p>
        </w:tc>
        <w:tc>
          <w:tcPr>
            <w:tcW w:w="1406" w:type="dxa"/>
            <w:tcBorders>
              <w:top w:val="nil"/>
              <w:left w:val="nil"/>
              <w:bottom w:val="single" w:sz="4" w:space="0" w:color="000000"/>
              <w:right w:val="single" w:sz="4" w:space="0" w:color="000000"/>
            </w:tcBorders>
            <w:shd w:val="clear" w:color="auto" w:fill="808080"/>
            <w:vAlign w:val="center"/>
          </w:tcPr>
          <w:p w:rsidR="0007696E" w:rsidRPr="00475959" w:rsidP="000174E3" w14:paraId="1CD29BD0" w14:textId="5B2B8E1B">
            <w:pPr>
              <w:widowControl/>
              <w:jc w:val="center"/>
              <w:rPr>
                <w:rFonts w:eastAsia="Calibri" w:asciiTheme="minorHAnsi" w:hAnsiTheme="minorHAnsi" w:cstheme="minorHAnsi"/>
                <w:color w:val="000000"/>
                <w:sz w:val="18"/>
                <w:szCs w:val="18"/>
                <w:highlight w:val="cyan"/>
              </w:rPr>
            </w:pPr>
          </w:p>
        </w:tc>
        <w:tc>
          <w:tcPr>
            <w:tcW w:w="1428" w:type="dxa"/>
            <w:tcBorders>
              <w:top w:val="nil"/>
              <w:left w:val="nil"/>
              <w:bottom w:val="single" w:sz="4" w:space="0" w:color="auto"/>
              <w:right w:val="single" w:sz="8" w:space="0" w:color="auto"/>
            </w:tcBorders>
            <w:shd w:val="clear" w:color="auto" w:fill="auto"/>
            <w:vAlign w:val="center"/>
          </w:tcPr>
          <w:p w:rsidR="0007696E" w:rsidRPr="00756E2F" w:rsidP="000174E3" w14:paraId="56B02C9D" w14:textId="378BB9E6">
            <w:pPr>
              <w:widowControl/>
              <w:jc w:val="center"/>
              <w:rPr>
                <w:rFonts w:eastAsia="Calibri" w:asciiTheme="minorHAnsi" w:hAnsiTheme="minorHAnsi" w:cstheme="minorHAnsi"/>
                <w:color w:val="000000"/>
                <w:sz w:val="18"/>
                <w:szCs w:val="18"/>
              </w:rPr>
            </w:pPr>
            <w:r w:rsidRPr="00756E2F">
              <w:rPr>
                <w:rFonts w:eastAsia="Calibri" w:asciiTheme="minorHAnsi" w:hAnsiTheme="minorHAnsi" w:cstheme="minorHAnsi"/>
                <w:color w:val="000000"/>
                <w:sz w:val="18"/>
                <w:szCs w:val="18"/>
              </w:rPr>
              <w:t>—</w:t>
            </w:r>
          </w:p>
        </w:tc>
      </w:tr>
      <w:tr w14:paraId="03FFC6A4" w14:textId="77777777" w:rsidTr="000174E3">
        <w:tblPrEx>
          <w:tblW w:w="9051" w:type="dxa"/>
          <w:jc w:val="center"/>
          <w:tblLayout w:type="fixed"/>
          <w:tblLook w:val="0400"/>
        </w:tblPrEx>
        <w:trPr>
          <w:trHeight w:val="213"/>
          <w:jc w:val="center"/>
        </w:trPr>
        <w:tc>
          <w:tcPr>
            <w:tcW w:w="2330" w:type="dxa"/>
            <w:tcBorders>
              <w:top w:val="nil"/>
              <w:left w:val="single" w:sz="8" w:space="0" w:color="000000"/>
              <w:bottom w:val="nil"/>
              <w:right w:val="single" w:sz="8" w:space="0" w:color="000000"/>
            </w:tcBorders>
            <w:shd w:val="clear" w:color="auto" w:fill="auto"/>
            <w:vAlign w:val="center"/>
          </w:tcPr>
          <w:p w:rsidR="0007696E" w:rsidRPr="0094588B" w:rsidP="0007696E" w14:paraId="546238CD" w14:textId="77777777">
            <w:pPr>
              <w:widowControl/>
              <w:rPr>
                <w:rFonts w:eastAsia="Calibri" w:asciiTheme="minorHAnsi" w:hAnsiTheme="minorHAnsi" w:cstheme="minorHAnsi"/>
                <w:b/>
                <w:color w:val="000000"/>
                <w:sz w:val="18"/>
                <w:szCs w:val="18"/>
              </w:rPr>
            </w:pPr>
            <w:r w:rsidRPr="0094588B">
              <w:rPr>
                <w:rFonts w:eastAsia="Calibri" w:asciiTheme="minorHAnsi" w:hAnsiTheme="minorHAnsi" w:cstheme="minorHAnsi"/>
                <w:b/>
                <w:color w:val="000000"/>
                <w:sz w:val="18"/>
                <w:szCs w:val="18"/>
              </w:rPr>
              <w:t xml:space="preserve">Other Costs: </w:t>
            </w:r>
          </w:p>
        </w:tc>
        <w:tc>
          <w:tcPr>
            <w:tcW w:w="1405" w:type="dxa"/>
            <w:tcBorders>
              <w:top w:val="nil"/>
              <w:left w:val="nil"/>
              <w:bottom w:val="single" w:sz="4" w:space="0" w:color="000000"/>
              <w:right w:val="single" w:sz="4" w:space="0" w:color="000000"/>
            </w:tcBorders>
            <w:shd w:val="clear" w:color="auto" w:fill="808080"/>
            <w:vAlign w:val="center"/>
          </w:tcPr>
          <w:p w:rsidR="0007696E" w:rsidRPr="0094588B" w:rsidP="000174E3" w14:paraId="5729FDF1" w14:textId="5550213E">
            <w:pPr>
              <w:widowControl/>
              <w:jc w:val="center"/>
              <w:rPr>
                <w:rFonts w:eastAsia="Calibri" w:asciiTheme="minorHAnsi" w:hAnsiTheme="minorHAnsi" w:cstheme="minorHAnsi"/>
                <w:color w:val="000000"/>
                <w:sz w:val="18"/>
                <w:szCs w:val="18"/>
              </w:rPr>
            </w:pPr>
          </w:p>
        </w:tc>
        <w:tc>
          <w:tcPr>
            <w:tcW w:w="1252" w:type="dxa"/>
            <w:tcBorders>
              <w:top w:val="nil"/>
              <w:left w:val="nil"/>
              <w:bottom w:val="single" w:sz="4" w:space="0" w:color="000000"/>
              <w:right w:val="single" w:sz="4" w:space="0" w:color="000000"/>
            </w:tcBorders>
            <w:shd w:val="clear" w:color="auto" w:fill="808080"/>
            <w:vAlign w:val="center"/>
          </w:tcPr>
          <w:p w:rsidR="0007696E" w:rsidRPr="00475959" w:rsidP="000174E3" w14:paraId="00FFEEDB" w14:textId="08AC4E9A">
            <w:pPr>
              <w:widowControl/>
              <w:jc w:val="center"/>
              <w:rPr>
                <w:rFonts w:eastAsia="Calibri" w:asciiTheme="minorHAnsi" w:hAnsiTheme="minorHAnsi" w:cstheme="minorHAnsi"/>
                <w:color w:val="000000"/>
                <w:sz w:val="18"/>
                <w:szCs w:val="18"/>
                <w:highlight w:val="cyan"/>
              </w:rPr>
            </w:pPr>
          </w:p>
        </w:tc>
        <w:tc>
          <w:tcPr>
            <w:tcW w:w="1230" w:type="dxa"/>
            <w:tcBorders>
              <w:top w:val="nil"/>
              <w:left w:val="nil"/>
              <w:bottom w:val="single" w:sz="4" w:space="0" w:color="000000"/>
              <w:right w:val="single" w:sz="4" w:space="0" w:color="000000"/>
            </w:tcBorders>
            <w:shd w:val="clear" w:color="auto" w:fill="808080"/>
            <w:vAlign w:val="center"/>
          </w:tcPr>
          <w:p w:rsidR="0007696E" w:rsidRPr="00475959" w:rsidP="000174E3" w14:paraId="757AF50A" w14:textId="101ECD07">
            <w:pPr>
              <w:widowControl/>
              <w:jc w:val="center"/>
              <w:rPr>
                <w:rFonts w:eastAsia="Calibri" w:asciiTheme="minorHAnsi" w:hAnsiTheme="minorHAnsi" w:cstheme="minorHAnsi"/>
                <w:color w:val="000000"/>
                <w:sz w:val="18"/>
                <w:szCs w:val="18"/>
                <w:highlight w:val="cyan"/>
              </w:rPr>
            </w:pPr>
          </w:p>
        </w:tc>
        <w:tc>
          <w:tcPr>
            <w:tcW w:w="1406" w:type="dxa"/>
            <w:tcBorders>
              <w:top w:val="nil"/>
              <w:left w:val="nil"/>
              <w:bottom w:val="single" w:sz="4" w:space="0" w:color="000000"/>
              <w:right w:val="single" w:sz="4" w:space="0" w:color="000000"/>
            </w:tcBorders>
            <w:shd w:val="clear" w:color="auto" w:fill="808080"/>
            <w:vAlign w:val="center"/>
          </w:tcPr>
          <w:p w:rsidR="0007696E" w:rsidRPr="00475959" w:rsidP="000174E3" w14:paraId="0917644B" w14:textId="5F2B02FF">
            <w:pPr>
              <w:widowControl/>
              <w:jc w:val="center"/>
              <w:rPr>
                <w:rFonts w:eastAsia="Calibri" w:asciiTheme="minorHAnsi" w:hAnsiTheme="minorHAnsi" w:cstheme="minorHAnsi"/>
                <w:color w:val="000000"/>
                <w:sz w:val="18"/>
                <w:szCs w:val="18"/>
                <w:highlight w:val="cyan"/>
              </w:rPr>
            </w:pPr>
          </w:p>
        </w:tc>
        <w:tc>
          <w:tcPr>
            <w:tcW w:w="1428" w:type="dxa"/>
            <w:tcBorders>
              <w:top w:val="nil"/>
              <w:left w:val="nil"/>
              <w:bottom w:val="single" w:sz="4" w:space="0" w:color="auto"/>
              <w:right w:val="single" w:sz="8" w:space="0" w:color="auto"/>
            </w:tcBorders>
            <w:shd w:val="clear" w:color="auto" w:fill="auto"/>
            <w:vAlign w:val="center"/>
          </w:tcPr>
          <w:p w:rsidR="0007696E" w:rsidRPr="00756E2F" w:rsidP="000174E3" w14:paraId="616F4039" w14:textId="7968AD49">
            <w:pPr>
              <w:widowControl/>
              <w:jc w:val="center"/>
              <w:rPr>
                <w:rFonts w:eastAsia="Calibri" w:asciiTheme="minorHAnsi" w:hAnsiTheme="minorHAnsi" w:cstheme="minorHAnsi"/>
                <w:color w:val="000000"/>
                <w:sz w:val="18"/>
                <w:szCs w:val="18"/>
              </w:rPr>
            </w:pPr>
            <w:r w:rsidRPr="00756E2F">
              <w:rPr>
                <w:rFonts w:eastAsia="Calibri" w:asciiTheme="minorHAnsi" w:hAnsiTheme="minorHAnsi" w:cstheme="minorHAnsi"/>
                <w:color w:val="000000"/>
                <w:sz w:val="18"/>
                <w:szCs w:val="18"/>
              </w:rPr>
              <w:t>—</w:t>
            </w:r>
          </w:p>
        </w:tc>
      </w:tr>
      <w:tr w14:paraId="2C8F18C6" w14:textId="77777777" w:rsidTr="000174E3">
        <w:tblPrEx>
          <w:tblW w:w="9051" w:type="dxa"/>
          <w:jc w:val="center"/>
          <w:tblLayout w:type="fixed"/>
          <w:tblLook w:val="0400"/>
        </w:tblPrEx>
        <w:trPr>
          <w:trHeight w:val="311"/>
          <w:jc w:val="center"/>
        </w:trPr>
        <w:tc>
          <w:tcPr>
            <w:tcW w:w="2330" w:type="dxa"/>
            <w:tcBorders>
              <w:top w:val="single" w:sz="8" w:space="0" w:color="000000"/>
              <w:left w:val="single" w:sz="8" w:space="0" w:color="000000"/>
              <w:bottom w:val="single" w:sz="8" w:space="0" w:color="000000"/>
              <w:right w:val="single" w:sz="8" w:space="0" w:color="000000"/>
            </w:tcBorders>
            <w:shd w:val="clear" w:color="auto" w:fill="DDEBF7"/>
            <w:vAlign w:val="center"/>
          </w:tcPr>
          <w:p w:rsidR="00774BBC" w:rsidRPr="0094588B" w14:paraId="067445B1" w14:textId="77777777">
            <w:pPr>
              <w:widowControl/>
              <w:rPr>
                <w:rFonts w:eastAsia="Calibri" w:asciiTheme="minorHAnsi" w:hAnsiTheme="minorHAnsi" w:cstheme="minorHAnsi"/>
                <w:b/>
                <w:color w:val="000000"/>
                <w:sz w:val="18"/>
                <w:szCs w:val="18"/>
              </w:rPr>
            </w:pPr>
            <w:r w:rsidRPr="0094588B">
              <w:rPr>
                <w:rFonts w:eastAsia="Calibri" w:asciiTheme="minorHAnsi" w:hAnsiTheme="minorHAnsi" w:cstheme="minorHAnsi"/>
                <w:b/>
                <w:color w:val="000000"/>
                <w:sz w:val="18"/>
                <w:szCs w:val="18"/>
              </w:rPr>
              <w:t>TOTAL</w:t>
            </w:r>
          </w:p>
        </w:tc>
        <w:tc>
          <w:tcPr>
            <w:tcW w:w="1405" w:type="dxa"/>
            <w:tcBorders>
              <w:top w:val="single" w:sz="8" w:space="0" w:color="000000"/>
              <w:left w:val="nil"/>
              <w:bottom w:val="single" w:sz="8" w:space="0" w:color="000000"/>
              <w:right w:val="single" w:sz="8" w:space="0" w:color="000000"/>
            </w:tcBorders>
            <w:shd w:val="clear" w:color="auto" w:fill="808080"/>
            <w:vAlign w:val="center"/>
          </w:tcPr>
          <w:p w:rsidR="00774BBC" w:rsidRPr="0094588B" w:rsidP="000174E3" w14:paraId="35A24F0C" w14:textId="05ECB618">
            <w:pPr>
              <w:widowControl/>
              <w:jc w:val="center"/>
              <w:rPr>
                <w:rFonts w:eastAsia="Calibri" w:asciiTheme="minorHAnsi" w:hAnsiTheme="minorHAnsi" w:cstheme="minorHAnsi"/>
                <w:color w:val="000000"/>
                <w:sz w:val="18"/>
                <w:szCs w:val="18"/>
              </w:rPr>
            </w:pPr>
          </w:p>
        </w:tc>
        <w:tc>
          <w:tcPr>
            <w:tcW w:w="1252" w:type="dxa"/>
            <w:tcBorders>
              <w:top w:val="single" w:sz="8" w:space="0" w:color="000000"/>
              <w:left w:val="nil"/>
              <w:bottom w:val="single" w:sz="8" w:space="0" w:color="000000"/>
              <w:right w:val="single" w:sz="8" w:space="0" w:color="000000"/>
            </w:tcBorders>
            <w:shd w:val="clear" w:color="auto" w:fill="808080"/>
            <w:vAlign w:val="center"/>
          </w:tcPr>
          <w:p w:rsidR="00774BBC" w:rsidRPr="00475959" w:rsidP="000174E3" w14:paraId="2EBF5E98" w14:textId="581DAFC3">
            <w:pPr>
              <w:widowControl/>
              <w:jc w:val="center"/>
              <w:rPr>
                <w:rFonts w:eastAsia="Calibri" w:asciiTheme="minorHAnsi" w:hAnsiTheme="minorHAnsi" w:cstheme="minorHAnsi"/>
                <w:color w:val="000000"/>
                <w:sz w:val="18"/>
                <w:szCs w:val="18"/>
                <w:highlight w:val="cyan"/>
              </w:rPr>
            </w:pPr>
          </w:p>
        </w:tc>
        <w:tc>
          <w:tcPr>
            <w:tcW w:w="1230" w:type="dxa"/>
            <w:tcBorders>
              <w:top w:val="single" w:sz="8" w:space="0" w:color="000000"/>
              <w:left w:val="nil"/>
              <w:bottom w:val="single" w:sz="8" w:space="0" w:color="000000"/>
              <w:right w:val="single" w:sz="8" w:space="0" w:color="000000"/>
            </w:tcBorders>
            <w:shd w:val="clear" w:color="auto" w:fill="757171"/>
            <w:vAlign w:val="center"/>
          </w:tcPr>
          <w:p w:rsidR="00774BBC" w:rsidRPr="00475959" w:rsidP="000174E3" w14:paraId="7E9CC1E2" w14:textId="0FF2290E">
            <w:pPr>
              <w:widowControl/>
              <w:jc w:val="center"/>
              <w:rPr>
                <w:rFonts w:eastAsia="Calibri" w:asciiTheme="minorHAnsi" w:hAnsiTheme="minorHAnsi" w:cstheme="minorHAnsi"/>
                <w:color w:val="000000"/>
                <w:sz w:val="18"/>
                <w:szCs w:val="18"/>
                <w:highlight w:val="cyan"/>
              </w:rPr>
            </w:pPr>
          </w:p>
        </w:tc>
        <w:tc>
          <w:tcPr>
            <w:tcW w:w="1406" w:type="dxa"/>
            <w:tcBorders>
              <w:top w:val="single" w:sz="8" w:space="0" w:color="000000"/>
              <w:left w:val="nil"/>
              <w:bottom w:val="single" w:sz="8" w:space="0" w:color="000000"/>
              <w:right w:val="single" w:sz="8" w:space="0" w:color="000000"/>
            </w:tcBorders>
            <w:shd w:val="clear" w:color="auto" w:fill="DDEBF7"/>
            <w:vAlign w:val="center"/>
          </w:tcPr>
          <w:p w:rsidR="00774BBC" w:rsidRPr="000174E3" w:rsidP="000174E3" w14:paraId="5EC7050B" w14:textId="7F0F7B17">
            <w:pPr>
              <w:widowControl/>
              <w:jc w:val="center"/>
              <w:rPr>
                <w:rFonts w:eastAsia="Calibri" w:asciiTheme="minorHAnsi" w:hAnsiTheme="minorHAnsi" w:cstheme="minorHAnsi"/>
                <w:color w:val="000000"/>
                <w:sz w:val="18"/>
                <w:szCs w:val="18"/>
              </w:rPr>
            </w:pPr>
          </w:p>
        </w:tc>
        <w:tc>
          <w:tcPr>
            <w:tcW w:w="1428" w:type="dxa"/>
            <w:tcBorders>
              <w:top w:val="single" w:sz="8" w:space="0" w:color="000000"/>
              <w:left w:val="nil"/>
              <w:bottom w:val="single" w:sz="8" w:space="0" w:color="000000"/>
              <w:right w:val="single" w:sz="8" w:space="0" w:color="000000"/>
            </w:tcBorders>
            <w:shd w:val="clear" w:color="auto" w:fill="DDEBF7"/>
            <w:vAlign w:val="center"/>
          </w:tcPr>
          <w:p w:rsidR="00774BBC" w:rsidRPr="000174E3" w:rsidP="000174E3" w14:paraId="14196046" w14:textId="4DC22C58">
            <w:pPr>
              <w:widowControl/>
              <w:jc w:val="center"/>
              <w:rPr>
                <w:rFonts w:eastAsia="Calibri" w:asciiTheme="minorHAnsi" w:hAnsiTheme="minorHAnsi" w:cstheme="minorHAnsi"/>
                <w:b/>
                <w:color w:val="000000"/>
                <w:sz w:val="18"/>
                <w:szCs w:val="18"/>
              </w:rPr>
            </w:pPr>
            <w:r w:rsidRPr="000174E3">
              <w:rPr>
                <w:rFonts w:eastAsia="Calibri" w:asciiTheme="minorHAnsi" w:hAnsiTheme="minorHAnsi" w:cstheme="minorHAnsi"/>
                <w:b/>
                <w:color w:val="000000"/>
                <w:sz w:val="18"/>
                <w:szCs w:val="18"/>
              </w:rPr>
              <w:t>$</w:t>
            </w:r>
            <w:r w:rsidRPr="000174E3" w:rsidR="000174E3">
              <w:rPr>
                <w:rFonts w:eastAsia="Calibri" w:asciiTheme="minorHAnsi" w:hAnsiTheme="minorHAnsi" w:cstheme="minorHAnsi"/>
                <w:b/>
                <w:color w:val="000000"/>
                <w:sz w:val="18"/>
                <w:szCs w:val="18"/>
              </w:rPr>
              <w:t>74,794</w:t>
            </w:r>
          </w:p>
        </w:tc>
      </w:tr>
    </w:tbl>
    <w:p w:rsidR="00AC629C" w:rsidRPr="00AC629C" w:rsidP="0007696E" w14:paraId="7FCE4124" w14:textId="0488DE85">
      <w:pPr>
        <w:autoSpaceDE w:val="0"/>
        <w:autoSpaceDN w:val="0"/>
        <w:spacing w:before="60"/>
      </w:pPr>
    </w:p>
    <w:p w:rsidR="00AC629C" w:rsidRPr="00AC629C" w:rsidP="0007696E" w14:paraId="11CD34C3" w14:textId="77777777">
      <w:pPr>
        <w:autoSpaceDE w:val="0"/>
        <w:autoSpaceDN w:val="0"/>
        <w:spacing w:before="60"/>
      </w:pPr>
    </w:p>
    <w:p w:rsidR="00774BBC" w:rsidP="00996A24" w14:paraId="19E6C9DA"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Explain the reasons for any program changes or adjustments reported in ROCIS.</w:t>
      </w:r>
    </w:p>
    <w:p w:rsidR="00996A24" w:rsidP="00C55CDC" w14:paraId="658B9731" w14:textId="2DC44525">
      <w:pPr>
        <w:pBdr>
          <w:top w:val="nil"/>
          <w:left w:val="nil"/>
          <w:bottom w:val="nil"/>
          <w:right w:val="nil"/>
          <w:between w:val="nil"/>
        </w:pBdr>
        <w:ind w:firstLine="720"/>
      </w:pPr>
    </w:p>
    <w:p w:rsidR="00C55CDC" w:rsidP="00C55CDC" w14:paraId="5D9D784D" w14:textId="07B21A6E">
      <w:pPr>
        <w:pBdr>
          <w:top w:val="nil"/>
          <w:left w:val="nil"/>
          <w:bottom w:val="nil"/>
          <w:right w:val="nil"/>
          <w:between w:val="nil"/>
        </w:pBdr>
      </w:pPr>
      <w:r w:rsidRPr="00C55CDC">
        <w:t xml:space="preserve">The respondents and </w:t>
      </w:r>
      <w:r w:rsidRPr="00C55CDC">
        <w:t>responses have been adjusted to reflect the most current data. This adjustment affected the total burden hours and costs. Additional reasons for adjustments are noted in the tables.</w:t>
      </w:r>
    </w:p>
    <w:p w:rsidR="00C55CDC" w:rsidP="00C55CDC" w14:paraId="0EE65973" w14:textId="77777777">
      <w:pPr>
        <w:pBdr>
          <w:top w:val="nil"/>
          <w:left w:val="nil"/>
          <w:bottom w:val="nil"/>
          <w:right w:val="nil"/>
          <w:between w:val="nil"/>
        </w:pBdr>
        <w:ind w:firstLine="720"/>
      </w:pPr>
    </w:p>
    <w:tbl>
      <w:tblPr>
        <w:tblStyle w:val="a3"/>
        <w:tblW w:w="10497" w:type="dxa"/>
        <w:jc w:val="center"/>
        <w:tblLayout w:type="fixed"/>
        <w:tblLook w:val="0400"/>
      </w:tblPr>
      <w:tblGrid>
        <w:gridCol w:w="2241"/>
        <w:gridCol w:w="899"/>
        <w:gridCol w:w="900"/>
        <w:gridCol w:w="900"/>
        <w:gridCol w:w="990"/>
        <w:gridCol w:w="900"/>
        <w:gridCol w:w="900"/>
        <w:gridCol w:w="2767"/>
      </w:tblGrid>
      <w:tr w14:paraId="3BD14E6F" w14:textId="77777777" w:rsidTr="00AC629C">
        <w:tblPrEx>
          <w:tblW w:w="10497" w:type="dxa"/>
          <w:jc w:val="center"/>
          <w:tblLayout w:type="fixed"/>
          <w:tblLook w:val="0400"/>
        </w:tblPrEx>
        <w:trPr>
          <w:trHeight w:val="294"/>
          <w:jc w:val="center"/>
        </w:trPr>
        <w:tc>
          <w:tcPr>
            <w:tcW w:w="2241"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774BBC" w:rsidRPr="0094588B" w14:paraId="28CA2A9D"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Information Collection</w:t>
            </w:r>
          </w:p>
        </w:tc>
        <w:tc>
          <w:tcPr>
            <w:tcW w:w="1799" w:type="dxa"/>
            <w:gridSpan w:val="2"/>
            <w:tcBorders>
              <w:top w:val="single" w:sz="8" w:space="0" w:color="000000"/>
              <w:left w:val="nil"/>
              <w:bottom w:val="single" w:sz="8" w:space="0" w:color="000000"/>
              <w:right w:val="single" w:sz="8" w:space="0" w:color="000000"/>
            </w:tcBorders>
            <w:shd w:val="clear" w:color="auto" w:fill="5B9BD5"/>
            <w:vAlign w:val="center"/>
          </w:tcPr>
          <w:p w:rsidR="00774BBC" w:rsidRPr="0094588B" w14:paraId="6ED18D24"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Respondents</w:t>
            </w:r>
          </w:p>
        </w:tc>
        <w:tc>
          <w:tcPr>
            <w:tcW w:w="1890" w:type="dxa"/>
            <w:gridSpan w:val="2"/>
            <w:tcBorders>
              <w:top w:val="single" w:sz="8" w:space="0" w:color="000000"/>
              <w:left w:val="nil"/>
              <w:bottom w:val="single" w:sz="8" w:space="0" w:color="000000"/>
              <w:right w:val="single" w:sz="8" w:space="0" w:color="000000"/>
            </w:tcBorders>
            <w:shd w:val="clear" w:color="auto" w:fill="5B9BD5"/>
            <w:vAlign w:val="center"/>
          </w:tcPr>
          <w:p w:rsidR="00774BBC" w:rsidRPr="0094588B" w14:paraId="7820A28C"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Responses</w:t>
            </w:r>
          </w:p>
        </w:tc>
        <w:tc>
          <w:tcPr>
            <w:tcW w:w="1800" w:type="dxa"/>
            <w:gridSpan w:val="2"/>
            <w:tcBorders>
              <w:top w:val="single" w:sz="8" w:space="0" w:color="000000"/>
              <w:left w:val="nil"/>
              <w:bottom w:val="single" w:sz="8" w:space="0" w:color="000000"/>
              <w:right w:val="single" w:sz="8" w:space="0" w:color="000000"/>
            </w:tcBorders>
            <w:shd w:val="clear" w:color="auto" w:fill="5B9BD5"/>
            <w:vAlign w:val="center"/>
          </w:tcPr>
          <w:p w:rsidR="00774BBC" w:rsidRPr="0094588B" w14:paraId="1708DA76"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Burden Hours</w:t>
            </w:r>
          </w:p>
        </w:tc>
        <w:tc>
          <w:tcPr>
            <w:tcW w:w="2767"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774BBC" w:rsidRPr="0094588B" w14:paraId="49B18F3F"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 xml:space="preserve">Reason for </w:t>
            </w:r>
            <w:r w:rsidRPr="0094588B">
              <w:rPr>
                <w:rFonts w:ascii="Calibri" w:eastAsia="Calibri" w:hAnsi="Calibri" w:cs="Calibri"/>
                <w:b/>
                <w:color w:val="000000"/>
                <w:sz w:val="18"/>
                <w:szCs w:val="18"/>
              </w:rPr>
              <w:t>change or adjustment</w:t>
            </w:r>
          </w:p>
        </w:tc>
      </w:tr>
      <w:tr w14:paraId="49730574" w14:textId="77777777" w:rsidTr="00AC629C">
        <w:tblPrEx>
          <w:tblW w:w="10497" w:type="dxa"/>
          <w:jc w:val="center"/>
          <w:tblLayout w:type="fixed"/>
          <w:tblLook w:val="0400"/>
        </w:tblPrEx>
        <w:trPr>
          <w:trHeight w:val="645"/>
          <w:jc w:val="center"/>
        </w:trPr>
        <w:tc>
          <w:tcPr>
            <w:tcW w:w="2241"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774BBC" w14:paraId="67BADD66" w14:textId="77777777">
            <w:pPr>
              <w:pBdr>
                <w:top w:val="nil"/>
                <w:left w:val="nil"/>
                <w:bottom w:val="nil"/>
                <w:right w:val="nil"/>
                <w:between w:val="nil"/>
              </w:pBdr>
              <w:spacing w:line="276" w:lineRule="auto"/>
              <w:rPr>
                <w:rFonts w:ascii="Calibri" w:eastAsia="Calibri" w:hAnsi="Calibri" w:cs="Calibri"/>
                <w:b/>
                <w:color w:val="000000"/>
                <w:sz w:val="16"/>
                <w:szCs w:val="16"/>
              </w:rPr>
            </w:pPr>
          </w:p>
        </w:tc>
        <w:tc>
          <w:tcPr>
            <w:tcW w:w="899" w:type="dxa"/>
            <w:tcBorders>
              <w:top w:val="nil"/>
              <w:left w:val="nil"/>
              <w:bottom w:val="single" w:sz="8" w:space="0" w:color="000000"/>
              <w:right w:val="dashed" w:sz="8" w:space="0" w:color="000000"/>
            </w:tcBorders>
            <w:shd w:val="clear" w:color="auto" w:fill="FBE4D5"/>
            <w:vAlign w:val="center"/>
          </w:tcPr>
          <w:p w:rsidR="00774BBC" w14:paraId="06CC9389"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auto" w:fill="FBE4D5"/>
            <w:vAlign w:val="center"/>
          </w:tcPr>
          <w:p w:rsidR="00774BBC" w14:paraId="71449D72"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900" w:type="dxa"/>
            <w:tcBorders>
              <w:top w:val="nil"/>
              <w:left w:val="nil"/>
              <w:bottom w:val="single" w:sz="8" w:space="0" w:color="000000"/>
              <w:right w:val="dashed" w:sz="8" w:space="0" w:color="000000"/>
            </w:tcBorders>
            <w:shd w:val="clear" w:color="auto" w:fill="FBE4D5"/>
            <w:vAlign w:val="center"/>
          </w:tcPr>
          <w:p w:rsidR="00774BBC" w14:paraId="705924D5"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90" w:type="dxa"/>
            <w:tcBorders>
              <w:top w:val="nil"/>
              <w:left w:val="nil"/>
              <w:bottom w:val="single" w:sz="8" w:space="0" w:color="000000"/>
              <w:right w:val="single" w:sz="8" w:space="0" w:color="000000"/>
            </w:tcBorders>
            <w:shd w:val="clear" w:color="auto" w:fill="FBE4D5"/>
            <w:vAlign w:val="center"/>
          </w:tcPr>
          <w:p w:rsidR="00774BBC" w14:paraId="26E6FA7D"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900" w:type="dxa"/>
            <w:tcBorders>
              <w:top w:val="nil"/>
              <w:left w:val="nil"/>
              <w:bottom w:val="single" w:sz="8" w:space="0" w:color="000000"/>
              <w:right w:val="dashed" w:sz="8" w:space="0" w:color="000000"/>
            </w:tcBorders>
            <w:shd w:val="clear" w:color="auto" w:fill="FBE4D5"/>
            <w:vAlign w:val="center"/>
          </w:tcPr>
          <w:p w:rsidR="00774BBC" w14:paraId="062451AC"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auto" w:fill="FBE4D5"/>
            <w:vAlign w:val="center"/>
          </w:tcPr>
          <w:p w:rsidR="00774BBC" w14:paraId="3A5DF92B"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2767"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774BBC" w14:paraId="422CBD9D"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4A1F0700" w14:textId="77777777" w:rsidTr="00AC629C">
        <w:tblPrEx>
          <w:tblW w:w="10497" w:type="dxa"/>
          <w:jc w:val="center"/>
          <w:tblLayout w:type="fixed"/>
          <w:tblLook w:val="0400"/>
        </w:tblPrEx>
        <w:trPr>
          <w:trHeight w:val="294"/>
          <w:jc w:val="center"/>
        </w:trPr>
        <w:tc>
          <w:tcPr>
            <w:tcW w:w="2241" w:type="dxa"/>
            <w:tcBorders>
              <w:top w:val="nil"/>
              <w:left w:val="single" w:sz="8" w:space="0" w:color="auto"/>
              <w:bottom w:val="single" w:sz="8" w:space="0" w:color="auto"/>
              <w:right w:val="single" w:sz="8" w:space="0" w:color="auto"/>
            </w:tcBorders>
            <w:shd w:val="clear" w:color="auto" w:fill="auto"/>
            <w:vAlign w:val="center"/>
          </w:tcPr>
          <w:p w:rsidR="00082D23" w:rsidRPr="0094588B" w:rsidP="00082D23" w14:paraId="5CA50FAD" w14:textId="3833367F">
            <w:pPr>
              <w:widowControl/>
              <w:rPr>
                <w:rFonts w:ascii="Calibri" w:eastAsia="Calibri" w:hAnsi="Calibri" w:cs="Calibri"/>
                <w:color w:val="000000"/>
                <w:sz w:val="18"/>
                <w:szCs w:val="18"/>
              </w:rPr>
            </w:pPr>
            <w:r>
              <w:rPr>
                <w:rFonts w:ascii="Calibri" w:hAnsi="Calibri" w:cs="Calibri"/>
                <w:color w:val="000000"/>
                <w:sz w:val="18"/>
                <w:szCs w:val="18"/>
              </w:rPr>
              <w:t>Application for Federal F</w:t>
            </w:r>
            <w:r w:rsidRPr="00FD7250">
              <w:rPr>
                <w:rFonts w:ascii="Calibri" w:hAnsi="Calibri" w:cs="Calibri"/>
                <w:color w:val="000000"/>
                <w:sz w:val="18"/>
                <w:szCs w:val="18"/>
              </w:rPr>
              <w:t xml:space="preserve">isheries </w:t>
            </w:r>
            <w:r>
              <w:rPr>
                <w:rFonts w:ascii="Calibri" w:hAnsi="Calibri" w:cs="Calibri"/>
                <w:color w:val="000000"/>
                <w:sz w:val="18"/>
                <w:szCs w:val="18"/>
              </w:rPr>
              <w:t>P</w:t>
            </w:r>
            <w:r w:rsidRPr="00FD7250">
              <w:rPr>
                <w:rFonts w:ascii="Calibri" w:hAnsi="Calibri" w:cs="Calibri"/>
                <w:color w:val="000000"/>
                <w:sz w:val="18"/>
                <w:szCs w:val="18"/>
              </w:rPr>
              <w:t xml:space="preserve">ermit </w:t>
            </w:r>
          </w:p>
        </w:tc>
        <w:tc>
          <w:tcPr>
            <w:tcW w:w="899" w:type="dxa"/>
            <w:tcBorders>
              <w:top w:val="single" w:sz="8" w:space="0" w:color="000000"/>
              <w:left w:val="nil"/>
              <w:bottom w:val="single" w:sz="4" w:space="0" w:color="auto"/>
              <w:right w:val="dashed" w:sz="8" w:space="0" w:color="000000"/>
            </w:tcBorders>
            <w:shd w:val="clear" w:color="auto" w:fill="auto"/>
            <w:vAlign w:val="center"/>
          </w:tcPr>
          <w:p w:rsidR="00082D23" w:rsidRPr="0094588B" w:rsidP="00082D23" w14:paraId="43574633" w14:textId="179585DC">
            <w:pPr>
              <w:widowControl/>
              <w:jc w:val="center"/>
              <w:rPr>
                <w:rFonts w:ascii="Calibri" w:eastAsia="Calibri" w:hAnsi="Calibri" w:cs="Calibri"/>
                <w:color w:val="000000"/>
                <w:sz w:val="18"/>
                <w:szCs w:val="18"/>
              </w:rPr>
            </w:pPr>
            <w:r>
              <w:rPr>
                <w:rFonts w:ascii="Calibri" w:eastAsia="Calibri" w:hAnsi="Calibri" w:cs="Calibri"/>
                <w:color w:val="000000"/>
                <w:sz w:val="18"/>
                <w:szCs w:val="18"/>
              </w:rPr>
              <w:t>350</w:t>
            </w:r>
          </w:p>
        </w:tc>
        <w:tc>
          <w:tcPr>
            <w:tcW w:w="900" w:type="dxa"/>
            <w:tcBorders>
              <w:top w:val="single" w:sz="8" w:space="0" w:color="000000"/>
              <w:left w:val="nil"/>
              <w:bottom w:val="single" w:sz="8" w:space="0" w:color="000000"/>
              <w:right w:val="single" w:sz="8" w:space="0" w:color="000000"/>
            </w:tcBorders>
            <w:shd w:val="clear" w:color="auto" w:fill="auto"/>
            <w:vAlign w:val="center"/>
          </w:tcPr>
          <w:p w:rsidR="00082D23" w:rsidRPr="0094588B" w:rsidP="00082D23" w14:paraId="062CF104" w14:textId="7726B80E">
            <w:pPr>
              <w:widowControl/>
              <w:jc w:val="center"/>
              <w:rPr>
                <w:rFonts w:ascii="Calibri" w:eastAsia="Calibri" w:hAnsi="Calibri" w:cs="Calibri"/>
                <w:color w:val="000000"/>
                <w:sz w:val="18"/>
                <w:szCs w:val="18"/>
              </w:rPr>
            </w:pPr>
            <w:r w:rsidRPr="00FD7250">
              <w:rPr>
                <w:rFonts w:ascii="Calibri" w:hAnsi="Calibri" w:cs="Calibri"/>
                <w:color w:val="000000"/>
                <w:sz w:val="18"/>
                <w:szCs w:val="18"/>
              </w:rPr>
              <w:t>402</w:t>
            </w:r>
          </w:p>
        </w:tc>
        <w:tc>
          <w:tcPr>
            <w:tcW w:w="900" w:type="dxa"/>
            <w:tcBorders>
              <w:top w:val="single" w:sz="8" w:space="0" w:color="000000"/>
              <w:left w:val="single" w:sz="8" w:space="0" w:color="000000"/>
              <w:bottom w:val="single" w:sz="8" w:space="0" w:color="000000"/>
              <w:right w:val="dashed" w:sz="8" w:space="0" w:color="000000"/>
            </w:tcBorders>
            <w:shd w:val="clear" w:color="auto" w:fill="auto"/>
            <w:vAlign w:val="center"/>
          </w:tcPr>
          <w:p w:rsidR="00082D23" w:rsidRPr="0094588B" w:rsidP="00082D23" w14:paraId="0526DBCE" w14:textId="404A3AB2">
            <w:pPr>
              <w:widowControl/>
              <w:jc w:val="center"/>
              <w:rPr>
                <w:rFonts w:ascii="Calibri" w:eastAsia="Calibri" w:hAnsi="Calibri" w:cs="Calibri"/>
                <w:color w:val="000000"/>
                <w:sz w:val="18"/>
                <w:szCs w:val="18"/>
              </w:rPr>
            </w:pPr>
            <w:r>
              <w:rPr>
                <w:rFonts w:ascii="Calibri" w:eastAsia="Calibri" w:hAnsi="Calibri" w:cs="Calibri"/>
                <w:color w:val="000000"/>
                <w:sz w:val="18"/>
                <w:szCs w:val="18"/>
              </w:rPr>
              <w:t>350</w:t>
            </w:r>
          </w:p>
        </w:tc>
        <w:tc>
          <w:tcPr>
            <w:tcW w:w="990" w:type="dxa"/>
            <w:tcBorders>
              <w:top w:val="single" w:sz="8" w:space="0" w:color="000000"/>
              <w:left w:val="nil"/>
              <w:bottom w:val="single" w:sz="8" w:space="0" w:color="000000"/>
              <w:right w:val="single" w:sz="8" w:space="0" w:color="000000"/>
            </w:tcBorders>
            <w:shd w:val="clear" w:color="auto" w:fill="auto"/>
            <w:vAlign w:val="center"/>
          </w:tcPr>
          <w:p w:rsidR="00082D23" w:rsidRPr="0094588B" w:rsidP="00082D23" w14:paraId="3ECB2DE6" w14:textId="35465BD3">
            <w:pPr>
              <w:widowControl/>
              <w:jc w:val="center"/>
              <w:rPr>
                <w:rFonts w:ascii="Calibri" w:eastAsia="Calibri" w:hAnsi="Calibri" w:cs="Calibri"/>
                <w:color w:val="000000"/>
                <w:sz w:val="18"/>
                <w:szCs w:val="18"/>
              </w:rPr>
            </w:pPr>
            <w:r w:rsidRPr="00FD7250">
              <w:rPr>
                <w:rFonts w:ascii="Calibri" w:hAnsi="Calibri" w:cs="Calibri"/>
                <w:color w:val="000000"/>
                <w:sz w:val="18"/>
                <w:szCs w:val="18"/>
              </w:rPr>
              <w:t>402</w:t>
            </w:r>
          </w:p>
        </w:tc>
        <w:tc>
          <w:tcPr>
            <w:tcW w:w="900" w:type="dxa"/>
            <w:tcBorders>
              <w:top w:val="single" w:sz="8" w:space="0" w:color="000000"/>
              <w:left w:val="single" w:sz="8" w:space="0" w:color="000000"/>
              <w:bottom w:val="single" w:sz="8" w:space="0" w:color="000000"/>
              <w:right w:val="dashed" w:sz="8" w:space="0" w:color="000000"/>
            </w:tcBorders>
            <w:shd w:val="clear" w:color="auto" w:fill="auto"/>
            <w:vAlign w:val="center"/>
          </w:tcPr>
          <w:p w:rsidR="00082D23" w:rsidRPr="0094588B" w:rsidP="00082D23" w14:paraId="13ACB603" w14:textId="322773A7">
            <w:pPr>
              <w:widowControl/>
              <w:jc w:val="center"/>
              <w:rPr>
                <w:rFonts w:ascii="Calibri" w:eastAsia="Calibri" w:hAnsi="Calibri" w:cs="Calibri"/>
                <w:color w:val="000000"/>
                <w:sz w:val="18"/>
                <w:szCs w:val="18"/>
              </w:rPr>
            </w:pPr>
            <w:r>
              <w:rPr>
                <w:rFonts w:ascii="Calibri" w:eastAsia="Calibri" w:hAnsi="Calibri" w:cs="Calibri"/>
                <w:color w:val="000000"/>
                <w:sz w:val="18"/>
                <w:szCs w:val="18"/>
              </w:rPr>
              <w:t>123</w:t>
            </w:r>
          </w:p>
        </w:tc>
        <w:tc>
          <w:tcPr>
            <w:tcW w:w="900" w:type="dxa"/>
            <w:tcBorders>
              <w:top w:val="single" w:sz="8" w:space="0" w:color="000000"/>
              <w:left w:val="nil"/>
              <w:bottom w:val="single" w:sz="8" w:space="0" w:color="000000"/>
              <w:right w:val="single" w:sz="8" w:space="0" w:color="000000"/>
            </w:tcBorders>
            <w:shd w:val="clear" w:color="auto" w:fill="auto"/>
            <w:vAlign w:val="center"/>
          </w:tcPr>
          <w:p w:rsidR="00082D23" w:rsidRPr="0094588B" w:rsidP="00082D23" w14:paraId="63CF4251" w14:textId="3704FBD9">
            <w:pPr>
              <w:widowControl/>
              <w:jc w:val="center"/>
              <w:rPr>
                <w:rFonts w:ascii="Calibri" w:eastAsia="Calibri" w:hAnsi="Calibri" w:cs="Calibri"/>
                <w:color w:val="000000"/>
                <w:sz w:val="18"/>
                <w:szCs w:val="18"/>
              </w:rPr>
            </w:pPr>
            <w:r w:rsidRPr="00FD7250">
              <w:rPr>
                <w:rFonts w:ascii="Calibri" w:hAnsi="Calibri" w:cs="Calibri"/>
                <w:color w:val="000000"/>
                <w:sz w:val="18"/>
                <w:szCs w:val="18"/>
              </w:rPr>
              <w:t>141</w:t>
            </w:r>
          </w:p>
        </w:tc>
        <w:tc>
          <w:tcPr>
            <w:tcW w:w="2767" w:type="dxa"/>
            <w:tcBorders>
              <w:top w:val="single" w:sz="8" w:space="0" w:color="000000"/>
              <w:left w:val="single" w:sz="8" w:space="0" w:color="000000"/>
              <w:bottom w:val="single" w:sz="4" w:space="0" w:color="auto"/>
              <w:right w:val="single" w:sz="8" w:space="0" w:color="000000"/>
            </w:tcBorders>
            <w:shd w:val="clear" w:color="auto" w:fill="auto"/>
            <w:vAlign w:val="center"/>
          </w:tcPr>
          <w:p w:rsidR="00082D23" w:rsidRPr="0094588B" w:rsidP="001F22F6" w14:paraId="2130043B" w14:textId="19835AF7">
            <w:pPr>
              <w:widowControl/>
              <w:rPr>
                <w:rFonts w:ascii="Calibri" w:eastAsia="Calibri" w:hAnsi="Calibri" w:cs="Calibri"/>
                <w:color w:val="000000"/>
                <w:sz w:val="18"/>
                <w:szCs w:val="18"/>
              </w:rPr>
            </w:pPr>
            <w:r w:rsidRPr="001F22F6">
              <w:rPr>
                <w:rFonts w:ascii="Calibri" w:eastAsia="Calibri" w:hAnsi="Calibri" w:cs="Calibri"/>
                <w:color w:val="000000"/>
                <w:sz w:val="18"/>
                <w:szCs w:val="18"/>
              </w:rPr>
              <w:t xml:space="preserve">Respondents and responses have been adjusted to reflect the most current data, which </w:t>
            </w:r>
            <w:r>
              <w:rPr>
                <w:rFonts w:ascii="Calibri" w:eastAsia="Calibri" w:hAnsi="Calibri" w:cs="Calibri"/>
                <w:color w:val="000000"/>
                <w:sz w:val="18"/>
                <w:szCs w:val="18"/>
              </w:rPr>
              <w:t>decreased</w:t>
            </w:r>
            <w:r w:rsidRPr="001F22F6">
              <w:rPr>
                <w:rFonts w:ascii="Calibri" w:eastAsia="Calibri" w:hAnsi="Calibri" w:cs="Calibri"/>
                <w:color w:val="000000"/>
                <w:sz w:val="18"/>
                <w:szCs w:val="18"/>
              </w:rPr>
              <w:t xml:space="preserve"> the total burden hours.</w:t>
            </w:r>
          </w:p>
        </w:tc>
      </w:tr>
      <w:tr w14:paraId="6B1867DD" w14:textId="77777777" w:rsidTr="00AC629C">
        <w:tblPrEx>
          <w:tblW w:w="10497" w:type="dxa"/>
          <w:jc w:val="center"/>
          <w:tblLayout w:type="fixed"/>
          <w:tblLook w:val="0400"/>
        </w:tblPrEx>
        <w:trPr>
          <w:trHeight w:val="294"/>
          <w:jc w:val="center"/>
        </w:trPr>
        <w:tc>
          <w:tcPr>
            <w:tcW w:w="2241" w:type="dxa"/>
            <w:tcBorders>
              <w:top w:val="nil"/>
              <w:left w:val="single" w:sz="8" w:space="0" w:color="auto"/>
              <w:bottom w:val="single" w:sz="8" w:space="0" w:color="auto"/>
              <w:right w:val="single" w:sz="8" w:space="0" w:color="auto"/>
            </w:tcBorders>
            <w:shd w:val="clear" w:color="auto" w:fill="auto"/>
            <w:vAlign w:val="center"/>
          </w:tcPr>
          <w:p w:rsidR="00082D23" w:rsidRPr="0094588B" w:rsidP="00082D23" w14:paraId="235C745A" w14:textId="1FBE66BA">
            <w:pPr>
              <w:widowControl/>
              <w:rPr>
                <w:rFonts w:ascii="Calibri" w:eastAsia="Calibri" w:hAnsi="Calibri" w:cs="Calibri"/>
                <w:color w:val="000000"/>
                <w:sz w:val="18"/>
                <w:szCs w:val="18"/>
              </w:rPr>
            </w:pPr>
            <w:r>
              <w:rPr>
                <w:rFonts w:ascii="Calibri" w:hAnsi="Calibri" w:cs="Calibri"/>
                <w:color w:val="000000"/>
                <w:sz w:val="18"/>
                <w:szCs w:val="18"/>
              </w:rPr>
              <w:t xml:space="preserve">Application for </w:t>
            </w:r>
            <w:r w:rsidRPr="00FD7250">
              <w:rPr>
                <w:rFonts w:ascii="Calibri" w:hAnsi="Calibri" w:cs="Calibri"/>
                <w:color w:val="000000"/>
                <w:sz w:val="18"/>
                <w:szCs w:val="18"/>
              </w:rPr>
              <w:t xml:space="preserve">Federal </w:t>
            </w:r>
            <w:r>
              <w:rPr>
                <w:rFonts w:ascii="Calibri" w:hAnsi="Calibri" w:cs="Calibri"/>
                <w:color w:val="000000"/>
                <w:sz w:val="18"/>
                <w:szCs w:val="18"/>
              </w:rPr>
              <w:t>Processor</w:t>
            </w:r>
            <w:r w:rsidRPr="00FD7250">
              <w:rPr>
                <w:rFonts w:ascii="Calibri" w:hAnsi="Calibri" w:cs="Calibri"/>
                <w:color w:val="000000"/>
                <w:sz w:val="18"/>
                <w:szCs w:val="18"/>
              </w:rPr>
              <w:t xml:space="preserve"> </w:t>
            </w:r>
            <w:r>
              <w:rPr>
                <w:rFonts w:ascii="Calibri" w:hAnsi="Calibri" w:cs="Calibri"/>
                <w:color w:val="000000"/>
                <w:sz w:val="18"/>
                <w:szCs w:val="18"/>
              </w:rPr>
              <w:t>Permit</w:t>
            </w:r>
          </w:p>
        </w:tc>
        <w:tc>
          <w:tcPr>
            <w:tcW w:w="899" w:type="dxa"/>
            <w:tcBorders>
              <w:top w:val="single" w:sz="4" w:space="0" w:color="auto"/>
              <w:left w:val="nil"/>
              <w:bottom w:val="single" w:sz="4" w:space="0" w:color="auto"/>
              <w:right w:val="dashed" w:sz="8" w:space="0" w:color="000000"/>
            </w:tcBorders>
            <w:shd w:val="clear" w:color="auto" w:fill="auto"/>
            <w:vAlign w:val="center"/>
          </w:tcPr>
          <w:p w:rsidR="00082D23" w:rsidRPr="0094588B" w:rsidP="00082D23" w14:paraId="2CE86302" w14:textId="67663AA3">
            <w:pPr>
              <w:widowControl/>
              <w:jc w:val="center"/>
              <w:rPr>
                <w:rFonts w:ascii="Calibri" w:eastAsia="Calibri" w:hAnsi="Calibri" w:cs="Calibri"/>
                <w:color w:val="000000"/>
                <w:sz w:val="18"/>
                <w:szCs w:val="18"/>
              </w:rPr>
            </w:pPr>
            <w:r>
              <w:rPr>
                <w:rFonts w:ascii="Calibri" w:eastAsia="Calibri" w:hAnsi="Calibri" w:cs="Calibri"/>
                <w:color w:val="000000"/>
                <w:sz w:val="18"/>
                <w:szCs w:val="18"/>
              </w:rPr>
              <w:t>79</w:t>
            </w:r>
          </w:p>
        </w:tc>
        <w:tc>
          <w:tcPr>
            <w:tcW w:w="900" w:type="dxa"/>
            <w:tcBorders>
              <w:top w:val="single" w:sz="8" w:space="0" w:color="000000"/>
              <w:left w:val="nil"/>
              <w:bottom w:val="single" w:sz="8" w:space="0" w:color="000000"/>
              <w:right w:val="single" w:sz="8" w:space="0" w:color="000000"/>
            </w:tcBorders>
            <w:shd w:val="clear" w:color="auto" w:fill="auto"/>
            <w:vAlign w:val="center"/>
          </w:tcPr>
          <w:p w:rsidR="00082D23" w:rsidRPr="0094588B" w:rsidP="00082D23" w14:paraId="6A2B140C" w14:textId="236FE2AE">
            <w:pPr>
              <w:widowControl/>
              <w:jc w:val="center"/>
              <w:rPr>
                <w:rFonts w:ascii="Calibri" w:eastAsia="Calibri" w:hAnsi="Calibri" w:cs="Calibri"/>
                <w:color w:val="000000"/>
                <w:sz w:val="18"/>
                <w:szCs w:val="18"/>
              </w:rPr>
            </w:pPr>
            <w:r w:rsidRPr="00FD7250">
              <w:rPr>
                <w:rFonts w:ascii="Calibri" w:hAnsi="Calibri" w:cs="Calibri"/>
                <w:color w:val="000000"/>
                <w:sz w:val="18"/>
                <w:szCs w:val="18"/>
              </w:rPr>
              <w:t>79</w:t>
            </w:r>
          </w:p>
        </w:tc>
        <w:tc>
          <w:tcPr>
            <w:tcW w:w="900" w:type="dxa"/>
            <w:tcBorders>
              <w:top w:val="single" w:sz="8" w:space="0" w:color="000000"/>
              <w:left w:val="single" w:sz="8" w:space="0" w:color="000000"/>
              <w:bottom w:val="single" w:sz="8" w:space="0" w:color="000000"/>
              <w:right w:val="dashed" w:sz="8" w:space="0" w:color="000000"/>
            </w:tcBorders>
            <w:shd w:val="clear" w:color="auto" w:fill="auto"/>
            <w:vAlign w:val="center"/>
          </w:tcPr>
          <w:p w:rsidR="00082D23" w:rsidRPr="0094588B" w:rsidP="00082D23" w14:paraId="11AD05C6" w14:textId="2A518CBB">
            <w:pPr>
              <w:widowControl/>
              <w:jc w:val="center"/>
              <w:rPr>
                <w:rFonts w:ascii="Calibri" w:eastAsia="Calibri" w:hAnsi="Calibri" w:cs="Calibri"/>
                <w:color w:val="000000"/>
                <w:sz w:val="18"/>
                <w:szCs w:val="18"/>
              </w:rPr>
            </w:pPr>
            <w:r>
              <w:rPr>
                <w:rFonts w:ascii="Calibri" w:eastAsia="Calibri" w:hAnsi="Calibri" w:cs="Calibri"/>
                <w:color w:val="000000"/>
                <w:sz w:val="18"/>
                <w:szCs w:val="18"/>
              </w:rPr>
              <w:t>79</w:t>
            </w:r>
          </w:p>
        </w:tc>
        <w:tc>
          <w:tcPr>
            <w:tcW w:w="990" w:type="dxa"/>
            <w:tcBorders>
              <w:top w:val="single" w:sz="8" w:space="0" w:color="000000"/>
              <w:left w:val="nil"/>
              <w:bottom w:val="single" w:sz="8" w:space="0" w:color="000000"/>
              <w:right w:val="single" w:sz="8" w:space="0" w:color="000000"/>
            </w:tcBorders>
            <w:shd w:val="clear" w:color="auto" w:fill="auto"/>
            <w:vAlign w:val="center"/>
          </w:tcPr>
          <w:p w:rsidR="00082D23" w:rsidRPr="0094588B" w:rsidP="00082D23" w14:paraId="35C3489C" w14:textId="673D8444">
            <w:pPr>
              <w:widowControl/>
              <w:jc w:val="center"/>
              <w:rPr>
                <w:rFonts w:ascii="Calibri" w:eastAsia="Calibri" w:hAnsi="Calibri" w:cs="Calibri"/>
                <w:color w:val="000000"/>
                <w:sz w:val="18"/>
                <w:szCs w:val="18"/>
              </w:rPr>
            </w:pPr>
            <w:r w:rsidRPr="00FD7250">
              <w:rPr>
                <w:rFonts w:ascii="Calibri" w:hAnsi="Calibri" w:cs="Calibri"/>
                <w:color w:val="000000"/>
                <w:sz w:val="18"/>
                <w:szCs w:val="18"/>
              </w:rPr>
              <w:t>79</w:t>
            </w:r>
          </w:p>
        </w:tc>
        <w:tc>
          <w:tcPr>
            <w:tcW w:w="900" w:type="dxa"/>
            <w:tcBorders>
              <w:top w:val="single" w:sz="8" w:space="0" w:color="000000"/>
              <w:left w:val="single" w:sz="8" w:space="0" w:color="000000"/>
              <w:bottom w:val="single" w:sz="8" w:space="0" w:color="000000"/>
              <w:right w:val="dashed" w:sz="8" w:space="0" w:color="000000"/>
            </w:tcBorders>
            <w:shd w:val="clear" w:color="auto" w:fill="auto"/>
            <w:vAlign w:val="center"/>
          </w:tcPr>
          <w:p w:rsidR="00082D23" w:rsidRPr="0094588B" w:rsidP="00082D23" w14:paraId="1FC54DAF" w14:textId="51BAFF05">
            <w:pPr>
              <w:widowControl/>
              <w:jc w:val="center"/>
              <w:rPr>
                <w:rFonts w:ascii="Calibri" w:eastAsia="Calibri" w:hAnsi="Calibri" w:cs="Calibri"/>
                <w:color w:val="000000"/>
                <w:sz w:val="18"/>
                <w:szCs w:val="18"/>
              </w:rPr>
            </w:pPr>
            <w:r>
              <w:rPr>
                <w:rFonts w:ascii="Calibri" w:eastAsia="Calibri" w:hAnsi="Calibri" w:cs="Calibri"/>
                <w:color w:val="000000"/>
                <w:sz w:val="18"/>
                <w:szCs w:val="18"/>
              </w:rPr>
              <w:t>33</w:t>
            </w:r>
          </w:p>
        </w:tc>
        <w:tc>
          <w:tcPr>
            <w:tcW w:w="900" w:type="dxa"/>
            <w:tcBorders>
              <w:top w:val="single" w:sz="8" w:space="0" w:color="000000"/>
              <w:left w:val="nil"/>
              <w:bottom w:val="single" w:sz="8" w:space="0" w:color="000000"/>
              <w:right w:val="single" w:sz="8" w:space="0" w:color="000000"/>
            </w:tcBorders>
            <w:shd w:val="clear" w:color="auto" w:fill="auto"/>
            <w:vAlign w:val="center"/>
          </w:tcPr>
          <w:p w:rsidR="00082D23" w:rsidRPr="0094588B" w:rsidP="00082D23" w14:paraId="6F41F136" w14:textId="553E892D">
            <w:pPr>
              <w:widowControl/>
              <w:jc w:val="center"/>
              <w:rPr>
                <w:rFonts w:ascii="Calibri" w:eastAsia="Calibri" w:hAnsi="Calibri" w:cs="Calibri"/>
                <w:color w:val="000000"/>
                <w:sz w:val="18"/>
                <w:szCs w:val="18"/>
              </w:rPr>
            </w:pPr>
            <w:r w:rsidRPr="00FD7250">
              <w:rPr>
                <w:rFonts w:ascii="Calibri" w:hAnsi="Calibri" w:cs="Calibri"/>
                <w:color w:val="000000"/>
                <w:sz w:val="18"/>
                <w:szCs w:val="18"/>
              </w:rPr>
              <w:t>33</w:t>
            </w:r>
          </w:p>
        </w:tc>
        <w:tc>
          <w:tcPr>
            <w:tcW w:w="2767" w:type="dxa"/>
            <w:tcBorders>
              <w:top w:val="single" w:sz="4" w:space="0" w:color="auto"/>
              <w:left w:val="single" w:sz="8" w:space="0" w:color="000000"/>
              <w:bottom w:val="single" w:sz="4" w:space="0" w:color="auto"/>
              <w:right w:val="single" w:sz="8" w:space="0" w:color="000000"/>
            </w:tcBorders>
            <w:shd w:val="clear" w:color="auto" w:fill="auto"/>
            <w:vAlign w:val="center"/>
          </w:tcPr>
          <w:p w:rsidR="00082D23" w:rsidRPr="0094588B" w:rsidP="00082D23" w14:paraId="4FCF9F20" w14:textId="0BA24679">
            <w:pPr>
              <w:widowControl/>
              <w:rPr>
                <w:rFonts w:ascii="Calibri" w:eastAsia="Calibri" w:hAnsi="Calibri" w:cs="Calibri"/>
                <w:color w:val="000000"/>
                <w:sz w:val="18"/>
                <w:szCs w:val="18"/>
              </w:rPr>
            </w:pPr>
            <w:r>
              <w:rPr>
                <w:rFonts w:ascii="Calibri" w:eastAsia="Calibri" w:hAnsi="Calibri" w:cs="Calibri"/>
                <w:color w:val="000000"/>
                <w:sz w:val="18"/>
                <w:szCs w:val="18"/>
              </w:rPr>
              <w:t>—</w:t>
            </w:r>
          </w:p>
        </w:tc>
      </w:tr>
      <w:tr w14:paraId="31F45EB7" w14:textId="77777777" w:rsidTr="00AC629C">
        <w:tblPrEx>
          <w:tblW w:w="10497" w:type="dxa"/>
          <w:jc w:val="center"/>
          <w:tblLayout w:type="fixed"/>
          <w:tblLook w:val="0400"/>
        </w:tblPrEx>
        <w:trPr>
          <w:trHeight w:val="294"/>
          <w:jc w:val="center"/>
        </w:trPr>
        <w:tc>
          <w:tcPr>
            <w:tcW w:w="2241" w:type="dxa"/>
            <w:tcBorders>
              <w:top w:val="nil"/>
              <w:left w:val="single" w:sz="8" w:space="0" w:color="auto"/>
              <w:bottom w:val="single" w:sz="8" w:space="0" w:color="auto"/>
              <w:right w:val="single" w:sz="8" w:space="0" w:color="auto"/>
            </w:tcBorders>
            <w:shd w:val="clear" w:color="auto" w:fill="auto"/>
            <w:vAlign w:val="center"/>
          </w:tcPr>
          <w:p w:rsidR="00082D23" w:rsidRPr="0094588B" w:rsidP="00EB73DB" w14:paraId="22556FF0" w14:textId="532EC725">
            <w:pPr>
              <w:widowControl/>
              <w:rPr>
                <w:rFonts w:ascii="Calibri" w:eastAsia="Calibri" w:hAnsi="Calibri" w:cs="Calibri"/>
                <w:color w:val="000000"/>
                <w:sz w:val="18"/>
                <w:szCs w:val="18"/>
              </w:rPr>
            </w:pPr>
            <w:r w:rsidRPr="00FD7250">
              <w:rPr>
                <w:rFonts w:ascii="Calibri" w:hAnsi="Calibri" w:cs="Calibri"/>
                <w:color w:val="000000"/>
                <w:sz w:val="18"/>
                <w:szCs w:val="18"/>
              </w:rPr>
              <w:t xml:space="preserve">Exempted </w:t>
            </w:r>
            <w:r>
              <w:rPr>
                <w:rFonts w:ascii="Calibri" w:hAnsi="Calibri" w:cs="Calibri"/>
                <w:color w:val="000000"/>
                <w:sz w:val="18"/>
                <w:szCs w:val="18"/>
              </w:rPr>
              <w:t>F</w:t>
            </w:r>
            <w:r w:rsidRPr="00FD7250">
              <w:rPr>
                <w:rFonts w:ascii="Calibri" w:hAnsi="Calibri" w:cs="Calibri"/>
                <w:color w:val="000000"/>
                <w:sz w:val="18"/>
                <w:szCs w:val="18"/>
              </w:rPr>
              <w:t xml:space="preserve">ishing </w:t>
            </w:r>
            <w:r>
              <w:rPr>
                <w:rFonts w:ascii="Calibri" w:hAnsi="Calibri" w:cs="Calibri"/>
                <w:color w:val="000000"/>
                <w:sz w:val="18"/>
                <w:szCs w:val="18"/>
              </w:rPr>
              <w:t>P</w:t>
            </w:r>
            <w:r w:rsidRPr="00FD7250">
              <w:rPr>
                <w:rFonts w:ascii="Calibri" w:hAnsi="Calibri" w:cs="Calibri"/>
                <w:color w:val="000000"/>
                <w:sz w:val="18"/>
                <w:szCs w:val="18"/>
              </w:rPr>
              <w:t xml:space="preserve">ermit </w:t>
            </w:r>
            <w:r w:rsidR="00EB73DB">
              <w:rPr>
                <w:rFonts w:ascii="Calibri" w:hAnsi="Calibri" w:cs="Calibri"/>
                <w:color w:val="000000"/>
                <w:sz w:val="18"/>
                <w:szCs w:val="18"/>
              </w:rPr>
              <w:t>A</w:t>
            </w:r>
            <w:r w:rsidRPr="00FD7250">
              <w:rPr>
                <w:rFonts w:ascii="Calibri" w:hAnsi="Calibri" w:cs="Calibri"/>
                <w:color w:val="000000"/>
                <w:sz w:val="18"/>
                <w:szCs w:val="18"/>
              </w:rPr>
              <w:t>pplication</w:t>
            </w:r>
          </w:p>
        </w:tc>
        <w:tc>
          <w:tcPr>
            <w:tcW w:w="899" w:type="dxa"/>
            <w:tcBorders>
              <w:top w:val="single" w:sz="4" w:space="0" w:color="auto"/>
              <w:left w:val="nil"/>
              <w:bottom w:val="single" w:sz="4" w:space="0" w:color="auto"/>
              <w:right w:val="dashed" w:sz="8" w:space="0" w:color="000000"/>
            </w:tcBorders>
            <w:shd w:val="clear" w:color="auto" w:fill="auto"/>
            <w:vAlign w:val="center"/>
          </w:tcPr>
          <w:p w:rsidR="00082D23" w:rsidRPr="0094588B" w:rsidP="00082D23" w14:paraId="42B41E55" w14:textId="53C6FB24">
            <w:pPr>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900" w:type="dxa"/>
            <w:tcBorders>
              <w:top w:val="single" w:sz="8" w:space="0" w:color="000000"/>
              <w:left w:val="nil"/>
              <w:bottom w:val="single" w:sz="4" w:space="0" w:color="auto"/>
              <w:right w:val="single" w:sz="8" w:space="0" w:color="000000"/>
            </w:tcBorders>
            <w:shd w:val="clear" w:color="auto" w:fill="auto"/>
            <w:vAlign w:val="center"/>
          </w:tcPr>
          <w:p w:rsidR="00082D23" w:rsidRPr="0094588B" w:rsidP="00082D23" w14:paraId="12FC7C0C" w14:textId="1657EEC7">
            <w:pPr>
              <w:widowControl/>
              <w:jc w:val="center"/>
              <w:rPr>
                <w:rFonts w:ascii="Calibri" w:eastAsia="Calibri" w:hAnsi="Calibri" w:cs="Calibri"/>
                <w:color w:val="000000"/>
                <w:sz w:val="18"/>
                <w:szCs w:val="18"/>
              </w:rPr>
            </w:pPr>
            <w:r w:rsidRPr="00FD7250">
              <w:rPr>
                <w:rFonts w:ascii="Calibri" w:hAnsi="Calibri" w:cs="Calibri"/>
                <w:color w:val="000000"/>
                <w:sz w:val="18"/>
                <w:szCs w:val="18"/>
              </w:rPr>
              <w:t>3</w:t>
            </w:r>
          </w:p>
        </w:tc>
        <w:tc>
          <w:tcPr>
            <w:tcW w:w="900" w:type="dxa"/>
            <w:tcBorders>
              <w:top w:val="single" w:sz="8" w:space="0" w:color="000000"/>
              <w:left w:val="single" w:sz="8" w:space="0" w:color="000000"/>
              <w:bottom w:val="single" w:sz="4" w:space="0" w:color="auto"/>
              <w:right w:val="dashed" w:sz="8" w:space="0" w:color="000000"/>
            </w:tcBorders>
            <w:shd w:val="clear" w:color="auto" w:fill="auto"/>
            <w:vAlign w:val="center"/>
          </w:tcPr>
          <w:p w:rsidR="00082D23" w:rsidRPr="0094588B" w:rsidP="00082D23" w14:paraId="7B2F91AD" w14:textId="5C5BFFF3">
            <w:pPr>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990" w:type="dxa"/>
            <w:tcBorders>
              <w:top w:val="single" w:sz="8" w:space="0" w:color="000000"/>
              <w:left w:val="nil"/>
              <w:bottom w:val="single" w:sz="4" w:space="0" w:color="auto"/>
              <w:right w:val="single" w:sz="8" w:space="0" w:color="000000"/>
            </w:tcBorders>
            <w:shd w:val="clear" w:color="auto" w:fill="auto"/>
            <w:vAlign w:val="center"/>
          </w:tcPr>
          <w:p w:rsidR="00082D23" w:rsidRPr="0094588B" w:rsidP="00082D23" w14:paraId="6AF49853" w14:textId="3E082402">
            <w:pPr>
              <w:widowControl/>
              <w:jc w:val="center"/>
              <w:rPr>
                <w:rFonts w:ascii="Calibri" w:eastAsia="Calibri" w:hAnsi="Calibri" w:cs="Calibri"/>
                <w:color w:val="000000"/>
                <w:sz w:val="18"/>
                <w:szCs w:val="18"/>
              </w:rPr>
            </w:pPr>
            <w:r w:rsidRPr="00FD7250">
              <w:rPr>
                <w:rFonts w:ascii="Calibri" w:hAnsi="Calibri" w:cs="Calibri"/>
                <w:color w:val="000000"/>
                <w:sz w:val="18"/>
                <w:szCs w:val="18"/>
              </w:rPr>
              <w:t>3</w:t>
            </w:r>
          </w:p>
        </w:tc>
        <w:tc>
          <w:tcPr>
            <w:tcW w:w="900" w:type="dxa"/>
            <w:tcBorders>
              <w:top w:val="single" w:sz="8" w:space="0" w:color="000000"/>
              <w:left w:val="single" w:sz="8" w:space="0" w:color="000000"/>
              <w:bottom w:val="single" w:sz="4" w:space="0" w:color="auto"/>
              <w:right w:val="dashed" w:sz="8" w:space="0" w:color="000000"/>
            </w:tcBorders>
            <w:shd w:val="clear" w:color="auto" w:fill="auto"/>
            <w:vAlign w:val="center"/>
          </w:tcPr>
          <w:p w:rsidR="00082D23" w:rsidRPr="0094588B" w:rsidP="00082D23" w14:paraId="4484995E" w14:textId="29F9B872">
            <w:pPr>
              <w:widowControl/>
              <w:jc w:val="center"/>
              <w:rPr>
                <w:rFonts w:ascii="Calibri" w:eastAsia="Calibri" w:hAnsi="Calibri" w:cs="Calibri"/>
                <w:color w:val="000000"/>
                <w:sz w:val="18"/>
                <w:szCs w:val="18"/>
              </w:rPr>
            </w:pPr>
            <w:r>
              <w:rPr>
                <w:rFonts w:ascii="Calibri" w:eastAsia="Calibri" w:hAnsi="Calibri" w:cs="Calibri"/>
                <w:color w:val="000000"/>
                <w:sz w:val="18"/>
                <w:szCs w:val="18"/>
              </w:rPr>
              <w:t>100</w:t>
            </w:r>
          </w:p>
        </w:tc>
        <w:tc>
          <w:tcPr>
            <w:tcW w:w="900" w:type="dxa"/>
            <w:tcBorders>
              <w:top w:val="single" w:sz="8" w:space="0" w:color="000000"/>
              <w:left w:val="nil"/>
              <w:bottom w:val="single" w:sz="4" w:space="0" w:color="auto"/>
              <w:right w:val="single" w:sz="8" w:space="0" w:color="000000"/>
            </w:tcBorders>
            <w:shd w:val="clear" w:color="auto" w:fill="auto"/>
            <w:vAlign w:val="center"/>
          </w:tcPr>
          <w:p w:rsidR="00082D23" w:rsidRPr="0094588B" w:rsidP="00082D23" w14:paraId="2DFC96AC" w14:textId="5B2158EA">
            <w:pPr>
              <w:widowControl/>
              <w:jc w:val="center"/>
              <w:rPr>
                <w:rFonts w:ascii="Calibri" w:eastAsia="Calibri" w:hAnsi="Calibri" w:cs="Calibri"/>
                <w:color w:val="000000"/>
                <w:sz w:val="18"/>
                <w:szCs w:val="18"/>
              </w:rPr>
            </w:pPr>
            <w:r w:rsidRPr="00FD7250">
              <w:rPr>
                <w:rFonts w:ascii="Calibri" w:hAnsi="Calibri" w:cs="Calibri"/>
                <w:color w:val="000000"/>
                <w:sz w:val="18"/>
                <w:szCs w:val="18"/>
              </w:rPr>
              <w:t>300</w:t>
            </w:r>
          </w:p>
        </w:tc>
        <w:tc>
          <w:tcPr>
            <w:tcW w:w="2767" w:type="dxa"/>
            <w:tcBorders>
              <w:top w:val="single" w:sz="4" w:space="0" w:color="auto"/>
              <w:left w:val="single" w:sz="8" w:space="0" w:color="000000"/>
              <w:bottom w:val="single" w:sz="4" w:space="0" w:color="auto"/>
              <w:right w:val="single" w:sz="8" w:space="0" w:color="000000"/>
            </w:tcBorders>
            <w:shd w:val="clear" w:color="auto" w:fill="auto"/>
            <w:vAlign w:val="center"/>
          </w:tcPr>
          <w:p w:rsidR="00082D23" w:rsidRPr="0094588B" w:rsidP="00082D23" w14:paraId="4E2D1110" w14:textId="27723088">
            <w:pPr>
              <w:widowControl/>
              <w:rPr>
                <w:rFonts w:ascii="Calibri" w:eastAsia="Calibri" w:hAnsi="Calibri" w:cs="Calibri"/>
                <w:color w:val="000000"/>
                <w:sz w:val="18"/>
                <w:szCs w:val="18"/>
              </w:rPr>
            </w:pPr>
            <w:r w:rsidRPr="001F22F6">
              <w:rPr>
                <w:rFonts w:ascii="Calibri" w:eastAsia="Calibri" w:hAnsi="Calibri" w:cs="Calibri"/>
                <w:color w:val="000000"/>
                <w:sz w:val="18"/>
                <w:szCs w:val="18"/>
              </w:rPr>
              <w:t xml:space="preserve">Respondents and </w:t>
            </w:r>
            <w:r w:rsidRPr="001F22F6">
              <w:rPr>
                <w:rFonts w:ascii="Calibri" w:eastAsia="Calibri" w:hAnsi="Calibri" w:cs="Calibri"/>
                <w:color w:val="000000"/>
                <w:sz w:val="18"/>
                <w:szCs w:val="18"/>
              </w:rPr>
              <w:t>responses have been adjusted to reflect the most current data, which decreased the total burden hours.</w:t>
            </w:r>
          </w:p>
        </w:tc>
      </w:tr>
      <w:tr w14:paraId="7960083B" w14:textId="77777777" w:rsidTr="00AC629C">
        <w:tblPrEx>
          <w:tblW w:w="10497" w:type="dxa"/>
          <w:jc w:val="center"/>
          <w:tblLayout w:type="fixed"/>
          <w:tblLook w:val="0400"/>
        </w:tblPrEx>
        <w:trPr>
          <w:trHeight w:val="435"/>
          <w:jc w:val="center"/>
        </w:trPr>
        <w:tc>
          <w:tcPr>
            <w:tcW w:w="2241" w:type="dxa"/>
            <w:tcBorders>
              <w:top w:val="nil"/>
              <w:left w:val="single" w:sz="8" w:space="0" w:color="000000"/>
              <w:bottom w:val="nil"/>
              <w:right w:val="single" w:sz="8" w:space="0" w:color="000000"/>
            </w:tcBorders>
            <w:shd w:val="clear" w:color="auto" w:fill="BDD6EE"/>
            <w:vAlign w:val="center"/>
          </w:tcPr>
          <w:p w:rsidR="00774BBC" w:rsidRPr="0094588B" w14:paraId="3F1BDC1F"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Total for Collection</w:t>
            </w:r>
          </w:p>
        </w:tc>
        <w:tc>
          <w:tcPr>
            <w:tcW w:w="899" w:type="dxa"/>
            <w:tcBorders>
              <w:top w:val="single" w:sz="4" w:space="0" w:color="auto"/>
              <w:left w:val="nil"/>
              <w:bottom w:val="nil"/>
              <w:right w:val="dashed" w:sz="8" w:space="0" w:color="000000"/>
            </w:tcBorders>
            <w:shd w:val="clear" w:color="auto" w:fill="BDD6EE"/>
            <w:vAlign w:val="center"/>
          </w:tcPr>
          <w:p w:rsidR="00774BBC" w:rsidRPr="0094588B" w14:paraId="2AD86E53" w14:textId="3925664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430</w:t>
            </w:r>
          </w:p>
        </w:tc>
        <w:tc>
          <w:tcPr>
            <w:tcW w:w="900" w:type="dxa"/>
            <w:tcBorders>
              <w:top w:val="single" w:sz="4" w:space="0" w:color="auto"/>
              <w:left w:val="nil"/>
              <w:bottom w:val="nil"/>
              <w:right w:val="single" w:sz="8" w:space="0" w:color="000000"/>
            </w:tcBorders>
            <w:shd w:val="clear" w:color="auto" w:fill="BDD6EE"/>
            <w:vAlign w:val="center"/>
          </w:tcPr>
          <w:p w:rsidR="00774BBC" w:rsidRPr="0094588B" w14:paraId="4C0D308E" w14:textId="447653C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484</w:t>
            </w:r>
          </w:p>
        </w:tc>
        <w:tc>
          <w:tcPr>
            <w:tcW w:w="900" w:type="dxa"/>
            <w:tcBorders>
              <w:top w:val="single" w:sz="4" w:space="0" w:color="auto"/>
              <w:left w:val="nil"/>
              <w:bottom w:val="nil"/>
              <w:right w:val="dashed" w:sz="8" w:space="0" w:color="000000"/>
            </w:tcBorders>
            <w:shd w:val="clear" w:color="auto" w:fill="BDD6EE"/>
            <w:vAlign w:val="center"/>
          </w:tcPr>
          <w:p w:rsidR="00774BBC" w:rsidRPr="0094588B" w14:paraId="310C9F96" w14:textId="64A6E10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430</w:t>
            </w:r>
          </w:p>
        </w:tc>
        <w:tc>
          <w:tcPr>
            <w:tcW w:w="990" w:type="dxa"/>
            <w:tcBorders>
              <w:top w:val="single" w:sz="4" w:space="0" w:color="auto"/>
              <w:left w:val="nil"/>
              <w:bottom w:val="nil"/>
              <w:right w:val="single" w:sz="8" w:space="0" w:color="000000"/>
            </w:tcBorders>
            <w:shd w:val="clear" w:color="auto" w:fill="BDD6EE"/>
            <w:vAlign w:val="center"/>
          </w:tcPr>
          <w:p w:rsidR="00774BBC" w:rsidRPr="0094588B" w14:paraId="4C531BD4" w14:textId="0B66E875">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484</w:t>
            </w:r>
          </w:p>
        </w:tc>
        <w:tc>
          <w:tcPr>
            <w:tcW w:w="900" w:type="dxa"/>
            <w:tcBorders>
              <w:top w:val="single" w:sz="4" w:space="0" w:color="auto"/>
              <w:left w:val="nil"/>
              <w:bottom w:val="nil"/>
              <w:right w:val="dashed" w:sz="8" w:space="0" w:color="000000"/>
            </w:tcBorders>
            <w:shd w:val="clear" w:color="auto" w:fill="BDD6EE"/>
            <w:vAlign w:val="center"/>
          </w:tcPr>
          <w:p w:rsidR="00774BBC" w:rsidRPr="0094588B" w14:paraId="2B5F61CB" w14:textId="60C2916F">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256</w:t>
            </w:r>
          </w:p>
        </w:tc>
        <w:tc>
          <w:tcPr>
            <w:tcW w:w="900" w:type="dxa"/>
            <w:tcBorders>
              <w:top w:val="single" w:sz="4" w:space="0" w:color="auto"/>
              <w:left w:val="nil"/>
              <w:bottom w:val="nil"/>
              <w:right w:val="single" w:sz="8" w:space="0" w:color="000000"/>
            </w:tcBorders>
            <w:shd w:val="clear" w:color="auto" w:fill="BDD6EE"/>
            <w:vAlign w:val="center"/>
          </w:tcPr>
          <w:p w:rsidR="00774BBC" w:rsidRPr="0094588B" w14:paraId="0537710E" w14:textId="776C2F73">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474</w:t>
            </w:r>
          </w:p>
        </w:tc>
        <w:tc>
          <w:tcPr>
            <w:tcW w:w="2767" w:type="dxa"/>
            <w:tcBorders>
              <w:top w:val="single" w:sz="4" w:space="0" w:color="auto"/>
              <w:left w:val="nil"/>
              <w:bottom w:val="nil"/>
              <w:right w:val="single" w:sz="8" w:space="0" w:color="000000"/>
            </w:tcBorders>
            <w:shd w:val="clear" w:color="auto" w:fill="000000"/>
            <w:vAlign w:val="center"/>
          </w:tcPr>
          <w:p w:rsidR="00774BBC" w:rsidRPr="0094588B" w14:paraId="3AF8E46D"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 </w:t>
            </w:r>
          </w:p>
        </w:tc>
      </w:tr>
      <w:tr w14:paraId="67EC6702" w14:textId="77777777" w:rsidTr="00AC629C">
        <w:tblPrEx>
          <w:tblW w:w="10497" w:type="dxa"/>
          <w:jc w:val="center"/>
          <w:tblLayout w:type="fixed"/>
          <w:tblLook w:val="0400"/>
        </w:tblPrEx>
        <w:trPr>
          <w:trHeight w:val="322"/>
          <w:jc w:val="center"/>
        </w:trPr>
        <w:tc>
          <w:tcPr>
            <w:tcW w:w="2241" w:type="dxa"/>
            <w:tcBorders>
              <w:top w:val="single" w:sz="8" w:space="0" w:color="000000"/>
              <w:left w:val="single" w:sz="8" w:space="0" w:color="000000"/>
              <w:bottom w:val="single" w:sz="8" w:space="0" w:color="000000"/>
              <w:right w:val="nil"/>
            </w:tcBorders>
            <w:shd w:val="clear" w:color="auto" w:fill="FCE4D6"/>
            <w:vAlign w:val="center"/>
          </w:tcPr>
          <w:p w:rsidR="00774BBC" w:rsidRPr="0094588B" w14:paraId="7428A914" w14:textId="77777777">
            <w:pPr>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Difference</w:t>
            </w:r>
          </w:p>
        </w:tc>
        <w:tc>
          <w:tcPr>
            <w:tcW w:w="1799"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774BBC" w:rsidRPr="008468E3" w14:paraId="56EB68F6" w14:textId="392785CC">
            <w:pPr>
              <w:widowControl/>
              <w:jc w:val="center"/>
              <w:rPr>
                <w:rFonts w:ascii="Calibri" w:eastAsia="Calibri" w:hAnsi="Calibri" w:cs="Calibri"/>
                <w:b/>
                <w:color w:val="000000"/>
                <w:sz w:val="18"/>
                <w:szCs w:val="18"/>
              </w:rPr>
            </w:pPr>
            <w:r w:rsidRPr="008468E3">
              <w:rPr>
                <w:rFonts w:ascii="Calibri" w:eastAsia="Calibri" w:hAnsi="Calibri" w:cs="Calibri"/>
                <w:b/>
                <w:color w:val="000000"/>
                <w:sz w:val="18"/>
                <w:szCs w:val="18"/>
              </w:rPr>
              <w:t>-</w:t>
            </w:r>
            <w:r w:rsidR="000362A0">
              <w:rPr>
                <w:rFonts w:ascii="Calibri" w:eastAsia="Calibri" w:hAnsi="Calibri" w:cs="Calibri"/>
                <w:b/>
                <w:color w:val="000000"/>
                <w:sz w:val="18"/>
                <w:szCs w:val="18"/>
              </w:rPr>
              <w:t xml:space="preserve"> </w:t>
            </w:r>
            <w:r w:rsidRPr="008468E3">
              <w:rPr>
                <w:rFonts w:ascii="Calibri" w:eastAsia="Calibri" w:hAnsi="Calibri" w:cs="Calibri"/>
                <w:b/>
                <w:color w:val="000000"/>
                <w:sz w:val="18"/>
                <w:szCs w:val="18"/>
              </w:rPr>
              <w:t>54 (adjustment)</w:t>
            </w:r>
          </w:p>
        </w:tc>
        <w:tc>
          <w:tcPr>
            <w:tcW w:w="1890" w:type="dxa"/>
            <w:gridSpan w:val="2"/>
            <w:tcBorders>
              <w:top w:val="single" w:sz="8" w:space="0" w:color="000000"/>
              <w:left w:val="nil"/>
              <w:bottom w:val="single" w:sz="8" w:space="0" w:color="000000"/>
              <w:right w:val="single" w:sz="8" w:space="0" w:color="000000"/>
            </w:tcBorders>
            <w:shd w:val="clear" w:color="auto" w:fill="FCE4D6"/>
            <w:vAlign w:val="center"/>
          </w:tcPr>
          <w:p w:rsidR="00774BBC" w:rsidRPr="008468E3" w14:paraId="20269995" w14:textId="0D0E1141">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w:t>
            </w:r>
            <w:r w:rsidR="000362A0">
              <w:rPr>
                <w:rFonts w:ascii="Calibri" w:eastAsia="Calibri" w:hAnsi="Calibri" w:cs="Calibri"/>
                <w:b/>
                <w:color w:val="000000"/>
                <w:sz w:val="18"/>
                <w:szCs w:val="18"/>
              </w:rPr>
              <w:t xml:space="preserve"> </w:t>
            </w:r>
            <w:r>
              <w:rPr>
                <w:rFonts w:ascii="Calibri" w:eastAsia="Calibri" w:hAnsi="Calibri" w:cs="Calibri"/>
                <w:b/>
                <w:color w:val="000000"/>
                <w:sz w:val="18"/>
                <w:szCs w:val="18"/>
              </w:rPr>
              <w:t>54 (adjustment)</w:t>
            </w:r>
          </w:p>
        </w:tc>
        <w:tc>
          <w:tcPr>
            <w:tcW w:w="1800" w:type="dxa"/>
            <w:gridSpan w:val="2"/>
            <w:tcBorders>
              <w:top w:val="single" w:sz="8" w:space="0" w:color="000000"/>
              <w:left w:val="nil"/>
              <w:bottom w:val="single" w:sz="8" w:space="0" w:color="000000"/>
              <w:right w:val="single" w:sz="4" w:space="0" w:color="000000"/>
            </w:tcBorders>
            <w:shd w:val="clear" w:color="auto" w:fill="FCE4D6"/>
            <w:vAlign w:val="center"/>
          </w:tcPr>
          <w:p w:rsidR="00774BBC" w:rsidRPr="008468E3" w14:paraId="03DEB868" w14:textId="13E88DB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w:t>
            </w:r>
            <w:r w:rsidR="000362A0">
              <w:rPr>
                <w:rFonts w:ascii="Calibri" w:eastAsia="Calibri" w:hAnsi="Calibri" w:cs="Calibri"/>
                <w:b/>
                <w:color w:val="000000"/>
                <w:sz w:val="18"/>
                <w:szCs w:val="18"/>
              </w:rPr>
              <w:t xml:space="preserve"> </w:t>
            </w:r>
            <w:r>
              <w:rPr>
                <w:rFonts w:ascii="Calibri" w:eastAsia="Calibri" w:hAnsi="Calibri" w:cs="Calibri"/>
                <w:b/>
                <w:color w:val="000000"/>
                <w:sz w:val="18"/>
                <w:szCs w:val="18"/>
              </w:rPr>
              <w:t>218 (adjustment)</w:t>
            </w:r>
          </w:p>
        </w:tc>
        <w:tc>
          <w:tcPr>
            <w:tcW w:w="2767" w:type="dxa"/>
            <w:tcBorders>
              <w:top w:val="single" w:sz="8" w:space="0" w:color="000000"/>
              <w:left w:val="nil"/>
              <w:bottom w:val="single" w:sz="8" w:space="0" w:color="000000"/>
              <w:right w:val="single" w:sz="8" w:space="0" w:color="000000"/>
            </w:tcBorders>
            <w:shd w:val="clear" w:color="auto" w:fill="000000"/>
            <w:vAlign w:val="center"/>
          </w:tcPr>
          <w:p w:rsidR="00774BBC" w:rsidRPr="0094588B" w14:paraId="12552801" w14:textId="77777777">
            <w:pPr>
              <w:widowControl/>
              <w:rPr>
                <w:rFonts w:ascii="Calibri" w:eastAsia="Calibri" w:hAnsi="Calibri" w:cs="Calibri"/>
                <w:color w:val="000000"/>
                <w:sz w:val="18"/>
                <w:szCs w:val="18"/>
              </w:rPr>
            </w:pPr>
            <w:r w:rsidRPr="0094588B">
              <w:rPr>
                <w:rFonts w:ascii="Calibri" w:eastAsia="Calibri" w:hAnsi="Calibri" w:cs="Calibri"/>
                <w:color w:val="000000"/>
                <w:sz w:val="18"/>
                <w:szCs w:val="18"/>
              </w:rPr>
              <w:t> </w:t>
            </w:r>
          </w:p>
        </w:tc>
      </w:tr>
    </w:tbl>
    <w:p w:rsidR="00774BBC" w14:paraId="73389DDA" w14:textId="77777777">
      <w:pPr>
        <w:pBdr>
          <w:top w:val="nil"/>
          <w:left w:val="nil"/>
          <w:bottom w:val="nil"/>
          <w:right w:val="nil"/>
          <w:between w:val="nil"/>
        </w:pBdr>
        <w:spacing w:before="7"/>
        <w:rPr>
          <w:b/>
          <w:color w:val="000000"/>
        </w:rPr>
      </w:pPr>
    </w:p>
    <w:tbl>
      <w:tblPr>
        <w:tblStyle w:val="a4"/>
        <w:tblW w:w="10457" w:type="dxa"/>
        <w:jc w:val="center"/>
        <w:tblLayout w:type="fixed"/>
        <w:tblLook w:val="0400"/>
      </w:tblPr>
      <w:tblGrid>
        <w:gridCol w:w="2587"/>
        <w:gridCol w:w="913"/>
        <w:gridCol w:w="900"/>
        <w:gridCol w:w="900"/>
        <w:gridCol w:w="990"/>
        <w:gridCol w:w="4167"/>
      </w:tblGrid>
      <w:tr w14:paraId="5B865FEB" w14:textId="77777777" w:rsidTr="00AC629C">
        <w:tblPrEx>
          <w:tblW w:w="10457" w:type="dxa"/>
          <w:jc w:val="center"/>
          <w:tblLayout w:type="fixed"/>
          <w:tblLook w:val="0400"/>
        </w:tblPrEx>
        <w:trPr>
          <w:trHeight w:val="258"/>
          <w:jc w:val="center"/>
        </w:trPr>
        <w:tc>
          <w:tcPr>
            <w:tcW w:w="2587"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774BBC" w:rsidRPr="0094588B" w:rsidP="00AC629C" w14:paraId="224B4960" w14:textId="77777777">
            <w:pPr>
              <w:keepNext/>
              <w:keepLines/>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Information Collection</w:t>
            </w:r>
          </w:p>
        </w:tc>
        <w:tc>
          <w:tcPr>
            <w:tcW w:w="1813" w:type="dxa"/>
            <w:gridSpan w:val="2"/>
            <w:tcBorders>
              <w:top w:val="single" w:sz="8" w:space="0" w:color="000000"/>
              <w:left w:val="nil"/>
              <w:bottom w:val="single" w:sz="8" w:space="0" w:color="000000"/>
              <w:right w:val="single" w:sz="8" w:space="0" w:color="000000"/>
            </w:tcBorders>
            <w:shd w:val="clear" w:color="auto" w:fill="5B9BD5"/>
            <w:vAlign w:val="center"/>
          </w:tcPr>
          <w:p w:rsidR="00774BBC" w:rsidRPr="0094588B" w:rsidP="00AC629C" w14:paraId="3D4AB14E" w14:textId="77777777">
            <w:pPr>
              <w:keepNext/>
              <w:keepLines/>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Labor Costs</w:t>
            </w:r>
          </w:p>
        </w:tc>
        <w:tc>
          <w:tcPr>
            <w:tcW w:w="1890" w:type="dxa"/>
            <w:gridSpan w:val="2"/>
            <w:tcBorders>
              <w:top w:val="single" w:sz="8" w:space="0" w:color="000000"/>
              <w:left w:val="nil"/>
              <w:bottom w:val="single" w:sz="8" w:space="0" w:color="000000"/>
              <w:right w:val="single" w:sz="8" w:space="0" w:color="000000"/>
            </w:tcBorders>
            <w:shd w:val="clear" w:color="auto" w:fill="5B9BD5"/>
            <w:vAlign w:val="center"/>
          </w:tcPr>
          <w:p w:rsidR="00774BBC" w:rsidRPr="0094588B" w:rsidP="00AC629C" w14:paraId="7580D779" w14:textId="77777777">
            <w:pPr>
              <w:keepNext/>
              <w:keepLines/>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Miscellaneous Costs</w:t>
            </w:r>
          </w:p>
        </w:tc>
        <w:tc>
          <w:tcPr>
            <w:tcW w:w="4167"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774BBC" w:rsidRPr="0094588B" w:rsidP="00AC629C" w14:paraId="6AD72A80" w14:textId="77777777">
            <w:pPr>
              <w:keepNext/>
              <w:keepLines/>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Reason for change or adjustment</w:t>
            </w:r>
          </w:p>
        </w:tc>
      </w:tr>
      <w:tr w14:paraId="541F496C" w14:textId="77777777" w:rsidTr="00D75D71">
        <w:tblPrEx>
          <w:tblW w:w="10457" w:type="dxa"/>
          <w:jc w:val="center"/>
          <w:tblLayout w:type="fixed"/>
          <w:tblLook w:val="0400"/>
        </w:tblPrEx>
        <w:trPr>
          <w:trHeight w:val="331"/>
          <w:jc w:val="center"/>
        </w:trPr>
        <w:tc>
          <w:tcPr>
            <w:tcW w:w="2587"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774BBC" w:rsidP="00AC629C" w14:paraId="4D1A981B" w14:textId="77777777">
            <w:pPr>
              <w:keepNext/>
              <w:keepLines/>
              <w:pBdr>
                <w:top w:val="nil"/>
                <w:left w:val="nil"/>
                <w:bottom w:val="nil"/>
                <w:right w:val="nil"/>
                <w:between w:val="nil"/>
              </w:pBdr>
              <w:spacing w:line="276" w:lineRule="auto"/>
              <w:rPr>
                <w:rFonts w:ascii="Calibri" w:eastAsia="Calibri" w:hAnsi="Calibri" w:cs="Calibri"/>
                <w:b/>
                <w:color w:val="000000"/>
                <w:sz w:val="16"/>
                <w:szCs w:val="16"/>
              </w:rPr>
            </w:pPr>
          </w:p>
        </w:tc>
        <w:tc>
          <w:tcPr>
            <w:tcW w:w="913" w:type="dxa"/>
            <w:tcBorders>
              <w:top w:val="nil"/>
              <w:left w:val="nil"/>
              <w:bottom w:val="single" w:sz="8" w:space="0" w:color="000000"/>
              <w:right w:val="dashed" w:sz="8" w:space="0" w:color="000000"/>
            </w:tcBorders>
            <w:shd w:val="clear" w:color="auto" w:fill="FBE4D5"/>
            <w:vAlign w:val="center"/>
          </w:tcPr>
          <w:p w:rsidR="00774BBC" w:rsidP="00AC629C" w14:paraId="104A2691" w14:textId="77777777">
            <w:pPr>
              <w:keepNext/>
              <w:keepLines/>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900" w:type="dxa"/>
            <w:tcBorders>
              <w:top w:val="nil"/>
              <w:left w:val="nil"/>
              <w:bottom w:val="single" w:sz="8" w:space="0" w:color="000000"/>
              <w:right w:val="single" w:sz="8" w:space="0" w:color="000000"/>
            </w:tcBorders>
            <w:shd w:val="clear" w:color="auto" w:fill="FBE4D5"/>
            <w:vAlign w:val="center"/>
          </w:tcPr>
          <w:p w:rsidR="00774BBC" w:rsidP="00AC629C" w14:paraId="07B64B97" w14:textId="77777777">
            <w:pPr>
              <w:keepNext/>
              <w:keepLines/>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900" w:type="dxa"/>
            <w:tcBorders>
              <w:top w:val="nil"/>
              <w:left w:val="nil"/>
              <w:bottom w:val="single" w:sz="8" w:space="0" w:color="000000"/>
              <w:right w:val="dashed" w:sz="8" w:space="0" w:color="000000"/>
            </w:tcBorders>
            <w:shd w:val="clear" w:color="auto" w:fill="FBE4D5"/>
            <w:vAlign w:val="center"/>
          </w:tcPr>
          <w:p w:rsidR="00774BBC" w:rsidP="00AC629C" w14:paraId="777E9B32" w14:textId="77777777">
            <w:pPr>
              <w:keepNext/>
              <w:keepLines/>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990" w:type="dxa"/>
            <w:tcBorders>
              <w:top w:val="nil"/>
              <w:left w:val="nil"/>
              <w:bottom w:val="single" w:sz="8" w:space="0" w:color="000000"/>
              <w:right w:val="single" w:sz="8" w:space="0" w:color="000000"/>
            </w:tcBorders>
            <w:shd w:val="clear" w:color="auto" w:fill="FBE4D5"/>
            <w:vAlign w:val="center"/>
          </w:tcPr>
          <w:p w:rsidR="00774BBC" w:rsidP="00AC629C" w14:paraId="4F14C7F9" w14:textId="77777777">
            <w:pPr>
              <w:keepNext/>
              <w:keepLines/>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4167"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774BBC" w:rsidP="00AC629C" w14:paraId="6B486A34" w14:textId="77777777">
            <w:pPr>
              <w:keepNext/>
              <w:keepLines/>
              <w:pBdr>
                <w:top w:val="nil"/>
                <w:left w:val="nil"/>
                <w:bottom w:val="nil"/>
                <w:right w:val="nil"/>
                <w:between w:val="nil"/>
              </w:pBdr>
              <w:spacing w:line="276" w:lineRule="auto"/>
              <w:rPr>
                <w:rFonts w:ascii="Calibri" w:eastAsia="Calibri" w:hAnsi="Calibri" w:cs="Calibri"/>
                <w:color w:val="000000"/>
                <w:sz w:val="16"/>
                <w:szCs w:val="16"/>
              </w:rPr>
            </w:pPr>
          </w:p>
        </w:tc>
      </w:tr>
      <w:tr w14:paraId="65754F99" w14:textId="77777777" w:rsidTr="008468E3">
        <w:tblPrEx>
          <w:tblW w:w="10457" w:type="dxa"/>
          <w:jc w:val="center"/>
          <w:tblLayout w:type="fixed"/>
          <w:tblLook w:val="0400"/>
        </w:tblPrEx>
        <w:trPr>
          <w:trHeight w:val="258"/>
          <w:jc w:val="center"/>
        </w:trPr>
        <w:tc>
          <w:tcPr>
            <w:tcW w:w="2587" w:type="dxa"/>
            <w:tcBorders>
              <w:top w:val="nil"/>
              <w:left w:val="single" w:sz="8" w:space="0" w:color="auto"/>
              <w:bottom w:val="single" w:sz="8" w:space="0" w:color="auto"/>
              <w:right w:val="single" w:sz="8" w:space="0" w:color="auto"/>
            </w:tcBorders>
            <w:shd w:val="clear" w:color="auto" w:fill="auto"/>
            <w:vAlign w:val="center"/>
          </w:tcPr>
          <w:p w:rsidR="008468E3" w:rsidRPr="0094588B" w:rsidP="008468E3" w14:paraId="4F5089E0" w14:textId="178AA999">
            <w:pPr>
              <w:keepNext/>
              <w:keepLines/>
              <w:widowControl/>
              <w:rPr>
                <w:rFonts w:ascii="Calibri" w:eastAsia="Calibri" w:hAnsi="Calibri" w:cs="Calibri"/>
                <w:color w:val="000000"/>
                <w:sz w:val="18"/>
                <w:szCs w:val="18"/>
              </w:rPr>
            </w:pPr>
            <w:r>
              <w:rPr>
                <w:rFonts w:ascii="Calibri" w:hAnsi="Calibri" w:cs="Calibri"/>
                <w:color w:val="000000"/>
                <w:sz w:val="18"/>
                <w:szCs w:val="18"/>
              </w:rPr>
              <w:t>Application for Federal F</w:t>
            </w:r>
            <w:r w:rsidRPr="00FD7250">
              <w:rPr>
                <w:rFonts w:ascii="Calibri" w:hAnsi="Calibri" w:cs="Calibri"/>
                <w:color w:val="000000"/>
                <w:sz w:val="18"/>
                <w:szCs w:val="18"/>
              </w:rPr>
              <w:t xml:space="preserve">isheries </w:t>
            </w:r>
            <w:r>
              <w:rPr>
                <w:rFonts w:ascii="Calibri" w:hAnsi="Calibri" w:cs="Calibri"/>
                <w:color w:val="000000"/>
                <w:sz w:val="18"/>
                <w:szCs w:val="18"/>
              </w:rPr>
              <w:t>P</w:t>
            </w:r>
            <w:r w:rsidRPr="00FD7250">
              <w:rPr>
                <w:rFonts w:ascii="Calibri" w:hAnsi="Calibri" w:cs="Calibri"/>
                <w:color w:val="000000"/>
                <w:sz w:val="18"/>
                <w:szCs w:val="18"/>
              </w:rPr>
              <w:t xml:space="preserve">ermit </w:t>
            </w:r>
          </w:p>
        </w:tc>
        <w:tc>
          <w:tcPr>
            <w:tcW w:w="913" w:type="dxa"/>
            <w:tcBorders>
              <w:top w:val="nil"/>
              <w:left w:val="nil"/>
              <w:bottom w:val="single" w:sz="4" w:space="0" w:color="auto"/>
              <w:right w:val="dashed" w:sz="8" w:space="0" w:color="000000"/>
            </w:tcBorders>
            <w:shd w:val="clear" w:color="auto" w:fill="auto"/>
            <w:vAlign w:val="center"/>
          </w:tcPr>
          <w:p w:rsidR="008468E3" w:rsidRPr="008468E3" w:rsidP="008468E3" w14:paraId="5FC647D1" w14:textId="7351DB1E">
            <w:pPr>
              <w:keepNext/>
              <w:keepLines/>
              <w:widowControl/>
              <w:jc w:val="center"/>
              <w:rPr>
                <w:rFonts w:eastAsia="Calibri" w:asciiTheme="minorHAnsi" w:hAnsiTheme="minorHAnsi" w:cstheme="minorHAnsi"/>
                <w:color w:val="000000"/>
                <w:sz w:val="18"/>
                <w:szCs w:val="18"/>
              </w:rPr>
            </w:pPr>
            <w:r w:rsidRPr="008468E3">
              <w:rPr>
                <w:rFonts w:asciiTheme="minorHAnsi" w:hAnsiTheme="minorHAnsi" w:cstheme="minorHAnsi"/>
                <w:sz w:val="18"/>
                <w:szCs w:val="18"/>
              </w:rPr>
              <w:t>$2,770</w:t>
            </w:r>
          </w:p>
        </w:tc>
        <w:tc>
          <w:tcPr>
            <w:tcW w:w="900" w:type="dxa"/>
            <w:tcBorders>
              <w:top w:val="single" w:sz="8" w:space="0" w:color="000000"/>
              <w:left w:val="nil"/>
              <w:bottom w:val="single" w:sz="8" w:space="0" w:color="000000"/>
              <w:right w:val="single" w:sz="8" w:space="0" w:color="000000"/>
            </w:tcBorders>
            <w:shd w:val="clear" w:color="auto" w:fill="auto"/>
            <w:vAlign w:val="center"/>
          </w:tcPr>
          <w:p w:rsidR="008468E3" w:rsidRPr="0094588B" w:rsidP="008468E3" w14:paraId="54BDF6EA" w14:textId="21EE8981">
            <w:pPr>
              <w:keepNext/>
              <w:keepLines/>
              <w:widowControl/>
              <w:jc w:val="center"/>
              <w:rPr>
                <w:rFonts w:ascii="Calibri" w:eastAsia="Calibri" w:hAnsi="Calibri" w:cs="Calibri"/>
                <w:color w:val="000000"/>
                <w:sz w:val="18"/>
                <w:szCs w:val="18"/>
              </w:rPr>
            </w:pPr>
            <w:r w:rsidRPr="00FD7250">
              <w:rPr>
                <w:rFonts w:ascii="Calibri" w:hAnsi="Calibri" w:cs="Calibri"/>
                <w:color w:val="000000"/>
                <w:sz w:val="18"/>
                <w:szCs w:val="18"/>
              </w:rPr>
              <w:t>$3,30</w:t>
            </w:r>
            <w:r>
              <w:rPr>
                <w:rFonts w:ascii="Calibri" w:hAnsi="Calibri" w:cs="Calibri"/>
                <w:color w:val="000000"/>
                <w:sz w:val="18"/>
                <w:szCs w:val="18"/>
              </w:rPr>
              <w:t>8</w:t>
            </w:r>
          </w:p>
        </w:tc>
        <w:tc>
          <w:tcPr>
            <w:tcW w:w="900" w:type="dxa"/>
            <w:tcBorders>
              <w:top w:val="single" w:sz="8" w:space="0" w:color="000000"/>
              <w:left w:val="single" w:sz="8" w:space="0" w:color="000000"/>
              <w:bottom w:val="single" w:sz="8" w:space="0" w:color="000000"/>
              <w:right w:val="dashed" w:sz="8" w:space="0" w:color="000000"/>
            </w:tcBorders>
            <w:shd w:val="clear" w:color="auto" w:fill="auto"/>
            <w:vAlign w:val="center"/>
          </w:tcPr>
          <w:p w:rsidR="008468E3" w:rsidRPr="008468E3" w:rsidP="008468E3" w14:paraId="16B64E9F" w14:textId="4ACCA63E">
            <w:pPr>
              <w:keepNext/>
              <w:keepLines/>
              <w:widowControl/>
              <w:jc w:val="center"/>
              <w:rPr>
                <w:rFonts w:eastAsia="Calibri" w:asciiTheme="minorHAnsi" w:hAnsiTheme="minorHAnsi" w:cstheme="minorHAnsi"/>
                <w:color w:val="000000"/>
                <w:sz w:val="18"/>
                <w:szCs w:val="18"/>
              </w:rPr>
            </w:pPr>
            <w:r w:rsidRPr="008468E3">
              <w:rPr>
                <w:rFonts w:asciiTheme="minorHAnsi" w:hAnsiTheme="minorHAnsi" w:cstheme="minorHAnsi"/>
                <w:sz w:val="18"/>
                <w:szCs w:val="18"/>
              </w:rPr>
              <w:t>$1,750</w:t>
            </w:r>
          </w:p>
        </w:tc>
        <w:tc>
          <w:tcPr>
            <w:tcW w:w="990" w:type="dxa"/>
            <w:tcBorders>
              <w:top w:val="single" w:sz="8" w:space="0" w:color="000000"/>
              <w:left w:val="nil"/>
              <w:bottom w:val="single" w:sz="8" w:space="0" w:color="000000"/>
              <w:right w:val="single" w:sz="8" w:space="0" w:color="000000"/>
            </w:tcBorders>
            <w:shd w:val="clear" w:color="auto" w:fill="auto"/>
            <w:vAlign w:val="center"/>
          </w:tcPr>
          <w:p w:rsidR="008468E3" w:rsidRPr="0094588B" w:rsidP="008468E3" w14:paraId="6AF2D48B" w14:textId="6E5B4152">
            <w:pPr>
              <w:keepNext/>
              <w:keepLines/>
              <w:widowControl/>
              <w:jc w:val="center"/>
              <w:rPr>
                <w:rFonts w:ascii="Calibri" w:eastAsia="Calibri" w:hAnsi="Calibri" w:cs="Calibri"/>
                <w:color w:val="000000"/>
                <w:sz w:val="18"/>
                <w:szCs w:val="18"/>
              </w:rPr>
            </w:pPr>
            <w:r>
              <w:rPr>
                <w:rFonts w:ascii="Calibri" w:hAnsi="Calibri" w:cs="Calibri"/>
                <w:color w:val="000000"/>
                <w:sz w:val="18"/>
                <w:szCs w:val="18"/>
              </w:rPr>
              <w:t>$2,010</w:t>
            </w:r>
          </w:p>
        </w:tc>
        <w:tc>
          <w:tcPr>
            <w:tcW w:w="4167" w:type="dxa"/>
            <w:tcBorders>
              <w:top w:val="single" w:sz="8" w:space="0" w:color="000000"/>
              <w:left w:val="single" w:sz="8" w:space="0" w:color="000000"/>
              <w:bottom w:val="single" w:sz="4" w:space="0" w:color="auto"/>
              <w:right w:val="single" w:sz="8" w:space="0" w:color="000000"/>
            </w:tcBorders>
            <w:shd w:val="clear" w:color="auto" w:fill="auto"/>
            <w:vAlign w:val="center"/>
          </w:tcPr>
          <w:p w:rsidR="008468E3" w:rsidRPr="0094588B" w:rsidP="008468E3" w14:paraId="00D0CDD7" w14:textId="7492D17D">
            <w:pPr>
              <w:keepNext/>
              <w:keepLines/>
              <w:widowControl/>
              <w:rPr>
                <w:rFonts w:ascii="Calibri" w:eastAsia="Calibri" w:hAnsi="Calibri" w:cs="Calibri"/>
                <w:color w:val="000000"/>
                <w:sz w:val="18"/>
                <w:szCs w:val="18"/>
              </w:rPr>
            </w:pPr>
            <w:r>
              <w:rPr>
                <w:rFonts w:ascii="Calibri" w:eastAsia="Calibri" w:hAnsi="Calibri" w:cs="Calibri"/>
                <w:color w:val="000000"/>
                <w:sz w:val="18"/>
                <w:szCs w:val="18"/>
              </w:rPr>
              <w:t xml:space="preserve">Adjustment: The annual number of respondents decreased, which decreased the total annual labor </w:t>
            </w:r>
            <w:r>
              <w:rPr>
                <w:rFonts w:ascii="Calibri" w:eastAsia="Calibri" w:hAnsi="Calibri" w:cs="Calibri"/>
                <w:color w:val="000000"/>
                <w:sz w:val="18"/>
                <w:szCs w:val="18"/>
              </w:rPr>
              <w:t>and miscellaneous costs.</w:t>
            </w:r>
            <w:r w:rsidR="00E9007E">
              <w:t xml:space="preserve"> </w:t>
            </w:r>
            <w:r w:rsidRPr="00E9007E" w:rsidR="00E9007E">
              <w:rPr>
                <w:rFonts w:ascii="Calibri" w:eastAsia="Calibri" w:hAnsi="Calibri" w:cs="Calibri"/>
                <w:color w:val="000000"/>
                <w:sz w:val="18"/>
                <w:szCs w:val="18"/>
              </w:rPr>
              <w:t>Labor costs updated to use the most recent BLS hourly wage rate.</w:t>
            </w:r>
          </w:p>
        </w:tc>
      </w:tr>
      <w:tr w14:paraId="22298C32" w14:textId="77777777" w:rsidTr="008468E3">
        <w:tblPrEx>
          <w:tblW w:w="10457" w:type="dxa"/>
          <w:jc w:val="center"/>
          <w:tblLayout w:type="fixed"/>
          <w:tblLook w:val="0400"/>
        </w:tblPrEx>
        <w:trPr>
          <w:trHeight w:val="258"/>
          <w:jc w:val="center"/>
        </w:trPr>
        <w:tc>
          <w:tcPr>
            <w:tcW w:w="2587" w:type="dxa"/>
            <w:tcBorders>
              <w:top w:val="nil"/>
              <w:left w:val="single" w:sz="8" w:space="0" w:color="auto"/>
              <w:bottom w:val="single" w:sz="8" w:space="0" w:color="auto"/>
              <w:right w:val="single" w:sz="8" w:space="0" w:color="auto"/>
            </w:tcBorders>
            <w:shd w:val="clear" w:color="auto" w:fill="auto"/>
            <w:vAlign w:val="center"/>
          </w:tcPr>
          <w:p w:rsidR="008468E3" w:rsidRPr="0094588B" w:rsidP="008468E3" w14:paraId="607B9E03" w14:textId="3D991DF6">
            <w:pPr>
              <w:keepNext/>
              <w:keepLines/>
              <w:widowControl/>
              <w:rPr>
                <w:rFonts w:ascii="Calibri" w:eastAsia="Calibri" w:hAnsi="Calibri" w:cs="Calibri"/>
                <w:color w:val="000000"/>
                <w:sz w:val="18"/>
                <w:szCs w:val="18"/>
              </w:rPr>
            </w:pPr>
            <w:r>
              <w:rPr>
                <w:rFonts w:ascii="Calibri" w:hAnsi="Calibri" w:cs="Calibri"/>
                <w:color w:val="000000"/>
                <w:sz w:val="18"/>
                <w:szCs w:val="18"/>
              </w:rPr>
              <w:t xml:space="preserve">Application for </w:t>
            </w:r>
            <w:r w:rsidRPr="00FD7250">
              <w:rPr>
                <w:rFonts w:ascii="Calibri" w:hAnsi="Calibri" w:cs="Calibri"/>
                <w:color w:val="000000"/>
                <w:sz w:val="18"/>
                <w:szCs w:val="18"/>
              </w:rPr>
              <w:t xml:space="preserve">Federal </w:t>
            </w:r>
            <w:r>
              <w:rPr>
                <w:rFonts w:ascii="Calibri" w:hAnsi="Calibri" w:cs="Calibri"/>
                <w:color w:val="000000"/>
                <w:sz w:val="18"/>
                <w:szCs w:val="18"/>
              </w:rPr>
              <w:t>Processor</w:t>
            </w:r>
            <w:r w:rsidRPr="00FD7250">
              <w:rPr>
                <w:rFonts w:ascii="Calibri" w:hAnsi="Calibri" w:cs="Calibri"/>
                <w:color w:val="000000"/>
                <w:sz w:val="18"/>
                <w:szCs w:val="18"/>
              </w:rPr>
              <w:t xml:space="preserve"> </w:t>
            </w:r>
            <w:r>
              <w:rPr>
                <w:rFonts w:ascii="Calibri" w:hAnsi="Calibri" w:cs="Calibri"/>
                <w:color w:val="000000"/>
                <w:sz w:val="18"/>
                <w:szCs w:val="18"/>
              </w:rPr>
              <w:t>Permit</w:t>
            </w:r>
          </w:p>
        </w:tc>
        <w:tc>
          <w:tcPr>
            <w:tcW w:w="913" w:type="dxa"/>
            <w:tcBorders>
              <w:top w:val="single" w:sz="4" w:space="0" w:color="auto"/>
              <w:left w:val="nil"/>
              <w:bottom w:val="single" w:sz="4" w:space="0" w:color="auto"/>
              <w:right w:val="dashed" w:sz="8" w:space="0" w:color="000000"/>
            </w:tcBorders>
            <w:shd w:val="clear" w:color="auto" w:fill="auto"/>
            <w:vAlign w:val="center"/>
          </w:tcPr>
          <w:p w:rsidR="008468E3" w:rsidRPr="008468E3" w:rsidP="008468E3" w14:paraId="0169C0F2" w14:textId="26500EDA">
            <w:pPr>
              <w:keepNext/>
              <w:keepLines/>
              <w:widowControl/>
              <w:jc w:val="center"/>
              <w:rPr>
                <w:rFonts w:eastAsia="Calibri" w:asciiTheme="minorHAnsi" w:hAnsiTheme="minorHAnsi" w:cstheme="minorHAnsi"/>
                <w:color w:val="000000"/>
                <w:sz w:val="18"/>
                <w:szCs w:val="18"/>
              </w:rPr>
            </w:pPr>
            <w:r w:rsidRPr="008468E3">
              <w:rPr>
                <w:rFonts w:asciiTheme="minorHAnsi" w:hAnsiTheme="minorHAnsi" w:cstheme="minorHAnsi"/>
                <w:sz w:val="18"/>
                <w:szCs w:val="18"/>
              </w:rPr>
              <w:t>$743</w:t>
            </w:r>
          </w:p>
        </w:tc>
        <w:tc>
          <w:tcPr>
            <w:tcW w:w="900" w:type="dxa"/>
            <w:tcBorders>
              <w:top w:val="single" w:sz="8" w:space="0" w:color="000000"/>
              <w:left w:val="nil"/>
              <w:bottom w:val="single" w:sz="8" w:space="0" w:color="000000"/>
              <w:right w:val="single" w:sz="8" w:space="0" w:color="000000"/>
            </w:tcBorders>
            <w:shd w:val="clear" w:color="auto" w:fill="auto"/>
            <w:vAlign w:val="center"/>
          </w:tcPr>
          <w:p w:rsidR="008468E3" w:rsidRPr="0094588B" w:rsidP="008468E3" w14:paraId="511BADF3" w14:textId="571DD02F">
            <w:pPr>
              <w:keepNext/>
              <w:keepLines/>
              <w:widowControl/>
              <w:jc w:val="center"/>
              <w:rPr>
                <w:rFonts w:ascii="Calibri" w:eastAsia="Calibri" w:hAnsi="Calibri" w:cs="Calibri"/>
                <w:color w:val="000000"/>
                <w:sz w:val="18"/>
                <w:szCs w:val="18"/>
              </w:rPr>
            </w:pPr>
            <w:r w:rsidRPr="00FD7250">
              <w:rPr>
                <w:rFonts w:ascii="Calibri" w:hAnsi="Calibri" w:cs="Calibri"/>
                <w:color w:val="000000"/>
                <w:sz w:val="18"/>
                <w:szCs w:val="18"/>
              </w:rPr>
              <w:t>$774</w:t>
            </w:r>
          </w:p>
        </w:tc>
        <w:tc>
          <w:tcPr>
            <w:tcW w:w="900" w:type="dxa"/>
            <w:tcBorders>
              <w:top w:val="single" w:sz="8" w:space="0" w:color="000000"/>
              <w:left w:val="single" w:sz="8" w:space="0" w:color="000000"/>
              <w:bottom w:val="single" w:sz="8" w:space="0" w:color="000000"/>
              <w:right w:val="dashed" w:sz="8" w:space="0" w:color="000000"/>
            </w:tcBorders>
            <w:shd w:val="clear" w:color="auto" w:fill="auto"/>
            <w:vAlign w:val="center"/>
          </w:tcPr>
          <w:p w:rsidR="008468E3" w:rsidRPr="008468E3" w:rsidP="008468E3" w14:paraId="2DED194C" w14:textId="28126687">
            <w:pPr>
              <w:keepNext/>
              <w:keepLines/>
              <w:widowControl/>
              <w:jc w:val="center"/>
              <w:rPr>
                <w:rFonts w:eastAsia="Calibri" w:asciiTheme="minorHAnsi" w:hAnsiTheme="minorHAnsi" w:cstheme="minorHAnsi"/>
                <w:color w:val="000000"/>
                <w:sz w:val="18"/>
                <w:szCs w:val="18"/>
              </w:rPr>
            </w:pPr>
            <w:r w:rsidRPr="008468E3">
              <w:rPr>
                <w:rFonts w:asciiTheme="minorHAnsi" w:hAnsiTheme="minorHAnsi" w:cstheme="minorHAnsi"/>
                <w:sz w:val="18"/>
                <w:szCs w:val="18"/>
              </w:rPr>
              <w:t>$395</w:t>
            </w:r>
          </w:p>
        </w:tc>
        <w:tc>
          <w:tcPr>
            <w:tcW w:w="990" w:type="dxa"/>
            <w:tcBorders>
              <w:top w:val="single" w:sz="8" w:space="0" w:color="000000"/>
              <w:left w:val="nil"/>
              <w:bottom w:val="single" w:sz="8" w:space="0" w:color="000000"/>
              <w:right w:val="single" w:sz="8" w:space="0" w:color="000000"/>
            </w:tcBorders>
            <w:shd w:val="clear" w:color="auto" w:fill="auto"/>
            <w:vAlign w:val="center"/>
          </w:tcPr>
          <w:p w:rsidR="008468E3" w:rsidRPr="0094588B" w:rsidP="008468E3" w14:paraId="7BF04BA0" w14:textId="3DE5E053">
            <w:pPr>
              <w:keepNext/>
              <w:keepLines/>
              <w:widowControl/>
              <w:jc w:val="center"/>
              <w:rPr>
                <w:rFonts w:ascii="Calibri" w:eastAsia="Calibri" w:hAnsi="Calibri" w:cs="Calibri"/>
                <w:color w:val="000000"/>
                <w:sz w:val="18"/>
                <w:szCs w:val="18"/>
              </w:rPr>
            </w:pPr>
            <w:r w:rsidRPr="00FD7250">
              <w:rPr>
                <w:rFonts w:ascii="Calibri" w:hAnsi="Calibri" w:cs="Calibri"/>
                <w:color w:val="000000"/>
                <w:sz w:val="18"/>
                <w:szCs w:val="18"/>
              </w:rPr>
              <w:t>$395</w:t>
            </w:r>
          </w:p>
        </w:tc>
        <w:tc>
          <w:tcPr>
            <w:tcW w:w="4167" w:type="dxa"/>
            <w:tcBorders>
              <w:top w:val="single" w:sz="4" w:space="0" w:color="auto"/>
              <w:left w:val="single" w:sz="8" w:space="0" w:color="000000"/>
              <w:bottom w:val="single" w:sz="4" w:space="0" w:color="auto"/>
              <w:right w:val="single" w:sz="8" w:space="0" w:color="000000"/>
            </w:tcBorders>
            <w:shd w:val="clear" w:color="auto" w:fill="auto"/>
            <w:vAlign w:val="center"/>
          </w:tcPr>
          <w:p w:rsidR="008468E3" w:rsidRPr="0094588B" w:rsidP="00E9007E" w14:paraId="4C924338" w14:textId="37C5958B">
            <w:pPr>
              <w:keepNext/>
              <w:keepLines/>
              <w:widowControl/>
              <w:rPr>
                <w:rFonts w:ascii="Calibri" w:eastAsia="Calibri" w:hAnsi="Calibri" w:cs="Calibri"/>
                <w:color w:val="000000"/>
                <w:sz w:val="18"/>
                <w:szCs w:val="18"/>
              </w:rPr>
            </w:pPr>
            <w:r>
              <w:rPr>
                <w:rFonts w:ascii="Calibri" w:eastAsia="Calibri" w:hAnsi="Calibri" w:cs="Calibri"/>
                <w:color w:val="000000"/>
                <w:sz w:val="18"/>
                <w:szCs w:val="18"/>
              </w:rPr>
              <w:t>Adjustment</w:t>
            </w:r>
            <w:r w:rsidRPr="00E9007E">
              <w:rPr>
                <w:rFonts w:ascii="Calibri" w:eastAsia="Calibri" w:hAnsi="Calibri" w:cs="Calibri"/>
                <w:color w:val="000000"/>
                <w:sz w:val="18"/>
                <w:szCs w:val="18"/>
              </w:rPr>
              <w:t xml:space="preserve">: </w:t>
            </w:r>
            <w:r>
              <w:rPr>
                <w:rFonts w:ascii="Calibri" w:eastAsia="Calibri" w:hAnsi="Calibri" w:cs="Calibri"/>
                <w:color w:val="000000"/>
                <w:sz w:val="18"/>
                <w:szCs w:val="18"/>
              </w:rPr>
              <w:t>Labor costs u</w:t>
            </w:r>
            <w:r w:rsidRPr="00E9007E">
              <w:rPr>
                <w:rFonts w:ascii="Calibri" w:eastAsia="Calibri" w:hAnsi="Calibri" w:cs="Calibri"/>
                <w:color w:val="000000"/>
                <w:sz w:val="18"/>
                <w:szCs w:val="18"/>
              </w:rPr>
              <w:t>pdated to use the most recent BLS hourly wage rate.</w:t>
            </w:r>
          </w:p>
        </w:tc>
      </w:tr>
      <w:tr w14:paraId="6B89DC90" w14:textId="77777777" w:rsidTr="00AC629C">
        <w:tblPrEx>
          <w:tblW w:w="10457" w:type="dxa"/>
          <w:jc w:val="center"/>
          <w:tblLayout w:type="fixed"/>
          <w:tblLook w:val="0400"/>
        </w:tblPrEx>
        <w:trPr>
          <w:trHeight w:val="258"/>
          <w:jc w:val="center"/>
        </w:trPr>
        <w:tc>
          <w:tcPr>
            <w:tcW w:w="2587" w:type="dxa"/>
            <w:tcBorders>
              <w:top w:val="nil"/>
              <w:left w:val="single" w:sz="8" w:space="0" w:color="auto"/>
              <w:bottom w:val="single" w:sz="8" w:space="0" w:color="auto"/>
              <w:right w:val="single" w:sz="8" w:space="0" w:color="auto"/>
            </w:tcBorders>
            <w:shd w:val="clear" w:color="auto" w:fill="auto"/>
            <w:vAlign w:val="center"/>
          </w:tcPr>
          <w:p w:rsidR="00082D23" w:rsidRPr="0094588B" w:rsidP="00AC629C" w14:paraId="2EF40D44" w14:textId="15B32CA9">
            <w:pPr>
              <w:keepNext/>
              <w:keepLines/>
              <w:widowControl/>
              <w:rPr>
                <w:rFonts w:ascii="Calibri" w:eastAsia="Calibri" w:hAnsi="Calibri" w:cs="Calibri"/>
                <w:color w:val="000000"/>
                <w:sz w:val="18"/>
                <w:szCs w:val="18"/>
              </w:rPr>
            </w:pPr>
            <w:r w:rsidRPr="00FD7250">
              <w:rPr>
                <w:rFonts w:ascii="Calibri" w:hAnsi="Calibri" w:cs="Calibri"/>
                <w:color w:val="000000"/>
                <w:sz w:val="18"/>
                <w:szCs w:val="18"/>
              </w:rPr>
              <w:t xml:space="preserve">Exempted </w:t>
            </w:r>
            <w:r>
              <w:rPr>
                <w:rFonts w:ascii="Calibri" w:hAnsi="Calibri" w:cs="Calibri"/>
                <w:color w:val="000000"/>
                <w:sz w:val="18"/>
                <w:szCs w:val="18"/>
              </w:rPr>
              <w:t>F</w:t>
            </w:r>
            <w:r w:rsidRPr="00FD7250">
              <w:rPr>
                <w:rFonts w:ascii="Calibri" w:hAnsi="Calibri" w:cs="Calibri"/>
                <w:color w:val="000000"/>
                <w:sz w:val="18"/>
                <w:szCs w:val="18"/>
              </w:rPr>
              <w:t xml:space="preserve">ishing </w:t>
            </w:r>
            <w:r>
              <w:rPr>
                <w:rFonts w:ascii="Calibri" w:hAnsi="Calibri" w:cs="Calibri"/>
                <w:color w:val="000000"/>
                <w:sz w:val="18"/>
                <w:szCs w:val="18"/>
              </w:rPr>
              <w:t>P</w:t>
            </w:r>
            <w:r w:rsidR="00EB73DB">
              <w:rPr>
                <w:rFonts w:ascii="Calibri" w:hAnsi="Calibri" w:cs="Calibri"/>
                <w:color w:val="000000"/>
                <w:sz w:val="18"/>
                <w:szCs w:val="18"/>
              </w:rPr>
              <w:t>ermit A</w:t>
            </w:r>
            <w:r w:rsidRPr="00FD7250">
              <w:rPr>
                <w:rFonts w:ascii="Calibri" w:hAnsi="Calibri" w:cs="Calibri"/>
                <w:color w:val="000000"/>
                <w:sz w:val="18"/>
                <w:szCs w:val="18"/>
              </w:rPr>
              <w:t>pplication</w:t>
            </w:r>
          </w:p>
        </w:tc>
        <w:tc>
          <w:tcPr>
            <w:tcW w:w="913" w:type="dxa"/>
            <w:tcBorders>
              <w:top w:val="single" w:sz="4" w:space="0" w:color="auto"/>
              <w:left w:val="nil"/>
              <w:bottom w:val="single" w:sz="4" w:space="0" w:color="auto"/>
              <w:right w:val="dashed" w:sz="8" w:space="0" w:color="000000"/>
            </w:tcBorders>
            <w:shd w:val="clear" w:color="auto" w:fill="auto"/>
            <w:vAlign w:val="center"/>
          </w:tcPr>
          <w:p w:rsidR="00082D23" w:rsidRPr="0094588B" w:rsidP="00AC629C" w14:paraId="63ADBEE5" w14:textId="0CFE3BCA">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$10,000</w:t>
            </w:r>
          </w:p>
        </w:tc>
        <w:tc>
          <w:tcPr>
            <w:tcW w:w="900" w:type="dxa"/>
            <w:tcBorders>
              <w:top w:val="single" w:sz="8" w:space="0" w:color="000000"/>
              <w:left w:val="nil"/>
              <w:bottom w:val="single" w:sz="4" w:space="0" w:color="auto"/>
              <w:right w:val="single" w:sz="8" w:space="0" w:color="000000"/>
            </w:tcBorders>
            <w:shd w:val="clear" w:color="auto" w:fill="auto"/>
            <w:vAlign w:val="center"/>
          </w:tcPr>
          <w:p w:rsidR="00082D23" w:rsidRPr="0094588B" w:rsidP="00AC629C" w14:paraId="1B814530" w14:textId="2DC88F5D">
            <w:pPr>
              <w:keepNext/>
              <w:keepLines/>
              <w:widowControl/>
              <w:jc w:val="center"/>
              <w:rPr>
                <w:rFonts w:ascii="Calibri" w:eastAsia="Calibri" w:hAnsi="Calibri" w:cs="Calibri"/>
                <w:color w:val="000000"/>
                <w:sz w:val="18"/>
                <w:szCs w:val="18"/>
              </w:rPr>
            </w:pPr>
            <w:r w:rsidRPr="00FD7250">
              <w:rPr>
                <w:rFonts w:ascii="Calibri" w:hAnsi="Calibri" w:cs="Calibri"/>
                <w:color w:val="000000"/>
                <w:sz w:val="18"/>
                <w:szCs w:val="18"/>
              </w:rPr>
              <w:t>$30,000</w:t>
            </w:r>
          </w:p>
        </w:tc>
        <w:tc>
          <w:tcPr>
            <w:tcW w:w="900" w:type="dxa"/>
            <w:tcBorders>
              <w:top w:val="single" w:sz="8" w:space="0" w:color="000000"/>
              <w:left w:val="single" w:sz="8" w:space="0" w:color="000000"/>
              <w:bottom w:val="single" w:sz="4" w:space="0" w:color="auto"/>
              <w:right w:val="dashed" w:sz="8" w:space="0" w:color="000000"/>
            </w:tcBorders>
            <w:shd w:val="clear" w:color="auto" w:fill="auto"/>
            <w:vAlign w:val="center"/>
          </w:tcPr>
          <w:p w:rsidR="00082D23" w:rsidRPr="0094588B" w:rsidP="00AC629C" w14:paraId="49480ECA" w14:textId="5460853F">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$5</w:t>
            </w:r>
          </w:p>
        </w:tc>
        <w:tc>
          <w:tcPr>
            <w:tcW w:w="990" w:type="dxa"/>
            <w:tcBorders>
              <w:top w:val="single" w:sz="8" w:space="0" w:color="000000"/>
              <w:left w:val="nil"/>
              <w:bottom w:val="single" w:sz="4" w:space="0" w:color="auto"/>
              <w:right w:val="single" w:sz="8" w:space="0" w:color="000000"/>
            </w:tcBorders>
            <w:shd w:val="clear" w:color="auto" w:fill="auto"/>
            <w:vAlign w:val="center"/>
          </w:tcPr>
          <w:p w:rsidR="00082D23" w:rsidRPr="0094588B" w:rsidP="00AC629C" w14:paraId="6C6C38BE" w14:textId="36DB9B9B">
            <w:pPr>
              <w:keepNext/>
              <w:keepLines/>
              <w:widowControl/>
              <w:jc w:val="center"/>
              <w:rPr>
                <w:rFonts w:ascii="Calibri" w:eastAsia="Calibri" w:hAnsi="Calibri" w:cs="Calibri"/>
                <w:color w:val="000000"/>
                <w:sz w:val="18"/>
                <w:szCs w:val="18"/>
              </w:rPr>
            </w:pPr>
            <w:r w:rsidRPr="00502541">
              <w:rPr>
                <w:rFonts w:ascii="Calibri" w:hAnsi="Calibri" w:cs="Calibri"/>
                <w:color w:val="000000"/>
                <w:sz w:val="18"/>
                <w:szCs w:val="18"/>
              </w:rPr>
              <w:t>$</w:t>
            </w:r>
            <w:r>
              <w:rPr>
                <w:rFonts w:ascii="Calibri" w:hAnsi="Calibri" w:cs="Calibri"/>
                <w:color w:val="000000"/>
                <w:sz w:val="18"/>
                <w:szCs w:val="18"/>
              </w:rPr>
              <w:t>1</w:t>
            </w:r>
            <w:r w:rsidRPr="00502541">
              <w:rPr>
                <w:rFonts w:ascii="Calibri" w:hAnsi="Calibri" w:cs="Calibri"/>
                <w:color w:val="000000"/>
                <w:sz w:val="18"/>
                <w:szCs w:val="18"/>
              </w:rPr>
              <w:t xml:space="preserve">5 </w:t>
            </w:r>
          </w:p>
        </w:tc>
        <w:tc>
          <w:tcPr>
            <w:tcW w:w="4167" w:type="dxa"/>
            <w:tcBorders>
              <w:top w:val="single" w:sz="4" w:space="0" w:color="auto"/>
              <w:left w:val="single" w:sz="8" w:space="0" w:color="000000"/>
              <w:bottom w:val="single" w:sz="4" w:space="0" w:color="auto"/>
              <w:right w:val="single" w:sz="8" w:space="0" w:color="000000"/>
            </w:tcBorders>
            <w:shd w:val="clear" w:color="auto" w:fill="auto"/>
            <w:vAlign w:val="center"/>
          </w:tcPr>
          <w:p w:rsidR="00082D23" w:rsidRPr="0094588B" w:rsidP="00AC629C" w14:paraId="0EC9B74E" w14:textId="775E8D8B">
            <w:pPr>
              <w:keepNext/>
              <w:keepLines/>
              <w:widowControl/>
              <w:rPr>
                <w:rFonts w:ascii="Calibri" w:eastAsia="Calibri" w:hAnsi="Calibri" w:cs="Calibri"/>
                <w:color w:val="000000"/>
                <w:sz w:val="18"/>
                <w:szCs w:val="18"/>
              </w:rPr>
            </w:pPr>
            <w:r>
              <w:rPr>
                <w:rFonts w:ascii="Calibri" w:eastAsia="Calibri" w:hAnsi="Calibri" w:cs="Calibri"/>
                <w:color w:val="000000"/>
                <w:sz w:val="18"/>
                <w:szCs w:val="18"/>
              </w:rPr>
              <w:t xml:space="preserve">Adjustment: The </w:t>
            </w:r>
            <w:r w:rsidR="00483CA3">
              <w:rPr>
                <w:rFonts w:ascii="Calibri" w:eastAsia="Calibri" w:hAnsi="Calibri" w:cs="Calibri"/>
                <w:color w:val="000000"/>
                <w:sz w:val="18"/>
                <w:szCs w:val="18"/>
              </w:rPr>
              <w:t xml:space="preserve">annual </w:t>
            </w:r>
            <w:r>
              <w:rPr>
                <w:rFonts w:ascii="Calibri" w:eastAsia="Calibri" w:hAnsi="Calibri" w:cs="Calibri"/>
                <w:color w:val="000000"/>
                <w:sz w:val="18"/>
                <w:szCs w:val="18"/>
              </w:rPr>
              <w:t>number of respon</w:t>
            </w:r>
            <w:r w:rsidR="008468E3">
              <w:rPr>
                <w:rFonts w:ascii="Calibri" w:eastAsia="Calibri" w:hAnsi="Calibri" w:cs="Calibri"/>
                <w:color w:val="000000"/>
                <w:sz w:val="18"/>
                <w:szCs w:val="18"/>
              </w:rPr>
              <w:t>dents decreased, which decreased</w:t>
            </w:r>
            <w:r>
              <w:rPr>
                <w:rFonts w:ascii="Calibri" w:eastAsia="Calibri" w:hAnsi="Calibri" w:cs="Calibri"/>
                <w:color w:val="000000"/>
                <w:sz w:val="18"/>
                <w:szCs w:val="18"/>
              </w:rPr>
              <w:t xml:space="preserve"> the total annual labor and miscellaneous costs.</w:t>
            </w:r>
          </w:p>
        </w:tc>
      </w:tr>
      <w:tr w14:paraId="4FA00B90" w14:textId="77777777" w:rsidTr="00AC629C">
        <w:tblPrEx>
          <w:tblW w:w="10457" w:type="dxa"/>
          <w:jc w:val="center"/>
          <w:tblLayout w:type="fixed"/>
          <w:tblLook w:val="0400"/>
        </w:tblPrEx>
        <w:trPr>
          <w:trHeight w:val="382"/>
          <w:jc w:val="center"/>
        </w:trPr>
        <w:tc>
          <w:tcPr>
            <w:tcW w:w="2587" w:type="dxa"/>
            <w:tcBorders>
              <w:top w:val="nil"/>
              <w:left w:val="single" w:sz="8" w:space="0" w:color="000000"/>
              <w:bottom w:val="nil"/>
              <w:right w:val="single" w:sz="8" w:space="0" w:color="000000"/>
            </w:tcBorders>
            <w:shd w:val="clear" w:color="auto" w:fill="BDD6EE"/>
            <w:vAlign w:val="center"/>
          </w:tcPr>
          <w:p w:rsidR="00774BBC" w:rsidRPr="0094588B" w:rsidP="00AC629C" w14:paraId="3C7105E9" w14:textId="77777777">
            <w:pPr>
              <w:keepNext/>
              <w:keepLines/>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Total for Collection</w:t>
            </w:r>
          </w:p>
        </w:tc>
        <w:tc>
          <w:tcPr>
            <w:tcW w:w="913" w:type="dxa"/>
            <w:tcBorders>
              <w:top w:val="single" w:sz="4" w:space="0" w:color="auto"/>
              <w:left w:val="nil"/>
              <w:bottom w:val="nil"/>
              <w:right w:val="dashed" w:sz="8" w:space="0" w:color="000000"/>
            </w:tcBorders>
            <w:shd w:val="clear" w:color="auto" w:fill="BDD6EE"/>
            <w:vAlign w:val="center"/>
          </w:tcPr>
          <w:p w:rsidR="00774BBC" w:rsidRPr="0094588B" w:rsidP="00AC629C" w14:paraId="56FC99AE" w14:textId="5397A9AF">
            <w:pPr>
              <w:keepNext/>
              <w:keepLines/>
              <w:widowControl/>
              <w:jc w:val="center"/>
              <w:rPr>
                <w:rFonts w:ascii="Calibri" w:eastAsia="Calibri" w:hAnsi="Calibri" w:cs="Calibri"/>
                <w:b/>
                <w:color w:val="000000"/>
                <w:sz w:val="18"/>
                <w:szCs w:val="18"/>
              </w:rPr>
            </w:pPr>
            <w:r w:rsidRPr="008468E3">
              <w:rPr>
                <w:rFonts w:ascii="Calibri" w:eastAsia="Calibri" w:hAnsi="Calibri" w:cs="Calibri"/>
                <w:b/>
                <w:color w:val="000000"/>
                <w:sz w:val="18"/>
                <w:szCs w:val="18"/>
              </w:rPr>
              <w:t>$13,513</w:t>
            </w:r>
          </w:p>
        </w:tc>
        <w:tc>
          <w:tcPr>
            <w:tcW w:w="900" w:type="dxa"/>
            <w:tcBorders>
              <w:top w:val="single" w:sz="4" w:space="0" w:color="auto"/>
              <w:left w:val="nil"/>
              <w:bottom w:val="nil"/>
              <w:right w:val="single" w:sz="8" w:space="0" w:color="000000"/>
            </w:tcBorders>
            <w:shd w:val="clear" w:color="auto" w:fill="BDD6EE"/>
            <w:vAlign w:val="center"/>
          </w:tcPr>
          <w:p w:rsidR="00774BBC" w:rsidRPr="0094588B" w:rsidP="00AC629C" w14:paraId="33A0807A" w14:textId="01F3C44E">
            <w:pPr>
              <w:keepNext/>
              <w:keepLines/>
              <w:widowControl/>
              <w:jc w:val="center"/>
              <w:rPr>
                <w:rFonts w:ascii="Calibri" w:eastAsia="Calibri" w:hAnsi="Calibri" w:cs="Calibri"/>
                <w:b/>
                <w:color w:val="000000"/>
                <w:sz w:val="18"/>
                <w:szCs w:val="18"/>
              </w:rPr>
            </w:pPr>
            <w:r w:rsidRPr="00082D23">
              <w:rPr>
                <w:rFonts w:ascii="Calibri" w:eastAsia="Calibri" w:hAnsi="Calibri" w:cs="Calibri"/>
                <w:b/>
                <w:color w:val="000000"/>
                <w:sz w:val="18"/>
                <w:szCs w:val="18"/>
              </w:rPr>
              <w:t>$34,082</w:t>
            </w:r>
          </w:p>
        </w:tc>
        <w:tc>
          <w:tcPr>
            <w:tcW w:w="900" w:type="dxa"/>
            <w:tcBorders>
              <w:top w:val="single" w:sz="4" w:space="0" w:color="auto"/>
              <w:left w:val="nil"/>
              <w:bottom w:val="nil"/>
              <w:right w:val="dashed" w:sz="8" w:space="0" w:color="000000"/>
            </w:tcBorders>
            <w:shd w:val="clear" w:color="auto" w:fill="BDD6EE"/>
            <w:vAlign w:val="center"/>
          </w:tcPr>
          <w:p w:rsidR="00774BBC" w:rsidRPr="0094588B" w:rsidP="00AC629C" w14:paraId="2F6DA11D" w14:textId="1A79098E">
            <w:pPr>
              <w:keepNext/>
              <w:keepLines/>
              <w:widowControl/>
              <w:jc w:val="center"/>
              <w:rPr>
                <w:rFonts w:ascii="Calibri" w:eastAsia="Calibri" w:hAnsi="Calibri" w:cs="Calibri"/>
                <w:b/>
                <w:color w:val="000000"/>
                <w:sz w:val="18"/>
                <w:szCs w:val="18"/>
              </w:rPr>
            </w:pPr>
            <w:r w:rsidRPr="008468E3">
              <w:rPr>
                <w:rFonts w:ascii="Calibri" w:eastAsia="Calibri" w:hAnsi="Calibri" w:cs="Calibri"/>
                <w:b/>
                <w:color w:val="000000"/>
                <w:sz w:val="18"/>
                <w:szCs w:val="18"/>
              </w:rPr>
              <w:t>$2,150</w:t>
            </w:r>
          </w:p>
        </w:tc>
        <w:tc>
          <w:tcPr>
            <w:tcW w:w="990" w:type="dxa"/>
            <w:tcBorders>
              <w:top w:val="single" w:sz="4" w:space="0" w:color="auto"/>
              <w:left w:val="nil"/>
              <w:bottom w:val="nil"/>
              <w:right w:val="single" w:sz="8" w:space="0" w:color="000000"/>
            </w:tcBorders>
            <w:shd w:val="clear" w:color="auto" w:fill="BDD6EE"/>
            <w:vAlign w:val="center"/>
          </w:tcPr>
          <w:p w:rsidR="00774BBC" w:rsidRPr="0094588B" w:rsidP="00AC629C" w14:paraId="1BCA9261" w14:textId="1BEFDA3F">
            <w:pPr>
              <w:keepNext/>
              <w:keepLines/>
              <w:widowControl/>
              <w:jc w:val="center"/>
              <w:rPr>
                <w:rFonts w:ascii="Calibri" w:eastAsia="Calibri" w:hAnsi="Calibri" w:cs="Calibri"/>
                <w:b/>
                <w:color w:val="000000"/>
                <w:sz w:val="18"/>
                <w:szCs w:val="18"/>
              </w:rPr>
            </w:pPr>
            <w:r w:rsidRPr="00502541">
              <w:rPr>
                <w:rFonts w:ascii="Calibri" w:hAnsi="Calibri" w:cs="Calibri"/>
                <w:b/>
                <w:bCs/>
                <w:color w:val="000000"/>
                <w:sz w:val="18"/>
                <w:szCs w:val="18"/>
              </w:rPr>
              <w:t>$2,4</w:t>
            </w:r>
            <w:r>
              <w:rPr>
                <w:rFonts w:ascii="Calibri" w:hAnsi="Calibri" w:cs="Calibri"/>
                <w:b/>
                <w:bCs/>
                <w:color w:val="000000"/>
                <w:sz w:val="18"/>
                <w:szCs w:val="18"/>
              </w:rPr>
              <w:t>2</w:t>
            </w:r>
            <w:r w:rsidRPr="00502541">
              <w:rPr>
                <w:rFonts w:ascii="Calibri" w:hAnsi="Calibri" w:cs="Calibri"/>
                <w:b/>
                <w:bCs/>
                <w:color w:val="000000"/>
                <w:sz w:val="18"/>
                <w:szCs w:val="18"/>
              </w:rPr>
              <w:t>0</w:t>
            </w:r>
          </w:p>
        </w:tc>
        <w:tc>
          <w:tcPr>
            <w:tcW w:w="4167" w:type="dxa"/>
            <w:tcBorders>
              <w:top w:val="single" w:sz="4" w:space="0" w:color="auto"/>
              <w:left w:val="nil"/>
              <w:bottom w:val="nil"/>
              <w:right w:val="single" w:sz="8" w:space="0" w:color="000000"/>
            </w:tcBorders>
            <w:shd w:val="clear" w:color="auto" w:fill="000000"/>
            <w:vAlign w:val="center"/>
          </w:tcPr>
          <w:p w:rsidR="00774BBC" w:rsidRPr="0094588B" w:rsidP="00AC629C" w14:paraId="455E5999" w14:textId="77777777">
            <w:pPr>
              <w:keepNext/>
              <w:keepLines/>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 </w:t>
            </w:r>
          </w:p>
        </w:tc>
      </w:tr>
      <w:tr w14:paraId="44FFA6E9" w14:textId="77777777" w:rsidTr="00AC629C">
        <w:tblPrEx>
          <w:tblW w:w="10457" w:type="dxa"/>
          <w:jc w:val="center"/>
          <w:tblLayout w:type="fixed"/>
          <w:tblLook w:val="0400"/>
        </w:tblPrEx>
        <w:trPr>
          <w:trHeight w:val="394"/>
          <w:jc w:val="center"/>
        </w:trPr>
        <w:tc>
          <w:tcPr>
            <w:tcW w:w="2587" w:type="dxa"/>
            <w:tcBorders>
              <w:top w:val="single" w:sz="8" w:space="0" w:color="000000"/>
              <w:left w:val="single" w:sz="8" w:space="0" w:color="000000"/>
              <w:bottom w:val="single" w:sz="8" w:space="0" w:color="000000"/>
              <w:right w:val="nil"/>
            </w:tcBorders>
            <w:shd w:val="clear" w:color="auto" w:fill="FCE4D6"/>
            <w:vAlign w:val="center"/>
          </w:tcPr>
          <w:p w:rsidR="00774BBC" w:rsidRPr="0094588B" w:rsidP="00AC629C" w14:paraId="49E86A01" w14:textId="77777777">
            <w:pPr>
              <w:keepNext/>
              <w:keepLines/>
              <w:widowControl/>
              <w:jc w:val="center"/>
              <w:rPr>
                <w:rFonts w:ascii="Calibri" w:eastAsia="Calibri" w:hAnsi="Calibri" w:cs="Calibri"/>
                <w:b/>
                <w:color w:val="000000"/>
                <w:sz w:val="18"/>
                <w:szCs w:val="18"/>
              </w:rPr>
            </w:pPr>
            <w:r w:rsidRPr="0094588B">
              <w:rPr>
                <w:rFonts w:ascii="Calibri" w:eastAsia="Calibri" w:hAnsi="Calibri" w:cs="Calibri"/>
                <w:b/>
                <w:color w:val="000000"/>
                <w:sz w:val="18"/>
                <w:szCs w:val="18"/>
              </w:rPr>
              <w:t>Difference</w:t>
            </w:r>
          </w:p>
        </w:tc>
        <w:tc>
          <w:tcPr>
            <w:tcW w:w="1813"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774BBC" w:rsidRPr="00014916" w:rsidP="00AC629C" w14:paraId="74378845" w14:textId="50055037">
            <w:pPr>
              <w:keepNext/>
              <w:keepLines/>
              <w:widowControl/>
              <w:jc w:val="center"/>
              <w:rPr>
                <w:rFonts w:ascii="Calibri" w:eastAsia="Calibri" w:hAnsi="Calibri" w:cs="Calibri"/>
                <w:b/>
                <w:color w:val="000000"/>
                <w:sz w:val="18"/>
                <w:szCs w:val="18"/>
              </w:rPr>
            </w:pPr>
            <w:r w:rsidRPr="00014916">
              <w:rPr>
                <w:rFonts w:ascii="Calibri" w:eastAsia="Calibri" w:hAnsi="Calibri" w:cs="Calibri"/>
                <w:b/>
                <w:color w:val="000000"/>
                <w:sz w:val="18"/>
                <w:szCs w:val="18"/>
              </w:rPr>
              <w:t>- $</w:t>
            </w:r>
            <w:r w:rsidR="00014916">
              <w:rPr>
                <w:rFonts w:ascii="Calibri" w:eastAsia="Calibri" w:hAnsi="Calibri" w:cs="Calibri"/>
                <w:b/>
                <w:color w:val="000000"/>
                <w:sz w:val="18"/>
                <w:szCs w:val="18"/>
              </w:rPr>
              <w:t>2</w:t>
            </w:r>
            <w:r w:rsidRPr="00014916">
              <w:rPr>
                <w:rFonts w:ascii="Calibri" w:eastAsia="Calibri" w:hAnsi="Calibri" w:cs="Calibri"/>
                <w:b/>
                <w:color w:val="000000"/>
                <w:sz w:val="18"/>
                <w:szCs w:val="18"/>
              </w:rPr>
              <w:t>0,569 (adjustment)</w:t>
            </w:r>
          </w:p>
        </w:tc>
        <w:tc>
          <w:tcPr>
            <w:tcW w:w="1890" w:type="dxa"/>
            <w:gridSpan w:val="2"/>
            <w:tcBorders>
              <w:top w:val="single" w:sz="8" w:space="0" w:color="000000"/>
              <w:left w:val="nil"/>
              <w:bottom w:val="single" w:sz="8" w:space="0" w:color="000000"/>
              <w:right w:val="single" w:sz="4" w:space="0" w:color="000000"/>
            </w:tcBorders>
            <w:shd w:val="clear" w:color="auto" w:fill="FCE4D6"/>
            <w:vAlign w:val="center"/>
          </w:tcPr>
          <w:p w:rsidR="00774BBC" w:rsidRPr="00014916" w:rsidP="00AC629C" w14:paraId="1173AC17" w14:textId="088E6A9C">
            <w:pPr>
              <w:keepNext/>
              <w:keepLines/>
              <w:widowControl/>
              <w:jc w:val="center"/>
              <w:rPr>
                <w:rFonts w:ascii="Calibri" w:eastAsia="Calibri" w:hAnsi="Calibri" w:cs="Calibri"/>
                <w:b/>
                <w:color w:val="000000"/>
                <w:sz w:val="18"/>
                <w:szCs w:val="18"/>
              </w:rPr>
            </w:pPr>
            <w:r w:rsidRPr="00014916">
              <w:rPr>
                <w:rFonts w:ascii="Calibri" w:eastAsia="Calibri" w:hAnsi="Calibri" w:cs="Calibri"/>
                <w:b/>
                <w:color w:val="000000"/>
                <w:sz w:val="18"/>
                <w:szCs w:val="18"/>
              </w:rPr>
              <w:t xml:space="preserve">- $270 </w:t>
            </w:r>
            <w:r w:rsidRPr="00014916">
              <w:rPr>
                <w:rFonts w:ascii="Calibri" w:eastAsia="Calibri" w:hAnsi="Calibri" w:cs="Calibri"/>
                <w:b/>
                <w:color w:val="000000"/>
                <w:sz w:val="18"/>
                <w:szCs w:val="18"/>
              </w:rPr>
              <w:t>(adjustment)</w:t>
            </w:r>
          </w:p>
        </w:tc>
        <w:tc>
          <w:tcPr>
            <w:tcW w:w="4167" w:type="dxa"/>
            <w:tcBorders>
              <w:top w:val="single" w:sz="8" w:space="0" w:color="000000"/>
              <w:left w:val="nil"/>
              <w:bottom w:val="single" w:sz="8" w:space="0" w:color="000000"/>
              <w:right w:val="single" w:sz="8" w:space="0" w:color="000000"/>
            </w:tcBorders>
            <w:shd w:val="clear" w:color="auto" w:fill="000000"/>
            <w:vAlign w:val="center"/>
          </w:tcPr>
          <w:p w:rsidR="00774BBC" w:rsidRPr="0094588B" w:rsidP="00AC629C" w14:paraId="1D9DACEC" w14:textId="77777777">
            <w:pPr>
              <w:keepNext/>
              <w:keepLines/>
              <w:widowControl/>
              <w:rPr>
                <w:rFonts w:ascii="Calibri" w:eastAsia="Calibri" w:hAnsi="Calibri" w:cs="Calibri"/>
                <w:color w:val="000000"/>
                <w:sz w:val="18"/>
                <w:szCs w:val="18"/>
              </w:rPr>
            </w:pPr>
            <w:r w:rsidRPr="0094588B">
              <w:rPr>
                <w:rFonts w:ascii="Calibri" w:eastAsia="Calibri" w:hAnsi="Calibri" w:cs="Calibri"/>
                <w:color w:val="000000"/>
                <w:sz w:val="18"/>
                <w:szCs w:val="18"/>
              </w:rPr>
              <w:t> </w:t>
            </w:r>
          </w:p>
        </w:tc>
      </w:tr>
    </w:tbl>
    <w:p w:rsidR="00774BBC" w:rsidRPr="003C31B6" w:rsidP="00996A24" w14:paraId="1EB315EF" w14:textId="0DBB0449">
      <w:pPr>
        <w:pBdr>
          <w:top w:val="nil"/>
          <w:left w:val="nil"/>
          <w:bottom w:val="nil"/>
          <w:right w:val="nil"/>
          <w:between w:val="nil"/>
        </w:pBdr>
        <w:rPr>
          <w:color w:val="000000"/>
        </w:rPr>
      </w:pPr>
    </w:p>
    <w:p w:rsidR="00AC629C" w:rsidRPr="003C31B6" w:rsidP="00996A24" w14:paraId="5AA02C13" w14:textId="59D3DA26">
      <w:pPr>
        <w:pBdr>
          <w:top w:val="nil"/>
          <w:left w:val="nil"/>
          <w:bottom w:val="nil"/>
          <w:right w:val="nil"/>
          <w:between w:val="nil"/>
        </w:pBdr>
        <w:rPr>
          <w:color w:val="000000"/>
        </w:rPr>
      </w:pPr>
    </w:p>
    <w:p w:rsidR="00774BBC" w:rsidP="00060958" w14:paraId="2C3EA335"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For collections of information whose results will be published, outline plans for tabulation and publication. Address any complex analytical techniques that will be used. Provide the time schedule for the entire project, including </w:t>
      </w:r>
      <w:r>
        <w:rPr>
          <w:b/>
          <w:color w:val="000000"/>
        </w:rPr>
        <w:t>beginning and ending dates of the collection of information, completion of report, publication dates, and other actions.</w:t>
      </w:r>
    </w:p>
    <w:p w:rsidR="00475959" w:rsidP="00060958" w14:paraId="4CD9D347" w14:textId="77777777">
      <w:pPr>
        <w:widowControl/>
        <w:autoSpaceDE w:val="0"/>
        <w:autoSpaceDN w:val="0"/>
      </w:pPr>
    </w:p>
    <w:p w:rsidR="00054D09" w:rsidRPr="00054D09" w:rsidP="00060958" w14:paraId="30ED0534" w14:textId="69218313">
      <w:pPr>
        <w:widowControl/>
        <w:autoSpaceDE w:val="0"/>
        <w:autoSpaceDN w:val="0"/>
        <w:rPr>
          <w:rFonts w:eastAsiaTheme="minorHAnsi" w:cstheme="minorBidi"/>
          <w:szCs w:val="22"/>
        </w:rPr>
      </w:pPr>
      <w:r w:rsidRPr="00054D09">
        <w:t>The list of FFPs and FPPs and the information obtained from the permit applications are posted on the NMFS Alaska Region website</w:t>
      </w:r>
      <w:r w:rsidRPr="00A83813" w:rsidR="00A83813">
        <w:t xml:space="preserve"> at </w:t>
      </w:r>
      <w:hyperlink r:id="rId25" w:history="1">
        <w:r w:rsidRPr="00A83813" w:rsidR="00A83813">
          <w:rPr>
            <w:rStyle w:val="Hyperlink"/>
          </w:rPr>
          <w:t>https://www.fisheries.noaa.gov/alaska/commercial-fishing/permits-and-licenses-issued-alaska</w:t>
        </w:r>
      </w:hyperlink>
      <w:r w:rsidRPr="00054D09">
        <w:t>.</w:t>
      </w:r>
      <w:r w:rsidRPr="00054D09">
        <w:rPr>
          <w:rFonts w:eastAsiaTheme="minorHAnsi" w:cstheme="minorBidi"/>
          <w:szCs w:val="22"/>
        </w:rPr>
        <w:t xml:space="preserve"> EFP applications, comments on the applications, and final</w:t>
      </w:r>
      <w:r w:rsidRPr="00054D09">
        <w:rPr>
          <w:rFonts w:eastAsiaTheme="minorHAnsi" w:cstheme="minorBidi"/>
          <w:szCs w:val="22"/>
        </w:rPr>
        <w:t xml:space="preserve"> reports resulting from issuance of EFPs are posted on the NMFS Alaska Region </w:t>
      </w:r>
      <w:r w:rsidRPr="00A83813">
        <w:rPr>
          <w:rFonts w:eastAsiaTheme="minorHAnsi" w:cstheme="minorBidi"/>
          <w:szCs w:val="22"/>
        </w:rPr>
        <w:t>website</w:t>
      </w:r>
      <w:r w:rsidRPr="00A83813" w:rsidR="00A83813">
        <w:rPr>
          <w:rFonts w:eastAsiaTheme="minorHAnsi" w:cstheme="minorBidi"/>
          <w:szCs w:val="22"/>
        </w:rPr>
        <w:t xml:space="preserve"> at </w:t>
      </w:r>
      <w:hyperlink r:id="rId26" w:history="1">
        <w:r w:rsidRPr="00A83813" w:rsidR="00A83813">
          <w:rPr>
            <w:rStyle w:val="Hyperlink"/>
            <w:rFonts w:eastAsiaTheme="minorHAnsi" w:cstheme="minorBidi"/>
            <w:szCs w:val="22"/>
          </w:rPr>
          <w:t>https://www.fisheries.noaa.gov/alaska/resources-fishing/exempted-fishing-permits-alaska</w:t>
        </w:r>
      </w:hyperlink>
      <w:r w:rsidRPr="00054D09">
        <w:rPr>
          <w:rFonts w:eastAsiaTheme="minorHAnsi" w:cstheme="minorBidi"/>
          <w:szCs w:val="22"/>
        </w:rPr>
        <w:t>. FFP and FPP permits are available from 2005 and on, and EFP applications from 2003 and on.</w:t>
      </w:r>
    </w:p>
    <w:p w:rsidR="00996A24" w:rsidRPr="00996A24" w:rsidP="00060958" w14:paraId="327DFD55" w14:textId="77777777">
      <w:pPr>
        <w:widowControl/>
        <w:pBdr>
          <w:top w:val="nil"/>
          <w:left w:val="nil"/>
          <w:bottom w:val="nil"/>
          <w:right w:val="nil"/>
          <w:between w:val="nil"/>
        </w:pBdr>
      </w:pPr>
    </w:p>
    <w:p w:rsidR="00774BBC" w:rsidRPr="00996A24" w:rsidP="00060958" w14:paraId="266C71EF" w14:textId="77777777">
      <w:pPr>
        <w:widowControl/>
        <w:numPr>
          <w:ilvl w:val="0"/>
          <w:numId w:val="3"/>
        </w:numPr>
        <w:pBdr>
          <w:top w:val="nil"/>
          <w:left w:val="nil"/>
          <w:bottom w:val="nil"/>
          <w:right w:val="nil"/>
          <w:between w:val="nil"/>
        </w:pBdr>
        <w:tabs>
          <w:tab w:val="left" w:pos="360"/>
        </w:tabs>
        <w:ind w:left="0" w:firstLine="0"/>
        <w:rPr>
          <w:b/>
        </w:rPr>
      </w:pPr>
      <w:r w:rsidRPr="00996A24">
        <w:rPr>
          <w:b/>
        </w:rPr>
        <w:t xml:space="preserve">If seeking approval to not display the expiration date for OMB approval of the information collection, explain the reasons that display </w:t>
      </w:r>
      <w:r w:rsidRPr="00996A24">
        <w:rPr>
          <w:b/>
        </w:rPr>
        <w:t>would be inappropriate.</w:t>
      </w:r>
    </w:p>
    <w:p w:rsidR="00774BBC" w:rsidRPr="00996A24" w:rsidP="00060958" w14:paraId="17DEE4F2" w14:textId="77777777">
      <w:pPr>
        <w:widowControl/>
      </w:pPr>
    </w:p>
    <w:p w:rsidR="00996A24" w:rsidRPr="00996A24" w:rsidP="00060958" w14:paraId="5D01E563" w14:textId="216C8237">
      <w:pPr>
        <w:widowControl/>
      </w:pPr>
      <w:r w:rsidRPr="008667F1">
        <w:rPr>
          <w:rFonts w:eastAsiaTheme="minorHAnsi"/>
        </w:rPr>
        <w:t>The agency plans to display the expiration date for OMB approval of the information</w:t>
      </w:r>
      <w:r>
        <w:rPr>
          <w:rFonts w:eastAsiaTheme="minorHAnsi"/>
        </w:rPr>
        <w:t xml:space="preserve"> collection on all instruments.</w:t>
      </w:r>
    </w:p>
    <w:p w:rsidR="00996A24" w:rsidRPr="00996A24" w:rsidP="00060958" w14:paraId="2CCA0020" w14:textId="77777777">
      <w:pPr>
        <w:widowControl/>
      </w:pPr>
    </w:p>
    <w:p w:rsidR="00774BBC" w:rsidP="00060958" w14:paraId="5C739A73"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each exception to the certification statement identified in “Certification for Paperwork Reduction Act Subm</w:t>
      </w:r>
      <w:r>
        <w:rPr>
          <w:b/>
          <w:color w:val="000000"/>
        </w:rPr>
        <w:t>issions."</w:t>
      </w:r>
    </w:p>
    <w:p w:rsidR="003C31B6" w:rsidP="003C31B6" w14:paraId="7C3F6DA4" w14:textId="77777777">
      <w:pPr>
        <w:widowControl/>
        <w:jc w:val="both"/>
      </w:pPr>
    </w:p>
    <w:p w:rsidR="00774BBC" w:rsidP="003C31B6" w14:paraId="0FBEDBA3" w14:textId="09D2EF9F">
      <w:pPr>
        <w:widowControl/>
        <w:jc w:val="both"/>
      </w:pPr>
      <w:r>
        <w:t xml:space="preserve">The agency certifies compliance with </w:t>
      </w:r>
      <w:hyperlink r:id="rId27">
        <w:r>
          <w:rPr>
            <w:color w:val="0563C1"/>
            <w:u w:val="single"/>
          </w:rPr>
          <w:t>5 CFR 1320.9</w:t>
        </w:r>
      </w:hyperlink>
      <w:hyperlink r:id="rId27">
        <w:r>
          <w:rPr>
            <w:color w:val="0563C1"/>
          </w:rPr>
          <w:t xml:space="preserve"> </w:t>
        </w:r>
      </w:hyperlink>
      <w:r>
        <w:t xml:space="preserve">and the related provisions of </w:t>
      </w:r>
      <w:hyperlink r:id="rId28">
        <w:r>
          <w:rPr>
            <w:color w:val="0563C1"/>
            <w:u w:val="single"/>
          </w:rPr>
          <w:t>5 CFR</w:t>
        </w:r>
      </w:hyperlink>
      <w:r>
        <w:rPr>
          <w:color w:val="0563C1"/>
        </w:rPr>
        <w:t xml:space="preserve"> </w:t>
      </w:r>
      <w:hyperlink r:id="rId28">
        <w:r>
          <w:rPr>
            <w:color w:val="0563C1"/>
            <w:u w:val="single"/>
          </w:rPr>
          <w:t>1320.8(b)(3)</w:t>
        </w:r>
      </w:hyperlink>
      <w:r>
        <w:t>.</w:t>
      </w:r>
    </w:p>
    <w:p w:rsidR="00774BBC" w:rsidP="007E472C" w14:paraId="27FCB370" w14:textId="77777777">
      <w:pPr>
        <w:jc w:val="both"/>
      </w:pPr>
    </w:p>
    <w:sectPr w:rsidSect="00A36278">
      <w:headerReference w:type="even" r:id="rId29"/>
      <w:headerReference w:type="default" r:id="rId30"/>
      <w:footerReference w:type="even" r:id="rId31"/>
      <w:footerReference w:type="default" r:id="rId32"/>
      <w:headerReference w:type="first" r:id="rId33"/>
      <w:footerReference w:type="first" r:id="rId34"/>
      <w:pgSz w:w="12240" w:h="15840"/>
      <w:pgMar w:top="720" w:right="1080" w:bottom="1224" w:left="1080" w:header="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52C4" w14:paraId="440CBC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heme="minorHAnsi" w:hAnsiTheme="minorHAnsi" w:cstheme="minorHAnsi"/>
        <w:sz w:val="22"/>
        <w:szCs w:val="22"/>
      </w:rPr>
      <w:id w:val="1273446812"/>
      <w:docPartObj>
        <w:docPartGallery w:val="Page Numbers (Bottom of Page)"/>
        <w:docPartUnique/>
      </w:docPartObj>
    </w:sdtPr>
    <w:sdtEndPr>
      <w:rPr>
        <w:rFonts w:ascii="Times New Roman" w:hAnsi="Times New Roman" w:cs="Times New Roman"/>
        <w:noProof/>
        <w:sz w:val="24"/>
        <w:szCs w:val="24"/>
      </w:rPr>
    </w:sdtEndPr>
    <w:sdtContent>
      <w:p w:rsidR="00D352C4" w14:paraId="47267BB1" w14:textId="1862A79D">
        <w:pPr>
          <w:pStyle w:val="Footer"/>
        </w:pPr>
        <w:r w:rsidRPr="00A3045E">
          <w:rPr>
            <w:rFonts w:asciiTheme="minorHAnsi" w:hAnsiTheme="minorHAnsi" w:cstheme="minorHAnsi"/>
            <w:sz w:val="22"/>
            <w:szCs w:val="22"/>
          </w:rPr>
          <w:t xml:space="preserve">Page | </w:t>
        </w:r>
        <w:r w:rsidRPr="00A3045E">
          <w:rPr>
            <w:rFonts w:asciiTheme="minorHAnsi" w:hAnsiTheme="minorHAnsi" w:cstheme="minorHAnsi"/>
            <w:sz w:val="22"/>
            <w:szCs w:val="22"/>
          </w:rPr>
          <w:fldChar w:fldCharType="begin"/>
        </w:r>
        <w:r w:rsidRPr="00A3045E">
          <w:rPr>
            <w:rFonts w:asciiTheme="minorHAnsi" w:hAnsiTheme="minorHAnsi" w:cstheme="minorHAnsi"/>
            <w:sz w:val="22"/>
            <w:szCs w:val="22"/>
          </w:rPr>
          <w:instrText xml:space="preserve"> PAGE   \* MERGEFORMAT </w:instrText>
        </w:r>
        <w:r w:rsidRPr="00A3045E">
          <w:rPr>
            <w:rFonts w:asciiTheme="minorHAnsi" w:hAnsiTheme="minorHAnsi" w:cstheme="minorHAnsi"/>
            <w:sz w:val="22"/>
            <w:szCs w:val="22"/>
          </w:rPr>
          <w:fldChar w:fldCharType="separate"/>
        </w:r>
        <w:r w:rsidR="00BC5D9C">
          <w:rPr>
            <w:rFonts w:asciiTheme="minorHAnsi" w:hAnsiTheme="minorHAnsi" w:cstheme="minorHAnsi"/>
            <w:noProof/>
            <w:sz w:val="22"/>
            <w:szCs w:val="22"/>
          </w:rPr>
          <w:t>12</w:t>
        </w:r>
        <w:r w:rsidRPr="00A3045E">
          <w:rPr>
            <w:rFonts w:asciiTheme="minorHAnsi" w:hAnsiTheme="minorHAnsi" w:cstheme="minorHAnsi"/>
            <w:noProof/>
            <w:sz w:val="22"/>
            <w:szCs w:val="22"/>
          </w:rPr>
          <w:fldChar w:fldCharType="end"/>
        </w:r>
      </w:p>
    </w:sdtContent>
  </w:sdt>
  <w:p w:rsidR="00D352C4" w14:paraId="2A641356" w14:textId="77777777">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52C4" w14:paraId="31FF11F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46183" w14:paraId="1BD40489" w14:textId="77777777">
      <w:r>
        <w:separator/>
      </w:r>
    </w:p>
  </w:footnote>
  <w:footnote w:type="continuationSeparator" w:id="1">
    <w:p w:rsidR="00E46183" w14:paraId="40D47B61" w14:textId="77777777">
      <w:r>
        <w:continuationSeparator/>
      </w:r>
    </w:p>
  </w:footnote>
  <w:footnote w:id="2">
    <w:p w:rsidR="00D352C4" w14:paraId="1A0A7E7E" w14:textId="7C245D67">
      <w:pPr>
        <w:pStyle w:val="FootnoteText"/>
      </w:pPr>
      <w:r>
        <w:rPr>
          <w:rStyle w:val="FootnoteReference"/>
        </w:rPr>
        <w:footnoteRef/>
      </w:r>
      <w:r>
        <w:t xml:space="preserve"> The FFP and FPP applications are available as fillable PDFs at </w:t>
      </w:r>
      <w:hyperlink r:id="rId1" w:history="1">
        <w:r w:rsidRPr="00CC0E60">
          <w:rPr>
            <w:rStyle w:val="Hyperlink"/>
          </w:rPr>
          <w:t>https://www.fisheries.noaa.gov/permit/alaska-federal-fisheries-permit-and-federal-processor-permit-applications</w:t>
        </w:r>
      </w:hyperlink>
      <w:r>
        <w:t>. The FPP may be re</w:t>
      </w:r>
      <w:r>
        <w:t xml:space="preserve">newed online using eFISH, the </w:t>
      </w:r>
      <w:r w:rsidRPr="00037E58">
        <w:t>NMFS Alaska Region’s online Fisheries Information System</w:t>
      </w:r>
      <w:r>
        <w:t>,</w:t>
      </w:r>
      <w:r w:rsidRPr="00037E58">
        <w:t xml:space="preserve"> </w:t>
      </w:r>
      <w:r>
        <w:t xml:space="preserve">at </w:t>
      </w:r>
      <w:hyperlink r:id="rId2" w:history="1">
        <w:r w:rsidRPr="00037E58">
          <w:rPr>
            <w:rStyle w:val="Hyperlink"/>
          </w:rPr>
          <w:t>https://alaskafisheries.noaa.gov/webapps/efish/login</w:t>
        </w:r>
      </w:hyperlink>
      <w:r>
        <w:t xml:space="preserve">. The EFP template is available at </w:t>
      </w:r>
      <w:hyperlink r:id="rId3" w:history="1">
        <w:r w:rsidRPr="00037E58">
          <w:rPr>
            <w:rStyle w:val="Hyperlink"/>
          </w:rPr>
          <w:t>https://www.fisheries.noaa.gov/alaska/commercial-fishing/exempted-fishing-permit-application-process-alaska</w:t>
        </w:r>
      </w:hyperlink>
      <w:r>
        <w:t>.</w:t>
      </w:r>
    </w:p>
  </w:footnote>
  <w:footnote w:id="3">
    <w:p w:rsidR="00801CB9" w14:paraId="617ACBF4" w14:textId="5A497FB1">
      <w:pPr>
        <w:pStyle w:val="FootnoteText"/>
      </w:pPr>
      <w:r>
        <w:rPr>
          <w:rStyle w:val="FootnoteReference"/>
        </w:rPr>
        <w:footnoteRef/>
      </w:r>
      <w:r>
        <w:t xml:space="preserve"> The SSC is the Scientific and </w:t>
      </w:r>
      <w:r>
        <w:t>Statistical Committee for the North Pacific Fishery Management Council.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52C4" w14:paraId="646EF99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52C4" w14:paraId="5C0EEE2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52C4" w14:paraId="3B39F69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0144E1"/>
    <w:multiLevelType w:val="hybridMultilevel"/>
    <w:tmpl w:val="6A688B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E6222F"/>
    <w:multiLevelType w:val="multilevel"/>
    <w:tmpl w:val="2C0E71CC"/>
    <w:lvl w:ilvl="0">
      <w:start w:val="1"/>
      <w:numFmt w:val="decimal"/>
      <w:lvlText w:val="%1."/>
      <w:lvlJc w:val="left"/>
      <w:pPr>
        <w:ind w:left="760" w:hanging="360"/>
      </w:p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
    <w:nsid w:val="186762B6"/>
    <w:multiLevelType w:val="multilevel"/>
    <w:tmpl w:val="33D4A7A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3">
    <w:nsid w:val="26611D23"/>
    <w:multiLevelType w:val="hybridMultilevel"/>
    <w:tmpl w:val="A2842E38"/>
    <w:lvl w:ilvl="0">
      <w:start w:val="1"/>
      <w:numFmt w:val="lowerLetter"/>
      <w:lvlText w:val="%1."/>
      <w:lvlJc w:val="left"/>
      <w:pPr>
        <w:ind w:left="720" w:hanging="360"/>
      </w:pPr>
      <w:rPr>
        <w:rFonts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20C2930"/>
    <w:multiLevelType w:val="hybridMultilevel"/>
    <w:tmpl w:val="A6488E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4E6189F"/>
    <w:multiLevelType w:val="hybridMultilevel"/>
    <w:tmpl w:val="9F9A70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7450B5F"/>
    <w:multiLevelType w:val="multilevel"/>
    <w:tmpl w:val="F09E90FC"/>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7">
    <w:nsid w:val="38666904"/>
    <w:multiLevelType w:val="multilevel"/>
    <w:tmpl w:val="F44A6424"/>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8">
    <w:nsid w:val="386E18AC"/>
    <w:multiLevelType w:val="multilevel"/>
    <w:tmpl w:val="566E4C4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9">
    <w:nsid w:val="39732112"/>
    <w:multiLevelType w:val="hybridMultilevel"/>
    <w:tmpl w:val="D7766C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9E66607"/>
    <w:multiLevelType w:val="multilevel"/>
    <w:tmpl w:val="F22C06B4"/>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1">
    <w:nsid w:val="3EA61F26"/>
    <w:multiLevelType w:val="multilevel"/>
    <w:tmpl w:val="6AAE359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2">
    <w:nsid w:val="4F8A213A"/>
    <w:multiLevelType w:val="multilevel"/>
    <w:tmpl w:val="EB3862B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3">
    <w:nsid w:val="59A01F59"/>
    <w:multiLevelType w:val="multilevel"/>
    <w:tmpl w:val="7FCA0F6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4">
    <w:nsid w:val="5B273648"/>
    <w:multiLevelType w:val="multilevel"/>
    <w:tmpl w:val="00FC37EA"/>
    <w:lvl w:ilvl="0">
      <w:start w:val="1"/>
      <w:numFmt w:val="decimal"/>
      <w:suff w:val="space"/>
      <w:lvlText w:val="%1."/>
      <w:lvlJc w:val="left"/>
      <w:pPr>
        <w:ind w:left="400"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15">
    <w:nsid w:val="68BC3398"/>
    <w:multiLevelType w:val="multilevel"/>
    <w:tmpl w:val="12A6DCA2"/>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16">
    <w:nsid w:val="68F304BC"/>
    <w:multiLevelType w:val="hybridMultilevel"/>
    <w:tmpl w:val="861A0C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A09294D"/>
    <w:multiLevelType w:val="hybridMultilevel"/>
    <w:tmpl w:val="74DEC2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CAA0D0D"/>
    <w:multiLevelType w:val="hybridMultilevel"/>
    <w:tmpl w:val="B4FA57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8E1786"/>
    <w:multiLevelType w:val="hybridMultilevel"/>
    <w:tmpl w:val="4BC42146"/>
    <w:lvl w:ilvl="0">
      <w:start w:val="1"/>
      <w:numFmt w:val="lowerLetter"/>
      <w:lvlText w:val="%1."/>
      <w:lvlJc w:val="left"/>
      <w:pPr>
        <w:ind w:left="420" w:hanging="300"/>
      </w:pPr>
      <w:rPr>
        <w:rFonts w:ascii="Times New Roman" w:eastAsia="Times New Roman" w:hAnsi="Times New Roman" w:hint="default"/>
        <w:b/>
        <w:bCs/>
        <w:sz w:val="24"/>
        <w:szCs w:val="24"/>
      </w:rPr>
    </w:lvl>
    <w:lvl w:ilvl="1">
      <w:start w:val="1"/>
      <w:numFmt w:val="bullet"/>
      <w:lvlText w:val="◆"/>
      <w:lvlJc w:val="left"/>
      <w:pPr>
        <w:ind w:left="840" w:hanging="360"/>
      </w:pPr>
      <w:rPr>
        <w:rFonts w:ascii="Times New Roman" w:eastAsia="Times New Roman" w:hAnsi="Times New Roman" w:hint="default"/>
        <w:w w:val="51"/>
        <w:sz w:val="24"/>
        <w:szCs w:val="24"/>
      </w:rPr>
    </w:lvl>
    <w:lvl w:ilvl="2">
      <w:start w:val="1"/>
      <w:numFmt w:val="bullet"/>
      <w:lvlText w:val="•"/>
      <w:lvlJc w:val="left"/>
      <w:pPr>
        <w:ind w:left="840" w:hanging="360"/>
      </w:pPr>
      <w:rPr>
        <w:rFonts w:hint="default"/>
      </w:rPr>
    </w:lvl>
    <w:lvl w:ilvl="3">
      <w:start w:val="1"/>
      <w:numFmt w:val="bullet"/>
      <w:lvlText w:val="•"/>
      <w:lvlJc w:val="left"/>
      <w:pPr>
        <w:ind w:left="1927" w:hanging="360"/>
      </w:pPr>
      <w:rPr>
        <w:rFonts w:hint="default"/>
      </w:rPr>
    </w:lvl>
    <w:lvl w:ilvl="4">
      <w:start w:val="1"/>
      <w:numFmt w:val="bullet"/>
      <w:lvlText w:val="•"/>
      <w:lvlJc w:val="left"/>
      <w:pPr>
        <w:ind w:left="3015" w:hanging="360"/>
      </w:pPr>
      <w:rPr>
        <w:rFonts w:hint="default"/>
      </w:rPr>
    </w:lvl>
    <w:lvl w:ilvl="5">
      <w:start w:val="1"/>
      <w:numFmt w:val="bullet"/>
      <w:lvlText w:val="•"/>
      <w:lvlJc w:val="left"/>
      <w:pPr>
        <w:ind w:left="4102" w:hanging="360"/>
      </w:pPr>
      <w:rPr>
        <w:rFonts w:hint="default"/>
      </w:rPr>
    </w:lvl>
    <w:lvl w:ilvl="6">
      <w:start w:val="1"/>
      <w:numFmt w:val="bullet"/>
      <w:lvlText w:val="•"/>
      <w:lvlJc w:val="left"/>
      <w:pPr>
        <w:ind w:left="5190" w:hanging="360"/>
      </w:pPr>
      <w:rPr>
        <w:rFonts w:hint="default"/>
      </w:rPr>
    </w:lvl>
    <w:lvl w:ilvl="7">
      <w:start w:val="1"/>
      <w:numFmt w:val="bullet"/>
      <w:lvlText w:val="•"/>
      <w:lvlJc w:val="left"/>
      <w:pPr>
        <w:ind w:left="6277" w:hanging="360"/>
      </w:pPr>
      <w:rPr>
        <w:rFonts w:hint="default"/>
      </w:rPr>
    </w:lvl>
    <w:lvl w:ilvl="8">
      <w:start w:val="1"/>
      <w:numFmt w:val="bullet"/>
      <w:lvlText w:val="•"/>
      <w:lvlJc w:val="left"/>
      <w:pPr>
        <w:ind w:left="7365" w:hanging="360"/>
      </w:pPr>
      <w:rPr>
        <w:rFonts w:hint="default"/>
      </w:rPr>
    </w:lvl>
  </w:abstractNum>
  <w:abstractNum w:abstractNumId="20">
    <w:nsid w:val="71A23339"/>
    <w:multiLevelType w:val="multilevel"/>
    <w:tmpl w:val="B45CB30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10"/>
  </w:num>
  <w:num w:numId="2">
    <w:abstractNumId w:val="6"/>
  </w:num>
  <w:num w:numId="3">
    <w:abstractNumId w:val="14"/>
  </w:num>
  <w:num w:numId="4">
    <w:abstractNumId w:val="20"/>
  </w:num>
  <w:num w:numId="5">
    <w:abstractNumId w:val="12"/>
  </w:num>
  <w:num w:numId="6">
    <w:abstractNumId w:val="13"/>
  </w:num>
  <w:num w:numId="7">
    <w:abstractNumId w:val="8"/>
  </w:num>
  <w:num w:numId="8">
    <w:abstractNumId w:val="11"/>
  </w:num>
  <w:num w:numId="9">
    <w:abstractNumId w:val="7"/>
  </w:num>
  <w:num w:numId="10">
    <w:abstractNumId w:val="2"/>
  </w:num>
  <w:num w:numId="11">
    <w:abstractNumId w:val="15"/>
  </w:num>
  <w:num w:numId="12">
    <w:abstractNumId w:val="19"/>
  </w:num>
  <w:num w:numId="13">
    <w:abstractNumId w:val="3"/>
  </w:num>
  <w:num w:numId="14">
    <w:abstractNumId w:val="16"/>
  </w:num>
  <w:num w:numId="15">
    <w:abstractNumId w:val="5"/>
  </w:num>
  <w:num w:numId="16">
    <w:abstractNumId w:val="18"/>
  </w:num>
  <w:num w:numId="17">
    <w:abstractNumId w:val="17"/>
  </w:num>
  <w:num w:numId="18">
    <w:abstractNumId w:val="9"/>
  </w:num>
  <w:num w:numId="19">
    <w:abstractNumId w:val="1"/>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BBC"/>
    <w:rsid w:val="00014916"/>
    <w:rsid w:val="000174E3"/>
    <w:rsid w:val="000231F0"/>
    <w:rsid w:val="000362A0"/>
    <w:rsid w:val="00037E58"/>
    <w:rsid w:val="00053BA9"/>
    <w:rsid w:val="00054D09"/>
    <w:rsid w:val="00060958"/>
    <w:rsid w:val="000634A2"/>
    <w:rsid w:val="00065C78"/>
    <w:rsid w:val="00067B8F"/>
    <w:rsid w:val="0007696E"/>
    <w:rsid w:val="00080E9E"/>
    <w:rsid w:val="00082D23"/>
    <w:rsid w:val="00086961"/>
    <w:rsid w:val="000B0C6F"/>
    <w:rsid w:val="000B1364"/>
    <w:rsid w:val="000B7EB8"/>
    <w:rsid w:val="000C3D11"/>
    <w:rsid w:val="000F1F2D"/>
    <w:rsid w:val="00104395"/>
    <w:rsid w:val="00122D15"/>
    <w:rsid w:val="0016706E"/>
    <w:rsid w:val="001B0187"/>
    <w:rsid w:val="001C0D5D"/>
    <w:rsid w:val="001F22F6"/>
    <w:rsid w:val="001F470D"/>
    <w:rsid w:val="002075D6"/>
    <w:rsid w:val="002317C0"/>
    <w:rsid w:val="00253B90"/>
    <w:rsid w:val="00282FF3"/>
    <w:rsid w:val="00286B95"/>
    <w:rsid w:val="00294350"/>
    <w:rsid w:val="002B1485"/>
    <w:rsid w:val="002C56A1"/>
    <w:rsid w:val="002D0CAB"/>
    <w:rsid w:val="002D6D49"/>
    <w:rsid w:val="002E32B4"/>
    <w:rsid w:val="002F3C0B"/>
    <w:rsid w:val="0031269F"/>
    <w:rsid w:val="00345B45"/>
    <w:rsid w:val="00386E46"/>
    <w:rsid w:val="003A2667"/>
    <w:rsid w:val="003C31B6"/>
    <w:rsid w:val="003D0C7B"/>
    <w:rsid w:val="003D29A4"/>
    <w:rsid w:val="003E7E8B"/>
    <w:rsid w:val="00423B91"/>
    <w:rsid w:val="00460DD2"/>
    <w:rsid w:val="00463869"/>
    <w:rsid w:val="00472875"/>
    <w:rsid w:val="00474A41"/>
    <w:rsid w:val="00475959"/>
    <w:rsid w:val="00483CA3"/>
    <w:rsid w:val="004908C0"/>
    <w:rsid w:val="00495DCA"/>
    <w:rsid w:val="004A672E"/>
    <w:rsid w:val="004C13EA"/>
    <w:rsid w:val="004C3486"/>
    <w:rsid w:val="00502541"/>
    <w:rsid w:val="00514210"/>
    <w:rsid w:val="00522B6F"/>
    <w:rsid w:val="00534195"/>
    <w:rsid w:val="00540287"/>
    <w:rsid w:val="00546F01"/>
    <w:rsid w:val="00576039"/>
    <w:rsid w:val="005A24A3"/>
    <w:rsid w:val="005B3AF0"/>
    <w:rsid w:val="005E296F"/>
    <w:rsid w:val="005F4B7C"/>
    <w:rsid w:val="006046C4"/>
    <w:rsid w:val="00634DAD"/>
    <w:rsid w:val="00635B29"/>
    <w:rsid w:val="00636CC4"/>
    <w:rsid w:val="00660756"/>
    <w:rsid w:val="00670383"/>
    <w:rsid w:val="006929F1"/>
    <w:rsid w:val="006A5510"/>
    <w:rsid w:val="006D006A"/>
    <w:rsid w:val="006F74C3"/>
    <w:rsid w:val="007522A3"/>
    <w:rsid w:val="00756E2F"/>
    <w:rsid w:val="00774BBC"/>
    <w:rsid w:val="007C2EC2"/>
    <w:rsid w:val="007E472C"/>
    <w:rsid w:val="00801CB9"/>
    <w:rsid w:val="00805DC3"/>
    <w:rsid w:val="008468E3"/>
    <w:rsid w:val="008667F1"/>
    <w:rsid w:val="00876A24"/>
    <w:rsid w:val="008832E1"/>
    <w:rsid w:val="00890AE0"/>
    <w:rsid w:val="008B0D23"/>
    <w:rsid w:val="008C4441"/>
    <w:rsid w:val="008C7644"/>
    <w:rsid w:val="008D2938"/>
    <w:rsid w:val="008E2331"/>
    <w:rsid w:val="00907689"/>
    <w:rsid w:val="0094588B"/>
    <w:rsid w:val="00994C4A"/>
    <w:rsid w:val="00996A24"/>
    <w:rsid w:val="009A5D2A"/>
    <w:rsid w:val="009B2EEE"/>
    <w:rsid w:val="009C4707"/>
    <w:rsid w:val="009E321D"/>
    <w:rsid w:val="00A0139D"/>
    <w:rsid w:val="00A01E40"/>
    <w:rsid w:val="00A14CB3"/>
    <w:rsid w:val="00A3045E"/>
    <w:rsid w:val="00A36278"/>
    <w:rsid w:val="00A54E07"/>
    <w:rsid w:val="00A731E6"/>
    <w:rsid w:val="00A83813"/>
    <w:rsid w:val="00A92476"/>
    <w:rsid w:val="00A95D43"/>
    <w:rsid w:val="00AB414D"/>
    <w:rsid w:val="00AC629C"/>
    <w:rsid w:val="00AF0090"/>
    <w:rsid w:val="00AF58FF"/>
    <w:rsid w:val="00AF6995"/>
    <w:rsid w:val="00B0772D"/>
    <w:rsid w:val="00B115FC"/>
    <w:rsid w:val="00B20397"/>
    <w:rsid w:val="00B26244"/>
    <w:rsid w:val="00B61DD9"/>
    <w:rsid w:val="00B744B6"/>
    <w:rsid w:val="00B94D90"/>
    <w:rsid w:val="00BA6899"/>
    <w:rsid w:val="00BC5D9C"/>
    <w:rsid w:val="00BF3431"/>
    <w:rsid w:val="00C378BF"/>
    <w:rsid w:val="00C52E3E"/>
    <w:rsid w:val="00C55CDC"/>
    <w:rsid w:val="00C74675"/>
    <w:rsid w:val="00C763F6"/>
    <w:rsid w:val="00C933F1"/>
    <w:rsid w:val="00CB26B8"/>
    <w:rsid w:val="00CC0E60"/>
    <w:rsid w:val="00CC2862"/>
    <w:rsid w:val="00CE2623"/>
    <w:rsid w:val="00D319C1"/>
    <w:rsid w:val="00D352C4"/>
    <w:rsid w:val="00D621D4"/>
    <w:rsid w:val="00D75D71"/>
    <w:rsid w:val="00D91923"/>
    <w:rsid w:val="00DB18EB"/>
    <w:rsid w:val="00DF0EA8"/>
    <w:rsid w:val="00E32B28"/>
    <w:rsid w:val="00E34CEE"/>
    <w:rsid w:val="00E46183"/>
    <w:rsid w:val="00E74835"/>
    <w:rsid w:val="00E81E78"/>
    <w:rsid w:val="00E83189"/>
    <w:rsid w:val="00E9007E"/>
    <w:rsid w:val="00E97D42"/>
    <w:rsid w:val="00EB73DB"/>
    <w:rsid w:val="00EC6E89"/>
    <w:rsid w:val="00F35D22"/>
    <w:rsid w:val="00F37C65"/>
    <w:rsid w:val="00F425B0"/>
    <w:rsid w:val="00F61796"/>
    <w:rsid w:val="00F84C11"/>
    <w:rsid w:val="00F90B2C"/>
    <w:rsid w:val="00F91198"/>
    <w:rsid w:val="00F9402D"/>
    <w:rsid w:val="00FB69E9"/>
    <w:rsid w:val="00FD7250"/>
    <w:rsid w:val="00FF1D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049350"/>
  <w15:docId w15:val="{B65F8DB8-4F24-498B-984B-F67A2E56E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semiHidden/>
    <w:unhideWhenUsed/>
    <w:rsid w:val="00AD1431"/>
    <w:rPr>
      <w:sz w:val="16"/>
      <w:szCs w:val="16"/>
    </w:rPr>
  </w:style>
  <w:style w:type="paragraph" w:styleId="CommentText">
    <w:name w:val="annotation text"/>
    <w:basedOn w:val="Normal"/>
    <w:link w:val="CommentTextChar"/>
    <w:uiPriority w:val="99"/>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A3045E"/>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A3045E"/>
    <w:rPr>
      <w:rFonts w:ascii="Arial" w:eastAsia="Arial" w:hAnsi="Arial" w:cs="Arial"/>
      <w:b/>
      <w:bCs/>
      <w:color w:val="2E5395"/>
      <w:sz w:val="20"/>
      <w:szCs w:val="20"/>
    </w:rPr>
  </w:style>
  <w:style w:type="table" w:styleId="TableGrid">
    <w:name w:val="Table Grid"/>
    <w:basedOn w:val="TableNormal"/>
    <w:uiPriority w:val="39"/>
    <w:rsid w:val="00805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C3D11"/>
    <w:rPr>
      <w:sz w:val="20"/>
      <w:szCs w:val="20"/>
    </w:rPr>
  </w:style>
  <w:style w:type="character" w:customStyle="1" w:styleId="FootnoteTextChar">
    <w:name w:val="Footnote Text Char"/>
    <w:basedOn w:val="DefaultParagraphFont"/>
    <w:link w:val="FootnoteText"/>
    <w:uiPriority w:val="99"/>
    <w:semiHidden/>
    <w:rsid w:val="000C3D11"/>
    <w:rPr>
      <w:sz w:val="20"/>
      <w:szCs w:val="20"/>
    </w:rPr>
  </w:style>
  <w:style w:type="character" w:styleId="FootnoteReference">
    <w:name w:val="footnote reference"/>
    <w:basedOn w:val="DefaultParagraphFont"/>
    <w:uiPriority w:val="99"/>
    <w:semiHidden/>
    <w:unhideWhenUsed/>
    <w:rsid w:val="000C3D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50/chapter-VI/part-679/subpart-A/section-679.6" TargetMode="External" /><Relationship Id="rId11" Type="http://schemas.openxmlformats.org/officeDocument/2006/relationships/hyperlink" Target="https://www.ecfr.gov/current/title-50/chapter-VI/part-600/subpart-H/section-600.745" TargetMode="External" /><Relationship Id="rId12" Type="http://schemas.openxmlformats.org/officeDocument/2006/relationships/hyperlink" Target="https://www.noaa.gov/organization/information-technology/information-quality-guidelines" TargetMode="External" /><Relationship Id="rId13" Type="http://schemas.openxmlformats.org/officeDocument/2006/relationships/hyperlink" Target="https://elandings.atlassian.net/wiki/spaces/doc/pages/79659055/eLandings+Reporting+System+FAQ+s" TargetMode="External" /><Relationship Id="rId14" Type="http://schemas.openxmlformats.org/officeDocument/2006/relationships/hyperlink" Target="https://www.fisheries.noaa.gov/alaska/commercial-fishing/observer-fee-collection-and-payment-north-pacific-groundfish-and-halibut" TargetMode="External" /><Relationship Id="rId15" Type="http://schemas.openxmlformats.org/officeDocument/2006/relationships/hyperlink" Target="https://www.fisheries.noaa.gov/alaska/commercial-fishing/exempted-fishing-permit-application-process-alaska" TargetMode="External" /><Relationship Id="rId16" Type="http://schemas.openxmlformats.org/officeDocument/2006/relationships/hyperlink" Target="https://www.fisheries.noaa.gov/permit/alaska-federal-fisheries-permit-and-federal-processor-permit-applications" TargetMode="External" /><Relationship Id="rId17" Type="http://schemas.openxmlformats.org/officeDocument/2006/relationships/hyperlink" Target="https://alaskafisheries.noaa.gov/webapps/efish/login" TargetMode="External" /><Relationship Id="rId18" Type="http://schemas.openxmlformats.org/officeDocument/2006/relationships/hyperlink" Target="https://alaskafisheries.noaa.gov/node/30749" TargetMode="External" /><Relationship Id="rId19" Type="http://schemas.openxmlformats.org/officeDocument/2006/relationships/hyperlink" Target="https://www.federalregister.gov/documents/2023/10/03/2023-21845/agency-information-collection-activities-submission-to-the-office-of-management-and-budget-omb-for" TargetMode="External" /><Relationship Id="rId2" Type="http://schemas.openxmlformats.org/officeDocument/2006/relationships/settings" Target="settings.xml" /><Relationship Id="rId20" Type="http://schemas.openxmlformats.org/officeDocument/2006/relationships/hyperlink" Target="http://www.corporateservices.noaa.gov/%7Eames/NAOs/Chap_216/naos_216_100.html" TargetMode="External" /><Relationship Id="rId21" Type="http://schemas.openxmlformats.org/officeDocument/2006/relationships/hyperlink" Target="http://www.osec.doc.gov/opog/PrivacyAct/SORNs/noaa-19.html" TargetMode="External" /><Relationship Id="rId22" Type="http://schemas.openxmlformats.org/officeDocument/2006/relationships/hyperlink" Target="https://www.osec.doc.gov/opog/privacy/noaa%20pias/noaa4700_pia_saop_approved.pdf" TargetMode="External" /><Relationship Id="rId23" Type="http://schemas.openxmlformats.org/officeDocument/2006/relationships/hyperlink" Target="https://www.bls.gov/oes/current/oes_ak.htm" TargetMode="External" /><Relationship Id="rId24" Type="http://schemas.openxmlformats.org/officeDocument/2006/relationships/hyperlink" Target="https://www.commerce.gov/hr/practitioners/caps/pay-administration" TargetMode="External" /><Relationship Id="rId25" Type="http://schemas.openxmlformats.org/officeDocument/2006/relationships/hyperlink" Target="https://www.fisheries.noaa.gov/alaska/commercial-fishing/permits-and-licenses-issued-alaska" TargetMode="External" /><Relationship Id="rId26" Type="http://schemas.openxmlformats.org/officeDocument/2006/relationships/hyperlink" Target="https://www.fisheries.noaa.gov/alaska/resources-fishing/exempted-fishing-permits-alaska" TargetMode="External" /><Relationship Id="rId27" Type="http://schemas.openxmlformats.org/officeDocument/2006/relationships/hyperlink" Target="http://www.gpo.gov/fdsys/pkg/CFR-2014-title5-vol3/pdf/CFR-2014-title5-vol3-sec1320-9.pdf" TargetMode="External" /><Relationship Id="rId28" Type="http://schemas.openxmlformats.org/officeDocument/2006/relationships/hyperlink" Target="http://www.gpo.gov/fdsys/pkg/CFR-2014-title5-vol3/pdf/CFR-2014-title5-vol3-sec1320-8.pdf" TargetMode="External" /><Relationship Id="rId29" Type="http://schemas.openxmlformats.org/officeDocument/2006/relationships/header" Target="header1.xml" /><Relationship Id="rId3" Type="http://schemas.openxmlformats.org/officeDocument/2006/relationships/webSettings" Target="webSettings.xml" /><Relationship Id="rId30" Type="http://schemas.openxmlformats.org/officeDocument/2006/relationships/header" Target="header2.xml" /><Relationship Id="rId31" Type="http://schemas.openxmlformats.org/officeDocument/2006/relationships/footer" Target="footer1.xml" /><Relationship Id="rId32" Type="http://schemas.openxmlformats.org/officeDocument/2006/relationships/footer" Target="footer2.xml" /><Relationship Id="rId33" Type="http://schemas.openxmlformats.org/officeDocument/2006/relationships/header" Target="header3.xml" /><Relationship Id="rId34" Type="http://schemas.openxmlformats.org/officeDocument/2006/relationships/footer" Target="footer3.xm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s://www.fisheries.noaa.gov/resource/document/magnuson-stevens-fishery-conservation-and-management-act" TargetMode="External" /><Relationship Id="rId8" Type="http://schemas.openxmlformats.org/officeDocument/2006/relationships/hyperlink" Target="https://www.ecfr.gov/cgi-bin/text-idx?SID=2d3002a9660f2018b93f708e34849798&amp;mc=true&amp;tpl=/ecfrbrowse/Title50/50cfr679_main_02.tpl" TargetMode="External" /><Relationship Id="rId9" Type="http://schemas.openxmlformats.org/officeDocument/2006/relationships/hyperlink" Target="https://www.ecfr.gov/current/title-50/chapter-VI/part-679/subpart-A/section-679.4"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isheries.noaa.gov/permit/alaska-federal-fisheries-permit-and-federal-processor-permit-applications" TargetMode="External" /><Relationship Id="rId2" Type="http://schemas.openxmlformats.org/officeDocument/2006/relationships/hyperlink" Target="https://alaskafisheries.noaa.gov/webapps/efish/login" TargetMode="External" /><Relationship Id="rId3" Type="http://schemas.openxmlformats.org/officeDocument/2006/relationships/hyperlink" Target="https://www.fisheries.noaa.gov/alaska/commercial-fishing/exempted-fishing-permit-application-process-alask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AMUW2mVwVIA+FGlnlT9J3zujZyj/UOdB1/g2d3kLr7coeyNxf8dRgp5Zu/rcevQHsPM+bLCjy94OafW7sG+oV1sJf2sUFZpn8GHgrxmrGv7Um0Of+meoik0g1CpGEct+KeeOSMl9UwIb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F6088B-A18A-4525-A42D-416A975E7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6159</Words>
  <Characters>35110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41187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2</cp:revision>
  <dcterms:created xsi:type="dcterms:W3CDTF">2024-03-21T15:42:00Z</dcterms:created>
  <dcterms:modified xsi:type="dcterms:W3CDTF">2024-03-21T15:42:00Z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