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50DA5" w14:paraId="555D1895" w14:textId="77777777">
      <w:pPr>
        <w:tabs>
          <w:tab w:val="left" w:pos="540"/>
        </w:tabs>
        <w:ind w:left="540" w:hanging="540"/>
        <w:jc w:val="center"/>
        <w:rPr>
          <w:b/>
          <w:sz w:val="24"/>
          <w:szCs w:val="24"/>
        </w:rPr>
      </w:pPr>
      <w:r>
        <w:rPr>
          <w:b/>
          <w:sz w:val="24"/>
          <w:szCs w:val="24"/>
        </w:rPr>
        <w:t>SUPPORTING STATEMENT</w:t>
      </w:r>
    </w:p>
    <w:p w:rsidR="00F50DA5" w14:paraId="6F84EA76" w14:textId="77777777">
      <w:pPr>
        <w:tabs>
          <w:tab w:val="left" w:pos="540"/>
        </w:tabs>
        <w:ind w:left="540" w:hanging="540"/>
        <w:jc w:val="center"/>
        <w:rPr>
          <w:b/>
          <w:sz w:val="24"/>
          <w:szCs w:val="24"/>
        </w:rPr>
      </w:pPr>
      <w:r>
        <w:rPr>
          <w:b/>
          <w:sz w:val="24"/>
          <w:szCs w:val="24"/>
        </w:rPr>
        <w:t>U.S. Department of Commerce</w:t>
      </w:r>
    </w:p>
    <w:p w:rsidR="00F50DA5" w14:paraId="5923A501" w14:textId="77777777">
      <w:pPr>
        <w:tabs>
          <w:tab w:val="left" w:pos="540"/>
        </w:tabs>
        <w:ind w:left="540" w:hanging="540"/>
        <w:jc w:val="center"/>
        <w:rPr>
          <w:b/>
          <w:sz w:val="24"/>
          <w:szCs w:val="24"/>
        </w:rPr>
      </w:pPr>
      <w:r>
        <w:rPr>
          <w:b/>
          <w:sz w:val="24"/>
          <w:szCs w:val="24"/>
        </w:rPr>
        <w:t>National Oceanic &amp; Atmospheric Administration</w:t>
      </w:r>
    </w:p>
    <w:p w:rsidR="00F50DA5" w14:paraId="477E062F" w14:textId="77777777">
      <w:pPr>
        <w:tabs>
          <w:tab w:val="left" w:pos="540"/>
        </w:tabs>
        <w:ind w:left="540" w:hanging="540"/>
        <w:jc w:val="center"/>
        <w:rPr>
          <w:b/>
          <w:sz w:val="24"/>
          <w:szCs w:val="24"/>
        </w:rPr>
      </w:pPr>
      <w:r>
        <w:rPr>
          <w:b/>
          <w:sz w:val="24"/>
          <w:szCs w:val="24"/>
        </w:rPr>
        <w:t>Large Pelagic Fishing Survey</w:t>
      </w:r>
    </w:p>
    <w:p w:rsidR="00F50DA5" w14:paraId="48C0055A" w14:textId="77777777">
      <w:pPr>
        <w:tabs>
          <w:tab w:val="left" w:pos="540"/>
        </w:tabs>
        <w:ind w:left="540" w:hanging="540"/>
        <w:jc w:val="center"/>
        <w:rPr>
          <w:b/>
          <w:sz w:val="24"/>
          <w:szCs w:val="24"/>
        </w:rPr>
      </w:pPr>
      <w:r>
        <w:rPr>
          <w:b/>
          <w:sz w:val="24"/>
          <w:szCs w:val="24"/>
        </w:rPr>
        <w:t>OMB Control No. 0648-0380</w:t>
      </w:r>
    </w:p>
    <w:p w:rsidR="00F50DA5" w14:paraId="099A2417" w14:textId="77777777">
      <w:pPr>
        <w:tabs>
          <w:tab w:val="left" w:pos="540"/>
        </w:tabs>
        <w:ind w:left="540" w:hanging="540"/>
        <w:rPr>
          <w:sz w:val="24"/>
          <w:szCs w:val="24"/>
        </w:rPr>
      </w:pPr>
    </w:p>
    <w:p w:rsidR="00F50DA5" w14:paraId="79674A63" w14:textId="77777777">
      <w:pPr>
        <w:tabs>
          <w:tab w:val="left" w:pos="540"/>
        </w:tabs>
        <w:ind w:left="540" w:hanging="540"/>
        <w:rPr>
          <w:sz w:val="24"/>
          <w:szCs w:val="24"/>
        </w:rPr>
      </w:pPr>
    </w:p>
    <w:p w:rsidR="00F50DA5" w14:paraId="0A9DB579" w14:textId="77777777">
      <w:pPr>
        <w:tabs>
          <w:tab w:val="left" w:pos="540"/>
          <w:tab w:val="left" w:pos="720"/>
        </w:tabs>
        <w:ind w:left="540" w:hanging="540"/>
        <w:rPr>
          <w:sz w:val="24"/>
          <w:szCs w:val="24"/>
        </w:rPr>
      </w:pPr>
      <w:r>
        <w:rPr>
          <w:b/>
          <w:sz w:val="24"/>
          <w:szCs w:val="24"/>
        </w:rPr>
        <w:t xml:space="preserve">A. </w:t>
      </w:r>
      <w:r>
        <w:rPr>
          <w:b/>
          <w:sz w:val="24"/>
          <w:szCs w:val="24"/>
        </w:rPr>
        <w:tab/>
        <w:t>JUSTIFICATION</w:t>
      </w:r>
    </w:p>
    <w:p w:rsidR="00F50DA5" w14:paraId="5F47A006" w14:textId="77777777">
      <w:pPr>
        <w:tabs>
          <w:tab w:val="left" w:pos="540"/>
        </w:tabs>
        <w:ind w:left="540" w:hanging="540"/>
        <w:rPr>
          <w:sz w:val="24"/>
          <w:szCs w:val="24"/>
        </w:rPr>
      </w:pPr>
    </w:p>
    <w:p w:rsidR="00F50DA5" w14:paraId="59D2E171" w14:textId="77777777">
      <w:pPr>
        <w:tabs>
          <w:tab w:val="left" w:pos="540"/>
        </w:tabs>
        <w:ind w:left="540" w:hanging="540"/>
        <w:rPr>
          <w:sz w:val="24"/>
          <w:szCs w:val="24"/>
        </w:rPr>
        <w:sectPr>
          <w:footerReference w:type="default" r:id="rId5"/>
          <w:pgSz w:w="12240" w:h="15840"/>
          <w:pgMar w:top="900" w:right="1440" w:bottom="1080" w:left="1440" w:header="720" w:footer="720" w:gutter="0"/>
          <w:pgNumType w:start="1"/>
          <w:cols w:space="720" w:equalWidth="0">
            <w:col w:w="9360"/>
          </w:cols>
        </w:sectPr>
      </w:pPr>
    </w:p>
    <w:p w:rsidR="00BA5FBC" w:rsidRPr="00BA5FBC" w:rsidP="00BA5FBC" w14:paraId="4762C822" w14:textId="77777777">
      <w:pPr>
        <w:spacing w:before="199"/>
        <w:outlineLvl w:val="0"/>
        <w:rPr>
          <w:b/>
          <w:sz w:val="24"/>
          <w:szCs w:val="24"/>
        </w:rPr>
      </w:pPr>
      <w:r w:rsidRPr="00BA5FBC">
        <w:rPr>
          <w:b/>
          <w:sz w:val="24"/>
          <w:szCs w:val="24"/>
        </w:rPr>
        <w:t>Abstract</w:t>
      </w:r>
    </w:p>
    <w:p w:rsidR="00BA5FBC" w14:paraId="79A10BA4" w14:textId="44F3A8C2">
      <w:pPr>
        <w:tabs>
          <w:tab w:val="left" w:pos="540"/>
        </w:tabs>
        <w:ind w:left="540" w:hanging="540"/>
        <w:rPr>
          <w:b/>
          <w:sz w:val="24"/>
          <w:szCs w:val="24"/>
        </w:rPr>
      </w:pPr>
    </w:p>
    <w:p w:rsidR="00BA5FBC" w:rsidP="00CE26E1" w14:paraId="529DE182" w14:textId="4B1C0C9A">
      <w:pPr>
        <w:tabs>
          <w:tab w:val="left" w:pos="720"/>
        </w:tabs>
        <w:rPr>
          <w:b/>
          <w:sz w:val="24"/>
          <w:szCs w:val="24"/>
        </w:rPr>
      </w:pPr>
      <w:r>
        <w:rPr>
          <w:color w:val="000000"/>
          <w:sz w:val="24"/>
          <w:szCs w:val="24"/>
        </w:rPr>
        <w:t xml:space="preserve">This request is for extension of a currently approved collection, to continue the Large Pelagic Fishing Survey in all states along the Atlantic and Gulf Coasts, as well as Puerto Rico. </w:t>
      </w:r>
      <w:r w:rsidRPr="00CE26E1" w:rsidR="00CE26E1">
        <w:rPr>
          <w:sz w:val="24"/>
          <w:szCs w:val="24"/>
        </w:rPr>
        <w:t xml:space="preserve">The Large Pelagic Fishing Survey consists of dockside and telephone surveys of recreational anglers for large pelagic fish (tunas, sharks, and billfish) in the Atlantic Ocean. The survey provides the National Marine Fisheries Service (NMFS) with information to monitor catch of </w:t>
      </w:r>
      <w:r w:rsidRPr="00CE26E1" w:rsidR="00CE26E1">
        <w:rPr>
          <w:sz w:val="24"/>
          <w:szCs w:val="24"/>
        </w:rPr>
        <w:t>bluefin</w:t>
      </w:r>
      <w:r w:rsidRPr="00CE26E1" w:rsidR="00CE26E1">
        <w:rPr>
          <w:sz w:val="24"/>
          <w:szCs w:val="24"/>
        </w:rPr>
        <w:t xml:space="preserve"> tuna, marlin and other federally managed species. Catch monitoring in these fisheries and collection of catch and effort statistics is essential for the United States (U.S.) to meet its reporting obligations to the International Commission for the Conservation of Atlantic Tunas.</w:t>
      </w:r>
    </w:p>
    <w:p w:rsidR="00BA5FBC" w14:paraId="2EE65127" w14:textId="77777777">
      <w:pPr>
        <w:tabs>
          <w:tab w:val="left" w:pos="540"/>
        </w:tabs>
        <w:ind w:left="540" w:hanging="540"/>
        <w:rPr>
          <w:b/>
          <w:sz w:val="24"/>
          <w:szCs w:val="24"/>
        </w:rPr>
      </w:pPr>
    </w:p>
    <w:p w:rsidR="00BA5FBC" w:rsidP="00BA5FBC" w14:paraId="2B638CFA" w14:textId="77777777">
      <w:pPr>
        <w:numPr>
          <w:ilvl w:val="0"/>
          <w:numId w:val="6"/>
        </w:numPr>
        <w:pBdr>
          <w:top w:val="nil"/>
          <w:left w:val="nil"/>
          <w:bottom w:val="nil"/>
          <w:right w:val="nil"/>
          <w:between w:val="nil"/>
        </w:pBdr>
        <w:tabs>
          <w:tab w:val="left" w:pos="360"/>
        </w:tabs>
        <w:spacing w:before="182" w:line="259" w:lineRule="auto"/>
        <w:ind w:left="0" w:firstLine="0"/>
        <w:rPr>
          <w:b/>
          <w:color w:val="000000"/>
        </w:rPr>
      </w:pPr>
      <w:r>
        <w:rPr>
          <w:b/>
          <w:color w:val="000000"/>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50DA5" w14:paraId="4A18DCCD" w14:textId="77777777">
      <w:pPr>
        <w:pBdr>
          <w:top w:val="nil"/>
          <w:left w:val="nil"/>
          <w:bottom w:val="nil"/>
          <w:right w:val="nil"/>
          <w:between w:val="nil"/>
        </w:pBdr>
        <w:ind w:right="185"/>
        <w:rPr>
          <w:color w:val="000000"/>
          <w:sz w:val="24"/>
          <w:szCs w:val="24"/>
        </w:rPr>
      </w:pPr>
    </w:p>
    <w:p w:rsidR="00F50DA5" w14:paraId="36DB856E" w14:textId="55ACA75A">
      <w:pPr>
        <w:pBdr>
          <w:top w:val="nil"/>
          <w:left w:val="nil"/>
          <w:bottom w:val="nil"/>
          <w:right w:val="nil"/>
          <w:between w:val="nil"/>
        </w:pBdr>
        <w:ind w:right="185"/>
        <w:rPr>
          <w:color w:val="000000"/>
          <w:sz w:val="24"/>
          <w:szCs w:val="24"/>
        </w:rPr>
      </w:pPr>
      <w:r>
        <w:rPr>
          <w:color w:val="000000"/>
          <w:sz w:val="24"/>
          <w:szCs w:val="24"/>
        </w:rPr>
        <w:t xml:space="preserve">The National Marine Fisheries Service (NMFS) is responsible for monitoring and managing United States (U.S.) marine fisheries resources.  Collection of information regarding fishing for large pelagic species (tunas, billfishes, swordfish, and sharks) is necessary to fulfill the following statutory requirements: </w:t>
      </w:r>
      <w:hyperlink r:id="rId6">
        <w:r>
          <w:rPr>
            <w:color w:val="0563C1"/>
            <w:sz w:val="24"/>
            <w:szCs w:val="24"/>
            <w:u w:val="single"/>
          </w:rPr>
          <w:t>Atlantic Tunas Convention Act</w:t>
        </w:r>
      </w:hyperlink>
      <w:r>
        <w:rPr>
          <w:color w:val="000000"/>
          <w:sz w:val="24"/>
          <w:szCs w:val="24"/>
        </w:rPr>
        <w:t xml:space="preserve"> (16 U.S.C. 971 et seq.), the </w:t>
      </w:r>
      <w:hyperlink r:id="rId7" w:history="1">
        <w:r w:rsidRPr="00020094">
          <w:rPr>
            <w:rStyle w:val="Hyperlink"/>
            <w:sz w:val="24"/>
            <w:szCs w:val="24"/>
          </w:rPr>
          <w:t>Magnuson-Stevens Fishery Conservation and Management Act</w:t>
        </w:r>
      </w:hyperlink>
      <w:r>
        <w:rPr>
          <w:color w:val="000000"/>
          <w:sz w:val="24"/>
          <w:szCs w:val="24"/>
        </w:rPr>
        <w:t xml:space="preserve"> (16 U.S.C. 1801 et seq.), and to meet administrative requirements of the National Marine Fisheries Service (NMFS) Marine Recreational Fishery Policy implemented to comply with </w:t>
      </w:r>
      <w:hyperlink r:id="rId8">
        <w:r>
          <w:rPr>
            <w:color w:val="0563C1"/>
            <w:sz w:val="24"/>
            <w:szCs w:val="24"/>
            <w:u w:val="single"/>
          </w:rPr>
          <w:t>Executive Order 12962</w:t>
        </w:r>
      </w:hyperlink>
      <w:r>
        <w:rPr>
          <w:color w:val="000000"/>
          <w:sz w:val="24"/>
          <w:szCs w:val="24"/>
        </w:rPr>
        <w:t xml:space="preserve"> on Recreational Fisheries.</w:t>
      </w:r>
    </w:p>
    <w:p w:rsidR="00F50DA5" w14:paraId="1E9AA873" w14:textId="77777777">
      <w:pPr>
        <w:pBdr>
          <w:top w:val="nil"/>
          <w:left w:val="nil"/>
          <w:bottom w:val="nil"/>
          <w:right w:val="nil"/>
          <w:between w:val="nil"/>
        </w:pBdr>
        <w:ind w:right="185"/>
        <w:rPr>
          <w:color w:val="000000"/>
          <w:sz w:val="24"/>
          <w:szCs w:val="24"/>
        </w:rPr>
      </w:pPr>
      <w:r>
        <w:rPr>
          <w:color w:val="000000"/>
          <w:sz w:val="24"/>
          <w:szCs w:val="24"/>
        </w:rPr>
        <w:t xml:space="preserve"> </w:t>
      </w:r>
    </w:p>
    <w:p w:rsidR="00F50DA5" w14:paraId="2E3D154D" w14:textId="77777777">
      <w:pPr>
        <w:pBdr>
          <w:top w:val="nil"/>
          <w:left w:val="nil"/>
          <w:bottom w:val="nil"/>
          <w:right w:val="nil"/>
          <w:between w:val="nil"/>
        </w:pBdr>
        <w:ind w:right="185"/>
        <w:rPr>
          <w:color w:val="000000"/>
          <w:sz w:val="24"/>
          <w:szCs w:val="24"/>
        </w:rPr>
      </w:pPr>
      <w:r>
        <w:rPr>
          <w:color w:val="000000"/>
          <w:sz w:val="24"/>
          <w:szCs w:val="24"/>
        </w:rPr>
        <w:t>The Atlantic Tunas Convention Act at 16 U.S.C. 971d(c</w:t>
      </w:r>
      <w:r>
        <w:rPr>
          <w:color w:val="000000"/>
          <w:sz w:val="24"/>
          <w:szCs w:val="24"/>
        </w:rPr>
        <w:t>)(</w:t>
      </w:r>
      <w:r>
        <w:rPr>
          <w:color w:val="000000"/>
          <w:sz w:val="24"/>
          <w:szCs w:val="24"/>
        </w:rPr>
        <w:t xml:space="preserve">3)(I) provides the Secretary of Commerce the authority to “require any commercial or recreational fisherman to obtain a permit from the Secretary and report the quantity of catch of a regulated species”. Section 303(a) of the Magnuson-Stevens Act specifies data and analyses to be included in Fishery Management Plans (FMPs), as well as pertinent data, which shall be submitted to the Secretary of Commerce under the plan.  Recommendation </w:t>
      </w:r>
      <w:r>
        <w:rPr>
          <w:color w:val="000000"/>
          <w:sz w:val="24"/>
          <w:szCs w:val="24"/>
        </w:rPr>
        <w:t>One</w:t>
      </w:r>
      <w:r>
        <w:rPr>
          <w:color w:val="000000"/>
          <w:sz w:val="24"/>
          <w:szCs w:val="24"/>
        </w:rPr>
        <w:t xml:space="preserve"> of the NMFS Marine Recreational Fishery (MRF) Policy focuses on developing “a comprehensive data acquisition and analysis system (participation, catch, effort and socio-economic data) on a regular, continuing basis” in support of the Executive Order 12962 requirement to assess the implementation and evaluate achievements of the “Recreational Fishery Resources Conservation Plan.”</w:t>
      </w:r>
    </w:p>
    <w:p w:rsidR="00F50DA5" w14:paraId="7866F66C" w14:textId="77777777">
      <w:pPr>
        <w:pBdr>
          <w:top w:val="nil"/>
          <w:left w:val="nil"/>
          <w:bottom w:val="nil"/>
          <w:right w:val="nil"/>
          <w:between w:val="nil"/>
        </w:pBdr>
        <w:ind w:right="185"/>
        <w:rPr>
          <w:color w:val="000000"/>
          <w:sz w:val="24"/>
          <w:szCs w:val="24"/>
        </w:rPr>
      </w:pPr>
    </w:p>
    <w:p w:rsidR="00F50DA5" w14:paraId="21088A11" w14:textId="77777777">
      <w:pPr>
        <w:pBdr>
          <w:top w:val="nil"/>
          <w:left w:val="nil"/>
          <w:bottom w:val="nil"/>
          <w:right w:val="nil"/>
          <w:between w:val="nil"/>
        </w:pBdr>
        <w:ind w:right="185"/>
        <w:rPr>
          <w:color w:val="000000"/>
          <w:sz w:val="24"/>
          <w:szCs w:val="24"/>
        </w:rPr>
      </w:pPr>
      <w:r>
        <w:rPr>
          <w:color w:val="000000"/>
          <w:sz w:val="24"/>
          <w:szCs w:val="24"/>
        </w:rPr>
        <w:t xml:space="preserve">Because highly migratory species are only sought on a relatively small proportion of the total marine recreational angler fishing trips made, the fishing effort directed at such species, and </w:t>
      </w:r>
      <w:r>
        <w:rPr>
          <w:color w:val="000000"/>
          <w:sz w:val="24"/>
          <w:szCs w:val="24"/>
        </w:rPr>
        <w:t xml:space="preserve">the resulting angler catches are generally not estimated very precisely or accurately by general (all species) recreational surveys.  Therefore, the Large Pelagic Survey (LPS) was designed as a specialized survey that would focus specifically on the recreational fishery directed at large pelagic, also called highly migratory, species. This specialization has allowed higher levels of sampling needed to provide more precise and accurate estimates of pelagic fishing effort and catches of large pelagic species. </w:t>
      </w:r>
    </w:p>
    <w:p w:rsidR="00F50DA5" w14:paraId="5FA57954" w14:textId="77777777">
      <w:pPr>
        <w:pBdr>
          <w:top w:val="nil"/>
          <w:left w:val="nil"/>
          <w:bottom w:val="nil"/>
          <w:right w:val="nil"/>
          <w:between w:val="nil"/>
        </w:pBdr>
        <w:ind w:right="185"/>
        <w:rPr>
          <w:color w:val="000000"/>
          <w:sz w:val="24"/>
          <w:szCs w:val="24"/>
        </w:rPr>
      </w:pPr>
    </w:p>
    <w:p w:rsidR="00F50DA5" w14:paraId="6A2C6C78" w14:textId="77777777">
      <w:pPr>
        <w:pBdr>
          <w:top w:val="nil"/>
          <w:left w:val="nil"/>
          <w:bottom w:val="nil"/>
          <w:right w:val="nil"/>
          <w:between w:val="nil"/>
        </w:pBdr>
        <w:ind w:right="185"/>
        <w:rPr>
          <w:color w:val="000000"/>
          <w:sz w:val="24"/>
          <w:szCs w:val="24"/>
        </w:rPr>
      </w:pPr>
      <w:r>
        <w:rPr>
          <w:color w:val="000000"/>
          <w:sz w:val="24"/>
          <w:szCs w:val="24"/>
        </w:rPr>
        <w:t xml:space="preserve">The LPS consists of two complementary surveys: a directory frame telephone survey of tuna and/or HMS permit holders to obtain fishing effort information (Large Pelagic Telephone Survey or LPTS), and a dockside survey which collects catch information and also estimates the proportion of vessels fishing for large </w:t>
      </w:r>
      <w:r>
        <w:rPr>
          <w:color w:val="000000"/>
          <w:sz w:val="24"/>
          <w:szCs w:val="24"/>
        </w:rPr>
        <w:t>pelagics</w:t>
      </w:r>
      <w:r>
        <w:rPr>
          <w:color w:val="000000"/>
          <w:sz w:val="24"/>
          <w:szCs w:val="24"/>
        </w:rPr>
        <w:t xml:space="preserve"> that are not on the telephone frame (Large Pelagic Intercept Survey or LPIS).  Results from the two survey components are combined to estimate total landings of Highly Migratory Species.  </w:t>
      </w:r>
    </w:p>
    <w:p w:rsidR="00F50DA5" w14:paraId="454A3972" w14:textId="77777777">
      <w:pPr>
        <w:pBdr>
          <w:top w:val="nil"/>
          <w:left w:val="nil"/>
          <w:bottom w:val="nil"/>
          <w:right w:val="nil"/>
          <w:between w:val="nil"/>
        </w:pBdr>
        <w:ind w:right="185"/>
        <w:rPr>
          <w:color w:val="000000"/>
          <w:sz w:val="24"/>
          <w:szCs w:val="24"/>
        </w:rPr>
      </w:pPr>
    </w:p>
    <w:p w:rsidR="00F50DA5" w14:paraId="4B8A9BF0" w14:textId="7F2AC159">
      <w:pPr>
        <w:pBdr>
          <w:top w:val="nil"/>
          <w:left w:val="nil"/>
          <w:bottom w:val="nil"/>
          <w:right w:val="nil"/>
          <w:between w:val="nil"/>
        </w:pBdr>
        <w:ind w:right="185"/>
        <w:rPr>
          <w:color w:val="000000"/>
          <w:sz w:val="24"/>
          <w:szCs w:val="24"/>
        </w:rPr>
      </w:pPr>
      <w:r>
        <w:rPr>
          <w:color w:val="000000"/>
          <w:sz w:val="24"/>
          <w:szCs w:val="24"/>
        </w:rPr>
        <w:t xml:space="preserve">LPTS species-level response options </w:t>
      </w:r>
      <w:r w:rsidR="00BD1161">
        <w:rPr>
          <w:color w:val="000000"/>
          <w:sz w:val="24"/>
          <w:szCs w:val="24"/>
        </w:rPr>
        <w:t>were</w:t>
      </w:r>
      <w:r>
        <w:rPr>
          <w:color w:val="000000"/>
          <w:sz w:val="24"/>
          <w:szCs w:val="24"/>
        </w:rPr>
        <w:t xml:space="preserve"> updated to include blue marlin and </w:t>
      </w:r>
      <w:r>
        <w:rPr>
          <w:color w:val="000000"/>
          <w:sz w:val="24"/>
          <w:szCs w:val="24"/>
        </w:rPr>
        <w:t>roundscale</w:t>
      </w:r>
      <w:r>
        <w:rPr>
          <w:color w:val="000000"/>
          <w:sz w:val="24"/>
          <w:szCs w:val="24"/>
        </w:rPr>
        <w:t xml:space="preserve"> spearfish beginning in 2020. As specified in 50 CFR Part 635.27(d) (1), the recreational billfish fishery is limited to a maximum of 250 Atlantic blue and white marlin and </w:t>
      </w:r>
      <w:r>
        <w:rPr>
          <w:color w:val="000000"/>
          <w:sz w:val="24"/>
          <w:szCs w:val="24"/>
        </w:rPr>
        <w:t>roundscale</w:t>
      </w:r>
      <w:r>
        <w:rPr>
          <w:color w:val="000000"/>
          <w:sz w:val="24"/>
          <w:szCs w:val="24"/>
        </w:rPr>
        <w:t xml:space="preserve"> spearfish landings, combined, per year. White marlin response options </w:t>
      </w:r>
      <w:r w:rsidR="00BD1161">
        <w:rPr>
          <w:color w:val="000000"/>
          <w:sz w:val="24"/>
          <w:szCs w:val="24"/>
        </w:rPr>
        <w:t xml:space="preserve">were </w:t>
      </w:r>
      <w:r>
        <w:rPr>
          <w:color w:val="000000"/>
          <w:sz w:val="24"/>
          <w:szCs w:val="24"/>
        </w:rPr>
        <w:t xml:space="preserve">previously included on the telephone survey. </w:t>
      </w:r>
      <w:r>
        <w:rPr>
          <w:color w:val="000000"/>
          <w:sz w:val="24"/>
          <w:szCs w:val="24"/>
        </w:rPr>
        <w:t>Porbeagle</w:t>
      </w:r>
      <w:r>
        <w:rPr>
          <w:color w:val="000000"/>
          <w:sz w:val="24"/>
          <w:szCs w:val="24"/>
        </w:rPr>
        <w:t xml:space="preserve"> shark response options were also added to the telephone survey </w:t>
      </w:r>
      <w:r w:rsidR="00F6556D">
        <w:rPr>
          <w:color w:val="000000"/>
          <w:sz w:val="24"/>
          <w:szCs w:val="24"/>
        </w:rPr>
        <w:t xml:space="preserve">in </w:t>
      </w:r>
      <w:r>
        <w:rPr>
          <w:color w:val="000000"/>
          <w:sz w:val="24"/>
          <w:szCs w:val="24"/>
        </w:rPr>
        <w:t xml:space="preserve">2020. Domestically, </w:t>
      </w:r>
      <w:r>
        <w:rPr>
          <w:color w:val="000000"/>
          <w:sz w:val="24"/>
          <w:szCs w:val="24"/>
        </w:rPr>
        <w:t>porbeagle</w:t>
      </w:r>
      <w:r>
        <w:rPr>
          <w:color w:val="000000"/>
          <w:sz w:val="24"/>
          <w:szCs w:val="24"/>
        </w:rPr>
        <w:t xml:space="preserve"> sharks are managed pursuant to a rebuilding plan established in Amendment 2 to the 2006 Consolidated HMS FMP (73 FR 35788, June 24, 2008 as corrected at 73 FR 40658, July 15, 2008).</w:t>
      </w:r>
    </w:p>
    <w:p w:rsidR="00F50DA5" w14:paraId="1F8D11A5" w14:textId="77777777">
      <w:pPr>
        <w:pBdr>
          <w:top w:val="nil"/>
          <w:left w:val="nil"/>
          <w:bottom w:val="nil"/>
          <w:right w:val="nil"/>
          <w:between w:val="nil"/>
        </w:pBdr>
        <w:rPr>
          <w:color w:val="000000"/>
          <w:sz w:val="24"/>
          <w:szCs w:val="24"/>
        </w:rPr>
      </w:pPr>
    </w:p>
    <w:p w:rsidR="00F50DA5" w14:paraId="01EA970D" w14:textId="131DAC05">
      <w:pPr>
        <w:pBdr>
          <w:top w:val="nil"/>
          <w:left w:val="nil"/>
          <w:bottom w:val="nil"/>
          <w:right w:val="nil"/>
          <w:between w:val="nil"/>
        </w:pBdr>
        <w:ind w:right="185"/>
        <w:rPr>
          <w:b/>
          <w:color w:val="000000"/>
          <w:sz w:val="24"/>
          <w:szCs w:val="24"/>
        </w:rPr>
      </w:pPr>
      <w:r>
        <w:rPr>
          <w:color w:val="000000"/>
          <w:sz w:val="24"/>
          <w:szCs w:val="24"/>
        </w:rPr>
        <w:t xml:space="preserve">In addition, we are requesting approval to continue to implement the Large Pelagic Biological Survey (LPBS) to collect supplemental weight and length measurements of landed fish through independent dockside sampling, as well as LPIS Validation telephone calls to validate LPIS data. </w:t>
      </w:r>
      <w:r w:rsidRPr="00CA4D76" w:rsidR="00CA4D76">
        <w:rPr>
          <w:color w:val="000000"/>
          <w:sz w:val="24"/>
          <w:szCs w:val="24"/>
        </w:rPr>
        <w:t>The purpose of the validation calls is to ensure data quality. The validation questionnaire is brief and checks that interviewers follow procedures and protocols. Monitoring interviewer performance is a standard component of the quality assurance process in intercept and telephone surveys administered by NMFS OST.</w:t>
      </w:r>
      <w:r>
        <w:rPr>
          <w:color w:val="000000"/>
          <w:sz w:val="24"/>
          <w:szCs w:val="24"/>
        </w:rPr>
        <w:t xml:space="preserve"> Implementation of certain components will depend on fiscal year funding and NMFS priorities.  The proposed annual reporting burden anticipates full funding for all data collection components. </w:t>
      </w:r>
    </w:p>
    <w:p w:rsidR="00F50DA5" w14:paraId="1FB1725D" w14:textId="77777777">
      <w:pPr>
        <w:rPr>
          <w:sz w:val="24"/>
          <w:szCs w:val="24"/>
        </w:rPr>
      </w:pPr>
    </w:p>
    <w:p w:rsidR="00BA5FBC" w:rsidRPr="00BA5FBC" w:rsidP="00BA5FBC" w14:paraId="5686BFDD" w14:textId="77777777">
      <w:pPr>
        <w:numPr>
          <w:ilvl w:val="0"/>
          <w:numId w:val="6"/>
        </w:numPr>
        <w:tabs>
          <w:tab w:val="left" w:pos="360"/>
        </w:tabs>
        <w:spacing w:before="197"/>
        <w:ind w:left="0" w:firstLine="0"/>
        <w:outlineLvl w:val="0"/>
        <w:rPr>
          <w:b/>
          <w:sz w:val="24"/>
          <w:szCs w:val="24"/>
        </w:rPr>
      </w:pPr>
      <w:r w:rsidRPr="00BA5FBC">
        <w:rPr>
          <w:b/>
          <w:sz w:val="24"/>
          <w:szCs w:val="24"/>
        </w:rPr>
        <w:t>Indicate how, by whom, and for what purpose the information is to be used. Except for a new collection, indicate the actual use the agency has made of the information received from the current collection.</w:t>
      </w:r>
    </w:p>
    <w:p w:rsidR="00F50DA5" w14:paraId="112A7774" w14:textId="77777777">
      <w:pPr>
        <w:rPr>
          <w:sz w:val="24"/>
          <w:szCs w:val="24"/>
        </w:rPr>
      </w:pPr>
    </w:p>
    <w:p w:rsidR="00F50DA5" w14:paraId="253547ED" w14:textId="77777777">
      <w:pPr>
        <w:pBdr>
          <w:top w:val="nil"/>
          <w:left w:val="nil"/>
          <w:bottom w:val="nil"/>
          <w:right w:val="nil"/>
          <w:between w:val="nil"/>
        </w:pBdr>
        <w:rPr>
          <w:color w:val="000000"/>
          <w:sz w:val="24"/>
          <w:szCs w:val="24"/>
        </w:rPr>
      </w:pPr>
      <w:bookmarkStart w:id="0" w:name="_gjdgxs" w:colFirst="0" w:colLast="0"/>
      <w:bookmarkEnd w:id="0"/>
      <w:r>
        <w:rPr>
          <w:color w:val="000000"/>
          <w:sz w:val="24"/>
          <w:szCs w:val="24"/>
        </w:rPr>
        <w:t xml:space="preserve">NMFS, regional fishery management councils, interstate marine fisheries commissions, and state fishery agencies use the data in developing, implementing and monitoring fishery management programs.  Failure to conduct these data collections would prevent the Secretary from meeting statutory requirements of the Magnuson-Stevens Act.  In addition, NMFS would be unable to implement Recommendation One of its Marine Recreational Fisheries (MRF) Policy with a resulting loss in service and credibility to the MRF constituency. Catch and effort statistics are fundamental for assessing the influence of fishing on any stock of fish.  The quantities taken, the fishing effort, and both the seasonal and geographic distributions of the catch and effort are required for the development of regional management policies and plans. Accurate and timely </w:t>
      </w:r>
      <w:r>
        <w:rPr>
          <w:color w:val="000000"/>
          <w:sz w:val="24"/>
          <w:szCs w:val="24"/>
        </w:rPr>
        <w:t xml:space="preserve">catch statistics collected over the range of a species must be used in association with biological studies to perform the stock assessments necessary for monitoring the effectiveness of fishery management planning for optimum yield.  Several large pelagic species are now being managed under FMP quota or landings limit systems, which include recreational fishery components. For example, this collection has been the key source of data used to monitor recreational quotas for the harvest of </w:t>
      </w:r>
      <w:r>
        <w:rPr>
          <w:color w:val="000000"/>
          <w:sz w:val="24"/>
          <w:szCs w:val="24"/>
        </w:rPr>
        <w:t>bluefin</w:t>
      </w:r>
      <w:r>
        <w:rPr>
          <w:color w:val="000000"/>
          <w:sz w:val="24"/>
          <w:szCs w:val="24"/>
        </w:rPr>
        <w:t xml:space="preserve"> tuna in the Mid-Atlantic and southern New England regions.  Catch distributions, harvested size distributions, and other indices obtained in this data collection have formed the basis of fishery management plans and used in stock assessments for Atlantic highly migratory species such as tunas, billfish, swordfish and sharks. </w:t>
      </w:r>
    </w:p>
    <w:p w:rsidR="00F50DA5" w14:paraId="08151E13" w14:textId="77777777">
      <w:pPr>
        <w:pBdr>
          <w:top w:val="nil"/>
          <w:left w:val="nil"/>
          <w:bottom w:val="nil"/>
          <w:right w:val="nil"/>
          <w:between w:val="nil"/>
        </w:pBdr>
        <w:rPr>
          <w:color w:val="000000"/>
          <w:sz w:val="24"/>
          <w:szCs w:val="24"/>
        </w:rPr>
      </w:pPr>
    </w:p>
    <w:p w:rsidR="00F50DA5" w14:paraId="2D2F839D" w14:textId="77777777">
      <w:pPr>
        <w:pBdr>
          <w:top w:val="nil"/>
          <w:left w:val="nil"/>
          <w:bottom w:val="nil"/>
          <w:right w:val="nil"/>
          <w:between w:val="nil"/>
        </w:pBdr>
        <w:rPr>
          <w:color w:val="000000"/>
          <w:sz w:val="24"/>
          <w:szCs w:val="24"/>
        </w:rPr>
      </w:pPr>
      <w:r>
        <w:rPr>
          <w:color w:val="000000"/>
          <w:sz w:val="24"/>
          <w:szCs w:val="24"/>
        </w:rPr>
        <w:t>Specific data elements that will be collected from the different LPS components include:</w:t>
      </w:r>
    </w:p>
    <w:p w:rsidR="00F50DA5" w14:paraId="12D8E72B" w14:textId="77777777">
      <w:pPr>
        <w:pBdr>
          <w:top w:val="nil"/>
          <w:left w:val="nil"/>
          <w:bottom w:val="nil"/>
          <w:right w:val="nil"/>
          <w:between w:val="nil"/>
        </w:pBdr>
        <w:rPr>
          <w:color w:val="000000"/>
          <w:sz w:val="24"/>
          <w:szCs w:val="24"/>
        </w:rPr>
      </w:pPr>
    </w:p>
    <w:p w:rsidR="00F50DA5" w14:paraId="26291AE3" w14:textId="77777777">
      <w:pPr>
        <w:pBdr>
          <w:top w:val="nil"/>
          <w:left w:val="nil"/>
          <w:bottom w:val="nil"/>
          <w:right w:val="nil"/>
          <w:between w:val="nil"/>
        </w:pBdr>
        <w:rPr>
          <w:color w:val="000000"/>
          <w:sz w:val="24"/>
          <w:szCs w:val="24"/>
        </w:rPr>
      </w:pPr>
      <w:r>
        <w:rPr>
          <w:color w:val="000000"/>
          <w:sz w:val="24"/>
          <w:szCs w:val="24"/>
        </w:rPr>
        <w:t>Large Pelagic Telephone Survey</w:t>
      </w:r>
    </w:p>
    <w:p w:rsidR="00F50DA5" w14:paraId="11F94E22"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Questions about the type of fishing activity are used to confirm that the boat is not a commercial or for-hire fishing vessel,</w:t>
      </w:r>
    </w:p>
    <w:p w:rsidR="00F50DA5" w14:paraId="243735C3"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A question about targeted species is used to confirm that the vessel is eligible for the survey,</w:t>
      </w:r>
    </w:p>
    <w:p w:rsidR="00F50DA5" w14:paraId="75163149"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Number of total fishing trips and number of fishing trips targeting large pelagic species are used to estimate the total number of fishing trips,</w:t>
      </w:r>
    </w:p>
    <w:p w:rsidR="00F50DA5" w14:paraId="6F6DA73E"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Questions about the launch characteristics (time, location, etc.) are compared to LPIS samples to determine if samples are representative of fishing activity,</w:t>
      </w:r>
    </w:p>
    <w:p w:rsidR="00F50DA5" w14:paraId="5CB5DAC0"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The targeted species is used to confirm that reported trips were LPS trips,</w:t>
      </w:r>
    </w:p>
    <w:p w:rsidR="00F50DA5" w14:paraId="4795E0E0"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Questions about trip characteristics (number of anglers, number of fishing lines, fishing method, etc.) are used to produce alternative measures of fishing effort,</w:t>
      </w:r>
    </w:p>
    <w:p w:rsidR="00F50DA5" w14:paraId="5BE0C525" w14:textId="77777777">
      <w:pPr>
        <w:numPr>
          <w:ilvl w:val="0"/>
          <w:numId w:val="3"/>
        </w:numPr>
        <w:pBdr>
          <w:top w:val="nil"/>
          <w:left w:val="nil"/>
          <w:bottom w:val="nil"/>
          <w:right w:val="nil"/>
          <w:between w:val="nil"/>
        </w:pBdr>
        <w:spacing w:after="120"/>
        <w:rPr>
          <w:color w:val="000000"/>
          <w:sz w:val="24"/>
          <w:szCs w:val="24"/>
        </w:rPr>
      </w:pPr>
      <w:r>
        <w:rPr>
          <w:color w:val="000000"/>
          <w:sz w:val="24"/>
          <w:szCs w:val="24"/>
        </w:rPr>
        <w:t>Catch questions are used to assess coverage of the LPIS (e.g., catch at private access sites not covered by the LPIS).</w:t>
      </w:r>
    </w:p>
    <w:p w:rsidR="00F50DA5" w14:paraId="58F7F920" w14:textId="77777777">
      <w:pPr>
        <w:pBdr>
          <w:top w:val="nil"/>
          <w:left w:val="nil"/>
          <w:bottom w:val="nil"/>
          <w:right w:val="nil"/>
          <w:between w:val="nil"/>
        </w:pBdr>
        <w:ind w:left="720"/>
        <w:rPr>
          <w:color w:val="000000"/>
          <w:sz w:val="24"/>
          <w:szCs w:val="24"/>
        </w:rPr>
      </w:pPr>
    </w:p>
    <w:p w:rsidR="00F50DA5" w14:paraId="3C1D34EA" w14:textId="77777777">
      <w:pPr>
        <w:pBdr>
          <w:top w:val="nil"/>
          <w:left w:val="nil"/>
          <w:bottom w:val="nil"/>
          <w:right w:val="nil"/>
          <w:between w:val="nil"/>
        </w:pBdr>
        <w:rPr>
          <w:color w:val="000000"/>
          <w:sz w:val="24"/>
          <w:szCs w:val="24"/>
        </w:rPr>
      </w:pPr>
      <w:r>
        <w:rPr>
          <w:color w:val="000000"/>
          <w:sz w:val="24"/>
          <w:szCs w:val="24"/>
        </w:rPr>
        <w:t>Large Pelagic Intercept Survey</w:t>
      </w:r>
    </w:p>
    <w:p w:rsidR="00F50DA5" w14:paraId="4783CB40" w14:textId="77777777">
      <w:pPr>
        <w:numPr>
          <w:ilvl w:val="0"/>
          <w:numId w:val="4"/>
        </w:numPr>
        <w:pBdr>
          <w:top w:val="nil"/>
          <w:left w:val="nil"/>
          <w:bottom w:val="nil"/>
          <w:right w:val="nil"/>
          <w:between w:val="nil"/>
        </w:pBdr>
        <w:spacing w:after="120"/>
        <w:rPr>
          <w:color w:val="000000"/>
          <w:sz w:val="24"/>
          <w:szCs w:val="24"/>
        </w:rPr>
      </w:pPr>
      <w:r>
        <w:rPr>
          <w:color w:val="000000"/>
          <w:sz w:val="24"/>
          <w:szCs w:val="24"/>
        </w:rPr>
        <w:t>Questions about permit status, registration numbers, and the name of the boat are used to determine if vessel is on LPTS sample frame,</w:t>
      </w:r>
    </w:p>
    <w:p w:rsidR="00F50DA5" w14:paraId="261932B7" w14:textId="77777777">
      <w:pPr>
        <w:numPr>
          <w:ilvl w:val="0"/>
          <w:numId w:val="4"/>
        </w:numPr>
        <w:pBdr>
          <w:top w:val="nil"/>
          <w:left w:val="nil"/>
          <w:bottom w:val="nil"/>
          <w:right w:val="nil"/>
          <w:between w:val="nil"/>
        </w:pBdr>
        <w:spacing w:after="120"/>
        <w:rPr>
          <w:color w:val="000000"/>
          <w:sz w:val="24"/>
          <w:szCs w:val="24"/>
        </w:rPr>
      </w:pPr>
      <w:r>
        <w:rPr>
          <w:color w:val="000000"/>
          <w:sz w:val="24"/>
          <w:szCs w:val="24"/>
        </w:rPr>
        <w:t>Targeted species is used to determine if the intercepted trip is eligible for the survey,</w:t>
      </w:r>
    </w:p>
    <w:p w:rsidR="00F50DA5" w14:paraId="2FBB4F81" w14:textId="77777777">
      <w:pPr>
        <w:numPr>
          <w:ilvl w:val="0"/>
          <w:numId w:val="4"/>
        </w:numPr>
        <w:pBdr>
          <w:top w:val="nil"/>
          <w:left w:val="nil"/>
          <w:bottom w:val="nil"/>
          <w:right w:val="nil"/>
          <w:between w:val="nil"/>
        </w:pBdr>
        <w:spacing w:after="120"/>
        <w:rPr>
          <w:color w:val="000000"/>
          <w:sz w:val="24"/>
          <w:szCs w:val="24"/>
        </w:rPr>
      </w:pPr>
      <w:r>
        <w:rPr>
          <w:color w:val="000000"/>
          <w:sz w:val="24"/>
          <w:szCs w:val="24"/>
        </w:rPr>
        <w:t>Number of fishing lines, number of people fishing, time spent fishing, bait and fishing method are used to estimate different measures of fishing effort,</w:t>
      </w:r>
    </w:p>
    <w:p w:rsidR="00F50DA5" w14:paraId="3FE5C41B" w14:textId="77777777">
      <w:pPr>
        <w:numPr>
          <w:ilvl w:val="0"/>
          <w:numId w:val="4"/>
        </w:numPr>
        <w:pBdr>
          <w:top w:val="nil"/>
          <w:left w:val="nil"/>
          <w:bottom w:val="nil"/>
          <w:right w:val="nil"/>
          <w:between w:val="nil"/>
        </w:pBdr>
        <w:spacing w:after="120"/>
        <w:rPr>
          <w:color w:val="000000"/>
          <w:sz w:val="24"/>
          <w:szCs w:val="24"/>
        </w:rPr>
      </w:pPr>
      <w:r>
        <w:rPr>
          <w:color w:val="000000"/>
          <w:sz w:val="24"/>
          <w:szCs w:val="24"/>
        </w:rPr>
        <w:t>Location of fishing and distance from shore distinguishes federal trips from state trips and provides more detailed spatial information on catch and effort</w:t>
      </w:r>
    </w:p>
    <w:p w:rsidR="00F50DA5" w14:paraId="6CA11B25" w14:textId="77777777">
      <w:pPr>
        <w:numPr>
          <w:ilvl w:val="0"/>
          <w:numId w:val="4"/>
        </w:numPr>
        <w:pBdr>
          <w:top w:val="nil"/>
          <w:left w:val="nil"/>
          <w:bottom w:val="nil"/>
          <w:right w:val="nil"/>
          <w:between w:val="nil"/>
        </w:pBdr>
        <w:spacing w:after="120"/>
        <w:rPr>
          <w:color w:val="000000"/>
          <w:sz w:val="24"/>
          <w:szCs w:val="24"/>
        </w:rPr>
      </w:pPr>
      <w:r>
        <w:rPr>
          <w:color w:val="000000"/>
          <w:sz w:val="24"/>
          <w:szCs w:val="24"/>
        </w:rPr>
        <w:t>Number caught by species is used to estimate catch rates,</w:t>
      </w:r>
    </w:p>
    <w:p w:rsidR="00F50DA5" w14:paraId="7B9B4463" w14:textId="77777777">
      <w:pPr>
        <w:pBdr>
          <w:top w:val="nil"/>
          <w:left w:val="nil"/>
          <w:bottom w:val="nil"/>
          <w:right w:val="nil"/>
          <w:between w:val="nil"/>
        </w:pBdr>
        <w:ind w:left="720"/>
        <w:rPr>
          <w:color w:val="000000"/>
          <w:sz w:val="24"/>
          <w:szCs w:val="24"/>
        </w:rPr>
      </w:pPr>
    </w:p>
    <w:p w:rsidR="00F50DA5" w14:paraId="0E9B842D" w14:textId="77777777">
      <w:pPr>
        <w:pBdr>
          <w:top w:val="nil"/>
          <w:left w:val="nil"/>
          <w:bottom w:val="nil"/>
          <w:right w:val="nil"/>
          <w:between w:val="nil"/>
        </w:pBdr>
        <w:rPr>
          <w:color w:val="000000"/>
          <w:sz w:val="24"/>
          <w:szCs w:val="24"/>
        </w:rPr>
      </w:pPr>
      <w:r>
        <w:rPr>
          <w:color w:val="000000"/>
          <w:sz w:val="24"/>
          <w:szCs w:val="24"/>
        </w:rPr>
        <w:t>Large Pelagic Biological Survey</w:t>
      </w:r>
    </w:p>
    <w:p w:rsidR="00F50DA5" w14:paraId="7F2A6FB6" w14:textId="77777777">
      <w:pPr>
        <w:numPr>
          <w:ilvl w:val="0"/>
          <w:numId w:val="5"/>
        </w:numPr>
        <w:pBdr>
          <w:top w:val="nil"/>
          <w:left w:val="nil"/>
          <w:bottom w:val="nil"/>
          <w:right w:val="nil"/>
          <w:between w:val="nil"/>
        </w:pBdr>
        <w:spacing w:after="120"/>
        <w:rPr>
          <w:color w:val="000000"/>
          <w:sz w:val="24"/>
          <w:szCs w:val="24"/>
        </w:rPr>
      </w:pPr>
      <w:r>
        <w:rPr>
          <w:color w:val="000000"/>
          <w:sz w:val="24"/>
          <w:szCs w:val="24"/>
        </w:rPr>
        <w:t>Name of the boat and Federal HMS fishing permit number determine if the vessel is included on the LPTS sample frame,</w:t>
      </w:r>
    </w:p>
    <w:p w:rsidR="00F50DA5" w14:paraId="1A0C9041" w14:textId="77777777">
      <w:pPr>
        <w:numPr>
          <w:ilvl w:val="0"/>
          <w:numId w:val="5"/>
        </w:numPr>
        <w:pBdr>
          <w:top w:val="nil"/>
          <w:left w:val="nil"/>
          <w:bottom w:val="nil"/>
          <w:right w:val="nil"/>
          <w:between w:val="nil"/>
        </w:pBdr>
        <w:spacing w:after="120"/>
        <w:rPr>
          <w:color w:val="000000"/>
          <w:sz w:val="24"/>
          <w:szCs w:val="24"/>
        </w:rPr>
      </w:pPr>
      <w:r>
        <w:rPr>
          <w:color w:val="000000"/>
          <w:sz w:val="24"/>
          <w:szCs w:val="24"/>
        </w:rPr>
        <w:t>Type of fishing is used to provide biological information by gear type,</w:t>
      </w:r>
    </w:p>
    <w:p w:rsidR="00F50DA5" w14:paraId="6F06E042" w14:textId="77777777">
      <w:pPr>
        <w:numPr>
          <w:ilvl w:val="0"/>
          <w:numId w:val="5"/>
        </w:numPr>
        <w:pBdr>
          <w:top w:val="nil"/>
          <w:left w:val="nil"/>
          <w:bottom w:val="nil"/>
          <w:right w:val="nil"/>
          <w:between w:val="nil"/>
        </w:pBdr>
        <w:spacing w:after="120"/>
        <w:rPr>
          <w:color w:val="000000"/>
          <w:sz w:val="24"/>
          <w:szCs w:val="24"/>
        </w:rPr>
      </w:pPr>
      <w:r>
        <w:rPr>
          <w:color w:val="000000"/>
          <w:sz w:val="24"/>
          <w:szCs w:val="24"/>
        </w:rPr>
        <w:t>Questions about tournament fishing are used to distinguish biological information for tournament and non-tournament fishing and determine if LPBS samples are representative of all types of fishing activity.</w:t>
      </w:r>
    </w:p>
    <w:p w:rsidR="00F50DA5" w14:paraId="75D62B3A" w14:textId="77777777">
      <w:pPr>
        <w:numPr>
          <w:ilvl w:val="0"/>
          <w:numId w:val="5"/>
        </w:numPr>
        <w:pBdr>
          <w:top w:val="nil"/>
          <w:left w:val="nil"/>
          <w:bottom w:val="nil"/>
          <w:right w:val="nil"/>
          <w:between w:val="nil"/>
        </w:pBdr>
        <w:spacing w:after="120"/>
        <w:rPr>
          <w:color w:val="000000"/>
          <w:sz w:val="24"/>
          <w:szCs w:val="24"/>
        </w:rPr>
      </w:pPr>
      <w:r>
        <w:rPr>
          <w:color w:val="000000"/>
          <w:sz w:val="24"/>
          <w:szCs w:val="24"/>
        </w:rPr>
        <w:t>Location of fishing is used to provide size distributions for different locations.</w:t>
      </w:r>
    </w:p>
    <w:p w:rsidR="00F50DA5" w14:paraId="34453599" w14:textId="77777777">
      <w:pPr>
        <w:pBdr>
          <w:top w:val="nil"/>
          <w:left w:val="nil"/>
          <w:bottom w:val="nil"/>
          <w:right w:val="nil"/>
          <w:between w:val="nil"/>
        </w:pBdr>
        <w:rPr>
          <w:color w:val="000000"/>
          <w:sz w:val="24"/>
          <w:szCs w:val="24"/>
        </w:rPr>
      </w:pPr>
    </w:p>
    <w:p w:rsidR="00F50DA5" w14:paraId="5E260D37" w14:textId="77777777">
      <w:pPr>
        <w:pBdr>
          <w:top w:val="nil"/>
          <w:left w:val="nil"/>
          <w:bottom w:val="nil"/>
          <w:right w:val="nil"/>
          <w:between w:val="nil"/>
        </w:pBdr>
        <w:rPr>
          <w:color w:val="000000"/>
          <w:sz w:val="24"/>
          <w:szCs w:val="24"/>
        </w:rPr>
      </w:pPr>
      <w:r>
        <w:rPr>
          <w:color w:val="000000"/>
          <w:sz w:val="24"/>
          <w:szCs w:val="24"/>
        </w:rPr>
        <w:t xml:space="preserve">LPIS Telephone Validation </w:t>
      </w:r>
    </w:p>
    <w:p w:rsidR="00F50DA5" w14:paraId="74D5E0A0" w14:textId="77777777">
      <w:pPr>
        <w:numPr>
          <w:ilvl w:val="0"/>
          <w:numId w:val="1"/>
        </w:numPr>
        <w:pBdr>
          <w:top w:val="nil"/>
          <w:left w:val="nil"/>
          <w:bottom w:val="nil"/>
          <w:right w:val="nil"/>
          <w:between w:val="nil"/>
        </w:pBdr>
        <w:spacing w:after="120"/>
        <w:rPr>
          <w:color w:val="000000"/>
          <w:sz w:val="24"/>
          <w:szCs w:val="24"/>
        </w:rPr>
      </w:pPr>
      <w:r>
        <w:rPr>
          <w:color w:val="000000"/>
          <w:sz w:val="24"/>
          <w:szCs w:val="24"/>
        </w:rPr>
        <w:t>Questions about the boat name and fishing site name are used to confirm the identity of the respondent,</w:t>
      </w:r>
    </w:p>
    <w:p w:rsidR="00F50DA5" w14:paraId="4C175EAC" w14:textId="383E06B0">
      <w:pPr>
        <w:numPr>
          <w:ilvl w:val="0"/>
          <w:numId w:val="1"/>
        </w:numPr>
        <w:pBdr>
          <w:top w:val="nil"/>
          <w:left w:val="nil"/>
          <w:bottom w:val="nil"/>
          <w:right w:val="nil"/>
          <w:between w:val="nil"/>
        </w:pBdr>
        <w:spacing w:after="120"/>
        <w:rPr>
          <w:color w:val="000000"/>
          <w:sz w:val="24"/>
          <w:szCs w:val="24"/>
        </w:rPr>
      </w:pPr>
      <w:r>
        <w:rPr>
          <w:color w:val="000000"/>
          <w:sz w:val="24"/>
          <w:szCs w:val="24"/>
        </w:rPr>
        <w:t>A question is asked to confirm that the respondent was interviewed for the LPIS,</w:t>
      </w:r>
    </w:p>
    <w:p w:rsidR="00F50DA5" w14:paraId="3797D2C3" w14:textId="77777777">
      <w:pPr>
        <w:numPr>
          <w:ilvl w:val="0"/>
          <w:numId w:val="1"/>
        </w:numPr>
        <w:pBdr>
          <w:top w:val="nil"/>
          <w:left w:val="nil"/>
          <w:bottom w:val="nil"/>
          <w:right w:val="nil"/>
          <w:between w:val="nil"/>
        </w:pBdr>
        <w:spacing w:after="120"/>
        <w:rPr>
          <w:color w:val="000000"/>
          <w:sz w:val="24"/>
          <w:szCs w:val="24"/>
        </w:rPr>
      </w:pPr>
      <w:r>
        <w:rPr>
          <w:color w:val="000000"/>
          <w:sz w:val="24"/>
          <w:szCs w:val="24"/>
        </w:rPr>
        <w:t>Questions about targeted species and catch are used to confirm that LPIS responses are accurate and recorded properly,</w:t>
      </w:r>
    </w:p>
    <w:p w:rsidR="00F50DA5" w14:paraId="567D5A5B" w14:textId="77777777">
      <w:pPr>
        <w:numPr>
          <w:ilvl w:val="0"/>
          <w:numId w:val="1"/>
        </w:numPr>
        <w:pBdr>
          <w:top w:val="nil"/>
          <w:left w:val="nil"/>
          <w:bottom w:val="nil"/>
          <w:right w:val="nil"/>
          <w:between w:val="nil"/>
        </w:pBdr>
        <w:spacing w:after="120"/>
        <w:rPr>
          <w:color w:val="000000"/>
          <w:sz w:val="24"/>
          <w:szCs w:val="24"/>
        </w:rPr>
      </w:pPr>
      <w:r>
        <w:rPr>
          <w:color w:val="000000"/>
          <w:sz w:val="24"/>
          <w:szCs w:val="24"/>
        </w:rPr>
        <w:t>Questions about the activity of the LPIS interviewer are asked to confirm that the LPIS interview was conducted properly.</w:t>
      </w:r>
    </w:p>
    <w:p w:rsidR="00F50DA5" w14:paraId="220034E5" w14:textId="77777777">
      <w:pPr>
        <w:pBdr>
          <w:top w:val="nil"/>
          <w:left w:val="nil"/>
          <w:bottom w:val="nil"/>
          <w:right w:val="nil"/>
          <w:between w:val="nil"/>
        </w:pBdr>
        <w:ind w:right="93"/>
        <w:rPr>
          <w:color w:val="000000"/>
          <w:sz w:val="24"/>
          <w:szCs w:val="24"/>
        </w:rPr>
      </w:pPr>
    </w:p>
    <w:p w:rsidR="00F50DA5" w14:paraId="7CF9F4E1" w14:textId="1ACB88BC">
      <w:pPr>
        <w:pBdr>
          <w:top w:val="nil"/>
          <w:left w:val="nil"/>
          <w:bottom w:val="nil"/>
          <w:right w:val="nil"/>
          <w:between w:val="nil"/>
        </w:pBdr>
        <w:ind w:right="103"/>
        <w:rPr>
          <w:color w:val="000000"/>
          <w:sz w:val="24"/>
          <w:szCs w:val="24"/>
        </w:rPr>
      </w:pPr>
      <w:r>
        <w:rPr>
          <w:color w:val="000000"/>
          <w:sz w:val="24"/>
          <w:szCs w:val="24"/>
        </w:rPr>
        <w:t xml:space="preserve">It is anticipated that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9">
        <w:r>
          <w:rPr>
            <w:color w:val="0563C1"/>
            <w:sz w:val="24"/>
            <w:szCs w:val="24"/>
            <w:u w:val="single"/>
          </w:rPr>
          <w:t>Section 515 of Public Law 106-554</w:t>
        </w:r>
      </w:hyperlink>
      <w:r>
        <w:rPr>
          <w:color w:val="000000"/>
          <w:sz w:val="24"/>
          <w:szCs w:val="24"/>
        </w:rPr>
        <w:t xml:space="preserve">.  </w:t>
      </w:r>
    </w:p>
    <w:p w:rsidR="00F50DA5" w14:paraId="1C3444B7" w14:textId="77777777">
      <w:pPr>
        <w:rPr>
          <w:sz w:val="24"/>
          <w:szCs w:val="24"/>
        </w:rPr>
      </w:pPr>
    </w:p>
    <w:p w:rsidR="00BA5FBC" w:rsidRPr="00BA5FBC" w:rsidP="00BA5FBC" w14:paraId="5CE116EE" w14:textId="77777777">
      <w:pPr>
        <w:numPr>
          <w:ilvl w:val="0"/>
          <w:numId w:val="6"/>
        </w:numPr>
        <w:pBdr>
          <w:top w:val="nil"/>
          <w:left w:val="nil"/>
          <w:bottom w:val="nil"/>
          <w:right w:val="nil"/>
          <w:between w:val="nil"/>
        </w:pBdr>
        <w:tabs>
          <w:tab w:val="left" w:pos="360"/>
        </w:tabs>
        <w:spacing w:before="199"/>
        <w:ind w:left="0" w:firstLine="0"/>
        <w:rPr>
          <w:b/>
          <w:color w:val="000000"/>
          <w:sz w:val="24"/>
          <w:szCs w:val="24"/>
        </w:rPr>
      </w:pPr>
      <w:r w:rsidRPr="00BA5FBC">
        <w:rPr>
          <w:b/>
          <w:color w:val="00000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50DA5" w14:paraId="4E879A57" w14:textId="77777777">
      <w:pPr>
        <w:pBdr>
          <w:top w:val="nil"/>
          <w:left w:val="nil"/>
          <w:bottom w:val="nil"/>
          <w:right w:val="nil"/>
          <w:between w:val="nil"/>
        </w:pBdr>
        <w:rPr>
          <w:color w:val="000000"/>
          <w:sz w:val="24"/>
          <w:szCs w:val="24"/>
        </w:rPr>
      </w:pPr>
    </w:p>
    <w:p w:rsidR="00F50DA5" w14:paraId="4338D944" w14:textId="35C9AAB3">
      <w:pPr>
        <w:pBdr>
          <w:top w:val="nil"/>
          <w:left w:val="nil"/>
          <w:bottom w:val="nil"/>
          <w:right w:val="nil"/>
          <w:between w:val="nil"/>
        </w:pBdr>
        <w:rPr>
          <w:color w:val="000000"/>
          <w:sz w:val="24"/>
          <w:szCs w:val="24"/>
        </w:rPr>
      </w:pPr>
      <w:r>
        <w:rPr>
          <w:color w:val="000000"/>
          <w:sz w:val="24"/>
          <w:szCs w:val="24"/>
        </w:rPr>
        <w:t xml:space="preserve">LPS Dockside interview forms (both intercept and biological sampling) are scanned using Optical Character Recognition (OCR) technology for maximum efficiency and data accuracy. The Large Pelagic Telephone Survey utilizes Computer-Assisted Telephone Interviewing (CATI) technology with built-in error and logic checks and skip patterns that both reduce the response burden and improve on data quality.  </w:t>
      </w:r>
    </w:p>
    <w:p w:rsidR="00F50DA5" w14:paraId="76F3E17D" w14:textId="77777777">
      <w:pPr>
        <w:rPr>
          <w:sz w:val="24"/>
          <w:szCs w:val="24"/>
        </w:rPr>
      </w:pPr>
    </w:p>
    <w:p w:rsidR="00BA5FBC" w:rsidRPr="00BA5FBC" w:rsidP="00BA5FBC" w14:paraId="713A16CB"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Describe efforts to identify duplication. Show specifically why any similar information already available cannot be used or modified for use for the purposes described in Question 2</w:t>
      </w:r>
    </w:p>
    <w:p w:rsidR="00F50DA5" w14:paraId="48E65696" w14:textId="77777777">
      <w:pPr>
        <w:rPr>
          <w:sz w:val="24"/>
          <w:szCs w:val="24"/>
        </w:rPr>
      </w:pPr>
    </w:p>
    <w:p w:rsidR="00F50DA5" w14:paraId="47949BEC" w14:textId="426D6517">
      <w:pPr>
        <w:pBdr>
          <w:top w:val="nil"/>
          <w:left w:val="nil"/>
          <w:bottom w:val="nil"/>
          <w:right w:val="nil"/>
          <w:between w:val="nil"/>
        </w:pBdr>
        <w:ind w:right="380"/>
        <w:rPr>
          <w:color w:val="000000"/>
          <w:sz w:val="24"/>
          <w:szCs w:val="24"/>
        </w:rPr>
      </w:pPr>
      <w:r>
        <w:rPr>
          <w:color w:val="000000"/>
          <w:sz w:val="24"/>
          <w:szCs w:val="24"/>
        </w:rPr>
        <w:t xml:space="preserve">NMFS has the lead Federal responsibility for collection of data from marine recreational fishermen and coordinates informational needs with other agencies.  NMFS has also worked with State fishery agencies each year to coordinate data collection efforts and avoid duplication.  In some cases, State personnel </w:t>
      </w:r>
      <w:r w:rsidR="000276B8">
        <w:rPr>
          <w:color w:val="000000"/>
          <w:sz w:val="24"/>
          <w:szCs w:val="24"/>
        </w:rPr>
        <w:t xml:space="preserve">working </w:t>
      </w:r>
      <w:r>
        <w:rPr>
          <w:color w:val="000000"/>
          <w:sz w:val="24"/>
          <w:szCs w:val="24"/>
        </w:rPr>
        <w:t xml:space="preserve">under </w:t>
      </w:r>
      <w:r w:rsidR="000276B8">
        <w:rPr>
          <w:color w:val="000000"/>
          <w:sz w:val="24"/>
          <w:szCs w:val="24"/>
        </w:rPr>
        <w:t xml:space="preserve">cooperative agreement </w:t>
      </w:r>
      <w:r>
        <w:rPr>
          <w:color w:val="000000"/>
          <w:sz w:val="24"/>
          <w:szCs w:val="24"/>
        </w:rPr>
        <w:t xml:space="preserve">to conduct </w:t>
      </w:r>
      <w:r>
        <w:rPr>
          <w:color w:val="000000"/>
          <w:sz w:val="24"/>
          <w:szCs w:val="24"/>
        </w:rPr>
        <w:t xml:space="preserve">field interviewing.  A specialized data collection such as the LPS overlaps to a minor extent with NMFS’ more comprehensive Marine Recreational Information Program (MRIP) surveys (0648-0652 and 0648-0659). Such overlap is minimal because the MRIP is designed to cover marine recreational fishing for all finfish species, including many sites on inland bays and estuaries. Because large pelagic species typically occur further offshore, requiring larger vessels and specialized gear, the participants tend to use specific ports located at points of ocean access. Contacts with anglers who fished for large pelagic species are relatively rare in the MRIP samples and relatively few respondents are surveyed by both the LPS and the MRIP in a given year. However, anglers who fish for large pelagic species, but also fish for other species, are not excluded from MRIP sampling because representative sampling of their fishing trips in relation to other marine recreational angler fishing trips is necessary to avoid biasing catch estimates for any given species. </w:t>
      </w:r>
    </w:p>
    <w:p w:rsidR="00F50DA5" w14:paraId="2B2E8800" w14:textId="77777777">
      <w:pPr>
        <w:pBdr>
          <w:top w:val="nil"/>
          <w:left w:val="nil"/>
          <w:bottom w:val="nil"/>
          <w:right w:val="nil"/>
          <w:between w:val="nil"/>
        </w:pBdr>
        <w:ind w:right="380"/>
        <w:rPr>
          <w:color w:val="000000"/>
          <w:sz w:val="24"/>
          <w:szCs w:val="24"/>
        </w:rPr>
      </w:pPr>
      <w:r>
        <w:rPr>
          <w:color w:val="000000"/>
          <w:sz w:val="24"/>
          <w:szCs w:val="24"/>
        </w:rPr>
        <w:t xml:space="preserve"> </w:t>
      </w:r>
    </w:p>
    <w:p w:rsidR="00F50DA5" w14:paraId="3324249E" w14:textId="77777777">
      <w:pPr>
        <w:pBdr>
          <w:top w:val="nil"/>
          <w:left w:val="nil"/>
          <w:bottom w:val="nil"/>
          <w:right w:val="nil"/>
          <w:between w:val="nil"/>
        </w:pBdr>
        <w:rPr>
          <w:color w:val="000000"/>
          <w:sz w:val="24"/>
          <w:szCs w:val="24"/>
        </w:rPr>
      </w:pPr>
      <w:r>
        <w:rPr>
          <w:color w:val="000000"/>
          <w:sz w:val="24"/>
          <w:szCs w:val="24"/>
        </w:rPr>
        <w:t xml:space="preserve">NMFS also requires anglers to report their landings of Atlantic </w:t>
      </w:r>
      <w:r>
        <w:rPr>
          <w:color w:val="000000"/>
          <w:sz w:val="24"/>
          <w:szCs w:val="24"/>
        </w:rPr>
        <w:t>bluefin</w:t>
      </w:r>
      <w:r>
        <w:rPr>
          <w:color w:val="000000"/>
          <w:sz w:val="24"/>
          <w:szCs w:val="24"/>
        </w:rPr>
        <w:t xml:space="preserve"> tuna and billfish directly via a toll-free number, via the internet, or via landings cards in the states of North Carolina and Maryland for real-time quota monitoring.  This requirement is covered under OMB No. 0648-0328.  Although these other data collections overlap to a minor extent with the LPS (i.e., only trips landing </w:t>
      </w:r>
      <w:r>
        <w:rPr>
          <w:color w:val="000000"/>
          <w:sz w:val="24"/>
          <w:szCs w:val="24"/>
        </w:rPr>
        <w:t>bluefin</w:t>
      </w:r>
      <w:r>
        <w:rPr>
          <w:color w:val="000000"/>
          <w:sz w:val="24"/>
          <w:szCs w:val="24"/>
        </w:rPr>
        <w:t xml:space="preserve"> tuna, billfish, or swordfish are affected), they do not collect information on all the other finfish species caught on large pelagic fishing trips nor do they collect information on fish released or discarded, which is needed for Federal fisheries management.  The LPS is the only survey designed to obtain accurate and precise marine recreational fishery catch information for all large pelagic species. In addition, to the extent overlap occurs (e.g., a person directly reporting </w:t>
      </w:r>
      <w:r>
        <w:rPr>
          <w:color w:val="000000"/>
          <w:sz w:val="24"/>
          <w:szCs w:val="24"/>
        </w:rPr>
        <w:t>bluefin</w:t>
      </w:r>
      <w:r>
        <w:rPr>
          <w:color w:val="000000"/>
          <w:sz w:val="24"/>
          <w:szCs w:val="24"/>
        </w:rPr>
        <w:t xml:space="preserve"> tuna is also selected for a dockside or telephone interview), the information is useful to assess compliance with the direct reporting requirement. Therefore, data from these other programs have been used in a complementary manner along with LPS data.   </w:t>
      </w:r>
    </w:p>
    <w:p w:rsidR="00F50DA5" w14:paraId="0C9D9938" w14:textId="77777777">
      <w:pPr>
        <w:rPr>
          <w:sz w:val="24"/>
          <w:szCs w:val="24"/>
        </w:rPr>
      </w:pPr>
    </w:p>
    <w:p w:rsidR="00BA5FBC" w:rsidRPr="00BA5FBC" w:rsidP="00BA5FBC" w14:paraId="6326E720"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If the collection of information impacts small businesses or other small entities, describe any methods used to minimize burden.</w:t>
      </w:r>
    </w:p>
    <w:p w:rsidR="00F50DA5" w14:paraId="2CC37651" w14:textId="77777777">
      <w:pPr>
        <w:pBdr>
          <w:top w:val="nil"/>
          <w:left w:val="nil"/>
          <w:bottom w:val="nil"/>
          <w:right w:val="nil"/>
          <w:between w:val="nil"/>
        </w:pBdr>
        <w:ind w:right="103"/>
        <w:rPr>
          <w:color w:val="000000"/>
          <w:sz w:val="24"/>
          <w:szCs w:val="24"/>
        </w:rPr>
      </w:pPr>
    </w:p>
    <w:p w:rsidR="00F50DA5" w14:paraId="619EDF9C" w14:textId="77777777">
      <w:pPr>
        <w:pBdr>
          <w:top w:val="nil"/>
          <w:left w:val="nil"/>
          <w:bottom w:val="nil"/>
          <w:right w:val="nil"/>
          <w:between w:val="nil"/>
        </w:pBdr>
        <w:ind w:right="103"/>
        <w:rPr>
          <w:color w:val="000000"/>
          <w:sz w:val="24"/>
          <w:szCs w:val="24"/>
        </w:rPr>
      </w:pPr>
      <w:r>
        <w:rPr>
          <w:color w:val="000000"/>
          <w:sz w:val="24"/>
          <w:szCs w:val="24"/>
        </w:rPr>
        <w:t xml:space="preserve">Most LPS respondents represent recreational vessels, however some respondents represent for-hire vessels (i.e. charter boats). All charter boat respondents to the LPS are considered to be small businesses. Charter boat businesses are frequent respondents due to the high level of fishing effort relative to private recreational vessels. The survey instruments have been restricted in length to minimize response time per interview, and randomized sampling will distribute dockside reporting burdens among individual charter boat operators. </w:t>
      </w:r>
    </w:p>
    <w:p w:rsidR="00F50DA5" w14:paraId="26F549E0" w14:textId="77777777">
      <w:pPr>
        <w:rPr>
          <w:sz w:val="24"/>
          <w:szCs w:val="24"/>
        </w:rPr>
      </w:pPr>
    </w:p>
    <w:p w:rsidR="00F50DA5" w14:paraId="2B1FE6ED" w14:textId="77777777">
      <w:pPr>
        <w:rPr>
          <w:sz w:val="24"/>
          <w:szCs w:val="24"/>
        </w:rPr>
      </w:pPr>
    </w:p>
    <w:p w:rsidR="00BA5FBC" w:rsidRPr="00BA5FBC" w:rsidP="00BA5FBC" w14:paraId="0002DE73"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Describe the consequence to Federal program or policy activities if the collection is not conducted or is conducted less frequently, as well as any technical or legal obstacles to reducing burden.</w:t>
      </w:r>
    </w:p>
    <w:p w:rsidR="00F50DA5" w14:paraId="282E789E" w14:textId="77777777">
      <w:pPr>
        <w:rPr>
          <w:sz w:val="24"/>
          <w:szCs w:val="24"/>
        </w:rPr>
      </w:pPr>
    </w:p>
    <w:p w:rsidR="00F50DA5" w14:paraId="19D60B89" w14:textId="77777777">
      <w:pPr>
        <w:pBdr>
          <w:top w:val="nil"/>
          <w:left w:val="nil"/>
          <w:bottom w:val="nil"/>
          <w:right w:val="nil"/>
          <w:between w:val="nil"/>
        </w:pBdr>
        <w:rPr>
          <w:color w:val="000000"/>
          <w:sz w:val="24"/>
          <w:szCs w:val="24"/>
        </w:rPr>
      </w:pPr>
      <w:r>
        <w:rPr>
          <w:color w:val="000000"/>
          <w:sz w:val="24"/>
          <w:szCs w:val="24"/>
        </w:rPr>
        <w:t xml:space="preserve">An annual survey of recreational anglers is required to monitor changing conditions in the fishery and support modifications in fishery regulations for each fishing year.  A continuous time series of data is scientifically essential. Without continued data collections, the U.S. would not be able to meet essential monitoring and reporting requirements to international treaties that we are party to and domestic management of highly migratory species would be compromised </w:t>
      </w:r>
      <w:r>
        <w:rPr>
          <w:color w:val="000000"/>
          <w:sz w:val="24"/>
          <w:szCs w:val="24"/>
        </w:rPr>
        <w:t xml:space="preserve">significantly.  Due to shifting migratory patterns, spatial availability to recreational anglers, pulse-like nature of these fisheries, and other factors, landings and size distribution of many large </w:t>
      </w:r>
      <w:r>
        <w:rPr>
          <w:color w:val="000000"/>
          <w:sz w:val="24"/>
          <w:szCs w:val="24"/>
        </w:rPr>
        <w:t>pelagics</w:t>
      </w:r>
      <w:r>
        <w:rPr>
          <w:color w:val="000000"/>
          <w:sz w:val="24"/>
          <w:szCs w:val="24"/>
        </w:rPr>
        <w:t xml:space="preserve"> fluctuate significantly from year to year.  Important changes taking place in the fishery and the stock status may be undetected if the LPS were not conducted every year. </w:t>
      </w:r>
    </w:p>
    <w:p w:rsidR="00F50DA5" w14:paraId="438551D9" w14:textId="77777777">
      <w:pPr>
        <w:rPr>
          <w:sz w:val="24"/>
          <w:szCs w:val="24"/>
        </w:rPr>
      </w:pPr>
    </w:p>
    <w:p w:rsidR="00F50DA5" w14:paraId="6CA1CBD2" w14:textId="77777777">
      <w:pPr>
        <w:rPr>
          <w:sz w:val="24"/>
          <w:szCs w:val="24"/>
        </w:rPr>
      </w:pPr>
    </w:p>
    <w:p w:rsidR="00BA5FBC" w:rsidRPr="00BA5FBC" w:rsidP="00BA5FBC" w14:paraId="0466E69A"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Explain any special circumstances that would cause an information collection to be conducted in a manner inconsistent with OMB guidelines.</w:t>
      </w:r>
    </w:p>
    <w:p w:rsidR="00F50DA5" w14:paraId="421C46B4" w14:textId="77777777">
      <w:pPr>
        <w:rPr>
          <w:sz w:val="24"/>
          <w:szCs w:val="24"/>
        </w:rPr>
      </w:pPr>
    </w:p>
    <w:p w:rsidR="00F50DA5" w14:paraId="51D1365D" w14:textId="77777777">
      <w:pPr>
        <w:pBdr>
          <w:top w:val="nil"/>
          <w:left w:val="nil"/>
          <w:bottom w:val="nil"/>
          <w:right w:val="nil"/>
          <w:between w:val="nil"/>
        </w:pBdr>
        <w:rPr>
          <w:color w:val="000000"/>
          <w:sz w:val="24"/>
          <w:szCs w:val="24"/>
        </w:rPr>
      </w:pPr>
      <w:r>
        <w:rPr>
          <w:color w:val="000000"/>
          <w:sz w:val="24"/>
          <w:szCs w:val="24"/>
        </w:rPr>
        <w:t>This collection will be conducted in a manner consistent with OMB guidelines.</w:t>
      </w:r>
    </w:p>
    <w:p w:rsidR="00F50DA5" w14:paraId="621F78DB" w14:textId="77777777">
      <w:pPr>
        <w:rPr>
          <w:sz w:val="24"/>
          <w:szCs w:val="24"/>
        </w:rPr>
      </w:pPr>
    </w:p>
    <w:p w:rsidR="00F50DA5" w14:paraId="6C6C590D" w14:textId="77777777">
      <w:pPr>
        <w:rPr>
          <w:b/>
          <w:sz w:val="24"/>
          <w:szCs w:val="24"/>
        </w:rPr>
      </w:pPr>
    </w:p>
    <w:p w:rsidR="00BA5FBC" w:rsidRPr="00BA5FBC" w:rsidP="00BA5FBC" w14:paraId="3324DCA3"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50DA5" w14:paraId="33271A99" w14:textId="77777777">
      <w:pPr>
        <w:tabs>
          <w:tab w:val="left" w:pos="540"/>
        </w:tabs>
        <w:ind w:left="540" w:hanging="540"/>
        <w:rPr>
          <w:sz w:val="24"/>
          <w:szCs w:val="24"/>
        </w:rPr>
      </w:pPr>
    </w:p>
    <w:p w:rsidR="00F50DA5" w14:paraId="7E344136" w14:textId="583B8C08">
      <w:pPr>
        <w:rPr>
          <w:sz w:val="24"/>
          <w:szCs w:val="24"/>
        </w:rPr>
      </w:pPr>
      <w:r>
        <w:rPr>
          <w:sz w:val="24"/>
          <w:szCs w:val="24"/>
        </w:rPr>
        <w:t xml:space="preserve">A </w:t>
      </w:r>
      <w:r>
        <w:rPr>
          <w:sz w:val="24"/>
          <w:szCs w:val="24"/>
          <w:u w:val="single"/>
        </w:rPr>
        <w:t>Federal Register</w:t>
      </w:r>
      <w:r>
        <w:rPr>
          <w:sz w:val="24"/>
          <w:szCs w:val="24"/>
        </w:rPr>
        <w:t xml:space="preserve"> Notice published on </w:t>
      </w:r>
      <w:r w:rsidR="00020094">
        <w:rPr>
          <w:sz w:val="24"/>
          <w:szCs w:val="24"/>
        </w:rPr>
        <w:t xml:space="preserve">November 6, 2023 </w:t>
      </w:r>
      <w:hyperlink r:id="rId10" w:history="1">
        <w:r w:rsidRPr="00BF2ED2" w:rsidR="00020094">
          <w:rPr>
            <w:rStyle w:val="Hyperlink"/>
            <w:sz w:val="24"/>
            <w:szCs w:val="24"/>
          </w:rPr>
          <w:t>(</w:t>
        </w:r>
        <w:r w:rsidRPr="00BF2ED2" w:rsidR="00BF2ED2">
          <w:rPr>
            <w:rStyle w:val="Hyperlink"/>
            <w:sz w:val="24"/>
            <w:szCs w:val="24"/>
          </w:rPr>
          <w:t>88 FR 76188</w:t>
        </w:r>
        <w:r w:rsidRPr="00BF2ED2" w:rsidR="00020094">
          <w:rPr>
            <w:rStyle w:val="Hyperlink"/>
            <w:sz w:val="24"/>
            <w:szCs w:val="24"/>
          </w:rPr>
          <w:t>)</w:t>
        </w:r>
      </w:hyperlink>
      <w:r>
        <w:rPr>
          <w:sz w:val="24"/>
          <w:szCs w:val="24"/>
        </w:rPr>
        <w:t xml:space="preserve"> solicited public comments. No comments were received. MRIP is a collaborative effort among government agencies, independent scientists, recreational fishing groups and conservation organizations to ensure scientifically rigorous collection of appropriate information that meets manager and stakeholder needs.  Subsequently, MRIP staff members maintain regular communication with customers, through workshops, workgroup meetings and one-on-one consultations.  For example, The MRIP Executive Steering Committee (ESC), which includes senior managers from NOAA Fisheries, the Executive Directors of the Interstate Marine Fisheries Commissions, and a representative from the Marine Fisheries Advisory Committee, provides general oversight of MRIP and ensures that the program satisfies Federal, state and stakeholder needs for recreational fishing statistics.  The ESC meets annually to review program activities, strategically allocate funds to address data needs and approve research priorities.  Similarly, the MRIP Survey Operations Team (SOT), which is responsible for developing and testing improved data collection designs, includes representatives from NOAA Fisheries headquarters, regional offices and science centers, the Interstate Marine Fisheries Commissions and state natural resource agencies.  The OT meets 1-2 times each year to identify regional and state needs for recreational fishing statistics and develop research priorities.  </w:t>
      </w:r>
    </w:p>
    <w:p w:rsidR="00F50DA5" w14:paraId="35B6A875" w14:textId="77777777">
      <w:pPr>
        <w:rPr>
          <w:sz w:val="24"/>
          <w:szCs w:val="24"/>
        </w:rPr>
      </w:pPr>
    </w:p>
    <w:p w:rsidR="00F50DA5" w14:paraId="3B696373" w14:textId="77777777">
      <w:pPr>
        <w:rPr>
          <w:sz w:val="24"/>
          <w:szCs w:val="24"/>
        </w:rPr>
      </w:pPr>
      <w:r>
        <w:rPr>
          <w:sz w:val="24"/>
          <w:szCs w:val="24"/>
        </w:rPr>
        <w:t>In addition, NOAA staff participate in biannual meetings with the Atlantic Highly Migratory Species Advisory Panel (HMS AP), which represents commercial and recreational fishing interests, the scientific community, and the environmental community who are knowledgeable about Atlantic HMS and/or Atlantic HMS fisheries.  Recent feedback and questions resulting from NMFS HMS Management Division meetings and HMS AP meetings include the following:</w:t>
      </w:r>
    </w:p>
    <w:p w:rsidR="00F50DA5" w14:paraId="55190F8A" w14:textId="53339FDF">
      <w:pPr>
        <w:spacing w:before="120"/>
        <w:rPr>
          <w:sz w:val="24"/>
          <w:szCs w:val="24"/>
        </w:rPr>
      </w:pPr>
      <w:r>
        <w:rPr>
          <w:sz w:val="24"/>
          <w:szCs w:val="24"/>
        </w:rPr>
        <w:t>•</w:t>
      </w:r>
      <w:r>
        <w:rPr>
          <w:sz w:val="24"/>
          <w:szCs w:val="24"/>
        </w:rPr>
        <w:tab/>
        <w:t>Optimize sampling to improve standard errors for rare event species.  Response: We regularly evaluate sampling allocations and consider changes to the allocations to improve the precision of data collections.</w:t>
      </w:r>
    </w:p>
    <w:p w:rsidR="00F50DA5" w14:paraId="3D75F607" w14:textId="77777777">
      <w:pPr>
        <w:spacing w:before="120"/>
        <w:rPr>
          <w:sz w:val="24"/>
          <w:szCs w:val="24"/>
        </w:rPr>
      </w:pPr>
      <w:r>
        <w:rPr>
          <w:sz w:val="24"/>
          <w:szCs w:val="24"/>
        </w:rPr>
        <w:t>•</w:t>
      </w:r>
      <w:r>
        <w:rPr>
          <w:sz w:val="24"/>
          <w:szCs w:val="24"/>
        </w:rPr>
        <w:tab/>
        <w:t>Expand HMS data collections to additional regions.  Response: Expansion of data collections to additional regions is contingent upon the availability of additional funding.</w:t>
      </w:r>
    </w:p>
    <w:p w:rsidR="00F50DA5" w14:paraId="716C3CA9" w14:textId="77777777">
      <w:pPr>
        <w:spacing w:before="120"/>
        <w:rPr>
          <w:sz w:val="24"/>
          <w:szCs w:val="24"/>
        </w:rPr>
      </w:pPr>
      <w:r>
        <w:rPr>
          <w:sz w:val="24"/>
          <w:szCs w:val="24"/>
        </w:rPr>
        <w:t>•</w:t>
      </w:r>
      <w:r>
        <w:rPr>
          <w:sz w:val="24"/>
          <w:szCs w:val="24"/>
        </w:rPr>
        <w:tab/>
        <w:t>Consolidate different reporting requirements into single data collection.  Response:  Over the past several years, we have integrated the LPS with mandatory reporting requirements in North Carolina in Maryland.  In addition, MRIP is collaborating with state and Federal partners to design and test logbook data collections for federally permitted vessels.</w:t>
      </w:r>
    </w:p>
    <w:p w:rsidR="00F50DA5" w14:paraId="60602298" w14:textId="335B678F">
      <w:pPr>
        <w:spacing w:before="120"/>
        <w:rPr>
          <w:sz w:val="24"/>
          <w:szCs w:val="24"/>
        </w:rPr>
      </w:pPr>
      <w:r>
        <w:rPr>
          <w:sz w:val="24"/>
          <w:szCs w:val="24"/>
        </w:rPr>
        <w:tab/>
      </w:r>
    </w:p>
    <w:p w:rsidR="00BA5FBC" w:rsidRPr="00BA5FBC" w:rsidP="00BA5FBC" w14:paraId="3D2AC590"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Explain any decision to provide any payment or gift to respondents, other than remuneration of contractors or grantees.</w:t>
      </w:r>
    </w:p>
    <w:p w:rsidR="00F50DA5" w14:paraId="7A0B5396" w14:textId="77777777">
      <w:pPr>
        <w:rPr>
          <w:sz w:val="24"/>
          <w:szCs w:val="24"/>
        </w:rPr>
      </w:pPr>
    </w:p>
    <w:p w:rsidR="00F50DA5" w14:paraId="1F92A093" w14:textId="77777777">
      <w:pPr>
        <w:pBdr>
          <w:top w:val="nil"/>
          <w:left w:val="nil"/>
          <w:bottom w:val="nil"/>
          <w:right w:val="nil"/>
          <w:between w:val="nil"/>
        </w:pBdr>
        <w:rPr>
          <w:color w:val="000000"/>
          <w:sz w:val="24"/>
          <w:szCs w:val="24"/>
        </w:rPr>
      </w:pPr>
      <w:r>
        <w:rPr>
          <w:color w:val="000000"/>
          <w:sz w:val="24"/>
          <w:szCs w:val="24"/>
        </w:rPr>
        <w:t xml:space="preserve">Neither payments nor gifts will be provided to respondents. </w:t>
      </w:r>
    </w:p>
    <w:p w:rsidR="00F50DA5" w14:paraId="5726DD46" w14:textId="77777777">
      <w:pPr>
        <w:rPr>
          <w:sz w:val="24"/>
          <w:szCs w:val="24"/>
        </w:rPr>
      </w:pPr>
    </w:p>
    <w:p w:rsidR="00F50DA5" w14:paraId="0903B746" w14:textId="77777777">
      <w:pPr>
        <w:rPr>
          <w:sz w:val="24"/>
          <w:szCs w:val="24"/>
        </w:rPr>
      </w:pPr>
    </w:p>
    <w:p w:rsidR="00BA5FBC" w:rsidRPr="00BA5FBC" w:rsidP="00BA5FBC" w14:paraId="7C234D87"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F50DA5" w14:paraId="41EC507C" w14:textId="77777777">
      <w:pPr>
        <w:rPr>
          <w:sz w:val="24"/>
          <w:szCs w:val="24"/>
        </w:rPr>
      </w:pPr>
    </w:p>
    <w:p w:rsidR="00F50DA5" w14:paraId="21D87333" w14:textId="297D6541">
      <w:pPr>
        <w:widowControl/>
        <w:rPr>
          <w:sz w:val="24"/>
          <w:szCs w:val="24"/>
        </w:rPr>
      </w:pPr>
      <w:r>
        <w:rPr>
          <w:sz w:val="24"/>
          <w:szCs w:val="24"/>
        </w:rPr>
        <w:t xml:space="preserve">Responses to LPS questions by federally permitted fishing vessels are mandatory.  Consequently, responses are kept confidential as required by section 402(b) of the Magnuson-Stevens and </w:t>
      </w:r>
      <w:hyperlink r:id="rId11">
        <w:r>
          <w:rPr>
            <w:color w:val="0563C1"/>
            <w:sz w:val="24"/>
            <w:szCs w:val="24"/>
            <w:u w:val="single"/>
          </w:rPr>
          <w:t>NOAA Administrative Order 216-100</w:t>
        </w:r>
      </w:hyperlink>
      <w:r>
        <w:rPr>
          <w:sz w:val="24"/>
          <w:szCs w:val="24"/>
        </w:rPr>
        <w:t>, Confidentiality of Fisheries Statistics, and will not be released for public use except in aggregate statistical form without identification as to its source.  Section 402(b) stipulates that data required to be submitted under an FMP shall be confidential and shall not be released except to Federal employees and Council staff responsible for FMP monitoring and development or when required under court order.  Data such as personal addresses and phone numbers will remain confidential.</w:t>
      </w:r>
    </w:p>
    <w:p w:rsidR="00F50DA5" w14:paraId="07C83051" w14:textId="77777777">
      <w:pPr>
        <w:rPr>
          <w:sz w:val="24"/>
          <w:szCs w:val="24"/>
        </w:rPr>
      </w:pPr>
    </w:p>
    <w:p w:rsidR="00BA5FBC" w:rsidRPr="00BA5FBC" w:rsidP="00BA5FBC" w14:paraId="244D77B4"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50DA5" w14:paraId="59212E67" w14:textId="77777777">
      <w:pPr>
        <w:rPr>
          <w:sz w:val="24"/>
          <w:szCs w:val="24"/>
        </w:rPr>
      </w:pPr>
    </w:p>
    <w:p w:rsidR="00F50DA5" w14:paraId="68FDFD75" w14:textId="77777777">
      <w:pPr>
        <w:pBdr>
          <w:top w:val="nil"/>
          <w:left w:val="nil"/>
          <w:bottom w:val="nil"/>
          <w:right w:val="nil"/>
          <w:between w:val="nil"/>
        </w:pBdr>
        <w:rPr>
          <w:color w:val="000000"/>
          <w:sz w:val="24"/>
          <w:szCs w:val="24"/>
        </w:rPr>
      </w:pPr>
      <w:r>
        <w:rPr>
          <w:color w:val="000000"/>
          <w:sz w:val="24"/>
          <w:szCs w:val="24"/>
        </w:rPr>
        <w:t xml:space="preserve">No questions of a sensitive nature are requested in this collection of information. </w:t>
      </w:r>
    </w:p>
    <w:p w:rsidR="00F50DA5" w14:paraId="72F15BC0" w14:textId="77777777">
      <w:pPr>
        <w:rPr>
          <w:sz w:val="24"/>
          <w:szCs w:val="24"/>
        </w:rPr>
        <w:sectPr>
          <w:type w:val="continuous"/>
          <w:pgSz w:w="12240" w:h="15840"/>
          <w:pgMar w:top="1440" w:right="1440" w:bottom="1440" w:left="1440" w:header="720" w:footer="720" w:gutter="0"/>
          <w:cols w:space="720" w:equalWidth="0">
            <w:col w:w="9360"/>
          </w:cols>
        </w:sectPr>
      </w:pPr>
    </w:p>
    <w:p w:rsidR="00BA5FBC" w:rsidRPr="00BA5FBC" w:rsidP="00BA5FBC" w14:paraId="32E3DC5F"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Provide estimates of the hour burden of the collection of information.</w:t>
      </w:r>
    </w:p>
    <w:p w:rsidR="00F50DA5" w14:paraId="2393F099" w14:textId="77777777">
      <w:pPr>
        <w:widowControl/>
        <w:pBdr>
          <w:top w:val="nil"/>
          <w:left w:val="nil"/>
          <w:bottom w:val="nil"/>
          <w:right w:val="nil"/>
          <w:between w:val="nil"/>
        </w:pBdr>
        <w:rPr>
          <w:color w:val="000000"/>
          <w:sz w:val="24"/>
          <w:szCs w:val="24"/>
        </w:rPr>
      </w:pPr>
    </w:p>
    <w:p w:rsidR="00F50DA5" w14:paraId="7D81E13D" w14:textId="294DBC39">
      <w:pPr>
        <w:widowControl/>
        <w:pBdr>
          <w:top w:val="nil"/>
          <w:left w:val="nil"/>
          <w:bottom w:val="nil"/>
          <w:right w:val="nil"/>
          <w:between w:val="nil"/>
        </w:pBdr>
        <w:rPr>
          <w:color w:val="000000"/>
          <w:sz w:val="24"/>
          <w:szCs w:val="24"/>
        </w:rPr>
      </w:pPr>
      <w:r>
        <w:rPr>
          <w:color w:val="000000"/>
          <w:sz w:val="24"/>
          <w:szCs w:val="24"/>
        </w:rPr>
        <w:t xml:space="preserve">The total annual burden for the LPS is estimated at </w:t>
      </w:r>
      <w:r w:rsidR="008252A9">
        <w:rPr>
          <w:color w:val="000000"/>
          <w:sz w:val="24"/>
          <w:szCs w:val="24"/>
        </w:rPr>
        <w:t>3,638</w:t>
      </w:r>
      <w:r>
        <w:rPr>
          <w:color w:val="000000"/>
          <w:sz w:val="24"/>
          <w:szCs w:val="24"/>
        </w:rPr>
        <w:t xml:space="preserve"> hours, for an estimated </w:t>
      </w:r>
      <w:r w:rsidR="008252A9">
        <w:rPr>
          <w:color w:val="000000"/>
          <w:sz w:val="24"/>
          <w:szCs w:val="24"/>
        </w:rPr>
        <w:t>25,721</w:t>
      </w:r>
      <w:r>
        <w:rPr>
          <w:color w:val="000000"/>
          <w:sz w:val="24"/>
          <w:szCs w:val="24"/>
        </w:rPr>
        <w:t xml:space="preserve"> responses by </w:t>
      </w:r>
      <w:r w:rsidR="008252A9">
        <w:rPr>
          <w:color w:val="000000"/>
          <w:sz w:val="24"/>
          <w:szCs w:val="24"/>
        </w:rPr>
        <w:t>16,147</w:t>
      </w:r>
      <w:r>
        <w:rPr>
          <w:color w:val="000000"/>
          <w:sz w:val="24"/>
          <w:szCs w:val="24"/>
        </w:rPr>
        <w:t xml:space="preserve"> unduplicated respondents. An hourly labor rate of </w:t>
      </w:r>
      <w:r w:rsidR="00207BCD">
        <w:rPr>
          <w:color w:val="000000"/>
          <w:sz w:val="24"/>
          <w:szCs w:val="24"/>
        </w:rPr>
        <w:t>$29.76</w:t>
      </w:r>
      <w:r w:rsidR="00154466">
        <w:rPr>
          <w:color w:val="000000"/>
          <w:sz w:val="24"/>
          <w:szCs w:val="24"/>
        </w:rPr>
        <w:t xml:space="preserve"> </w:t>
      </w:r>
      <w:r>
        <w:rPr>
          <w:color w:val="000000"/>
          <w:sz w:val="24"/>
          <w:szCs w:val="24"/>
        </w:rPr>
        <w:t xml:space="preserve">is based on the average hourly earnings of all occupations in </w:t>
      </w:r>
      <w:r w:rsidR="00207BCD">
        <w:rPr>
          <w:color w:val="000000"/>
          <w:sz w:val="24"/>
          <w:szCs w:val="24"/>
        </w:rPr>
        <w:t xml:space="preserve">May 2022 </w:t>
      </w:r>
      <w:r>
        <w:rPr>
          <w:color w:val="000000"/>
          <w:sz w:val="24"/>
          <w:szCs w:val="24"/>
        </w:rPr>
        <w:t>(</w:t>
      </w:r>
      <w:hyperlink r:id="rId12">
        <w:r>
          <w:rPr>
            <w:color w:val="0563C1"/>
            <w:sz w:val="24"/>
            <w:szCs w:val="24"/>
            <w:u w:val="single"/>
          </w:rPr>
          <w:t>https://www.bls.gov/oes/current/oes_nat.htm</w:t>
        </w:r>
      </w:hyperlink>
      <w:r>
        <w:rPr>
          <w:color w:val="000000"/>
          <w:sz w:val="24"/>
          <w:szCs w:val="24"/>
        </w:rPr>
        <w:t xml:space="preserve">). There are no other costs to respondents.  There are also no recordkeeping requirements associated with the Large Pelagic Survey.  A total of </w:t>
      </w:r>
      <w:r w:rsidR="00BD01DB">
        <w:rPr>
          <w:color w:val="000000"/>
          <w:sz w:val="24"/>
          <w:szCs w:val="24"/>
        </w:rPr>
        <w:t>3,638</w:t>
      </w:r>
      <w:r>
        <w:rPr>
          <w:color w:val="000000"/>
          <w:sz w:val="24"/>
          <w:szCs w:val="24"/>
        </w:rPr>
        <w:t xml:space="preserve"> burden hours is anticipated, resulting in a labor cost to respondents of approximately $</w:t>
      </w:r>
      <w:r w:rsidRPr="00154466" w:rsidR="00154466">
        <w:t xml:space="preserve"> </w:t>
      </w:r>
      <w:r w:rsidRPr="00BD01DB" w:rsidR="00BD01DB">
        <w:rPr>
          <w:color w:val="000000"/>
          <w:sz w:val="24"/>
          <w:szCs w:val="24"/>
        </w:rPr>
        <w:t>108,266.88</w:t>
      </w:r>
      <w:r>
        <w:rPr>
          <w:color w:val="000000"/>
          <w:sz w:val="24"/>
          <w:szCs w:val="24"/>
        </w:rPr>
        <w:t>.</w:t>
      </w:r>
    </w:p>
    <w:p w:rsidR="00F50DA5" w14:paraId="7AAAE22F" w14:textId="77777777">
      <w:pPr>
        <w:pBdr>
          <w:top w:val="nil"/>
          <w:left w:val="nil"/>
          <w:bottom w:val="nil"/>
          <w:right w:val="nil"/>
          <w:between w:val="nil"/>
        </w:pBdr>
        <w:rPr>
          <w:color w:val="000000"/>
          <w:sz w:val="24"/>
          <w:szCs w:val="24"/>
        </w:rPr>
      </w:pPr>
    </w:p>
    <w:p w:rsidR="00F50DA5" w14:paraId="08B41D30" w14:textId="77777777">
      <w:pPr>
        <w:pBdr>
          <w:top w:val="nil"/>
          <w:left w:val="nil"/>
          <w:bottom w:val="nil"/>
          <w:right w:val="nil"/>
          <w:between w:val="nil"/>
        </w:pBdr>
        <w:rPr>
          <w:color w:val="000000"/>
          <w:sz w:val="24"/>
          <w:szCs w:val="24"/>
        </w:rPr>
      </w:pPr>
      <w:r>
        <w:rPr>
          <w:color w:val="000000"/>
          <w:sz w:val="24"/>
          <w:szCs w:val="24"/>
        </w:rPr>
        <w:t xml:space="preserve">Calculations for specific components are as follows: </w:t>
      </w:r>
    </w:p>
    <w:p w:rsidR="00F50DA5" w14:paraId="00D07483" w14:textId="77777777">
      <w:pPr>
        <w:pBdr>
          <w:top w:val="nil"/>
          <w:left w:val="nil"/>
          <w:bottom w:val="nil"/>
          <w:right w:val="nil"/>
          <w:between w:val="nil"/>
        </w:pBdr>
        <w:rPr>
          <w:color w:val="000000"/>
          <w:sz w:val="24"/>
          <w:szCs w:val="24"/>
        </w:rPr>
      </w:pPr>
    </w:p>
    <w:p w:rsidR="00F50DA5" w14:paraId="5812704C" w14:textId="77777777">
      <w:pPr>
        <w:pBdr>
          <w:top w:val="nil"/>
          <w:left w:val="nil"/>
          <w:bottom w:val="nil"/>
          <w:right w:val="nil"/>
          <w:between w:val="nil"/>
        </w:pBdr>
        <w:rPr>
          <w:color w:val="000000"/>
          <w:sz w:val="24"/>
          <w:szCs w:val="24"/>
        </w:rPr>
      </w:pPr>
      <w:r>
        <w:rPr>
          <w:color w:val="000000"/>
          <w:sz w:val="24"/>
          <w:szCs w:val="24"/>
        </w:rPr>
        <w:t xml:space="preserve">(a) Large </w:t>
      </w:r>
      <w:r>
        <w:rPr>
          <w:color w:val="000000"/>
          <w:sz w:val="24"/>
          <w:szCs w:val="24"/>
        </w:rPr>
        <w:t>Pelagics</w:t>
      </w:r>
      <w:r>
        <w:rPr>
          <w:color w:val="000000"/>
          <w:sz w:val="24"/>
          <w:szCs w:val="24"/>
        </w:rPr>
        <w:t xml:space="preserve"> Telephone Survey</w:t>
      </w:r>
    </w:p>
    <w:p w:rsidR="00F50DA5" w14:paraId="566B01FB" w14:textId="77777777">
      <w:pPr>
        <w:pBdr>
          <w:top w:val="nil"/>
          <w:left w:val="nil"/>
          <w:bottom w:val="nil"/>
          <w:right w:val="nil"/>
          <w:between w:val="nil"/>
        </w:pBdr>
        <w:ind w:right="103"/>
        <w:rPr>
          <w:color w:val="000000"/>
          <w:sz w:val="24"/>
          <w:szCs w:val="24"/>
        </w:rPr>
      </w:pPr>
    </w:p>
    <w:p w:rsidR="00F50DA5" w14:paraId="6237CE7A" w14:textId="47323711">
      <w:pPr>
        <w:pBdr>
          <w:top w:val="nil"/>
          <w:left w:val="nil"/>
          <w:bottom w:val="nil"/>
          <w:right w:val="nil"/>
          <w:between w:val="nil"/>
        </w:pBdr>
        <w:ind w:right="103"/>
        <w:rPr>
          <w:color w:val="000000"/>
          <w:sz w:val="24"/>
          <w:szCs w:val="24"/>
        </w:rPr>
      </w:pPr>
      <w:r>
        <w:rPr>
          <w:color w:val="000000"/>
          <w:sz w:val="24"/>
          <w:szCs w:val="24"/>
        </w:rPr>
        <w:t xml:space="preserve">Based on </w:t>
      </w:r>
      <w:r w:rsidR="00AC231D">
        <w:rPr>
          <w:color w:val="000000"/>
          <w:sz w:val="24"/>
          <w:szCs w:val="24"/>
        </w:rPr>
        <w:t>a recent (February 2024) analysis of</w:t>
      </w:r>
      <w:r w:rsidR="00237DFC">
        <w:rPr>
          <w:color w:val="000000"/>
          <w:sz w:val="24"/>
          <w:szCs w:val="24"/>
        </w:rPr>
        <w:t xml:space="preserve"> </w:t>
      </w:r>
      <w:r>
        <w:rPr>
          <w:color w:val="000000"/>
          <w:sz w:val="24"/>
          <w:szCs w:val="24"/>
        </w:rPr>
        <w:t xml:space="preserve">HMS permit list size (i.e., sample frame) and previous year’s sampling effort, the estimated target interview sample size for future years is </w:t>
      </w:r>
      <w:r w:rsidR="0084219B">
        <w:rPr>
          <w:color w:val="000000"/>
          <w:sz w:val="24"/>
          <w:szCs w:val="24"/>
        </w:rPr>
        <w:t>16,064</w:t>
      </w:r>
      <w:r>
        <w:rPr>
          <w:color w:val="000000"/>
          <w:sz w:val="24"/>
          <w:szCs w:val="24"/>
        </w:rPr>
        <w:t xml:space="preserve"> for the Northeast and Southeast Regions combined. Due to the random selection process, some will be contacted more than once per year and some not at all. Estimates of the number of respondents contacted given this sample size of interviews were determined from </w:t>
      </w:r>
      <w:r w:rsidR="00207BCD">
        <w:rPr>
          <w:color w:val="000000"/>
          <w:sz w:val="24"/>
          <w:szCs w:val="24"/>
        </w:rPr>
        <w:t xml:space="preserve">2023 </w:t>
      </w:r>
      <w:r>
        <w:rPr>
          <w:color w:val="000000"/>
          <w:sz w:val="24"/>
          <w:szCs w:val="24"/>
        </w:rPr>
        <w:t xml:space="preserve">results. Because calls are made on a bi-weekly basis to collect information about a two-week period of fishing activity, it is important that a representative sample be obtained. This requires that prior respondents be eligible for resampling in future weeks. </w:t>
      </w:r>
    </w:p>
    <w:p w:rsidR="00F50DA5" w14:paraId="11F9056D" w14:textId="77777777">
      <w:pPr>
        <w:pBdr>
          <w:top w:val="nil"/>
          <w:left w:val="nil"/>
          <w:bottom w:val="nil"/>
          <w:right w:val="nil"/>
          <w:between w:val="nil"/>
        </w:pBdr>
        <w:ind w:right="245"/>
        <w:rPr>
          <w:color w:val="000000"/>
          <w:sz w:val="24"/>
          <w:szCs w:val="24"/>
        </w:rPr>
      </w:pPr>
    </w:p>
    <w:p w:rsidR="00F50DA5" w14:paraId="1951D7AE" w14:textId="08326D99">
      <w:pPr>
        <w:pBdr>
          <w:top w:val="nil"/>
          <w:left w:val="nil"/>
          <w:bottom w:val="nil"/>
          <w:right w:val="nil"/>
          <w:between w:val="nil"/>
        </w:pBdr>
        <w:ind w:right="245"/>
        <w:rPr>
          <w:b/>
          <w:color w:val="000000"/>
          <w:sz w:val="24"/>
          <w:szCs w:val="24"/>
        </w:rPr>
      </w:pPr>
      <w:r>
        <w:rPr>
          <w:color w:val="000000"/>
          <w:sz w:val="24"/>
          <w:szCs w:val="24"/>
        </w:rPr>
        <w:t>The</w:t>
      </w:r>
      <w:r w:rsidR="00D34306">
        <w:rPr>
          <w:color w:val="000000"/>
          <w:sz w:val="24"/>
          <w:szCs w:val="24"/>
        </w:rPr>
        <w:t xml:space="preserve"> LPTS </w:t>
      </w:r>
      <w:r>
        <w:rPr>
          <w:color w:val="000000"/>
          <w:sz w:val="24"/>
          <w:szCs w:val="24"/>
        </w:rPr>
        <w:t xml:space="preserve">estimated </w:t>
      </w:r>
      <w:r w:rsidR="00D34306">
        <w:rPr>
          <w:color w:val="000000"/>
          <w:sz w:val="24"/>
          <w:szCs w:val="24"/>
        </w:rPr>
        <w:t xml:space="preserve">sample size is </w:t>
      </w:r>
      <w:r>
        <w:rPr>
          <w:color w:val="000000"/>
          <w:sz w:val="24"/>
          <w:szCs w:val="24"/>
        </w:rPr>
        <w:t xml:space="preserve">16,064 </w:t>
      </w:r>
      <w:r w:rsidR="00D34306">
        <w:rPr>
          <w:color w:val="000000"/>
          <w:sz w:val="24"/>
          <w:szCs w:val="24"/>
        </w:rPr>
        <w:t xml:space="preserve">interviews.  Since some respondents will be selected more than once per year, based on prior years’ data this sample size will result in an estimated </w:t>
      </w:r>
      <w:r w:rsidR="009E22F0">
        <w:rPr>
          <w:color w:val="000000"/>
          <w:sz w:val="24"/>
          <w:szCs w:val="24"/>
        </w:rPr>
        <w:t>12,143</w:t>
      </w:r>
      <w:r w:rsidR="00D34306">
        <w:rPr>
          <w:color w:val="000000"/>
          <w:sz w:val="24"/>
          <w:szCs w:val="24"/>
        </w:rPr>
        <w:t xml:space="preserve"> unduplicated respondents to the LPTS.  The average time per completed interview is estimated to be 11 minutes.  </w:t>
      </w:r>
      <w:r w:rsidR="00D34306">
        <w:rPr>
          <w:b/>
          <w:color w:val="000000"/>
          <w:sz w:val="24"/>
          <w:szCs w:val="24"/>
        </w:rPr>
        <w:t xml:space="preserve">The estimated LPTS burden for </w:t>
      </w:r>
      <w:r w:rsidR="009E22F0">
        <w:rPr>
          <w:b/>
          <w:color w:val="000000"/>
          <w:sz w:val="24"/>
          <w:szCs w:val="24"/>
        </w:rPr>
        <w:t>16,064</w:t>
      </w:r>
      <w:r w:rsidR="00D34306">
        <w:rPr>
          <w:b/>
          <w:color w:val="000000"/>
          <w:sz w:val="24"/>
          <w:szCs w:val="24"/>
        </w:rPr>
        <w:t xml:space="preserve"> interviews is </w:t>
      </w:r>
      <w:r w:rsidR="009E22F0">
        <w:rPr>
          <w:b/>
          <w:color w:val="000000"/>
          <w:sz w:val="24"/>
          <w:szCs w:val="24"/>
        </w:rPr>
        <w:t>2,945</w:t>
      </w:r>
      <w:r w:rsidR="00D34306">
        <w:rPr>
          <w:b/>
          <w:color w:val="000000"/>
          <w:sz w:val="24"/>
          <w:szCs w:val="24"/>
        </w:rPr>
        <w:t xml:space="preserve"> hours.</w:t>
      </w:r>
      <w:r w:rsidR="00D34306">
        <w:rPr>
          <w:color w:val="000000"/>
          <w:sz w:val="24"/>
          <w:szCs w:val="24"/>
        </w:rPr>
        <w:t xml:space="preserve"> </w:t>
      </w:r>
    </w:p>
    <w:p w:rsidR="00F50DA5" w14:paraId="73CBE0B6" w14:textId="77777777">
      <w:pPr>
        <w:pBdr>
          <w:top w:val="nil"/>
          <w:left w:val="nil"/>
          <w:bottom w:val="nil"/>
          <w:right w:val="nil"/>
          <w:between w:val="nil"/>
        </w:pBdr>
        <w:rPr>
          <w:color w:val="000000"/>
          <w:sz w:val="24"/>
          <w:szCs w:val="24"/>
        </w:rPr>
      </w:pPr>
    </w:p>
    <w:p w:rsidR="00F50DA5" w14:paraId="6F78904A" w14:textId="77777777">
      <w:pPr>
        <w:pBdr>
          <w:top w:val="nil"/>
          <w:left w:val="nil"/>
          <w:bottom w:val="nil"/>
          <w:right w:val="nil"/>
          <w:between w:val="nil"/>
        </w:pBdr>
        <w:rPr>
          <w:color w:val="000000"/>
          <w:sz w:val="24"/>
          <w:szCs w:val="24"/>
        </w:rPr>
      </w:pPr>
      <w:r>
        <w:rPr>
          <w:color w:val="000000"/>
          <w:sz w:val="24"/>
          <w:szCs w:val="24"/>
        </w:rPr>
        <w:t xml:space="preserve">(b) Large </w:t>
      </w:r>
      <w:r>
        <w:rPr>
          <w:color w:val="000000"/>
          <w:sz w:val="24"/>
          <w:szCs w:val="24"/>
        </w:rPr>
        <w:t>Pelagics</w:t>
      </w:r>
      <w:r>
        <w:rPr>
          <w:color w:val="000000"/>
          <w:sz w:val="24"/>
          <w:szCs w:val="24"/>
        </w:rPr>
        <w:t xml:space="preserve"> Intercept Survey </w:t>
      </w:r>
    </w:p>
    <w:p w:rsidR="00F50DA5" w14:paraId="7F444F8E" w14:textId="77777777">
      <w:pPr>
        <w:numPr>
          <w:ilvl w:val="1"/>
          <w:numId w:val="2"/>
        </w:numPr>
        <w:pBdr>
          <w:top w:val="nil"/>
          <w:left w:val="nil"/>
          <w:bottom w:val="nil"/>
          <w:right w:val="nil"/>
          <w:between w:val="nil"/>
        </w:pBdr>
        <w:rPr>
          <w:color w:val="000000"/>
          <w:sz w:val="24"/>
          <w:szCs w:val="24"/>
        </w:rPr>
      </w:pPr>
    </w:p>
    <w:p w:rsidR="00F50DA5" w14:paraId="7AACF158" w14:textId="74515422">
      <w:pPr>
        <w:pBdr>
          <w:top w:val="nil"/>
          <w:left w:val="nil"/>
          <w:bottom w:val="nil"/>
          <w:right w:val="nil"/>
          <w:between w:val="nil"/>
        </w:pBdr>
        <w:rPr>
          <w:color w:val="000000"/>
          <w:sz w:val="24"/>
          <w:szCs w:val="24"/>
        </w:rPr>
      </w:pPr>
      <w:r>
        <w:rPr>
          <w:color w:val="000000"/>
          <w:sz w:val="24"/>
          <w:szCs w:val="24"/>
        </w:rPr>
        <w:t xml:space="preserve">At full funding, a total of 7,870 dockside interviews will be targeted annually at LPS sites. This includes interviewing in the Northeast and Southeast Regions. Since some respondents will be selected for LPIS more than once per year, this sample size will result in an estimated 3,803 unduplicated respondents to the LPIS.  Based on prior years, it is estimated that 21% (799) of these respondents will also have been interviewed for the LPTS, reducing the 3,803 figure to 3,004. The average response burden for the 7,870 interviews is estimated at 5 minutes per intercept for a total of 656 total hours. In addition, field interviewer performance will be evaluated by validating 10 percent of dockside intercepts via a follow-up telephone call. The 787 calls (1.5 minutes each) will add 20 hours to the annual burden estimate. </w:t>
      </w:r>
      <w:r>
        <w:rPr>
          <w:b/>
          <w:color w:val="000000"/>
          <w:sz w:val="24"/>
          <w:szCs w:val="24"/>
        </w:rPr>
        <w:t>Total burden for the dockside survey would be 676 hours annually</w:t>
      </w:r>
      <w:r>
        <w:rPr>
          <w:color w:val="000000"/>
          <w:sz w:val="24"/>
          <w:szCs w:val="24"/>
        </w:rPr>
        <w:t xml:space="preserve">. </w:t>
      </w:r>
    </w:p>
    <w:p w:rsidR="00F50DA5" w14:paraId="57B3B96C" w14:textId="77777777">
      <w:pPr>
        <w:pBdr>
          <w:top w:val="nil"/>
          <w:left w:val="nil"/>
          <w:bottom w:val="nil"/>
          <w:right w:val="nil"/>
          <w:between w:val="nil"/>
        </w:pBdr>
        <w:rPr>
          <w:color w:val="000000"/>
          <w:sz w:val="24"/>
          <w:szCs w:val="24"/>
        </w:rPr>
      </w:pPr>
    </w:p>
    <w:p w:rsidR="00F50DA5" w14:paraId="24DD5933" w14:textId="77777777">
      <w:pPr>
        <w:pBdr>
          <w:top w:val="nil"/>
          <w:left w:val="nil"/>
          <w:bottom w:val="nil"/>
          <w:right w:val="nil"/>
          <w:between w:val="nil"/>
        </w:pBdr>
        <w:rPr>
          <w:color w:val="000000"/>
          <w:sz w:val="24"/>
          <w:szCs w:val="24"/>
        </w:rPr>
      </w:pPr>
      <w:r>
        <w:rPr>
          <w:color w:val="000000"/>
          <w:sz w:val="24"/>
          <w:szCs w:val="24"/>
        </w:rPr>
        <w:t xml:space="preserve">(c) Large </w:t>
      </w:r>
      <w:r>
        <w:rPr>
          <w:color w:val="000000"/>
          <w:sz w:val="24"/>
          <w:szCs w:val="24"/>
        </w:rPr>
        <w:t>Pelagics</w:t>
      </w:r>
      <w:r>
        <w:rPr>
          <w:color w:val="000000"/>
          <w:sz w:val="24"/>
          <w:szCs w:val="24"/>
        </w:rPr>
        <w:t xml:space="preserve"> Biological Survey </w:t>
      </w:r>
    </w:p>
    <w:p w:rsidR="00F50DA5" w14:paraId="5AB3C1C2" w14:textId="77777777">
      <w:pPr>
        <w:pBdr>
          <w:top w:val="nil"/>
          <w:left w:val="nil"/>
          <w:bottom w:val="nil"/>
          <w:right w:val="nil"/>
          <w:between w:val="nil"/>
        </w:pBdr>
        <w:rPr>
          <w:color w:val="000000"/>
          <w:sz w:val="24"/>
          <w:szCs w:val="24"/>
        </w:rPr>
      </w:pPr>
      <w:r>
        <w:rPr>
          <w:color w:val="000000"/>
          <w:sz w:val="24"/>
          <w:szCs w:val="24"/>
        </w:rPr>
        <w:t xml:space="preserve">Supplemental biological sampling interviews are estimated at 1 minute per intercept because only a few questions are asked of anglers and length/weight data and samples are obtained directly from the fish. At a sampling level of 1,000 interviews per year of intercept respondents in (b) (including biological sampling in the Northeast, Southeast and Gulf), </w:t>
      </w:r>
      <w:r>
        <w:rPr>
          <w:b/>
          <w:color w:val="000000"/>
          <w:sz w:val="24"/>
          <w:szCs w:val="24"/>
        </w:rPr>
        <w:t xml:space="preserve">the total annual </w:t>
      </w:r>
      <w:r>
        <w:rPr>
          <w:b/>
          <w:color w:val="000000"/>
          <w:sz w:val="24"/>
          <w:szCs w:val="24"/>
        </w:rPr>
        <w:t>burden for the supplemental biological sampling is estimated at 17 hours.</w:t>
      </w:r>
      <w:r>
        <w:rPr>
          <w:color w:val="000000"/>
          <w:sz w:val="24"/>
          <w:szCs w:val="24"/>
        </w:rPr>
        <w:t xml:space="preserve"> </w:t>
      </w:r>
    </w:p>
    <w:p w:rsidR="00F50DA5" w14:paraId="3D1D0D36" w14:textId="77777777">
      <w:pPr>
        <w:ind w:left="-360"/>
        <w:rPr>
          <w:sz w:val="24"/>
          <w:szCs w:val="24"/>
        </w:rPr>
        <w:sectPr>
          <w:pgSz w:w="12240" w:h="15840"/>
          <w:pgMar w:top="1440" w:right="720" w:bottom="810" w:left="990" w:header="720" w:footer="720" w:gutter="0"/>
          <w:cols w:space="720" w:equalWidth="0">
            <w:col w:w="9360"/>
          </w:cols>
        </w:sectPr>
      </w:pPr>
    </w:p>
    <w:p w:rsidR="00F50DA5" w14:paraId="1E90B360" w14:textId="77777777">
      <w:pPr>
        <w:ind w:left="-360"/>
        <w:rPr>
          <w:sz w:val="24"/>
          <w:szCs w:val="24"/>
        </w:rPr>
      </w:pPr>
    </w:p>
    <w:tbl>
      <w:tblPr>
        <w:tblStyle w:val="a"/>
        <w:tblW w:w="12680" w:type="dxa"/>
        <w:tblLayout w:type="fixed"/>
        <w:tblLook w:val="0400"/>
      </w:tblPr>
      <w:tblGrid>
        <w:gridCol w:w="2690"/>
        <w:gridCol w:w="1350"/>
        <w:gridCol w:w="1260"/>
        <w:gridCol w:w="1152"/>
        <w:gridCol w:w="1098"/>
        <w:gridCol w:w="1260"/>
        <w:gridCol w:w="1170"/>
        <w:gridCol w:w="1350"/>
        <w:gridCol w:w="1350"/>
      </w:tblGrid>
      <w:tr w14:paraId="2D3C6D86" w14:textId="77777777" w:rsidTr="00D17A55">
        <w:tblPrEx>
          <w:tblW w:w="12680" w:type="dxa"/>
          <w:tblLayout w:type="fixed"/>
          <w:tblLook w:val="0400"/>
        </w:tblPrEx>
        <w:trPr>
          <w:trHeight w:val="1140"/>
        </w:trPr>
        <w:tc>
          <w:tcPr>
            <w:tcW w:w="2690" w:type="dxa"/>
            <w:tcBorders>
              <w:top w:val="single" w:sz="8" w:space="0" w:color="000000"/>
              <w:left w:val="single" w:sz="8" w:space="0" w:color="000000"/>
              <w:bottom w:val="single" w:sz="8" w:space="0" w:color="000000"/>
              <w:right w:val="single" w:sz="8" w:space="0" w:color="000000"/>
            </w:tcBorders>
            <w:shd w:val="clear" w:color="auto" w:fill="5B9BD5"/>
            <w:vAlign w:val="center"/>
          </w:tcPr>
          <w:p w:rsidR="00F50DA5" w14:paraId="303E2CC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F50DA5" w14:paraId="5C48FCB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Type of Respondent (Occupational Title)</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F50DA5" w14:paraId="77144003"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p w:rsidR="00F50DA5" w14:paraId="5EE8A820"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w:t>
            </w:r>
          </w:p>
        </w:tc>
        <w:tc>
          <w:tcPr>
            <w:tcW w:w="1152" w:type="dxa"/>
            <w:tcBorders>
              <w:top w:val="single" w:sz="8" w:space="0" w:color="000000"/>
              <w:left w:val="nil"/>
              <w:bottom w:val="single" w:sz="8" w:space="0" w:color="000000"/>
              <w:right w:val="single" w:sz="8" w:space="0" w:color="000000"/>
            </w:tcBorders>
            <w:shd w:val="clear" w:color="auto" w:fill="5B9BD5"/>
            <w:vAlign w:val="center"/>
          </w:tcPr>
          <w:p w:rsidR="00F50DA5" w14:paraId="1E86C95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p>
          <w:p w:rsidR="00F50DA5" w14:paraId="33E6CFCB"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(b)</w:t>
            </w:r>
          </w:p>
        </w:tc>
        <w:tc>
          <w:tcPr>
            <w:tcW w:w="1098" w:type="dxa"/>
            <w:tcBorders>
              <w:top w:val="single" w:sz="8" w:space="0" w:color="000000"/>
              <w:left w:val="nil"/>
              <w:bottom w:val="single" w:sz="8" w:space="0" w:color="000000"/>
              <w:right w:val="single" w:sz="8" w:space="0" w:color="000000"/>
            </w:tcBorders>
            <w:shd w:val="clear" w:color="auto" w:fill="5B9BD5"/>
            <w:vAlign w:val="center"/>
          </w:tcPr>
          <w:p w:rsidR="00F50DA5" w14:paraId="38BE79A3"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p>
          <w:p w:rsidR="00F50DA5" w14:paraId="7E4D225A"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 = (a) x (b)</w:t>
            </w:r>
          </w:p>
        </w:tc>
        <w:tc>
          <w:tcPr>
            <w:tcW w:w="1260" w:type="dxa"/>
            <w:tcBorders>
              <w:top w:val="single" w:sz="8" w:space="0" w:color="000000"/>
              <w:left w:val="nil"/>
              <w:bottom w:val="single" w:sz="8" w:space="0" w:color="000000"/>
              <w:right w:val="single" w:sz="8" w:space="0" w:color="000000"/>
            </w:tcBorders>
            <w:shd w:val="clear" w:color="auto" w:fill="5B9BD5"/>
            <w:vAlign w:val="center"/>
          </w:tcPr>
          <w:p w:rsidR="00F50DA5" w14:paraId="702BC31D"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Burden </w:t>
            </w:r>
            <w:r>
              <w:rPr>
                <w:rFonts w:ascii="Calibri" w:eastAsia="Calibri" w:hAnsi="Calibri" w:cs="Calibri"/>
                <w:b/>
                <w:color w:val="000000"/>
                <w:sz w:val="18"/>
                <w:szCs w:val="18"/>
              </w:rPr>
              <w:t>Hrs</w:t>
            </w:r>
            <w:r>
              <w:rPr>
                <w:rFonts w:ascii="Calibri" w:eastAsia="Calibri" w:hAnsi="Calibri" w:cs="Calibri"/>
                <w:b/>
                <w:color w:val="000000"/>
                <w:sz w:val="18"/>
                <w:szCs w:val="18"/>
              </w:rPr>
              <w:t xml:space="preserve"> / Response</w:t>
            </w:r>
          </w:p>
          <w:p w:rsidR="00F50DA5" w14:paraId="59E92971"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(d)</w:t>
            </w:r>
          </w:p>
        </w:tc>
        <w:tc>
          <w:tcPr>
            <w:tcW w:w="1170" w:type="dxa"/>
            <w:tcBorders>
              <w:top w:val="single" w:sz="8" w:space="0" w:color="000000"/>
              <w:left w:val="nil"/>
              <w:bottom w:val="single" w:sz="8" w:space="0" w:color="000000"/>
              <w:right w:val="single" w:sz="8" w:space="0" w:color="000000"/>
            </w:tcBorders>
            <w:shd w:val="clear" w:color="auto" w:fill="5B9BD5"/>
            <w:vAlign w:val="center"/>
          </w:tcPr>
          <w:p w:rsidR="00F50DA5" w14:paraId="60E7C24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Total Annual Burden </w:t>
            </w:r>
            <w:r>
              <w:rPr>
                <w:rFonts w:ascii="Calibri" w:eastAsia="Calibri" w:hAnsi="Calibri" w:cs="Calibri"/>
                <w:b/>
                <w:color w:val="000000"/>
                <w:sz w:val="18"/>
                <w:szCs w:val="18"/>
              </w:rPr>
              <w:t>Hrs</w:t>
            </w:r>
          </w:p>
          <w:p w:rsidR="00F50DA5" w14:paraId="3614B253"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(e) = (c) x (d)</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F50DA5" w14:paraId="5309EB2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Mean Hourly Wage Rate  (for Type of Respondent)</w:t>
            </w:r>
          </w:p>
          <w:p w:rsidR="00F50DA5" w14:paraId="3E8EF83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(f)</w:t>
            </w:r>
          </w:p>
        </w:tc>
        <w:tc>
          <w:tcPr>
            <w:tcW w:w="1350" w:type="dxa"/>
            <w:tcBorders>
              <w:top w:val="single" w:sz="8" w:space="0" w:color="000000"/>
              <w:left w:val="nil"/>
              <w:bottom w:val="single" w:sz="8" w:space="0" w:color="000000"/>
              <w:right w:val="single" w:sz="8" w:space="0" w:color="000000"/>
            </w:tcBorders>
            <w:shd w:val="clear" w:color="auto" w:fill="5B9BD5"/>
            <w:vAlign w:val="center"/>
          </w:tcPr>
          <w:p w:rsidR="00F50DA5" w14:paraId="0DD4D63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Wage Burden Costs</w:t>
            </w:r>
          </w:p>
          <w:p w:rsidR="00F50DA5" w14:paraId="392A77A3"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(g) = (e) x (f)</w:t>
            </w:r>
          </w:p>
        </w:tc>
      </w:tr>
      <w:tr w14:paraId="276B8235" w14:textId="77777777" w:rsidTr="00D17A55">
        <w:tblPrEx>
          <w:tblW w:w="12680" w:type="dxa"/>
          <w:tblLayout w:type="fixed"/>
          <w:tblLook w:val="0400"/>
        </w:tblPrEx>
        <w:trPr>
          <w:trHeight w:val="300"/>
        </w:trPr>
        <w:tc>
          <w:tcPr>
            <w:tcW w:w="2690" w:type="dxa"/>
            <w:tcBorders>
              <w:top w:val="nil"/>
              <w:left w:val="single" w:sz="8" w:space="0" w:color="000000"/>
              <w:bottom w:val="single" w:sz="4" w:space="0" w:color="000000"/>
              <w:right w:val="single" w:sz="4" w:space="0" w:color="000000"/>
            </w:tcBorders>
            <w:shd w:val="clear" w:color="auto" w:fill="auto"/>
            <w:vAlign w:val="bottom"/>
          </w:tcPr>
          <w:p w:rsidR="00F50DA5" w14:paraId="02428832"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Large </w:t>
            </w:r>
            <w:r>
              <w:rPr>
                <w:rFonts w:ascii="Calibri" w:eastAsia="Calibri" w:hAnsi="Calibri" w:cs="Calibri"/>
                <w:color w:val="000000"/>
                <w:sz w:val="16"/>
                <w:szCs w:val="16"/>
              </w:rPr>
              <w:t>Pelagics</w:t>
            </w:r>
            <w:r>
              <w:rPr>
                <w:rFonts w:ascii="Calibri" w:eastAsia="Calibri" w:hAnsi="Calibri" w:cs="Calibri"/>
                <w:color w:val="000000"/>
                <w:sz w:val="16"/>
                <w:szCs w:val="16"/>
              </w:rPr>
              <w:t xml:space="preserve"> Telephone Survey</w:t>
            </w:r>
          </w:p>
        </w:tc>
        <w:tc>
          <w:tcPr>
            <w:tcW w:w="1350" w:type="dxa"/>
            <w:tcBorders>
              <w:top w:val="nil"/>
              <w:left w:val="nil"/>
              <w:bottom w:val="single" w:sz="4" w:space="0" w:color="000000"/>
              <w:right w:val="single" w:sz="4" w:space="0" w:color="000000"/>
            </w:tcBorders>
            <w:shd w:val="clear" w:color="auto" w:fill="auto"/>
            <w:vAlign w:val="bottom"/>
          </w:tcPr>
          <w:p w:rsidR="00F50DA5" w14:paraId="4D6FA9D3"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All occupations </w:t>
            </w:r>
          </w:p>
        </w:tc>
        <w:tc>
          <w:tcPr>
            <w:tcW w:w="1260" w:type="dxa"/>
            <w:tcBorders>
              <w:top w:val="nil"/>
              <w:left w:val="nil"/>
              <w:bottom w:val="single" w:sz="4" w:space="0" w:color="000000"/>
              <w:right w:val="single" w:sz="4" w:space="0" w:color="000000"/>
            </w:tcBorders>
            <w:shd w:val="clear" w:color="auto" w:fill="auto"/>
            <w:vAlign w:val="bottom"/>
          </w:tcPr>
          <w:p w:rsidR="00F50DA5" w14:paraId="4FD2DE51" w14:textId="70D92CC5">
            <w:pPr>
              <w:widowControl/>
              <w:jc w:val="right"/>
              <w:rPr>
                <w:rFonts w:ascii="Calibri" w:eastAsia="Calibri" w:hAnsi="Calibri" w:cs="Calibri"/>
                <w:color w:val="000000"/>
                <w:sz w:val="16"/>
                <w:szCs w:val="16"/>
              </w:rPr>
            </w:pPr>
            <w:r w:rsidRPr="009E22F0">
              <w:rPr>
                <w:rFonts w:ascii="Calibri" w:eastAsia="Calibri" w:hAnsi="Calibri" w:cs="Calibri"/>
                <w:color w:val="000000"/>
                <w:sz w:val="16"/>
                <w:szCs w:val="16"/>
              </w:rPr>
              <w:t>12,143</w:t>
            </w:r>
          </w:p>
        </w:tc>
        <w:tc>
          <w:tcPr>
            <w:tcW w:w="1152" w:type="dxa"/>
            <w:tcBorders>
              <w:top w:val="nil"/>
              <w:left w:val="nil"/>
              <w:bottom w:val="single" w:sz="4" w:space="0" w:color="000000"/>
              <w:right w:val="single" w:sz="4" w:space="0" w:color="000000"/>
            </w:tcBorders>
            <w:shd w:val="clear" w:color="auto" w:fill="auto"/>
            <w:vAlign w:val="bottom"/>
          </w:tcPr>
          <w:p w:rsidR="00F50DA5" w14:paraId="67A7B206" w14:textId="5F7D3C5F">
            <w:pPr>
              <w:widowControl/>
              <w:jc w:val="right"/>
              <w:rPr>
                <w:rFonts w:ascii="Calibri" w:eastAsia="Calibri" w:hAnsi="Calibri" w:cs="Calibri"/>
                <w:color w:val="000000"/>
                <w:sz w:val="16"/>
                <w:szCs w:val="16"/>
              </w:rPr>
            </w:pPr>
            <w:r>
              <w:rPr>
                <w:rFonts w:ascii="Calibri" w:eastAsia="Calibri" w:hAnsi="Calibri" w:cs="Calibri"/>
                <w:color w:val="000000"/>
                <w:sz w:val="16"/>
                <w:szCs w:val="16"/>
              </w:rPr>
              <w:t>1.32</w:t>
            </w:r>
            <w:r w:rsidR="00CE44B8">
              <w:rPr>
                <w:rFonts w:ascii="Calibri" w:eastAsia="Calibri" w:hAnsi="Calibri" w:cs="Calibri"/>
                <w:color w:val="000000"/>
                <w:sz w:val="16"/>
                <w:szCs w:val="16"/>
              </w:rPr>
              <w:t>29</w:t>
            </w:r>
          </w:p>
        </w:tc>
        <w:tc>
          <w:tcPr>
            <w:tcW w:w="1098" w:type="dxa"/>
            <w:tcBorders>
              <w:top w:val="nil"/>
              <w:left w:val="nil"/>
              <w:bottom w:val="single" w:sz="4" w:space="0" w:color="000000"/>
              <w:right w:val="single" w:sz="4" w:space="0" w:color="000000"/>
            </w:tcBorders>
            <w:shd w:val="clear" w:color="auto" w:fill="auto"/>
            <w:vAlign w:val="bottom"/>
          </w:tcPr>
          <w:p w:rsidR="00F50DA5" w14:paraId="27657FE6" w14:textId="1E34B9E2">
            <w:pPr>
              <w:widowControl/>
              <w:jc w:val="right"/>
              <w:rPr>
                <w:rFonts w:ascii="Calibri" w:eastAsia="Calibri" w:hAnsi="Calibri" w:cs="Calibri"/>
                <w:color w:val="000000"/>
                <w:sz w:val="16"/>
                <w:szCs w:val="16"/>
              </w:rPr>
            </w:pPr>
            <w:r w:rsidRPr="009E22F0">
              <w:rPr>
                <w:rFonts w:ascii="Calibri" w:eastAsia="Calibri" w:hAnsi="Calibri" w:cs="Calibri"/>
                <w:color w:val="000000"/>
                <w:sz w:val="16"/>
                <w:szCs w:val="16"/>
              </w:rPr>
              <w:t>16,064</w:t>
            </w:r>
          </w:p>
        </w:tc>
        <w:tc>
          <w:tcPr>
            <w:tcW w:w="1260" w:type="dxa"/>
            <w:tcBorders>
              <w:top w:val="nil"/>
              <w:left w:val="nil"/>
              <w:bottom w:val="single" w:sz="4" w:space="0" w:color="000000"/>
              <w:right w:val="single" w:sz="4" w:space="0" w:color="000000"/>
            </w:tcBorders>
            <w:shd w:val="clear" w:color="auto" w:fill="auto"/>
            <w:vAlign w:val="bottom"/>
          </w:tcPr>
          <w:p w:rsidR="00F50DA5" w14:paraId="7BE86DB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0.1833 </w:t>
            </w:r>
          </w:p>
        </w:tc>
        <w:tc>
          <w:tcPr>
            <w:tcW w:w="1170" w:type="dxa"/>
            <w:tcBorders>
              <w:top w:val="nil"/>
              <w:left w:val="nil"/>
              <w:bottom w:val="single" w:sz="4" w:space="0" w:color="000000"/>
              <w:right w:val="single" w:sz="4" w:space="0" w:color="000000"/>
            </w:tcBorders>
            <w:shd w:val="clear" w:color="auto" w:fill="auto"/>
            <w:vAlign w:val="bottom"/>
          </w:tcPr>
          <w:p w:rsidR="00F50DA5" w14:paraId="1EC643E0" w14:textId="27B4081F">
            <w:pPr>
              <w:widowControl/>
              <w:jc w:val="right"/>
              <w:rPr>
                <w:rFonts w:ascii="Calibri" w:eastAsia="Calibri" w:hAnsi="Calibri" w:cs="Calibri"/>
                <w:color w:val="000000"/>
                <w:sz w:val="16"/>
                <w:szCs w:val="16"/>
              </w:rPr>
            </w:pPr>
            <w:r>
              <w:rPr>
                <w:rFonts w:ascii="Calibri" w:eastAsia="Calibri" w:hAnsi="Calibri" w:cs="Calibri"/>
                <w:color w:val="000000"/>
                <w:sz w:val="16"/>
                <w:szCs w:val="16"/>
              </w:rPr>
              <w:t>2,945</w:t>
            </w:r>
            <w:r w:rsidR="00D34306">
              <w:rPr>
                <w:rFonts w:ascii="Calibri" w:eastAsia="Calibri" w:hAnsi="Calibri" w:cs="Calibri"/>
                <w:color w:val="000000"/>
                <w:sz w:val="16"/>
                <w:szCs w:val="16"/>
              </w:rPr>
              <w:t> </w:t>
            </w:r>
          </w:p>
        </w:tc>
        <w:tc>
          <w:tcPr>
            <w:tcW w:w="1350" w:type="dxa"/>
            <w:tcBorders>
              <w:top w:val="nil"/>
              <w:left w:val="nil"/>
              <w:bottom w:val="single" w:sz="4" w:space="0" w:color="000000"/>
              <w:right w:val="single" w:sz="4" w:space="0" w:color="000000"/>
            </w:tcBorders>
            <w:shd w:val="clear" w:color="auto" w:fill="auto"/>
            <w:vAlign w:val="bottom"/>
          </w:tcPr>
          <w:p w:rsidR="00F50DA5" w14:paraId="3726B0FB" w14:textId="4AEDF101">
            <w:pPr>
              <w:widowControl/>
              <w:jc w:val="right"/>
              <w:rPr>
                <w:rFonts w:ascii="Calibri" w:eastAsia="Calibri" w:hAnsi="Calibri" w:cs="Calibri"/>
                <w:color w:val="000000"/>
                <w:sz w:val="16"/>
                <w:szCs w:val="16"/>
              </w:rPr>
            </w:pPr>
            <w:r>
              <w:rPr>
                <w:rFonts w:ascii="Calibri" w:eastAsia="Calibri" w:hAnsi="Calibri" w:cs="Calibri"/>
                <w:color w:val="000000"/>
                <w:sz w:val="16"/>
                <w:szCs w:val="16"/>
              </w:rPr>
              <w:t>29.76</w:t>
            </w:r>
            <w:r w:rsidR="00D34306">
              <w:rPr>
                <w:rFonts w:ascii="Calibri" w:eastAsia="Calibri" w:hAnsi="Calibri" w:cs="Calibri"/>
                <w:color w:val="000000"/>
                <w:sz w:val="16"/>
                <w:szCs w:val="16"/>
              </w:rPr>
              <w:t> </w:t>
            </w:r>
          </w:p>
        </w:tc>
        <w:tc>
          <w:tcPr>
            <w:tcW w:w="1350" w:type="dxa"/>
            <w:tcBorders>
              <w:top w:val="nil"/>
              <w:left w:val="nil"/>
              <w:bottom w:val="single" w:sz="4" w:space="0" w:color="000000"/>
              <w:right w:val="single" w:sz="8" w:space="0" w:color="000000"/>
            </w:tcBorders>
            <w:shd w:val="clear" w:color="auto" w:fill="auto"/>
            <w:vAlign w:val="bottom"/>
          </w:tcPr>
          <w:p w:rsidR="00F50DA5" w:rsidP="00CE44B8" w14:paraId="62606765" w14:textId="27B201C1">
            <w:pPr>
              <w:widowControl/>
              <w:jc w:val="right"/>
              <w:rPr>
                <w:rFonts w:ascii="Calibri" w:eastAsia="Calibri" w:hAnsi="Calibri" w:cs="Calibri"/>
                <w:color w:val="000000"/>
                <w:sz w:val="16"/>
                <w:szCs w:val="16"/>
              </w:rPr>
            </w:pPr>
            <w:r>
              <w:t xml:space="preserve"> </w:t>
            </w:r>
            <w:r w:rsidR="00CE44B8">
              <w:rPr>
                <w:rFonts w:ascii="Calibri" w:eastAsia="Calibri" w:hAnsi="Calibri" w:cs="Calibri"/>
                <w:color w:val="000000"/>
                <w:sz w:val="16"/>
                <w:szCs w:val="16"/>
              </w:rPr>
              <w:t>87,643.20</w:t>
            </w:r>
          </w:p>
        </w:tc>
      </w:tr>
      <w:tr w14:paraId="2F1E9FCE" w14:textId="77777777" w:rsidTr="00D17A55">
        <w:tblPrEx>
          <w:tblW w:w="12680" w:type="dxa"/>
          <w:tblLayout w:type="fixed"/>
          <w:tblLook w:val="0400"/>
        </w:tblPrEx>
        <w:trPr>
          <w:trHeight w:val="300"/>
        </w:trPr>
        <w:tc>
          <w:tcPr>
            <w:tcW w:w="2690" w:type="dxa"/>
            <w:tcBorders>
              <w:top w:val="nil"/>
              <w:left w:val="single" w:sz="8" w:space="0" w:color="000000"/>
              <w:bottom w:val="single" w:sz="4" w:space="0" w:color="000000"/>
              <w:right w:val="single" w:sz="4" w:space="0" w:color="000000"/>
            </w:tcBorders>
            <w:shd w:val="clear" w:color="auto" w:fill="auto"/>
            <w:vAlign w:val="bottom"/>
          </w:tcPr>
          <w:p w:rsidR="00F50DA5" w14:paraId="626EF009"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Large </w:t>
            </w:r>
            <w:r>
              <w:rPr>
                <w:rFonts w:ascii="Calibri" w:eastAsia="Calibri" w:hAnsi="Calibri" w:cs="Calibri"/>
                <w:color w:val="000000"/>
                <w:sz w:val="16"/>
                <w:szCs w:val="16"/>
              </w:rPr>
              <w:t>Pelagics</w:t>
            </w:r>
            <w:r>
              <w:rPr>
                <w:rFonts w:ascii="Calibri" w:eastAsia="Calibri" w:hAnsi="Calibri" w:cs="Calibri"/>
                <w:color w:val="000000"/>
                <w:sz w:val="16"/>
                <w:szCs w:val="16"/>
              </w:rPr>
              <w:t xml:space="preserve"> Intercept Survey</w:t>
            </w:r>
          </w:p>
        </w:tc>
        <w:tc>
          <w:tcPr>
            <w:tcW w:w="1350" w:type="dxa"/>
            <w:tcBorders>
              <w:top w:val="nil"/>
              <w:left w:val="nil"/>
              <w:bottom w:val="single" w:sz="4" w:space="0" w:color="000000"/>
              <w:right w:val="single" w:sz="4" w:space="0" w:color="000000"/>
            </w:tcBorders>
            <w:shd w:val="clear" w:color="auto" w:fill="auto"/>
            <w:vAlign w:val="bottom"/>
          </w:tcPr>
          <w:p w:rsidR="00F50DA5" w14:paraId="54FB7FBB"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All occupations </w:t>
            </w:r>
          </w:p>
        </w:tc>
        <w:tc>
          <w:tcPr>
            <w:tcW w:w="1260" w:type="dxa"/>
            <w:tcBorders>
              <w:top w:val="nil"/>
              <w:left w:val="nil"/>
              <w:bottom w:val="single" w:sz="4" w:space="0" w:color="000000"/>
              <w:right w:val="single" w:sz="4" w:space="0" w:color="000000"/>
            </w:tcBorders>
            <w:shd w:val="clear" w:color="auto" w:fill="auto"/>
            <w:vAlign w:val="bottom"/>
          </w:tcPr>
          <w:p w:rsidR="00F50DA5" w14:paraId="4F60097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3,004 </w:t>
            </w:r>
          </w:p>
        </w:tc>
        <w:tc>
          <w:tcPr>
            <w:tcW w:w="1152" w:type="dxa"/>
            <w:tcBorders>
              <w:top w:val="nil"/>
              <w:left w:val="nil"/>
              <w:bottom w:val="single" w:sz="4" w:space="0" w:color="000000"/>
              <w:right w:val="single" w:sz="4" w:space="0" w:color="000000"/>
            </w:tcBorders>
            <w:shd w:val="clear" w:color="auto" w:fill="auto"/>
            <w:vAlign w:val="bottom"/>
          </w:tcPr>
          <w:p w:rsidR="00F50DA5" w14:paraId="32570C18" w14:textId="30954B7C">
            <w:pPr>
              <w:widowControl/>
              <w:jc w:val="right"/>
              <w:rPr>
                <w:rFonts w:ascii="Calibri" w:eastAsia="Calibri" w:hAnsi="Calibri" w:cs="Calibri"/>
                <w:color w:val="000000"/>
                <w:sz w:val="16"/>
                <w:szCs w:val="16"/>
              </w:rPr>
            </w:pPr>
            <w:r>
              <w:rPr>
                <w:rFonts w:ascii="Calibri" w:eastAsia="Calibri" w:hAnsi="Calibri" w:cs="Calibri"/>
                <w:color w:val="000000"/>
                <w:sz w:val="16"/>
                <w:szCs w:val="16"/>
              </w:rPr>
              <w:t>2.88</w:t>
            </w:r>
          </w:p>
        </w:tc>
        <w:tc>
          <w:tcPr>
            <w:tcW w:w="1098" w:type="dxa"/>
            <w:tcBorders>
              <w:top w:val="nil"/>
              <w:left w:val="nil"/>
              <w:bottom w:val="single" w:sz="4" w:space="0" w:color="000000"/>
              <w:right w:val="single" w:sz="4" w:space="0" w:color="000000"/>
            </w:tcBorders>
            <w:shd w:val="clear" w:color="auto" w:fill="auto"/>
            <w:vAlign w:val="bottom"/>
          </w:tcPr>
          <w:p w:rsidR="00F50DA5" w14:paraId="5077B89A" w14:textId="58B60D6F">
            <w:pPr>
              <w:widowControl/>
              <w:jc w:val="right"/>
              <w:rPr>
                <w:rFonts w:ascii="Calibri" w:eastAsia="Calibri" w:hAnsi="Calibri" w:cs="Calibri"/>
                <w:color w:val="000000"/>
                <w:sz w:val="16"/>
                <w:szCs w:val="16"/>
              </w:rPr>
            </w:pPr>
            <w:r>
              <w:rPr>
                <w:rFonts w:ascii="Calibri" w:eastAsia="Calibri" w:hAnsi="Calibri" w:cs="Calibri"/>
                <w:color w:val="000000"/>
                <w:sz w:val="16"/>
                <w:szCs w:val="16"/>
              </w:rPr>
              <w:t>8,657 </w:t>
            </w:r>
          </w:p>
        </w:tc>
        <w:tc>
          <w:tcPr>
            <w:tcW w:w="1260" w:type="dxa"/>
            <w:tcBorders>
              <w:top w:val="nil"/>
              <w:left w:val="nil"/>
              <w:bottom w:val="single" w:sz="4" w:space="0" w:color="000000"/>
              <w:right w:val="single" w:sz="4" w:space="0" w:color="000000"/>
            </w:tcBorders>
            <w:shd w:val="clear" w:color="auto" w:fill="auto"/>
            <w:vAlign w:val="bottom"/>
          </w:tcPr>
          <w:p w:rsidR="00F50DA5" w:rsidP="00B46518" w14:paraId="1BF1DB84" w14:textId="20BFD283">
            <w:pPr>
              <w:widowControl/>
              <w:jc w:val="right"/>
              <w:rPr>
                <w:rFonts w:ascii="Calibri" w:eastAsia="Calibri" w:hAnsi="Calibri" w:cs="Calibri"/>
                <w:color w:val="000000"/>
                <w:sz w:val="16"/>
                <w:szCs w:val="16"/>
              </w:rPr>
            </w:pPr>
            <w:r>
              <w:rPr>
                <w:rFonts w:ascii="Calibri" w:eastAsia="Calibri" w:hAnsi="Calibri" w:cs="Calibri"/>
                <w:color w:val="000000"/>
                <w:sz w:val="16"/>
                <w:szCs w:val="16"/>
              </w:rPr>
              <w:t>0.0</w:t>
            </w:r>
            <w:r w:rsidR="00B46518">
              <w:rPr>
                <w:rFonts w:ascii="Calibri" w:eastAsia="Calibri" w:hAnsi="Calibri" w:cs="Calibri"/>
                <w:color w:val="000000"/>
                <w:sz w:val="16"/>
                <w:szCs w:val="16"/>
              </w:rPr>
              <w:t>780</w:t>
            </w:r>
            <w:bookmarkStart w:id="1" w:name="_GoBack"/>
            <w:bookmarkEnd w:id="1"/>
            <w:r>
              <w:rPr>
                <w:rFonts w:ascii="Calibri" w:eastAsia="Calibri" w:hAnsi="Calibri" w:cs="Calibri"/>
                <w:color w:val="000000"/>
                <w:sz w:val="16"/>
                <w:szCs w:val="16"/>
              </w:rPr>
              <w:t> </w:t>
            </w:r>
          </w:p>
        </w:tc>
        <w:tc>
          <w:tcPr>
            <w:tcW w:w="1170" w:type="dxa"/>
            <w:tcBorders>
              <w:top w:val="nil"/>
              <w:left w:val="nil"/>
              <w:bottom w:val="single" w:sz="4" w:space="0" w:color="000000"/>
              <w:right w:val="single" w:sz="4" w:space="0" w:color="000000"/>
            </w:tcBorders>
            <w:shd w:val="clear" w:color="auto" w:fill="auto"/>
            <w:vAlign w:val="bottom"/>
          </w:tcPr>
          <w:p w:rsidR="00F50DA5" w14:paraId="287F1C3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676 </w:t>
            </w:r>
          </w:p>
        </w:tc>
        <w:tc>
          <w:tcPr>
            <w:tcW w:w="1350" w:type="dxa"/>
            <w:tcBorders>
              <w:top w:val="nil"/>
              <w:left w:val="nil"/>
              <w:bottom w:val="single" w:sz="4" w:space="0" w:color="000000"/>
              <w:right w:val="single" w:sz="4" w:space="0" w:color="000000"/>
            </w:tcBorders>
            <w:shd w:val="clear" w:color="auto" w:fill="auto"/>
            <w:vAlign w:val="bottom"/>
          </w:tcPr>
          <w:p w:rsidR="00F50DA5" w14:paraId="2F6930FC" w14:textId="29E49114">
            <w:pPr>
              <w:widowControl/>
              <w:jc w:val="right"/>
              <w:rPr>
                <w:rFonts w:ascii="Calibri" w:eastAsia="Calibri" w:hAnsi="Calibri" w:cs="Calibri"/>
                <w:color w:val="000000"/>
                <w:sz w:val="16"/>
                <w:szCs w:val="16"/>
              </w:rPr>
            </w:pPr>
            <w:r>
              <w:rPr>
                <w:rFonts w:ascii="Calibri" w:eastAsia="Calibri" w:hAnsi="Calibri" w:cs="Calibri"/>
                <w:color w:val="000000"/>
                <w:sz w:val="16"/>
                <w:szCs w:val="16"/>
              </w:rPr>
              <w:t>29.76</w:t>
            </w:r>
            <w:r w:rsidR="00D34306">
              <w:rPr>
                <w:rFonts w:ascii="Calibri" w:eastAsia="Calibri" w:hAnsi="Calibri" w:cs="Calibri"/>
                <w:color w:val="000000"/>
                <w:sz w:val="16"/>
                <w:szCs w:val="16"/>
              </w:rPr>
              <w:t> </w:t>
            </w:r>
          </w:p>
        </w:tc>
        <w:tc>
          <w:tcPr>
            <w:tcW w:w="1350" w:type="dxa"/>
            <w:tcBorders>
              <w:top w:val="nil"/>
              <w:left w:val="nil"/>
              <w:bottom w:val="single" w:sz="4" w:space="0" w:color="000000"/>
              <w:right w:val="single" w:sz="8" w:space="0" w:color="000000"/>
            </w:tcBorders>
            <w:shd w:val="clear" w:color="auto" w:fill="auto"/>
            <w:vAlign w:val="bottom"/>
          </w:tcPr>
          <w:p w:rsidR="00F50DA5" w14:paraId="7188FB53" w14:textId="35E4E29C">
            <w:pPr>
              <w:widowControl/>
              <w:jc w:val="right"/>
              <w:rPr>
                <w:rFonts w:ascii="Calibri" w:eastAsia="Calibri" w:hAnsi="Calibri" w:cs="Calibri"/>
                <w:color w:val="000000"/>
                <w:sz w:val="16"/>
                <w:szCs w:val="16"/>
              </w:rPr>
            </w:pPr>
            <w:r>
              <w:rPr>
                <w:rFonts w:ascii="Calibri" w:eastAsia="Calibri" w:hAnsi="Calibri" w:cs="Calibri"/>
                <w:color w:val="000000"/>
                <w:sz w:val="16"/>
                <w:szCs w:val="16"/>
              </w:rPr>
              <w:t>20,117.76</w:t>
            </w:r>
          </w:p>
        </w:tc>
      </w:tr>
      <w:tr w14:paraId="7B8DEAAB" w14:textId="77777777" w:rsidTr="00D17A55">
        <w:tblPrEx>
          <w:tblW w:w="12680" w:type="dxa"/>
          <w:tblLayout w:type="fixed"/>
          <w:tblLook w:val="0400"/>
        </w:tblPrEx>
        <w:trPr>
          <w:trHeight w:val="300"/>
        </w:trPr>
        <w:tc>
          <w:tcPr>
            <w:tcW w:w="2690" w:type="dxa"/>
            <w:tcBorders>
              <w:top w:val="nil"/>
              <w:left w:val="single" w:sz="8" w:space="0" w:color="000000"/>
              <w:bottom w:val="single" w:sz="4" w:space="0" w:color="000000"/>
              <w:right w:val="single" w:sz="4" w:space="0" w:color="000000"/>
            </w:tcBorders>
            <w:shd w:val="clear" w:color="auto" w:fill="auto"/>
            <w:vAlign w:val="bottom"/>
          </w:tcPr>
          <w:p w:rsidR="00F50DA5" w14:paraId="44E57708" w14:textId="77777777">
            <w:pPr>
              <w:widowControl/>
              <w:rPr>
                <w:rFonts w:ascii="Calibri" w:eastAsia="Calibri" w:hAnsi="Calibri" w:cs="Calibri"/>
                <w:color w:val="000000"/>
                <w:sz w:val="16"/>
                <w:szCs w:val="16"/>
              </w:rPr>
            </w:pPr>
            <w:r>
              <w:rPr>
                <w:rFonts w:ascii="Calibri" w:eastAsia="Calibri" w:hAnsi="Calibri" w:cs="Calibri"/>
                <w:color w:val="000000"/>
                <w:sz w:val="16"/>
                <w:szCs w:val="16"/>
              </w:rPr>
              <w:t xml:space="preserve"> Large </w:t>
            </w:r>
            <w:r>
              <w:rPr>
                <w:rFonts w:ascii="Calibri" w:eastAsia="Calibri" w:hAnsi="Calibri" w:cs="Calibri"/>
                <w:color w:val="000000"/>
                <w:sz w:val="16"/>
                <w:szCs w:val="16"/>
              </w:rPr>
              <w:t>Pelagics</w:t>
            </w:r>
            <w:r>
              <w:rPr>
                <w:rFonts w:ascii="Calibri" w:eastAsia="Calibri" w:hAnsi="Calibri" w:cs="Calibri"/>
                <w:color w:val="000000"/>
                <w:sz w:val="16"/>
                <w:szCs w:val="16"/>
              </w:rPr>
              <w:t xml:space="preserve"> Biological Survey</w:t>
            </w:r>
          </w:p>
        </w:tc>
        <w:tc>
          <w:tcPr>
            <w:tcW w:w="1350" w:type="dxa"/>
            <w:tcBorders>
              <w:top w:val="nil"/>
              <w:left w:val="nil"/>
              <w:bottom w:val="single" w:sz="4" w:space="0" w:color="000000"/>
              <w:right w:val="single" w:sz="4" w:space="0" w:color="000000"/>
            </w:tcBorders>
            <w:shd w:val="clear" w:color="auto" w:fill="auto"/>
            <w:vAlign w:val="bottom"/>
          </w:tcPr>
          <w:p w:rsidR="00F50DA5" w14:paraId="3214358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All occupations </w:t>
            </w:r>
          </w:p>
        </w:tc>
        <w:tc>
          <w:tcPr>
            <w:tcW w:w="1260" w:type="dxa"/>
            <w:tcBorders>
              <w:top w:val="nil"/>
              <w:left w:val="nil"/>
              <w:bottom w:val="single" w:sz="4" w:space="0" w:color="000000"/>
              <w:right w:val="single" w:sz="4" w:space="0" w:color="000000"/>
            </w:tcBorders>
            <w:shd w:val="clear" w:color="auto" w:fill="auto"/>
            <w:vAlign w:val="bottom"/>
          </w:tcPr>
          <w:p w:rsidR="00F50DA5" w14:paraId="4C56BB7C"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w:t>
            </w:r>
          </w:p>
        </w:tc>
        <w:tc>
          <w:tcPr>
            <w:tcW w:w="1152" w:type="dxa"/>
            <w:tcBorders>
              <w:top w:val="nil"/>
              <w:left w:val="nil"/>
              <w:bottom w:val="single" w:sz="4" w:space="0" w:color="000000"/>
              <w:right w:val="single" w:sz="4" w:space="0" w:color="000000"/>
            </w:tcBorders>
            <w:shd w:val="clear" w:color="auto" w:fill="auto"/>
            <w:vAlign w:val="bottom"/>
          </w:tcPr>
          <w:p w:rsidR="00F50DA5" w14:paraId="3663616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1 </w:t>
            </w:r>
          </w:p>
        </w:tc>
        <w:tc>
          <w:tcPr>
            <w:tcW w:w="1098" w:type="dxa"/>
            <w:tcBorders>
              <w:top w:val="nil"/>
              <w:left w:val="nil"/>
              <w:bottom w:val="single" w:sz="4" w:space="0" w:color="000000"/>
              <w:right w:val="single" w:sz="4" w:space="0" w:color="000000"/>
            </w:tcBorders>
            <w:shd w:val="clear" w:color="auto" w:fill="auto"/>
            <w:vAlign w:val="bottom"/>
          </w:tcPr>
          <w:p w:rsidR="00F50DA5" w14:paraId="1D9CB910"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1,000 </w:t>
            </w:r>
          </w:p>
        </w:tc>
        <w:tc>
          <w:tcPr>
            <w:tcW w:w="1260" w:type="dxa"/>
            <w:tcBorders>
              <w:top w:val="nil"/>
              <w:left w:val="nil"/>
              <w:bottom w:val="single" w:sz="4" w:space="0" w:color="000000"/>
              <w:right w:val="single" w:sz="4" w:space="0" w:color="000000"/>
            </w:tcBorders>
            <w:shd w:val="clear" w:color="auto" w:fill="auto"/>
            <w:vAlign w:val="bottom"/>
          </w:tcPr>
          <w:p w:rsidR="00F50DA5" w14:paraId="20744BF8"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0.0166 </w:t>
            </w:r>
          </w:p>
        </w:tc>
        <w:tc>
          <w:tcPr>
            <w:tcW w:w="1170" w:type="dxa"/>
            <w:tcBorders>
              <w:top w:val="nil"/>
              <w:left w:val="nil"/>
              <w:bottom w:val="single" w:sz="4" w:space="0" w:color="000000"/>
              <w:right w:val="single" w:sz="4" w:space="0" w:color="000000"/>
            </w:tcBorders>
            <w:shd w:val="clear" w:color="auto" w:fill="auto"/>
            <w:vAlign w:val="bottom"/>
          </w:tcPr>
          <w:p w:rsidR="00F50DA5" w14:paraId="2893229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17 </w:t>
            </w:r>
          </w:p>
        </w:tc>
        <w:tc>
          <w:tcPr>
            <w:tcW w:w="1350" w:type="dxa"/>
            <w:tcBorders>
              <w:top w:val="nil"/>
              <w:left w:val="nil"/>
              <w:bottom w:val="single" w:sz="4" w:space="0" w:color="000000"/>
              <w:right w:val="single" w:sz="4" w:space="0" w:color="000000"/>
            </w:tcBorders>
            <w:shd w:val="clear" w:color="auto" w:fill="auto"/>
            <w:vAlign w:val="bottom"/>
          </w:tcPr>
          <w:p w:rsidR="00F50DA5" w14:paraId="2FA1D45E" w14:textId="2DCD340D">
            <w:pPr>
              <w:widowControl/>
              <w:jc w:val="right"/>
              <w:rPr>
                <w:rFonts w:ascii="Calibri" w:eastAsia="Calibri" w:hAnsi="Calibri" w:cs="Calibri"/>
                <w:color w:val="000000"/>
                <w:sz w:val="16"/>
                <w:szCs w:val="16"/>
              </w:rPr>
            </w:pPr>
            <w:r>
              <w:rPr>
                <w:rFonts w:ascii="Calibri" w:eastAsia="Calibri" w:hAnsi="Calibri" w:cs="Calibri"/>
                <w:color w:val="000000"/>
                <w:sz w:val="16"/>
                <w:szCs w:val="16"/>
              </w:rPr>
              <w:t>29.76</w:t>
            </w:r>
            <w:r w:rsidR="00D34306">
              <w:rPr>
                <w:rFonts w:ascii="Calibri" w:eastAsia="Calibri" w:hAnsi="Calibri" w:cs="Calibri"/>
                <w:color w:val="000000"/>
                <w:sz w:val="16"/>
                <w:szCs w:val="16"/>
              </w:rPr>
              <w:t> </w:t>
            </w:r>
          </w:p>
        </w:tc>
        <w:tc>
          <w:tcPr>
            <w:tcW w:w="1350" w:type="dxa"/>
            <w:tcBorders>
              <w:top w:val="nil"/>
              <w:left w:val="nil"/>
              <w:bottom w:val="single" w:sz="4" w:space="0" w:color="000000"/>
              <w:right w:val="single" w:sz="8" w:space="0" w:color="000000"/>
            </w:tcBorders>
            <w:shd w:val="clear" w:color="auto" w:fill="auto"/>
            <w:vAlign w:val="bottom"/>
          </w:tcPr>
          <w:p w:rsidR="00F50DA5" w14:paraId="6E5CDCC2" w14:textId="354B54AE">
            <w:pPr>
              <w:widowControl/>
              <w:jc w:val="right"/>
              <w:rPr>
                <w:rFonts w:ascii="Calibri" w:eastAsia="Calibri" w:hAnsi="Calibri" w:cs="Calibri"/>
                <w:color w:val="000000"/>
                <w:sz w:val="16"/>
                <w:szCs w:val="16"/>
              </w:rPr>
            </w:pPr>
            <w:r>
              <w:rPr>
                <w:rFonts w:ascii="Calibri" w:eastAsia="Calibri" w:hAnsi="Calibri" w:cs="Calibri"/>
                <w:color w:val="000000"/>
                <w:sz w:val="16"/>
                <w:szCs w:val="16"/>
              </w:rPr>
              <w:t>505.92</w:t>
            </w:r>
          </w:p>
        </w:tc>
      </w:tr>
      <w:tr w14:paraId="21BF125E" w14:textId="77777777" w:rsidTr="00D17A55">
        <w:tblPrEx>
          <w:tblW w:w="12680" w:type="dxa"/>
          <w:tblLayout w:type="fixed"/>
          <w:tblLook w:val="0400"/>
        </w:tblPrEx>
        <w:trPr>
          <w:trHeight w:val="315"/>
        </w:trPr>
        <w:tc>
          <w:tcPr>
            <w:tcW w:w="2690" w:type="dxa"/>
            <w:tcBorders>
              <w:top w:val="nil"/>
              <w:left w:val="single" w:sz="8" w:space="0" w:color="000000"/>
              <w:bottom w:val="single" w:sz="8" w:space="0" w:color="000000"/>
              <w:right w:val="single" w:sz="8" w:space="0" w:color="000000"/>
            </w:tcBorders>
            <w:shd w:val="clear" w:color="auto" w:fill="BDD7EE"/>
            <w:vAlign w:val="bottom"/>
          </w:tcPr>
          <w:p w:rsidR="00F50DA5" w14:paraId="0E70AD6B"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Totals</w:t>
            </w:r>
          </w:p>
        </w:tc>
        <w:tc>
          <w:tcPr>
            <w:tcW w:w="1350" w:type="dxa"/>
            <w:tcBorders>
              <w:top w:val="nil"/>
              <w:left w:val="nil"/>
              <w:bottom w:val="single" w:sz="8" w:space="0" w:color="000000"/>
              <w:right w:val="single" w:sz="8" w:space="0" w:color="000000"/>
            </w:tcBorders>
            <w:shd w:val="clear" w:color="auto" w:fill="000000"/>
            <w:vAlign w:val="bottom"/>
          </w:tcPr>
          <w:p w:rsidR="00F50DA5" w14:paraId="13B988C3"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260" w:type="dxa"/>
            <w:tcBorders>
              <w:top w:val="nil"/>
              <w:left w:val="nil"/>
              <w:bottom w:val="single" w:sz="8" w:space="0" w:color="000000"/>
              <w:right w:val="single" w:sz="8" w:space="0" w:color="000000"/>
            </w:tcBorders>
            <w:shd w:val="clear" w:color="auto" w:fill="000000"/>
            <w:vAlign w:val="bottom"/>
          </w:tcPr>
          <w:p w:rsidR="00F50DA5" w14:paraId="4FC05EBB"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52" w:type="dxa"/>
            <w:tcBorders>
              <w:top w:val="nil"/>
              <w:left w:val="nil"/>
              <w:bottom w:val="single" w:sz="8" w:space="0" w:color="000000"/>
              <w:right w:val="single" w:sz="8" w:space="0" w:color="000000"/>
            </w:tcBorders>
            <w:shd w:val="clear" w:color="auto" w:fill="000000"/>
            <w:vAlign w:val="bottom"/>
          </w:tcPr>
          <w:p w:rsidR="00F50DA5" w14:paraId="21FF0720"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098" w:type="dxa"/>
            <w:tcBorders>
              <w:top w:val="nil"/>
              <w:left w:val="nil"/>
              <w:bottom w:val="single" w:sz="8" w:space="0" w:color="000000"/>
              <w:right w:val="single" w:sz="8" w:space="0" w:color="000000"/>
            </w:tcBorders>
            <w:shd w:val="clear" w:color="auto" w:fill="BDD7EE"/>
            <w:vAlign w:val="bottom"/>
          </w:tcPr>
          <w:p w:rsidR="00F50DA5" w:rsidP="00CE44B8" w14:paraId="4FC10C46" w14:textId="2EC450B2">
            <w:pPr>
              <w:widowControl/>
              <w:rPr>
                <w:rFonts w:ascii="Calibri" w:eastAsia="Calibri" w:hAnsi="Calibri" w:cs="Calibri"/>
                <w:b/>
                <w:color w:val="000000"/>
                <w:sz w:val="22"/>
                <w:szCs w:val="22"/>
              </w:rPr>
            </w:pPr>
            <w:r>
              <w:rPr>
                <w:rFonts w:ascii="Calibri" w:eastAsia="Calibri" w:hAnsi="Calibri" w:cs="Calibri"/>
                <w:b/>
                <w:color w:val="000000"/>
                <w:sz w:val="22"/>
                <w:szCs w:val="22"/>
              </w:rPr>
              <w:t> </w:t>
            </w:r>
            <w:r w:rsidR="00CE44B8">
              <w:rPr>
                <w:rFonts w:ascii="Calibri" w:eastAsia="Calibri" w:hAnsi="Calibri" w:cs="Calibri"/>
                <w:b/>
                <w:color w:val="000000"/>
                <w:sz w:val="22"/>
                <w:szCs w:val="22"/>
              </w:rPr>
              <w:t>25,721</w:t>
            </w:r>
          </w:p>
        </w:tc>
        <w:tc>
          <w:tcPr>
            <w:tcW w:w="1260" w:type="dxa"/>
            <w:tcBorders>
              <w:top w:val="nil"/>
              <w:left w:val="nil"/>
              <w:bottom w:val="single" w:sz="8" w:space="0" w:color="000000"/>
              <w:right w:val="single" w:sz="8" w:space="0" w:color="000000"/>
            </w:tcBorders>
            <w:shd w:val="clear" w:color="auto" w:fill="000000"/>
            <w:vAlign w:val="bottom"/>
          </w:tcPr>
          <w:p w:rsidR="00F50DA5" w14:paraId="3C00B55E"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170" w:type="dxa"/>
            <w:tcBorders>
              <w:top w:val="nil"/>
              <w:left w:val="nil"/>
              <w:bottom w:val="single" w:sz="8" w:space="0" w:color="000000"/>
              <w:right w:val="single" w:sz="8" w:space="0" w:color="000000"/>
            </w:tcBorders>
            <w:shd w:val="clear" w:color="auto" w:fill="BDD7EE"/>
            <w:vAlign w:val="bottom"/>
          </w:tcPr>
          <w:p w:rsidR="00F50DA5" w:rsidP="00CE44B8" w14:paraId="023AAC1F" w14:textId="05872E1E">
            <w:pPr>
              <w:widowControl/>
              <w:rPr>
                <w:rFonts w:ascii="Calibri" w:eastAsia="Calibri" w:hAnsi="Calibri" w:cs="Calibri"/>
                <w:b/>
                <w:color w:val="000000"/>
                <w:sz w:val="22"/>
                <w:szCs w:val="22"/>
              </w:rPr>
            </w:pPr>
            <w:r>
              <w:rPr>
                <w:rFonts w:ascii="Calibri" w:eastAsia="Calibri" w:hAnsi="Calibri" w:cs="Calibri"/>
                <w:b/>
                <w:color w:val="000000"/>
                <w:sz w:val="22"/>
                <w:szCs w:val="22"/>
              </w:rPr>
              <w:t> </w:t>
            </w:r>
            <w:r w:rsidR="00CE44B8">
              <w:rPr>
                <w:rFonts w:ascii="Calibri" w:eastAsia="Calibri" w:hAnsi="Calibri" w:cs="Calibri"/>
                <w:b/>
                <w:color w:val="000000"/>
                <w:sz w:val="22"/>
                <w:szCs w:val="22"/>
              </w:rPr>
              <w:t>3,638</w:t>
            </w:r>
          </w:p>
        </w:tc>
        <w:tc>
          <w:tcPr>
            <w:tcW w:w="1350" w:type="dxa"/>
            <w:tcBorders>
              <w:top w:val="nil"/>
              <w:left w:val="nil"/>
              <w:bottom w:val="single" w:sz="8" w:space="0" w:color="000000"/>
              <w:right w:val="single" w:sz="8" w:space="0" w:color="000000"/>
            </w:tcBorders>
            <w:shd w:val="clear" w:color="auto" w:fill="000000"/>
            <w:vAlign w:val="bottom"/>
          </w:tcPr>
          <w:p w:rsidR="00F50DA5" w14:paraId="1FE9D3FE" w14:textId="77777777">
            <w:pPr>
              <w:widowControl/>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1350" w:type="dxa"/>
            <w:tcBorders>
              <w:top w:val="nil"/>
              <w:left w:val="nil"/>
              <w:bottom w:val="single" w:sz="8" w:space="0" w:color="000000"/>
              <w:right w:val="single" w:sz="8" w:space="0" w:color="000000"/>
            </w:tcBorders>
            <w:shd w:val="clear" w:color="auto" w:fill="BDD7EE"/>
            <w:vAlign w:val="bottom"/>
          </w:tcPr>
          <w:p w:rsidR="00F50DA5" w:rsidP="00BD01DB" w14:paraId="687669A0" w14:textId="2C31F211">
            <w:pPr>
              <w:widowControl/>
              <w:rPr>
                <w:rFonts w:ascii="Calibri" w:eastAsia="Calibri" w:hAnsi="Calibri" w:cs="Calibri"/>
                <w:b/>
                <w:color w:val="000000"/>
                <w:sz w:val="22"/>
                <w:szCs w:val="22"/>
              </w:rPr>
            </w:pPr>
            <w:r>
              <w:rPr>
                <w:rFonts w:ascii="Calibri" w:eastAsia="Calibri" w:hAnsi="Calibri" w:cs="Calibri"/>
                <w:b/>
                <w:color w:val="000000"/>
                <w:sz w:val="22"/>
                <w:szCs w:val="22"/>
              </w:rPr>
              <w:t>108,266.88</w:t>
            </w:r>
          </w:p>
        </w:tc>
      </w:tr>
    </w:tbl>
    <w:p w:rsidR="00F50DA5" w14:paraId="3A306190" w14:textId="77777777">
      <w:pPr>
        <w:ind w:left="-360"/>
        <w:rPr>
          <w:sz w:val="24"/>
          <w:szCs w:val="24"/>
        </w:rPr>
      </w:pPr>
    </w:p>
    <w:p w:rsidR="00F50DA5" w14:paraId="6D1B9ABD" w14:textId="77777777">
      <w:pPr>
        <w:ind w:left="-360"/>
        <w:rPr>
          <w:sz w:val="24"/>
          <w:szCs w:val="24"/>
        </w:rPr>
        <w:sectPr w:rsidSect="00FF413F">
          <w:pgSz w:w="15840" w:h="12240" w:orient="landscape"/>
          <w:pgMar w:top="810" w:right="990" w:bottom="1440" w:left="720" w:header="720" w:footer="720" w:gutter="0"/>
          <w:cols w:space="720" w:equalWidth="0">
            <w:col w:w="9360"/>
          </w:cols>
          <w:docGrid w:linePitch="272"/>
        </w:sectPr>
      </w:pPr>
    </w:p>
    <w:p w:rsidR="00F50DA5" w14:paraId="570C4529" w14:textId="77777777">
      <w:pPr>
        <w:tabs>
          <w:tab w:val="left" w:pos="540"/>
        </w:tabs>
        <w:ind w:left="540"/>
        <w:rPr>
          <w:sz w:val="24"/>
          <w:szCs w:val="24"/>
        </w:rPr>
      </w:pPr>
    </w:p>
    <w:p w:rsidR="00BA5FBC" w:rsidRPr="00BA5FBC" w:rsidP="00BA5FBC" w14:paraId="0D923378"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Provide an estimate for the total annual cost burden to respondents or record keepers resulting from the collection of information. (Do not include the cost of any hour burden already reflected on the burden worksheet).</w:t>
      </w:r>
    </w:p>
    <w:p w:rsidR="00F50DA5" w14:paraId="284D4ED4" w14:textId="77777777">
      <w:pPr>
        <w:tabs>
          <w:tab w:val="left" w:pos="540"/>
        </w:tabs>
        <w:ind w:left="540" w:hanging="540"/>
        <w:rPr>
          <w:b/>
          <w:sz w:val="24"/>
          <w:szCs w:val="24"/>
        </w:rPr>
      </w:pPr>
    </w:p>
    <w:p w:rsidR="00F50DA5" w14:paraId="38D5E69E" w14:textId="77777777">
      <w:pPr>
        <w:tabs>
          <w:tab w:val="left" w:pos="540"/>
        </w:tabs>
        <w:ind w:left="540"/>
        <w:rPr>
          <w:sz w:val="24"/>
          <w:szCs w:val="24"/>
        </w:rPr>
      </w:pPr>
      <w:r>
        <w:rPr>
          <w:sz w:val="24"/>
          <w:szCs w:val="24"/>
        </w:rPr>
        <w:t xml:space="preserve">These data collections will incur no cost burden on respondents beyond the costs of response time.  </w:t>
      </w:r>
    </w:p>
    <w:p w:rsidR="00F50DA5" w14:paraId="00FD1FCE" w14:textId="77777777">
      <w:pPr>
        <w:tabs>
          <w:tab w:val="left" w:pos="540"/>
        </w:tabs>
        <w:ind w:left="540" w:hanging="540"/>
        <w:rPr>
          <w:b/>
          <w:sz w:val="24"/>
          <w:szCs w:val="24"/>
        </w:rPr>
      </w:pPr>
    </w:p>
    <w:p w:rsidR="00BA5FBC" w:rsidRPr="00BA5FBC" w:rsidP="00BA5FBC" w14:paraId="51CF55AF"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50DA5" w14:paraId="3B83955B" w14:textId="77777777">
      <w:pPr>
        <w:pBdr>
          <w:top w:val="nil"/>
          <w:left w:val="nil"/>
          <w:bottom w:val="nil"/>
          <w:right w:val="nil"/>
          <w:between w:val="nil"/>
        </w:pBdr>
        <w:ind w:right="533"/>
        <w:rPr>
          <w:color w:val="000000"/>
          <w:sz w:val="24"/>
          <w:szCs w:val="24"/>
        </w:rPr>
      </w:pPr>
    </w:p>
    <w:p w:rsidR="00F50DA5" w14:paraId="420585E2" w14:textId="0654D4C9">
      <w:pPr>
        <w:pBdr>
          <w:top w:val="nil"/>
          <w:left w:val="nil"/>
          <w:bottom w:val="nil"/>
          <w:right w:val="nil"/>
          <w:between w:val="nil"/>
        </w:pBdr>
        <w:ind w:right="533"/>
        <w:rPr>
          <w:color w:val="000000"/>
          <w:sz w:val="24"/>
          <w:szCs w:val="24"/>
        </w:rPr>
      </w:pPr>
      <w:r>
        <w:rPr>
          <w:color w:val="000000"/>
          <w:sz w:val="24"/>
          <w:szCs w:val="24"/>
        </w:rPr>
        <w:t>At a fully funded level, the average annual cost to the Federal government is approximately $2,042,754, divided as follows: $1,792,754 in contract award money and $250,000 in professional staff, overhead and computing costs.</w:t>
      </w:r>
      <w:r w:rsidR="00E05EFD">
        <w:rPr>
          <w:color w:val="000000"/>
          <w:sz w:val="24"/>
          <w:szCs w:val="24"/>
        </w:rPr>
        <w:t xml:space="preserve"> </w:t>
      </w:r>
      <w:r w:rsidRPr="00E05EFD" w:rsidR="00E05EFD">
        <w:rPr>
          <w:color w:val="000000"/>
          <w:sz w:val="24"/>
          <w:szCs w:val="24"/>
        </w:rPr>
        <w:t>Federal Oversight is for survey frame maintenance, monitoring contractor survey conduct/performance, review of deliverables, and statistical analyses/estimation. Contractor cost is for interviewer training, survey conduct, OCR data capture, data processing, QA/QC tasks, meeting participation.</w:t>
      </w:r>
    </w:p>
    <w:p w:rsidR="00F50DA5" w14:paraId="68EE0BB6" w14:textId="77777777">
      <w:pPr>
        <w:tabs>
          <w:tab w:val="left" w:pos="540"/>
        </w:tabs>
        <w:ind w:left="540"/>
        <w:rPr>
          <w:sz w:val="24"/>
          <w:szCs w:val="24"/>
        </w:rPr>
      </w:pPr>
    </w:p>
    <w:tbl>
      <w:tblPr>
        <w:tblStyle w:val="a0"/>
        <w:tblW w:w="9980" w:type="dxa"/>
        <w:tblLayout w:type="fixed"/>
        <w:tblLook w:val="0400"/>
      </w:tblPr>
      <w:tblGrid>
        <w:gridCol w:w="1970"/>
        <w:gridCol w:w="1620"/>
        <w:gridCol w:w="1530"/>
        <w:gridCol w:w="1080"/>
        <w:gridCol w:w="1800"/>
        <w:gridCol w:w="1980"/>
      </w:tblGrid>
      <w:tr w14:paraId="54FD4654" w14:textId="77777777">
        <w:tblPrEx>
          <w:tblW w:w="9980" w:type="dxa"/>
          <w:tblLayout w:type="fixed"/>
          <w:tblLook w:val="0400"/>
        </w:tblPrEx>
        <w:trPr>
          <w:trHeight w:val="450"/>
        </w:trPr>
        <w:tc>
          <w:tcPr>
            <w:tcW w:w="1970" w:type="dxa"/>
            <w:tcBorders>
              <w:top w:val="single" w:sz="8" w:space="0" w:color="000000"/>
              <w:left w:val="single" w:sz="8" w:space="0" w:color="000000"/>
              <w:bottom w:val="nil"/>
              <w:right w:val="single" w:sz="8" w:space="0" w:color="000000"/>
            </w:tcBorders>
            <w:shd w:val="clear" w:color="auto" w:fill="5B9BD5"/>
            <w:vAlign w:val="center"/>
          </w:tcPr>
          <w:p w:rsidR="00F50DA5" w14:paraId="0F443271"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620" w:type="dxa"/>
            <w:tcBorders>
              <w:top w:val="single" w:sz="8" w:space="0" w:color="000000"/>
              <w:left w:val="nil"/>
              <w:bottom w:val="nil"/>
              <w:right w:val="single" w:sz="8" w:space="0" w:color="000000"/>
            </w:tcBorders>
            <w:shd w:val="clear" w:color="auto" w:fill="5B9BD5"/>
            <w:vAlign w:val="center"/>
          </w:tcPr>
          <w:p w:rsidR="00F50DA5" w14:paraId="464FCD0D"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530" w:type="dxa"/>
            <w:tcBorders>
              <w:top w:val="single" w:sz="8" w:space="0" w:color="000000"/>
              <w:left w:val="nil"/>
              <w:bottom w:val="nil"/>
              <w:right w:val="single" w:sz="8" w:space="0" w:color="000000"/>
            </w:tcBorders>
            <w:shd w:val="clear" w:color="auto" w:fill="5B9BD5"/>
            <w:vAlign w:val="center"/>
          </w:tcPr>
          <w:p w:rsidR="00F50DA5" w14:paraId="7E7A47CE"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080" w:type="dxa"/>
            <w:tcBorders>
              <w:top w:val="single" w:sz="8" w:space="0" w:color="000000"/>
              <w:left w:val="nil"/>
              <w:bottom w:val="nil"/>
              <w:right w:val="single" w:sz="8" w:space="0" w:color="000000"/>
            </w:tcBorders>
            <w:shd w:val="clear" w:color="auto" w:fill="5B9BD5"/>
            <w:vAlign w:val="center"/>
          </w:tcPr>
          <w:p w:rsidR="00F50DA5" w14:paraId="3421B31B"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800" w:type="dxa"/>
            <w:tcBorders>
              <w:top w:val="single" w:sz="8" w:space="0" w:color="000000"/>
              <w:left w:val="nil"/>
              <w:bottom w:val="nil"/>
              <w:right w:val="single" w:sz="8" w:space="0" w:color="000000"/>
            </w:tcBorders>
            <w:shd w:val="clear" w:color="auto" w:fill="5B9BD5"/>
            <w:vAlign w:val="center"/>
          </w:tcPr>
          <w:p w:rsidR="00F50DA5" w14:paraId="0BE0E3A9"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980" w:type="dxa"/>
            <w:tcBorders>
              <w:top w:val="single" w:sz="8" w:space="0" w:color="000000"/>
              <w:left w:val="nil"/>
              <w:bottom w:val="nil"/>
              <w:right w:val="single" w:sz="8" w:space="0" w:color="000000"/>
            </w:tcBorders>
            <w:shd w:val="clear" w:color="auto" w:fill="5B9BD5"/>
            <w:vAlign w:val="center"/>
          </w:tcPr>
          <w:p w:rsidR="00F50DA5" w14:paraId="4D8A7D7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560E98C1" w14:textId="77777777">
        <w:tblPrEx>
          <w:tblW w:w="9980" w:type="dxa"/>
          <w:tblLayout w:type="fixed"/>
          <w:tblLook w:val="0400"/>
        </w:tblPrEx>
        <w:trPr>
          <w:trHeight w:val="300"/>
        </w:trPr>
        <w:tc>
          <w:tcPr>
            <w:tcW w:w="1970" w:type="dxa"/>
            <w:tcBorders>
              <w:top w:val="single" w:sz="4" w:space="0" w:color="000000"/>
              <w:left w:val="single" w:sz="8" w:space="0" w:color="000000"/>
              <w:bottom w:val="single" w:sz="4" w:space="0" w:color="000000"/>
              <w:right w:val="single" w:sz="8" w:space="0" w:color="000000"/>
            </w:tcBorders>
            <w:shd w:val="clear" w:color="auto" w:fill="auto"/>
            <w:vAlign w:val="bottom"/>
          </w:tcPr>
          <w:p w:rsidR="00F50DA5" w14:paraId="137FF283"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620" w:type="dxa"/>
            <w:tcBorders>
              <w:top w:val="single" w:sz="4" w:space="0" w:color="000000"/>
              <w:left w:val="nil"/>
              <w:bottom w:val="single" w:sz="4" w:space="0" w:color="000000"/>
              <w:right w:val="single" w:sz="4" w:space="0" w:color="000000"/>
            </w:tcBorders>
            <w:shd w:val="clear" w:color="auto" w:fill="auto"/>
            <w:vAlign w:val="bottom"/>
          </w:tcPr>
          <w:p w:rsidR="00F50DA5" w14:paraId="2E8757F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ZP-03/04 </w:t>
            </w:r>
          </w:p>
        </w:tc>
        <w:tc>
          <w:tcPr>
            <w:tcW w:w="1530" w:type="dxa"/>
            <w:tcBorders>
              <w:top w:val="single" w:sz="4" w:space="0" w:color="000000"/>
              <w:left w:val="nil"/>
              <w:bottom w:val="single" w:sz="4" w:space="0" w:color="000000"/>
              <w:right w:val="single" w:sz="4" w:space="0" w:color="000000"/>
            </w:tcBorders>
            <w:shd w:val="clear" w:color="auto" w:fill="auto"/>
            <w:vAlign w:val="bottom"/>
          </w:tcPr>
          <w:p w:rsidR="00F50DA5" w14:paraId="194595EA" w14:textId="77777777">
            <w:pPr>
              <w:widowControl/>
              <w:jc w:val="right"/>
              <w:rPr>
                <w:rFonts w:ascii="Calibri" w:eastAsia="Calibri" w:hAnsi="Calibri" w:cs="Calibri"/>
                <w:color w:val="000000"/>
                <w:sz w:val="16"/>
                <w:szCs w:val="16"/>
              </w:rPr>
            </w:pPr>
            <w:r>
              <w:t>250,000</w:t>
            </w:r>
            <w:r>
              <w:rPr>
                <w:rFonts w:ascii="Calibri" w:eastAsia="Calibri" w:hAnsi="Calibri" w:cs="Calibri"/>
                <w:color w:val="000000"/>
                <w:sz w:val="16"/>
                <w:szCs w:val="16"/>
              </w:rPr>
              <w:t> </w:t>
            </w:r>
          </w:p>
        </w:tc>
        <w:tc>
          <w:tcPr>
            <w:tcW w:w="1080" w:type="dxa"/>
            <w:tcBorders>
              <w:top w:val="single" w:sz="4" w:space="0" w:color="000000"/>
              <w:left w:val="nil"/>
              <w:bottom w:val="single" w:sz="4" w:space="0" w:color="000000"/>
              <w:right w:val="single" w:sz="4" w:space="0" w:color="000000"/>
            </w:tcBorders>
            <w:shd w:val="clear" w:color="auto" w:fill="auto"/>
            <w:vAlign w:val="bottom"/>
          </w:tcPr>
          <w:p w:rsidR="00F50DA5" w14:paraId="1D94F1ED" w14:textId="77777777">
            <w:pPr>
              <w:widowControl/>
              <w:jc w:val="right"/>
              <w:rPr>
                <w:rFonts w:ascii="Calibri" w:eastAsia="Calibri" w:hAnsi="Calibri" w:cs="Calibri"/>
                <w:color w:val="000000"/>
                <w:sz w:val="16"/>
                <w:szCs w:val="16"/>
              </w:rPr>
            </w:pPr>
          </w:p>
        </w:tc>
        <w:tc>
          <w:tcPr>
            <w:tcW w:w="1800" w:type="dxa"/>
            <w:tcBorders>
              <w:top w:val="single" w:sz="4" w:space="0" w:color="000000"/>
              <w:left w:val="nil"/>
              <w:bottom w:val="single" w:sz="4" w:space="0" w:color="000000"/>
              <w:right w:val="single" w:sz="4" w:space="0" w:color="000000"/>
            </w:tcBorders>
            <w:shd w:val="clear" w:color="auto" w:fill="808080"/>
            <w:vAlign w:val="bottom"/>
          </w:tcPr>
          <w:p w:rsidR="00F50DA5" w14:paraId="7611C23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single" w:sz="4" w:space="0" w:color="000000"/>
              <w:left w:val="nil"/>
              <w:bottom w:val="single" w:sz="4" w:space="0" w:color="000000"/>
              <w:right w:val="single" w:sz="8" w:space="0" w:color="000000"/>
            </w:tcBorders>
            <w:shd w:val="clear" w:color="auto" w:fill="auto"/>
            <w:vAlign w:val="bottom"/>
          </w:tcPr>
          <w:p w:rsidR="00F50DA5" w14:paraId="2255F116" w14:textId="77777777">
            <w:pPr>
              <w:widowControl/>
              <w:jc w:val="right"/>
              <w:rPr>
                <w:rFonts w:ascii="Calibri" w:eastAsia="Calibri" w:hAnsi="Calibri" w:cs="Calibri"/>
                <w:color w:val="000000"/>
                <w:sz w:val="16"/>
                <w:szCs w:val="16"/>
              </w:rPr>
            </w:pPr>
            <w:r>
              <w:t>250,000</w:t>
            </w:r>
            <w:r>
              <w:rPr>
                <w:rFonts w:ascii="Calibri" w:eastAsia="Calibri" w:hAnsi="Calibri" w:cs="Calibri"/>
                <w:color w:val="000000"/>
                <w:sz w:val="16"/>
                <w:szCs w:val="16"/>
              </w:rPr>
              <w:t>  </w:t>
            </w:r>
          </w:p>
        </w:tc>
      </w:tr>
      <w:tr w14:paraId="708582A3" w14:textId="77777777">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F50DA5" w14:paraId="0907140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620" w:type="dxa"/>
            <w:tcBorders>
              <w:top w:val="nil"/>
              <w:left w:val="nil"/>
              <w:bottom w:val="single" w:sz="4" w:space="0" w:color="000000"/>
              <w:right w:val="single" w:sz="4" w:space="0" w:color="000000"/>
            </w:tcBorders>
            <w:shd w:val="clear" w:color="auto" w:fill="808080"/>
            <w:vAlign w:val="bottom"/>
          </w:tcPr>
          <w:p w:rsidR="00F50DA5" w14:paraId="6F994529"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auto"/>
            <w:vAlign w:val="bottom"/>
          </w:tcPr>
          <w:p w:rsidR="00F50DA5" w14:paraId="65FF1B32" w14:textId="77777777">
            <w:pPr>
              <w:widowControl/>
              <w:jc w:val="right"/>
              <w:rPr>
                <w:rFonts w:ascii="Calibri" w:eastAsia="Calibri" w:hAnsi="Calibri" w:cs="Calibri"/>
                <w:color w:val="000000"/>
                <w:sz w:val="16"/>
                <w:szCs w:val="16"/>
              </w:rPr>
            </w:pPr>
            <w:r>
              <w:t>1,792,754</w:t>
            </w: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auto"/>
            <w:vAlign w:val="bottom"/>
          </w:tcPr>
          <w:p w:rsidR="00F50DA5" w14:paraId="06C33D30" w14:textId="77777777">
            <w:pPr>
              <w:widowControl/>
              <w:jc w:val="right"/>
              <w:rPr>
                <w:rFonts w:ascii="Calibri" w:eastAsia="Calibri" w:hAnsi="Calibri" w:cs="Calibri"/>
                <w:color w:val="000000"/>
                <w:sz w:val="16"/>
                <w:szCs w:val="16"/>
              </w:rPr>
            </w:pPr>
          </w:p>
        </w:tc>
        <w:tc>
          <w:tcPr>
            <w:tcW w:w="1800" w:type="dxa"/>
            <w:tcBorders>
              <w:top w:val="nil"/>
              <w:left w:val="nil"/>
              <w:bottom w:val="single" w:sz="4" w:space="0" w:color="000000"/>
              <w:right w:val="single" w:sz="4" w:space="0" w:color="000000"/>
            </w:tcBorders>
            <w:shd w:val="clear" w:color="auto" w:fill="auto"/>
            <w:vAlign w:val="bottom"/>
          </w:tcPr>
          <w:p w:rsidR="00F50DA5" w14:paraId="0B0EFCC2"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F50DA5" w14:paraId="5903594B" w14:textId="77777777">
            <w:pPr>
              <w:widowControl/>
              <w:jc w:val="right"/>
              <w:rPr>
                <w:rFonts w:ascii="Calibri" w:eastAsia="Calibri" w:hAnsi="Calibri" w:cs="Calibri"/>
                <w:color w:val="000000"/>
                <w:sz w:val="16"/>
                <w:szCs w:val="16"/>
              </w:rPr>
            </w:pPr>
            <w:r>
              <w:t>1,792,754</w:t>
            </w:r>
            <w:r>
              <w:rPr>
                <w:rFonts w:ascii="Calibri" w:eastAsia="Calibri" w:hAnsi="Calibri" w:cs="Calibri"/>
                <w:color w:val="000000"/>
                <w:sz w:val="16"/>
                <w:szCs w:val="16"/>
              </w:rPr>
              <w:t>  </w:t>
            </w:r>
          </w:p>
        </w:tc>
      </w:tr>
      <w:tr w14:paraId="5C1180F9" w14:textId="77777777">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F50DA5" w14:paraId="4CF192BD"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620" w:type="dxa"/>
            <w:tcBorders>
              <w:top w:val="nil"/>
              <w:left w:val="nil"/>
              <w:bottom w:val="single" w:sz="4" w:space="0" w:color="000000"/>
              <w:right w:val="single" w:sz="4" w:space="0" w:color="000000"/>
            </w:tcBorders>
            <w:shd w:val="clear" w:color="auto" w:fill="808080"/>
            <w:vAlign w:val="bottom"/>
          </w:tcPr>
          <w:p w:rsidR="00F50DA5" w14:paraId="6A97294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808080"/>
            <w:vAlign w:val="bottom"/>
          </w:tcPr>
          <w:p w:rsidR="00F50DA5" w14:paraId="4418B4E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F50DA5" w14:paraId="02E20A9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0DA5" w14:paraId="34BE286A"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F50DA5" w14:paraId="7E213C41"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0 </w:t>
            </w:r>
          </w:p>
        </w:tc>
      </w:tr>
      <w:tr w14:paraId="144305C8" w14:textId="77777777">
        <w:tblPrEx>
          <w:tblW w:w="9980" w:type="dxa"/>
          <w:tblLayout w:type="fixed"/>
          <w:tblLook w:val="0400"/>
        </w:tblPrEx>
        <w:trPr>
          <w:trHeight w:val="300"/>
        </w:trPr>
        <w:tc>
          <w:tcPr>
            <w:tcW w:w="1970" w:type="dxa"/>
            <w:tcBorders>
              <w:top w:val="nil"/>
              <w:left w:val="single" w:sz="8" w:space="0" w:color="000000"/>
              <w:bottom w:val="single" w:sz="4" w:space="0" w:color="000000"/>
              <w:right w:val="single" w:sz="8" w:space="0" w:color="000000"/>
            </w:tcBorders>
            <w:shd w:val="clear" w:color="auto" w:fill="auto"/>
            <w:vAlign w:val="bottom"/>
          </w:tcPr>
          <w:p w:rsidR="00F50DA5" w14:paraId="268DB7EF"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Other Costs</w:t>
            </w:r>
          </w:p>
        </w:tc>
        <w:tc>
          <w:tcPr>
            <w:tcW w:w="1620" w:type="dxa"/>
            <w:tcBorders>
              <w:top w:val="nil"/>
              <w:left w:val="nil"/>
              <w:bottom w:val="single" w:sz="4" w:space="0" w:color="000000"/>
              <w:right w:val="single" w:sz="4" w:space="0" w:color="000000"/>
            </w:tcBorders>
            <w:shd w:val="clear" w:color="auto" w:fill="808080"/>
            <w:vAlign w:val="bottom"/>
          </w:tcPr>
          <w:p w:rsidR="00F50DA5" w14:paraId="25D61FBF"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530" w:type="dxa"/>
            <w:tcBorders>
              <w:top w:val="nil"/>
              <w:left w:val="nil"/>
              <w:bottom w:val="single" w:sz="4" w:space="0" w:color="000000"/>
              <w:right w:val="single" w:sz="4" w:space="0" w:color="000000"/>
            </w:tcBorders>
            <w:shd w:val="clear" w:color="auto" w:fill="808080"/>
            <w:vAlign w:val="bottom"/>
          </w:tcPr>
          <w:p w:rsidR="00F50DA5" w14:paraId="228CA6A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080" w:type="dxa"/>
            <w:tcBorders>
              <w:top w:val="nil"/>
              <w:left w:val="nil"/>
              <w:bottom w:val="single" w:sz="4" w:space="0" w:color="000000"/>
              <w:right w:val="single" w:sz="4" w:space="0" w:color="000000"/>
            </w:tcBorders>
            <w:shd w:val="clear" w:color="auto" w:fill="808080"/>
            <w:vAlign w:val="bottom"/>
          </w:tcPr>
          <w:p w:rsidR="00F50DA5" w14:paraId="08E1F3FE"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800" w:type="dxa"/>
            <w:tcBorders>
              <w:top w:val="nil"/>
              <w:left w:val="nil"/>
              <w:bottom w:val="single" w:sz="4" w:space="0" w:color="000000"/>
              <w:right w:val="single" w:sz="4" w:space="0" w:color="000000"/>
            </w:tcBorders>
            <w:shd w:val="clear" w:color="auto" w:fill="808080"/>
            <w:vAlign w:val="bottom"/>
          </w:tcPr>
          <w:p w:rsidR="00F50DA5" w14:paraId="5F5A07E6"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 </w:t>
            </w:r>
          </w:p>
        </w:tc>
        <w:tc>
          <w:tcPr>
            <w:tcW w:w="1980" w:type="dxa"/>
            <w:tcBorders>
              <w:top w:val="nil"/>
              <w:left w:val="nil"/>
              <w:bottom w:val="single" w:sz="4" w:space="0" w:color="000000"/>
              <w:right w:val="single" w:sz="8" w:space="0" w:color="000000"/>
            </w:tcBorders>
            <w:shd w:val="clear" w:color="auto" w:fill="auto"/>
            <w:vAlign w:val="bottom"/>
          </w:tcPr>
          <w:p w:rsidR="00F50DA5" w14:paraId="1BEDFE57" w14:textId="77777777">
            <w:pPr>
              <w:widowControl/>
              <w:jc w:val="right"/>
              <w:rPr>
                <w:rFonts w:ascii="Calibri" w:eastAsia="Calibri" w:hAnsi="Calibri" w:cs="Calibri"/>
                <w:color w:val="000000"/>
                <w:sz w:val="16"/>
                <w:szCs w:val="16"/>
              </w:rPr>
            </w:pPr>
            <w:r>
              <w:rPr>
                <w:rFonts w:ascii="Calibri" w:eastAsia="Calibri" w:hAnsi="Calibri" w:cs="Calibri"/>
                <w:color w:val="000000"/>
                <w:sz w:val="16"/>
                <w:szCs w:val="16"/>
              </w:rPr>
              <w:t>0 </w:t>
            </w:r>
          </w:p>
        </w:tc>
      </w:tr>
      <w:tr w14:paraId="271CFA2E" w14:textId="77777777">
        <w:tblPrEx>
          <w:tblW w:w="9980" w:type="dxa"/>
          <w:tblLayout w:type="fixed"/>
          <w:tblLook w:val="0400"/>
        </w:tblPrEx>
        <w:trPr>
          <w:trHeight w:val="315"/>
        </w:trPr>
        <w:tc>
          <w:tcPr>
            <w:tcW w:w="1970" w:type="dxa"/>
            <w:tcBorders>
              <w:top w:val="single" w:sz="8" w:space="0" w:color="000000"/>
              <w:left w:val="single" w:sz="8" w:space="0" w:color="000000"/>
              <w:bottom w:val="single" w:sz="8" w:space="0" w:color="000000"/>
              <w:right w:val="single" w:sz="8" w:space="0" w:color="000000"/>
            </w:tcBorders>
            <w:shd w:val="clear" w:color="auto" w:fill="BDD7EE"/>
            <w:vAlign w:val="bottom"/>
          </w:tcPr>
          <w:p w:rsidR="00F50DA5" w14:paraId="6A4189A5" w14:textId="77777777">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620" w:type="dxa"/>
            <w:tcBorders>
              <w:top w:val="single" w:sz="8" w:space="0" w:color="000000"/>
              <w:left w:val="nil"/>
              <w:bottom w:val="single" w:sz="8" w:space="0" w:color="000000"/>
              <w:right w:val="single" w:sz="8" w:space="0" w:color="000000"/>
            </w:tcBorders>
            <w:shd w:val="clear" w:color="auto" w:fill="808080"/>
            <w:vAlign w:val="bottom"/>
          </w:tcPr>
          <w:p w:rsidR="00F50DA5" w14:paraId="6F4A5D6C"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530" w:type="dxa"/>
            <w:tcBorders>
              <w:top w:val="single" w:sz="8" w:space="0" w:color="000000"/>
              <w:left w:val="nil"/>
              <w:bottom w:val="single" w:sz="8" w:space="0" w:color="000000"/>
              <w:right w:val="single" w:sz="8" w:space="0" w:color="000000"/>
            </w:tcBorders>
            <w:shd w:val="clear" w:color="auto" w:fill="BDD7EE"/>
            <w:vAlign w:val="bottom"/>
          </w:tcPr>
          <w:p w:rsidR="00F50DA5" w14:paraId="12EEFA50" w14:textId="77777777">
            <w:pPr>
              <w:widowControl/>
              <w:jc w:val="right"/>
              <w:rPr>
                <w:rFonts w:ascii="Calibri" w:eastAsia="Calibri" w:hAnsi="Calibri" w:cs="Calibri"/>
                <w:b/>
                <w:color w:val="000000"/>
                <w:sz w:val="16"/>
                <w:szCs w:val="16"/>
              </w:rPr>
            </w:pPr>
            <w:r>
              <w:t>2,042,754</w:t>
            </w:r>
            <w:r>
              <w:rPr>
                <w:rFonts w:ascii="Calibri" w:eastAsia="Calibri" w:hAnsi="Calibri" w:cs="Calibri"/>
                <w:b/>
                <w:color w:val="000000"/>
                <w:sz w:val="16"/>
                <w:szCs w:val="16"/>
              </w:rPr>
              <w:t> </w:t>
            </w:r>
          </w:p>
        </w:tc>
        <w:tc>
          <w:tcPr>
            <w:tcW w:w="1080" w:type="dxa"/>
            <w:tcBorders>
              <w:top w:val="single" w:sz="8" w:space="0" w:color="000000"/>
              <w:left w:val="nil"/>
              <w:bottom w:val="single" w:sz="8" w:space="0" w:color="000000"/>
              <w:right w:val="single" w:sz="8" w:space="0" w:color="000000"/>
            </w:tcBorders>
            <w:shd w:val="clear" w:color="auto" w:fill="757171"/>
            <w:vAlign w:val="bottom"/>
          </w:tcPr>
          <w:p w:rsidR="00F50DA5" w14:paraId="75058F20"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800" w:type="dxa"/>
            <w:tcBorders>
              <w:top w:val="single" w:sz="8" w:space="0" w:color="000000"/>
              <w:left w:val="nil"/>
              <w:bottom w:val="single" w:sz="8" w:space="0" w:color="000000"/>
              <w:right w:val="single" w:sz="8" w:space="0" w:color="000000"/>
            </w:tcBorders>
            <w:shd w:val="clear" w:color="auto" w:fill="BDD7EE"/>
            <w:vAlign w:val="bottom"/>
          </w:tcPr>
          <w:p w:rsidR="00F50DA5" w14:paraId="7150A413" w14:textId="77777777">
            <w:pPr>
              <w:widowControl/>
              <w:jc w:val="right"/>
              <w:rPr>
                <w:rFonts w:ascii="Calibri" w:eastAsia="Calibri" w:hAnsi="Calibri" w:cs="Calibri"/>
                <w:b/>
                <w:color w:val="000000"/>
                <w:sz w:val="16"/>
                <w:szCs w:val="16"/>
              </w:rPr>
            </w:pPr>
            <w:r>
              <w:rPr>
                <w:rFonts w:ascii="Calibri" w:eastAsia="Calibri" w:hAnsi="Calibri" w:cs="Calibri"/>
                <w:b/>
                <w:color w:val="000000"/>
                <w:sz w:val="16"/>
                <w:szCs w:val="16"/>
              </w:rPr>
              <w:t> </w:t>
            </w:r>
          </w:p>
        </w:tc>
        <w:tc>
          <w:tcPr>
            <w:tcW w:w="1980" w:type="dxa"/>
            <w:tcBorders>
              <w:top w:val="single" w:sz="8" w:space="0" w:color="000000"/>
              <w:left w:val="nil"/>
              <w:bottom w:val="single" w:sz="8" w:space="0" w:color="000000"/>
              <w:right w:val="single" w:sz="8" w:space="0" w:color="000000"/>
            </w:tcBorders>
            <w:shd w:val="clear" w:color="auto" w:fill="BDD7EE"/>
            <w:vAlign w:val="bottom"/>
          </w:tcPr>
          <w:p w:rsidR="00F50DA5" w14:paraId="3DB36B02" w14:textId="77777777">
            <w:pPr>
              <w:widowControl/>
              <w:jc w:val="right"/>
              <w:rPr>
                <w:rFonts w:ascii="Calibri" w:eastAsia="Calibri" w:hAnsi="Calibri" w:cs="Calibri"/>
                <w:b/>
                <w:color w:val="000000"/>
                <w:sz w:val="16"/>
                <w:szCs w:val="16"/>
              </w:rPr>
            </w:pPr>
            <w:r>
              <w:t>2,042,754</w:t>
            </w:r>
            <w:r>
              <w:rPr>
                <w:rFonts w:ascii="Calibri" w:eastAsia="Calibri" w:hAnsi="Calibri" w:cs="Calibri"/>
                <w:b/>
                <w:color w:val="000000"/>
                <w:sz w:val="16"/>
                <w:szCs w:val="16"/>
              </w:rPr>
              <w:t>  </w:t>
            </w:r>
          </w:p>
        </w:tc>
      </w:tr>
    </w:tbl>
    <w:p w:rsidR="00F50DA5" w14:paraId="1DB67102" w14:textId="77777777">
      <w:pPr>
        <w:tabs>
          <w:tab w:val="left" w:pos="540"/>
        </w:tabs>
        <w:ind w:left="540"/>
        <w:rPr>
          <w:sz w:val="24"/>
          <w:szCs w:val="24"/>
        </w:rPr>
      </w:pPr>
    </w:p>
    <w:p w:rsidR="00F50DA5" w14:paraId="7B1A1956" w14:textId="77777777">
      <w:pPr>
        <w:tabs>
          <w:tab w:val="left" w:pos="540"/>
        </w:tabs>
        <w:ind w:left="540"/>
        <w:rPr>
          <w:sz w:val="24"/>
          <w:szCs w:val="24"/>
        </w:rPr>
      </w:pPr>
    </w:p>
    <w:p w:rsidR="00F50DA5" w14:paraId="334B009D" w14:textId="77777777">
      <w:pPr>
        <w:tabs>
          <w:tab w:val="left" w:pos="540"/>
        </w:tabs>
        <w:ind w:left="540"/>
        <w:rPr>
          <w:sz w:val="24"/>
          <w:szCs w:val="24"/>
        </w:rPr>
        <w:sectPr>
          <w:pgSz w:w="12240" w:h="15840"/>
          <w:pgMar w:top="1440" w:right="1440" w:bottom="1440" w:left="1440" w:header="720" w:footer="720" w:gutter="0"/>
          <w:cols w:space="720" w:equalWidth="0">
            <w:col w:w="9360"/>
          </w:cols>
        </w:sectPr>
      </w:pPr>
    </w:p>
    <w:p w:rsidR="00F50DA5" w14:paraId="5F6350FD" w14:textId="77777777">
      <w:pPr>
        <w:tabs>
          <w:tab w:val="left" w:pos="540"/>
        </w:tabs>
        <w:ind w:left="540"/>
        <w:rPr>
          <w:sz w:val="24"/>
          <w:szCs w:val="24"/>
        </w:rPr>
      </w:pPr>
    </w:p>
    <w:p w:rsidR="00BA5FBC" w:rsidRPr="00BA5FBC" w:rsidP="00BA5FBC" w14:paraId="4620EDC2"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Explain the reasons for any program changes or adjustments reported in ROCIS.</w:t>
      </w:r>
    </w:p>
    <w:p w:rsidR="00F50DA5" w14:paraId="6E314BED" w14:textId="77777777">
      <w:pPr>
        <w:rPr>
          <w:sz w:val="24"/>
          <w:szCs w:val="24"/>
        </w:rPr>
      </w:pPr>
    </w:p>
    <w:p w:rsidR="00F50DA5" w14:paraId="743AB4FD" w14:textId="3900B489">
      <w:pPr>
        <w:rPr>
          <w:sz w:val="24"/>
          <w:szCs w:val="24"/>
        </w:rPr>
      </w:pPr>
      <w:r>
        <w:rPr>
          <w:sz w:val="24"/>
          <w:szCs w:val="24"/>
        </w:rPr>
        <w:t xml:space="preserve"> </w:t>
      </w:r>
      <w:r w:rsidR="00D34306">
        <w:rPr>
          <w:sz w:val="24"/>
          <w:szCs w:val="24"/>
        </w:rPr>
        <w:t>The following table show</w:t>
      </w:r>
      <w:r w:rsidR="00C97CE7">
        <w:rPr>
          <w:sz w:val="24"/>
          <w:szCs w:val="24"/>
        </w:rPr>
        <w:t>s</w:t>
      </w:r>
      <w:r w:rsidR="00237DFC">
        <w:rPr>
          <w:sz w:val="24"/>
          <w:szCs w:val="24"/>
        </w:rPr>
        <w:t xml:space="preserve"> </w:t>
      </w:r>
      <w:r w:rsidR="00D34306">
        <w:rPr>
          <w:sz w:val="24"/>
          <w:szCs w:val="24"/>
        </w:rPr>
        <w:t xml:space="preserve">the </w:t>
      </w:r>
      <w:r w:rsidR="00BD01DB">
        <w:rPr>
          <w:sz w:val="24"/>
          <w:szCs w:val="24"/>
        </w:rPr>
        <w:t>adjustment</w:t>
      </w:r>
      <w:r w:rsidR="00237DFC">
        <w:rPr>
          <w:sz w:val="24"/>
          <w:szCs w:val="24"/>
        </w:rPr>
        <w:t xml:space="preserve"> </w:t>
      </w:r>
      <w:r w:rsidR="00D34306">
        <w:rPr>
          <w:sz w:val="24"/>
          <w:szCs w:val="24"/>
        </w:rPr>
        <w:t xml:space="preserve">in the number of respondents, responses, </w:t>
      </w:r>
      <w:r w:rsidR="00C97CE7">
        <w:rPr>
          <w:sz w:val="24"/>
          <w:szCs w:val="24"/>
        </w:rPr>
        <w:t>and</w:t>
      </w:r>
      <w:r w:rsidR="00237DFC">
        <w:rPr>
          <w:sz w:val="24"/>
          <w:szCs w:val="24"/>
        </w:rPr>
        <w:t xml:space="preserve"> </w:t>
      </w:r>
      <w:r w:rsidR="00C97CE7">
        <w:rPr>
          <w:sz w:val="24"/>
          <w:szCs w:val="24"/>
        </w:rPr>
        <w:t xml:space="preserve">burden </w:t>
      </w:r>
      <w:r w:rsidR="00D34306">
        <w:rPr>
          <w:sz w:val="24"/>
          <w:szCs w:val="24"/>
        </w:rPr>
        <w:t>estimates</w:t>
      </w:r>
      <w:r>
        <w:rPr>
          <w:sz w:val="24"/>
          <w:szCs w:val="24"/>
        </w:rPr>
        <w:t xml:space="preserve"> as a result</w:t>
      </w:r>
      <w:r w:rsidR="00C97CE7">
        <w:rPr>
          <w:sz w:val="24"/>
          <w:szCs w:val="24"/>
        </w:rPr>
        <w:t xml:space="preserve"> of the estimated 1% increase in the size of the LPTS sample universe</w:t>
      </w:r>
      <w:r>
        <w:rPr>
          <w:sz w:val="24"/>
          <w:szCs w:val="24"/>
        </w:rPr>
        <w:t xml:space="preserve"> </w:t>
      </w:r>
      <w:r w:rsidR="0066741E">
        <w:rPr>
          <w:sz w:val="24"/>
          <w:szCs w:val="24"/>
        </w:rPr>
        <w:t>reported in ROCIS</w:t>
      </w:r>
      <w:r w:rsidR="00C97CE7">
        <w:rPr>
          <w:sz w:val="24"/>
          <w:szCs w:val="24"/>
        </w:rPr>
        <w:t>.</w:t>
      </w:r>
    </w:p>
    <w:p w:rsidR="00F50DA5" w14:paraId="0B3E39BC" w14:textId="77777777">
      <w:pPr>
        <w:rPr>
          <w:sz w:val="24"/>
          <w:szCs w:val="24"/>
        </w:rPr>
      </w:pPr>
    </w:p>
    <w:tbl>
      <w:tblPr>
        <w:tblStyle w:val="a1"/>
        <w:tblW w:w="1030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70"/>
        <w:gridCol w:w="1071"/>
        <w:gridCol w:w="1062"/>
        <w:gridCol w:w="1003"/>
        <w:gridCol w:w="1129"/>
        <w:gridCol w:w="1129"/>
        <w:gridCol w:w="1130"/>
        <w:gridCol w:w="1709"/>
      </w:tblGrid>
      <w:tr w14:paraId="04E7D5C9" w14:textId="06BFA93C" w:rsidTr="00D17A55">
        <w:tblPrEx>
          <w:tblW w:w="1030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70" w:type="dxa"/>
            <w:vMerge w:val="restart"/>
            <w:shd w:val="clear" w:color="auto" w:fill="5B9BD5"/>
            <w:vAlign w:val="center"/>
          </w:tcPr>
          <w:p w:rsidR="00F50DA5" w14:paraId="622CFAF3" w14:textId="539CE4EA">
            <w:pPr>
              <w:keepNext/>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2133" w:type="dxa"/>
            <w:gridSpan w:val="2"/>
            <w:tcBorders>
              <w:bottom w:val="single" w:sz="4" w:space="0" w:color="000000"/>
            </w:tcBorders>
            <w:shd w:val="clear" w:color="auto" w:fill="5B9BD5"/>
            <w:vAlign w:val="center"/>
          </w:tcPr>
          <w:p w:rsidR="00F50DA5" w14:paraId="72A42673" w14:textId="2D954ADC">
            <w:pPr>
              <w:keepNext/>
              <w:jc w:val="center"/>
              <w:rPr>
                <w:rFonts w:ascii="Calibri" w:eastAsia="Calibri" w:hAnsi="Calibri" w:cs="Calibri"/>
                <w:b/>
                <w:sz w:val="16"/>
                <w:szCs w:val="16"/>
              </w:rPr>
            </w:pPr>
            <w:r>
              <w:rPr>
                <w:rFonts w:ascii="Calibri" w:eastAsia="Calibri" w:hAnsi="Calibri" w:cs="Calibri"/>
                <w:b/>
                <w:sz w:val="16"/>
                <w:szCs w:val="16"/>
              </w:rPr>
              <w:t>Respondents</w:t>
            </w:r>
          </w:p>
        </w:tc>
        <w:tc>
          <w:tcPr>
            <w:tcW w:w="2132" w:type="dxa"/>
            <w:gridSpan w:val="2"/>
            <w:tcBorders>
              <w:bottom w:val="single" w:sz="4" w:space="0" w:color="000000"/>
            </w:tcBorders>
            <w:shd w:val="clear" w:color="auto" w:fill="5B9BD5"/>
            <w:vAlign w:val="center"/>
          </w:tcPr>
          <w:p w:rsidR="00F50DA5" w14:paraId="1E63F261" w14:textId="7F2CB754">
            <w:pPr>
              <w:keepNext/>
              <w:jc w:val="center"/>
              <w:rPr>
                <w:rFonts w:ascii="Calibri" w:eastAsia="Calibri" w:hAnsi="Calibri" w:cs="Calibri"/>
                <w:b/>
                <w:sz w:val="16"/>
                <w:szCs w:val="16"/>
              </w:rPr>
            </w:pPr>
            <w:r>
              <w:rPr>
                <w:rFonts w:ascii="Calibri" w:eastAsia="Calibri" w:hAnsi="Calibri" w:cs="Calibri"/>
                <w:b/>
                <w:sz w:val="16"/>
                <w:szCs w:val="16"/>
              </w:rPr>
              <w:t>Responses</w:t>
            </w:r>
          </w:p>
        </w:tc>
        <w:tc>
          <w:tcPr>
            <w:tcW w:w="2259" w:type="dxa"/>
            <w:gridSpan w:val="2"/>
            <w:tcBorders>
              <w:bottom w:val="single" w:sz="4" w:space="0" w:color="000000"/>
            </w:tcBorders>
            <w:shd w:val="clear" w:color="auto" w:fill="5B9BD5"/>
            <w:vAlign w:val="center"/>
          </w:tcPr>
          <w:p w:rsidR="00F50DA5" w14:paraId="7B563C97" w14:textId="24E8FD49">
            <w:pPr>
              <w:keepNext/>
              <w:jc w:val="center"/>
              <w:rPr>
                <w:rFonts w:ascii="Calibri" w:eastAsia="Calibri" w:hAnsi="Calibri" w:cs="Calibri"/>
                <w:b/>
                <w:sz w:val="16"/>
                <w:szCs w:val="16"/>
              </w:rPr>
            </w:pPr>
            <w:r>
              <w:rPr>
                <w:rFonts w:ascii="Calibri" w:eastAsia="Calibri" w:hAnsi="Calibri" w:cs="Calibri"/>
                <w:b/>
                <w:sz w:val="16"/>
                <w:szCs w:val="16"/>
              </w:rPr>
              <w:t>Burden Hours</w:t>
            </w:r>
          </w:p>
        </w:tc>
        <w:tc>
          <w:tcPr>
            <w:tcW w:w="1709" w:type="dxa"/>
            <w:vMerge w:val="restart"/>
            <w:shd w:val="clear" w:color="auto" w:fill="5B9BD5"/>
            <w:vAlign w:val="center"/>
          </w:tcPr>
          <w:p w:rsidR="00F50DA5" w14:paraId="365F6664" w14:textId="3A19B19D">
            <w:pPr>
              <w:keepNext/>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14:paraId="5F11EA77" w14:textId="34AB5F9B" w:rsidTr="00D17A55">
        <w:tblPrEx>
          <w:tblW w:w="10303" w:type="dxa"/>
          <w:tblInd w:w="-95" w:type="dxa"/>
          <w:tblLayout w:type="fixed"/>
          <w:tblLook w:val="0400"/>
        </w:tblPrEx>
        <w:tc>
          <w:tcPr>
            <w:tcW w:w="2070" w:type="dxa"/>
            <w:vMerge/>
            <w:shd w:val="clear" w:color="auto" w:fill="5B9BD5"/>
            <w:vAlign w:val="center"/>
          </w:tcPr>
          <w:p w:rsidR="00F50DA5" w14:paraId="4D01301F" w14:textId="01CC0412">
            <w:pPr>
              <w:pBdr>
                <w:top w:val="nil"/>
                <w:left w:val="nil"/>
                <w:bottom w:val="nil"/>
                <w:right w:val="nil"/>
                <w:between w:val="nil"/>
              </w:pBdr>
              <w:spacing w:line="276" w:lineRule="auto"/>
              <w:rPr>
                <w:rFonts w:ascii="Calibri" w:eastAsia="Calibri" w:hAnsi="Calibri" w:cs="Calibri"/>
                <w:b/>
                <w:sz w:val="16"/>
                <w:szCs w:val="16"/>
              </w:rPr>
            </w:pPr>
          </w:p>
        </w:tc>
        <w:tc>
          <w:tcPr>
            <w:tcW w:w="1071" w:type="dxa"/>
            <w:tcBorders>
              <w:bottom w:val="single" w:sz="4" w:space="0" w:color="000000"/>
              <w:right w:val="dashed" w:sz="4" w:space="0" w:color="000000"/>
            </w:tcBorders>
            <w:shd w:val="clear" w:color="auto" w:fill="FBE4D5"/>
            <w:vAlign w:val="center"/>
          </w:tcPr>
          <w:p w:rsidR="00F50DA5" w14:paraId="41A006A1" w14:textId="3AE73468">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062" w:type="dxa"/>
            <w:tcBorders>
              <w:left w:val="dashed" w:sz="4" w:space="0" w:color="000000"/>
              <w:bottom w:val="single" w:sz="4" w:space="0" w:color="000000"/>
            </w:tcBorders>
            <w:shd w:val="clear" w:color="auto" w:fill="FBE4D5"/>
            <w:vAlign w:val="center"/>
          </w:tcPr>
          <w:p w:rsidR="00F50DA5" w14:paraId="332B2183" w14:textId="48D194CA">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003" w:type="dxa"/>
            <w:tcBorders>
              <w:right w:val="dashed" w:sz="4" w:space="0" w:color="000000"/>
            </w:tcBorders>
            <w:shd w:val="clear" w:color="auto" w:fill="FBE4D5"/>
            <w:vAlign w:val="center"/>
          </w:tcPr>
          <w:p w:rsidR="00F50DA5" w14:paraId="18B15BF5" w14:textId="347E041F">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129" w:type="dxa"/>
            <w:tcBorders>
              <w:left w:val="dashed" w:sz="4" w:space="0" w:color="000000"/>
            </w:tcBorders>
            <w:shd w:val="clear" w:color="auto" w:fill="FBE4D5"/>
            <w:vAlign w:val="center"/>
          </w:tcPr>
          <w:p w:rsidR="00F50DA5" w14:paraId="672196C6" w14:textId="41372BA4">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129" w:type="dxa"/>
            <w:tcBorders>
              <w:bottom w:val="single" w:sz="4" w:space="0" w:color="000000"/>
              <w:right w:val="dashed" w:sz="4" w:space="0" w:color="000000"/>
            </w:tcBorders>
            <w:shd w:val="clear" w:color="auto" w:fill="FBE4D5"/>
            <w:vAlign w:val="center"/>
          </w:tcPr>
          <w:p w:rsidR="00F50DA5" w14:paraId="0EA222CB" w14:textId="08CE03BD">
            <w:pPr>
              <w:keepNext/>
              <w:jc w:val="center"/>
              <w:rPr>
                <w:rFonts w:ascii="Calibri" w:eastAsia="Calibri" w:hAnsi="Calibri" w:cs="Calibri"/>
                <w:sz w:val="16"/>
                <w:szCs w:val="16"/>
              </w:rPr>
            </w:pPr>
            <w:r>
              <w:rPr>
                <w:rFonts w:ascii="Calibri" w:eastAsia="Calibri" w:hAnsi="Calibri" w:cs="Calibri"/>
                <w:sz w:val="16"/>
                <w:szCs w:val="16"/>
              </w:rPr>
              <w:t>Current Renewal / Revision</w:t>
            </w:r>
          </w:p>
        </w:tc>
        <w:tc>
          <w:tcPr>
            <w:tcW w:w="1130" w:type="dxa"/>
            <w:tcBorders>
              <w:left w:val="dashed" w:sz="4" w:space="0" w:color="000000"/>
            </w:tcBorders>
            <w:shd w:val="clear" w:color="auto" w:fill="FBE4D5"/>
            <w:vAlign w:val="center"/>
          </w:tcPr>
          <w:p w:rsidR="00F50DA5" w14:paraId="7D1D78B2" w14:textId="4E841D02">
            <w:pPr>
              <w:keepNext/>
              <w:jc w:val="center"/>
              <w:rPr>
                <w:rFonts w:ascii="Calibri" w:eastAsia="Calibri" w:hAnsi="Calibri" w:cs="Calibri"/>
                <w:sz w:val="16"/>
                <w:szCs w:val="16"/>
              </w:rPr>
            </w:pPr>
            <w:r>
              <w:rPr>
                <w:rFonts w:ascii="Calibri" w:eastAsia="Calibri" w:hAnsi="Calibri" w:cs="Calibri"/>
                <w:sz w:val="16"/>
                <w:szCs w:val="16"/>
              </w:rPr>
              <w:t>Previous Renewal / Revision</w:t>
            </w:r>
          </w:p>
        </w:tc>
        <w:tc>
          <w:tcPr>
            <w:tcW w:w="1709" w:type="dxa"/>
            <w:vMerge/>
            <w:shd w:val="clear" w:color="auto" w:fill="5B9BD5"/>
            <w:vAlign w:val="center"/>
          </w:tcPr>
          <w:p w:rsidR="00F50DA5" w14:paraId="6EAC3248" w14:textId="3D59AF6B">
            <w:pPr>
              <w:pBdr>
                <w:top w:val="nil"/>
                <w:left w:val="nil"/>
                <w:bottom w:val="nil"/>
                <w:right w:val="nil"/>
                <w:between w:val="nil"/>
              </w:pBdr>
              <w:spacing w:line="276" w:lineRule="auto"/>
              <w:rPr>
                <w:rFonts w:ascii="Calibri" w:eastAsia="Calibri" w:hAnsi="Calibri" w:cs="Calibri"/>
                <w:sz w:val="16"/>
                <w:szCs w:val="16"/>
              </w:rPr>
            </w:pPr>
          </w:p>
        </w:tc>
      </w:tr>
      <w:tr w14:paraId="675AFF8C" w14:textId="6341B3C0" w:rsidTr="00D17A55">
        <w:tblPrEx>
          <w:tblW w:w="10303" w:type="dxa"/>
          <w:tblInd w:w="-95" w:type="dxa"/>
          <w:tblLayout w:type="fixed"/>
          <w:tblLook w:val="0400"/>
        </w:tblPrEx>
        <w:tc>
          <w:tcPr>
            <w:tcW w:w="2070" w:type="dxa"/>
            <w:shd w:val="clear" w:color="auto" w:fill="auto"/>
            <w:vAlign w:val="center"/>
          </w:tcPr>
          <w:p w:rsidR="00F50DA5" w14:paraId="4D5CD03D" w14:textId="14015108">
            <w:pPr>
              <w:rPr>
                <w:rFonts w:ascii="Calibri" w:eastAsia="Calibri" w:hAnsi="Calibri" w:cs="Calibri"/>
                <w:sz w:val="16"/>
                <w:szCs w:val="16"/>
              </w:rPr>
            </w:pPr>
            <w:r>
              <w:rPr>
                <w:rFonts w:ascii="Calibri" w:eastAsia="Calibri" w:hAnsi="Calibri" w:cs="Calibri"/>
                <w:sz w:val="16"/>
                <w:szCs w:val="16"/>
              </w:rPr>
              <w:t xml:space="preserve">Large </w:t>
            </w:r>
            <w:r>
              <w:rPr>
                <w:rFonts w:ascii="Calibri" w:eastAsia="Calibri" w:hAnsi="Calibri" w:cs="Calibri"/>
                <w:sz w:val="16"/>
                <w:szCs w:val="16"/>
              </w:rPr>
              <w:t>Pelagics</w:t>
            </w:r>
            <w:r>
              <w:rPr>
                <w:rFonts w:ascii="Calibri" w:eastAsia="Calibri" w:hAnsi="Calibri" w:cs="Calibri"/>
                <w:sz w:val="16"/>
                <w:szCs w:val="16"/>
              </w:rPr>
              <w:t xml:space="preserve"> Telephone Survey</w:t>
            </w:r>
          </w:p>
        </w:tc>
        <w:tc>
          <w:tcPr>
            <w:tcW w:w="1071" w:type="dxa"/>
            <w:tcBorders>
              <w:bottom w:val="dotted" w:sz="4" w:space="0" w:color="000000"/>
              <w:right w:val="dashed" w:sz="4" w:space="0" w:color="000000"/>
            </w:tcBorders>
            <w:shd w:val="clear" w:color="auto" w:fill="auto"/>
            <w:vAlign w:val="bottom"/>
          </w:tcPr>
          <w:p w:rsidR="00F50DA5" w14:paraId="7CAD9B68" w14:textId="16198E72">
            <w:pPr>
              <w:widowControl/>
              <w:jc w:val="right"/>
              <w:rPr>
                <w:rFonts w:ascii="Calibri" w:eastAsia="Calibri" w:hAnsi="Calibri" w:cs="Calibri"/>
                <w:color w:val="000000"/>
                <w:sz w:val="16"/>
                <w:szCs w:val="16"/>
              </w:rPr>
            </w:pPr>
            <w:r>
              <w:rPr>
                <w:rFonts w:ascii="Calibri" w:eastAsia="Calibri" w:hAnsi="Calibri" w:cs="Calibri"/>
                <w:color w:val="000000"/>
                <w:sz w:val="16"/>
                <w:szCs w:val="16"/>
              </w:rPr>
              <w:t>12,143</w:t>
            </w:r>
          </w:p>
        </w:tc>
        <w:tc>
          <w:tcPr>
            <w:tcW w:w="1062" w:type="dxa"/>
            <w:tcBorders>
              <w:left w:val="dashed" w:sz="4" w:space="0" w:color="000000"/>
              <w:bottom w:val="dotted" w:sz="4" w:space="0" w:color="000000"/>
            </w:tcBorders>
            <w:shd w:val="clear" w:color="auto" w:fill="auto"/>
            <w:vAlign w:val="bottom"/>
          </w:tcPr>
          <w:p w:rsidR="00F50DA5" w14:paraId="2B2FF086" w14:textId="7AD9F973">
            <w:pPr>
              <w:widowControl/>
              <w:jc w:val="right"/>
              <w:rPr>
                <w:rFonts w:ascii="Calibri" w:eastAsia="Calibri" w:hAnsi="Calibri" w:cs="Calibri"/>
                <w:color w:val="000000"/>
                <w:sz w:val="16"/>
                <w:szCs w:val="16"/>
              </w:rPr>
            </w:pPr>
            <w:r>
              <w:rPr>
                <w:rFonts w:ascii="Calibri" w:eastAsia="Calibri" w:hAnsi="Calibri" w:cs="Calibri"/>
                <w:color w:val="000000"/>
                <w:sz w:val="16"/>
                <w:szCs w:val="16"/>
              </w:rPr>
              <w:t>12,020 </w:t>
            </w:r>
          </w:p>
        </w:tc>
        <w:tc>
          <w:tcPr>
            <w:tcW w:w="1003" w:type="dxa"/>
            <w:tcBorders>
              <w:bottom w:val="dotted" w:sz="4" w:space="0" w:color="000000"/>
              <w:right w:val="dashed" w:sz="4" w:space="0" w:color="000000"/>
            </w:tcBorders>
            <w:shd w:val="clear" w:color="auto" w:fill="auto"/>
            <w:vAlign w:val="bottom"/>
          </w:tcPr>
          <w:p w:rsidR="00F50DA5" w14:paraId="692B1560" w14:textId="510D9FFA">
            <w:pPr>
              <w:widowControl/>
              <w:jc w:val="right"/>
              <w:rPr>
                <w:rFonts w:ascii="Calibri" w:eastAsia="Calibri" w:hAnsi="Calibri" w:cs="Calibri"/>
                <w:color w:val="000000"/>
                <w:sz w:val="16"/>
                <w:szCs w:val="16"/>
              </w:rPr>
            </w:pPr>
            <w:r>
              <w:rPr>
                <w:rFonts w:ascii="Calibri" w:eastAsia="Calibri" w:hAnsi="Calibri" w:cs="Calibri"/>
                <w:color w:val="000000"/>
                <w:sz w:val="16"/>
                <w:szCs w:val="16"/>
              </w:rPr>
              <w:t>16,064</w:t>
            </w:r>
          </w:p>
        </w:tc>
        <w:tc>
          <w:tcPr>
            <w:tcW w:w="1129" w:type="dxa"/>
            <w:tcBorders>
              <w:left w:val="dashed" w:sz="4" w:space="0" w:color="000000"/>
              <w:bottom w:val="dotted" w:sz="4" w:space="0" w:color="000000"/>
            </w:tcBorders>
            <w:shd w:val="clear" w:color="auto" w:fill="auto"/>
            <w:vAlign w:val="bottom"/>
          </w:tcPr>
          <w:p w:rsidR="00F50DA5" w14:paraId="34DFF5C4" w14:textId="77DD2D90">
            <w:pPr>
              <w:widowControl/>
              <w:jc w:val="right"/>
              <w:rPr>
                <w:rFonts w:ascii="Calibri" w:eastAsia="Calibri" w:hAnsi="Calibri" w:cs="Calibri"/>
                <w:color w:val="000000"/>
                <w:sz w:val="16"/>
                <w:szCs w:val="16"/>
              </w:rPr>
            </w:pPr>
            <w:r>
              <w:rPr>
                <w:rFonts w:ascii="Calibri" w:eastAsia="Calibri" w:hAnsi="Calibri" w:cs="Calibri"/>
                <w:color w:val="000000"/>
                <w:sz w:val="16"/>
                <w:szCs w:val="16"/>
              </w:rPr>
              <w:t>15,900 </w:t>
            </w:r>
          </w:p>
        </w:tc>
        <w:tc>
          <w:tcPr>
            <w:tcW w:w="1129" w:type="dxa"/>
            <w:tcBorders>
              <w:bottom w:val="dotted" w:sz="4" w:space="0" w:color="000000"/>
              <w:right w:val="dashed" w:sz="4" w:space="0" w:color="000000"/>
            </w:tcBorders>
            <w:shd w:val="clear" w:color="auto" w:fill="auto"/>
            <w:vAlign w:val="bottom"/>
          </w:tcPr>
          <w:p w:rsidR="00F50DA5" w14:paraId="0EE43DA4" w14:textId="2A69D172">
            <w:pPr>
              <w:widowControl/>
              <w:jc w:val="right"/>
              <w:rPr>
                <w:rFonts w:ascii="Calibri" w:eastAsia="Calibri" w:hAnsi="Calibri" w:cs="Calibri"/>
                <w:color w:val="000000"/>
                <w:sz w:val="16"/>
                <w:szCs w:val="16"/>
              </w:rPr>
            </w:pPr>
            <w:r>
              <w:rPr>
                <w:rFonts w:ascii="Calibri" w:eastAsia="Calibri" w:hAnsi="Calibri" w:cs="Calibri"/>
                <w:color w:val="000000"/>
                <w:sz w:val="16"/>
                <w:szCs w:val="16"/>
              </w:rPr>
              <w:t>2,945</w:t>
            </w:r>
          </w:p>
        </w:tc>
        <w:tc>
          <w:tcPr>
            <w:tcW w:w="1130" w:type="dxa"/>
            <w:tcBorders>
              <w:left w:val="dashed" w:sz="4" w:space="0" w:color="000000"/>
              <w:bottom w:val="dotted" w:sz="4" w:space="0" w:color="000000"/>
            </w:tcBorders>
            <w:shd w:val="clear" w:color="auto" w:fill="auto"/>
            <w:vAlign w:val="bottom"/>
          </w:tcPr>
          <w:p w:rsidR="00F50DA5" w14:paraId="651D8375" w14:textId="78741E7F">
            <w:pPr>
              <w:widowControl/>
              <w:jc w:val="right"/>
              <w:rPr>
                <w:rFonts w:ascii="Calibri" w:eastAsia="Calibri" w:hAnsi="Calibri" w:cs="Calibri"/>
                <w:color w:val="000000"/>
                <w:sz w:val="16"/>
                <w:szCs w:val="16"/>
              </w:rPr>
            </w:pPr>
            <w:r>
              <w:rPr>
                <w:rFonts w:ascii="Calibri" w:eastAsia="Calibri" w:hAnsi="Calibri" w:cs="Calibri"/>
                <w:color w:val="000000"/>
                <w:sz w:val="16"/>
                <w:szCs w:val="16"/>
              </w:rPr>
              <w:t>2,915 </w:t>
            </w:r>
          </w:p>
        </w:tc>
        <w:tc>
          <w:tcPr>
            <w:tcW w:w="1709" w:type="dxa"/>
            <w:tcBorders>
              <w:left w:val="dotted" w:sz="4" w:space="0" w:color="000000"/>
              <w:bottom w:val="dotted" w:sz="4" w:space="0" w:color="000000"/>
            </w:tcBorders>
            <w:shd w:val="clear" w:color="auto" w:fill="auto"/>
            <w:vAlign w:val="center"/>
          </w:tcPr>
          <w:p w:rsidR="00F50DA5" w14:paraId="38491943" w14:textId="3789CAD1">
            <w:pPr>
              <w:rPr>
                <w:rFonts w:ascii="Calibri" w:eastAsia="Calibri" w:hAnsi="Calibri" w:cs="Calibri"/>
                <w:sz w:val="16"/>
                <w:szCs w:val="16"/>
              </w:rPr>
            </w:pPr>
            <w:r>
              <w:rPr>
                <w:rFonts w:ascii="Calibri" w:eastAsia="Calibri" w:hAnsi="Calibri" w:cs="Calibri"/>
                <w:sz w:val="16"/>
                <w:szCs w:val="16"/>
              </w:rPr>
              <w:t xml:space="preserve">The </w:t>
            </w:r>
            <w:r w:rsidR="00931849">
              <w:rPr>
                <w:rFonts w:ascii="Calibri" w:eastAsia="Calibri" w:hAnsi="Calibri" w:cs="Calibri"/>
                <w:sz w:val="16"/>
                <w:szCs w:val="16"/>
              </w:rPr>
              <w:t xml:space="preserve">size of the </w:t>
            </w:r>
            <w:r>
              <w:rPr>
                <w:rFonts w:ascii="Calibri" w:eastAsia="Calibri" w:hAnsi="Calibri" w:cs="Calibri"/>
                <w:sz w:val="16"/>
                <w:szCs w:val="16"/>
              </w:rPr>
              <w:t>estimated sample universe increased by approximately 1%.</w:t>
            </w:r>
          </w:p>
        </w:tc>
      </w:tr>
      <w:tr w14:paraId="437F0854" w14:textId="12FCF271" w:rsidTr="0066741E">
        <w:tblPrEx>
          <w:tblW w:w="10303" w:type="dxa"/>
          <w:tblInd w:w="-95" w:type="dxa"/>
          <w:tblLayout w:type="fixed"/>
          <w:tblLook w:val="0400"/>
        </w:tblPrEx>
        <w:tc>
          <w:tcPr>
            <w:tcW w:w="2070" w:type="dxa"/>
            <w:shd w:val="clear" w:color="auto" w:fill="auto"/>
            <w:vAlign w:val="bottom"/>
          </w:tcPr>
          <w:p w:rsidR="00C97CE7" w:rsidP="00C97CE7" w14:paraId="290A8064" w14:textId="708FC6CC">
            <w:pPr>
              <w:rPr>
                <w:rFonts w:ascii="Calibri" w:eastAsia="Calibri" w:hAnsi="Calibri" w:cs="Calibri"/>
                <w:sz w:val="16"/>
                <w:szCs w:val="16"/>
              </w:rPr>
            </w:pPr>
            <w:r>
              <w:rPr>
                <w:rFonts w:ascii="Calibri" w:eastAsia="Calibri" w:hAnsi="Calibri" w:cs="Calibri"/>
                <w:color w:val="000000"/>
                <w:sz w:val="16"/>
                <w:szCs w:val="16"/>
              </w:rPr>
              <w:t xml:space="preserve"> Large </w:t>
            </w:r>
            <w:r>
              <w:rPr>
                <w:rFonts w:ascii="Calibri" w:eastAsia="Calibri" w:hAnsi="Calibri" w:cs="Calibri"/>
                <w:color w:val="000000"/>
                <w:sz w:val="16"/>
                <w:szCs w:val="16"/>
              </w:rPr>
              <w:t>Pelagics</w:t>
            </w:r>
            <w:r>
              <w:rPr>
                <w:rFonts w:ascii="Calibri" w:eastAsia="Calibri" w:hAnsi="Calibri" w:cs="Calibri"/>
                <w:color w:val="000000"/>
                <w:sz w:val="16"/>
                <w:szCs w:val="16"/>
              </w:rPr>
              <w:t xml:space="preserve"> Intercept Survey</w:t>
            </w:r>
          </w:p>
        </w:tc>
        <w:tc>
          <w:tcPr>
            <w:tcW w:w="1071" w:type="dxa"/>
            <w:tcBorders>
              <w:bottom w:val="dotted" w:sz="4" w:space="0" w:color="000000"/>
              <w:right w:val="dashed" w:sz="4" w:space="0" w:color="000000"/>
            </w:tcBorders>
            <w:shd w:val="clear" w:color="auto" w:fill="auto"/>
            <w:vAlign w:val="center"/>
          </w:tcPr>
          <w:p w:rsidR="00C97CE7" w:rsidP="00C97CE7" w14:paraId="12EC50B3" w14:textId="4276C42C">
            <w:pPr>
              <w:jc w:val="center"/>
              <w:rPr>
                <w:rFonts w:ascii="Calibri" w:eastAsia="Calibri" w:hAnsi="Calibri" w:cs="Calibri"/>
                <w:sz w:val="16"/>
                <w:szCs w:val="16"/>
              </w:rPr>
            </w:pPr>
            <w:r>
              <w:rPr>
                <w:rFonts w:ascii="Calibri" w:eastAsia="Calibri" w:hAnsi="Calibri" w:cs="Calibri"/>
                <w:sz w:val="16"/>
                <w:szCs w:val="16"/>
              </w:rPr>
              <w:t>3,004</w:t>
            </w:r>
          </w:p>
        </w:tc>
        <w:tc>
          <w:tcPr>
            <w:tcW w:w="1062" w:type="dxa"/>
            <w:tcBorders>
              <w:left w:val="dashed" w:sz="4" w:space="0" w:color="000000"/>
              <w:bottom w:val="dotted" w:sz="4" w:space="0" w:color="000000"/>
            </w:tcBorders>
            <w:shd w:val="clear" w:color="auto" w:fill="auto"/>
            <w:vAlign w:val="center"/>
          </w:tcPr>
          <w:p w:rsidR="00C97CE7" w:rsidP="00C97CE7" w14:paraId="0EE0AABD" w14:textId="1C92CD89">
            <w:pPr>
              <w:keepNext/>
              <w:jc w:val="center"/>
              <w:rPr>
                <w:rFonts w:ascii="Calibri" w:eastAsia="Calibri" w:hAnsi="Calibri" w:cs="Calibri"/>
                <w:sz w:val="16"/>
                <w:szCs w:val="16"/>
              </w:rPr>
            </w:pPr>
            <w:r>
              <w:rPr>
                <w:rFonts w:ascii="Calibri" w:eastAsia="Calibri" w:hAnsi="Calibri" w:cs="Calibri"/>
                <w:sz w:val="16"/>
                <w:szCs w:val="16"/>
              </w:rPr>
              <w:t>3,004</w:t>
            </w:r>
          </w:p>
        </w:tc>
        <w:tc>
          <w:tcPr>
            <w:tcW w:w="1003" w:type="dxa"/>
            <w:tcBorders>
              <w:bottom w:val="dotted" w:sz="4" w:space="0" w:color="000000"/>
              <w:right w:val="dashed" w:sz="4" w:space="0" w:color="000000"/>
            </w:tcBorders>
            <w:shd w:val="clear" w:color="auto" w:fill="auto"/>
            <w:vAlign w:val="center"/>
          </w:tcPr>
          <w:p w:rsidR="00C97CE7" w:rsidP="00C97CE7" w14:paraId="5C02C19E" w14:textId="302914A7">
            <w:pPr>
              <w:jc w:val="center"/>
              <w:rPr>
                <w:rFonts w:ascii="Calibri" w:eastAsia="Calibri" w:hAnsi="Calibri" w:cs="Calibri"/>
                <w:sz w:val="16"/>
                <w:szCs w:val="16"/>
              </w:rPr>
            </w:pPr>
            <w:r>
              <w:rPr>
                <w:rFonts w:ascii="Calibri" w:eastAsia="Calibri" w:hAnsi="Calibri" w:cs="Calibri"/>
                <w:sz w:val="16"/>
                <w:szCs w:val="16"/>
              </w:rPr>
              <w:t>8,657</w:t>
            </w:r>
          </w:p>
        </w:tc>
        <w:tc>
          <w:tcPr>
            <w:tcW w:w="1129" w:type="dxa"/>
            <w:tcBorders>
              <w:left w:val="dashed" w:sz="4" w:space="0" w:color="000000"/>
              <w:bottom w:val="dotted" w:sz="4" w:space="0" w:color="000000"/>
            </w:tcBorders>
            <w:shd w:val="clear" w:color="auto" w:fill="auto"/>
            <w:vAlign w:val="center"/>
          </w:tcPr>
          <w:p w:rsidR="00C97CE7" w:rsidP="00C97CE7" w14:paraId="70CAA3A3" w14:textId="455A28FD">
            <w:pPr>
              <w:keepNext/>
              <w:jc w:val="center"/>
              <w:rPr>
                <w:rFonts w:ascii="Calibri" w:eastAsia="Calibri" w:hAnsi="Calibri" w:cs="Calibri"/>
                <w:sz w:val="16"/>
                <w:szCs w:val="16"/>
              </w:rPr>
            </w:pPr>
            <w:r>
              <w:rPr>
                <w:rFonts w:ascii="Calibri" w:eastAsia="Calibri" w:hAnsi="Calibri" w:cs="Calibri"/>
                <w:sz w:val="16"/>
                <w:szCs w:val="16"/>
              </w:rPr>
              <w:t>8,657</w:t>
            </w:r>
          </w:p>
        </w:tc>
        <w:tc>
          <w:tcPr>
            <w:tcW w:w="1129" w:type="dxa"/>
            <w:tcBorders>
              <w:bottom w:val="dotted" w:sz="4" w:space="0" w:color="000000"/>
              <w:right w:val="dashed" w:sz="4" w:space="0" w:color="000000"/>
            </w:tcBorders>
            <w:shd w:val="clear" w:color="auto" w:fill="auto"/>
            <w:vAlign w:val="center"/>
          </w:tcPr>
          <w:p w:rsidR="00C97CE7" w:rsidP="00C97CE7" w14:paraId="28F48ADE" w14:textId="3E1CBD9B">
            <w:pPr>
              <w:jc w:val="center"/>
              <w:rPr>
                <w:rFonts w:ascii="Calibri" w:eastAsia="Calibri" w:hAnsi="Calibri" w:cs="Calibri"/>
                <w:sz w:val="16"/>
                <w:szCs w:val="16"/>
              </w:rPr>
            </w:pPr>
            <w:r>
              <w:rPr>
                <w:rFonts w:ascii="Calibri" w:eastAsia="Calibri" w:hAnsi="Calibri" w:cs="Calibri"/>
                <w:sz w:val="16"/>
                <w:szCs w:val="16"/>
              </w:rPr>
              <w:t>676</w:t>
            </w:r>
          </w:p>
        </w:tc>
        <w:tc>
          <w:tcPr>
            <w:tcW w:w="1130" w:type="dxa"/>
            <w:tcBorders>
              <w:left w:val="dashed" w:sz="4" w:space="0" w:color="000000"/>
              <w:bottom w:val="dotted" w:sz="4" w:space="0" w:color="000000"/>
            </w:tcBorders>
            <w:shd w:val="clear" w:color="auto" w:fill="auto"/>
            <w:vAlign w:val="center"/>
          </w:tcPr>
          <w:p w:rsidR="00C97CE7" w:rsidP="00C97CE7" w14:paraId="48803ACB" w14:textId="134D2179">
            <w:pPr>
              <w:keepNext/>
              <w:jc w:val="center"/>
              <w:rPr>
                <w:rFonts w:ascii="Calibri" w:eastAsia="Calibri" w:hAnsi="Calibri" w:cs="Calibri"/>
                <w:sz w:val="16"/>
                <w:szCs w:val="16"/>
              </w:rPr>
            </w:pPr>
            <w:r>
              <w:rPr>
                <w:rFonts w:ascii="Calibri" w:eastAsia="Calibri" w:hAnsi="Calibri" w:cs="Calibri"/>
                <w:sz w:val="16"/>
                <w:szCs w:val="16"/>
              </w:rPr>
              <w:t>676</w:t>
            </w:r>
          </w:p>
        </w:tc>
        <w:tc>
          <w:tcPr>
            <w:tcW w:w="1709" w:type="dxa"/>
            <w:tcBorders>
              <w:left w:val="dotted" w:sz="4" w:space="0" w:color="000000"/>
              <w:bottom w:val="dotted" w:sz="4" w:space="0" w:color="000000"/>
            </w:tcBorders>
            <w:shd w:val="clear" w:color="auto" w:fill="auto"/>
            <w:vAlign w:val="center"/>
          </w:tcPr>
          <w:p w:rsidR="00C97CE7" w:rsidP="00C97CE7" w14:paraId="7A5C56E8" w14:textId="37964082">
            <w:pPr>
              <w:keepNext/>
              <w:rPr>
                <w:rFonts w:ascii="Calibri" w:eastAsia="Calibri" w:hAnsi="Calibri" w:cs="Calibri"/>
                <w:sz w:val="16"/>
                <w:szCs w:val="16"/>
              </w:rPr>
            </w:pPr>
            <w:r>
              <w:rPr>
                <w:rFonts w:ascii="Calibri" w:eastAsia="Calibri" w:hAnsi="Calibri" w:cs="Calibri"/>
                <w:sz w:val="16"/>
                <w:szCs w:val="16"/>
              </w:rPr>
              <w:t>No change or adjustment.</w:t>
            </w:r>
          </w:p>
        </w:tc>
      </w:tr>
      <w:tr w14:paraId="779FB439" w14:textId="77777777" w:rsidTr="0066741E">
        <w:tblPrEx>
          <w:tblW w:w="10303" w:type="dxa"/>
          <w:tblInd w:w="-95" w:type="dxa"/>
          <w:tblLayout w:type="fixed"/>
          <w:tblLook w:val="0400"/>
        </w:tblPrEx>
        <w:tc>
          <w:tcPr>
            <w:tcW w:w="2070" w:type="dxa"/>
            <w:shd w:val="clear" w:color="auto" w:fill="auto"/>
            <w:vAlign w:val="bottom"/>
          </w:tcPr>
          <w:p w:rsidR="00C97CE7" w:rsidP="00C97CE7" w14:paraId="667E81C1" w14:textId="56CA8182">
            <w:pPr>
              <w:rPr>
                <w:rFonts w:ascii="Calibri" w:eastAsia="Calibri" w:hAnsi="Calibri" w:cs="Calibri"/>
                <w:sz w:val="16"/>
                <w:szCs w:val="16"/>
              </w:rPr>
            </w:pPr>
            <w:r>
              <w:rPr>
                <w:rFonts w:ascii="Calibri" w:eastAsia="Calibri" w:hAnsi="Calibri" w:cs="Calibri"/>
                <w:color w:val="000000"/>
                <w:sz w:val="16"/>
                <w:szCs w:val="16"/>
              </w:rPr>
              <w:t xml:space="preserve"> Large </w:t>
            </w:r>
            <w:r>
              <w:rPr>
                <w:rFonts w:ascii="Calibri" w:eastAsia="Calibri" w:hAnsi="Calibri" w:cs="Calibri"/>
                <w:color w:val="000000"/>
                <w:sz w:val="16"/>
                <w:szCs w:val="16"/>
              </w:rPr>
              <w:t>Pelagics</w:t>
            </w:r>
            <w:r>
              <w:rPr>
                <w:rFonts w:ascii="Calibri" w:eastAsia="Calibri" w:hAnsi="Calibri" w:cs="Calibri"/>
                <w:color w:val="000000"/>
                <w:sz w:val="16"/>
                <w:szCs w:val="16"/>
              </w:rPr>
              <w:t xml:space="preserve"> Biological Survey</w:t>
            </w:r>
          </w:p>
        </w:tc>
        <w:tc>
          <w:tcPr>
            <w:tcW w:w="1071" w:type="dxa"/>
            <w:tcBorders>
              <w:bottom w:val="dotted" w:sz="4" w:space="0" w:color="000000"/>
              <w:right w:val="dashed" w:sz="4" w:space="0" w:color="000000"/>
            </w:tcBorders>
            <w:shd w:val="clear" w:color="auto" w:fill="auto"/>
            <w:vAlign w:val="center"/>
          </w:tcPr>
          <w:p w:rsidR="00C97CE7" w:rsidP="00C97CE7" w14:paraId="1E44BC5B" w14:textId="3144FD77">
            <w:pPr>
              <w:jc w:val="center"/>
              <w:rPr>
                <w:rFonts w:ascii="Calibri" w:eastAsia="Calibri" w:hAnsi="Calibri" w:cs="Calibri"/>
                <w:sz w:val="16"/>
                <w:szCs w:val="16"/>
              </w:rPr>
            </w:pPr>
            <w:r>
              <w:rPr>
                <w:rFonts w:ascii="Calibri" w:eastAsia="Calibri" w:hAnsi="Calibri" w:cs="Calibri"/>
                <w:sz w:val="16"/>
                <w:szCs w:val="16"/>
              </w:rPr>
              <w:t>1,000</w:t>
            </w:r>
          </w:p>
        </w:tc>
        <w:tc>
          <w:tcPr>
            <w:tcW w:w="1062" w:type="dxa"/>
            <w:tcBorders>
              <w:left w:val="dashed" w:sz="4" w:space="0" w:color="000000"/>
              <w:bottom w:val="dotted" w:sz="4" w:space="0" w:color="000000"/>
            </w:tcBorders>
            <w:shd w:val="clear" w:color="auto" w:fill="auto"/>
            <w:vAlign w:val="center"/>
          </w:tcPr>
          <w:p w:rsidR="00C97CE7" w:rsidP="00C97CE7" w14:paraId="4DFAB078" w14:textId="4FEE381E">
            <w:pPr>
              <w:keepNext/>
              <w:jc w:val="center"/>
              <w:rPr>
                <w:rFonts w:ascii="Calibri" w:eastAsia="Calibri" w:hAnsi="Calibri" w:cs="Calibri"/>
                <w:sz w:val="16"/>
                <w:szCs w:val="16"/>
              </w:rPr>
            </w:pPr>
            <w:r>
              <w:rPr>
                <w:rFonts w:ascii="Calibri" w:eastAsia="Calibri" w:hAnsi="Calibri" w:cs="Calibri"/>
                <w:sz w:val="16"/>
                <w:szCs w:val="16"/>
              </w:rPr>
              <w:t>1,000</w:t>
            </w:r>
          </w:p>
        </w:tc>
        <w:tc>
          <w:tcPr>
            <w:tcW w:w="1003" w:type="dxa"/>
            <w:tcBorders>
              <w:bottom w:val="dotted" w:sz="4" w:space="0" w:color="000000"/>
              <w:right w:val="dashed" w:sz="4" w:space="0" w:color="000000"/>
            </w:tcBorders>
            <w:shd w:val="clear" w:color="auto" w:fill="auto"/>
            <w:vAlign w:val="center"/>
          </w:tcPr>
          <w:p w:rsidR="00C97CE7" w:rsidP="00C97CE7" w14:paraId="2550DB64" w14:textId="29543BD0">
            <w:pPr>
              <w:jc w:val="center"/>
              <w:rPr>
                <w:rFonts w:ascii="Calibri" w:eastAsia="Calibri" w:hAnsi="Calibri" w:cs="Calibri"/>
                <w:sz w:val="16"/>
                <w:szCs w:val="16"/>
              </w:rPr>
            </w:pPr>
            <w:r>
              <w:rPr>
                <w:rFonts w:ascii="Calibri" w:eastAsia="Calibri" w:hAnsi="Calibri" w:cs="Calibri"/>
                <w:sz w:val="16"/>
                <w:szCs w:val="16"/>
              </w:rPr>
              <w:t>1,000</w:t>
            </w:r>
          </w:p>
        </w:tc>
        <w:tc>
          <w:tcPr>
            <w:tcW w:w="1129" w:type="dxa"/>
            <w:tcBorders>
              <w:left w:val="dashed" w:sz="4" w:space="0" w:color="000000"/>
              <w:bottom w:val="dotted" w:sz="4" w:space="0" w:color="000000"/>
            </w:tcBorders>
            <w:shd w:val="clear" w:color="auto" w:fill="auto"/>
            <w:vAlign w:val="center"/>
          </w:tcPr>
          <w:p w:rsidR="00C97CE7" w:rsidP="00C97CE7" w14:paraId="29FD3F1B" w14:textId="7A0D71DB">
            <w:pPr>
              <w:keepNext/>
              <w:jc w:val="center"/>
              <w:rPr>
                <w:rFonts w:ascii="Calibri" w:eastAsia="Calibri" w:hAnsi="Calibri" w:cs="Calibri"/>
                <w:sz w:val="16"/>
                <w:szCs w:val="16"/>
              </w:rPr>
            </w:pPr>
            <w:r>
              <w:rPr>
                <w:rFonts w:ascii="Calibri" w:eastAsia="Calibri" w:hAnsi="Calibri" w:cs="Calibri"/>
                <w:sz w:val="16"/>
                <w:szCs w:val="16"/>
              </w:rPr>
              <w:t>1,000</w:t>
            </w:r>
          </w:p>
        </w:tc>
        <w:tc>
          <w:tcPr>
            <w:tcW w:w="1129" w:type="dxa"/>
            <w:tcBorders>
              <w:bottom w:val="dotted" w:sz="4" w:space="0" w:color="000000"/>
              <w:right w:val="dashed" w:sz="4" w:space="0" w:color="000000"/>
            </w:tcBorders>
            <w:shd w:val="clear" w:color="auto" w:fill="auto"/>
            <w:vAlign w:val="center"/>
          </w:tcPr>
          <w:p w:rsidR="00C97CE7" w:rsidP="00C97CE7" w14:paraId="736AB5FD" w14:textId="7536F823">
            <w:pPr>
              <w:jc w:val="center"/>
              <w:rPr>
                <w:rFonts w:ascii="Calibri" w:eastAsia="Calibri" w:hAnsi="Calibri" w:cs="Calibri"/>
                <w:sz w:val="16"/>
                <w:szCs w:val="16"/>
              </w:rPr>
            </w:pPr>
            <w:r>
              <w:rPr>
                <w:rFonts w:ascii="Calibri" w:eastAsia="Calibri" w:hAnsi="Calibri" w:cs="Calibri"/>
                <w:sz w:val="16"/>
                <w:szCs w:val="16"/>
              </w:rPr>
              <w:t>17</w:t>
            </w:r>
          </w:p>
        </w:tc>
        <w:tc>
          <w:tcPr>
            <w:tcW w:w="1130" w:type="dxa"/>
            <w:tcBorders>
              <w:left w:val="dashed" w:sz="4" w:space="0" w:color="000000"/>
              <w:bottom w:val="dotted" w:sz="4" w:space="0" w:color="000000"/>
            </w:tcBorders>
            <w:shd w:val="clear" w:color="auto" w:fill="auto"/>
            <w:vAlign w:val="center"/>
          </w:tcPr>
          <w:p w:rsidR="00C97CE7" w:rsidP="00C97CE7" w14:paraId="5FD49A2D" w14:textId="389BC0B4">
            <w:pPr>
              <w:keepNext/>
              <w:jc w:val="center"/>
              <w:rPr>
                <w:rFonts w:ascii="Calibri" w:eastAsia="Calibri" w:hAnsi="Calibri" w:cs="Calibri"/>
                <w:sz w:val="16"/>
                <w:szCs w:val="16"/>
              </w:rPr>
            </w:pPr>
            <w:r>
              <w:rPr>
                <w:rFonts w:ascii="Calibri" w:eastAsia="Calibri" w:hAnsi="Calibri" w:cs="Calibri"/>
                <w:sz w:val="16"/>
                <w:szCs w:val="16"/>
              </w:rPr>
              <w:t>17</w:t>
            </w:r>
          </w:p>
        </w:tc>
        <w:tc>
          <w:tcPr>
            <w:tcW w:w="1709" w:type="dxa"/>
            <w:tcBorders>
              <w:left w:val="dotted" w:sz="4" w:space="0" w:color="000000"/>
              <w:bottom w:val="dotted" w:sz="4" w:space="0" w:color="000000"/>
            </w:tcBorders>
            <w:shd w:val="clear" w:color="auto" w:fill="auto"/>
            <w:vAlign w:val="center"/>
          </w:tcPr>
          <w:p w:rsidR="00C97CE7" w:rsidP="00C97CE7" w14:paraId="7A2BA682" w14:textId="0778AEF7">
            <w:pPr>
              <w:keepNext/>
              <w:rPr>
                <w:rFonts w:ascii="Calibri" w:eastAsia="Calibri" w:hAnsi="Calibri" w:cs="Calibri"/>
                <w:sz w:val="16"/>
                <w:szCs w:val="16"/>
              </w:rPr>
            </w:pPr>
            <w:r>
              <w:rPr>
                <w:rFonts w:ascii="Calibri" w:eastAsia="Calibri" w:hAnsi="Calibri" w:cs="Calibri"/>
                <w:sz w:val="16"/>
                <w:szCs w:val="16"/>
              </w:rPr>
              <w:t>No change or adjustment.</w:t>
            </w:r>
          </w:p>
        </w:tc>
      </w:tr>
      <w:tr w14:paraId="6EABA102" w14:textId="016E7C57" w:rsidTr="00D17A55">
        <w:tblPrEx>
          <w:tblW w:w="10303" w:type="dxa"/>
          <w:tblInd w:w="-95" w:type="dxa"/>
          <w:tblLayout w:type="fixed"/>
          <w:tblLook w:val="0400"/>
        </w:tblPrEx>
        <w:tc>
          <w:tcPr>
            <w:tcW w:w="2070" w:type="dxa"/>
            <w:shd w:val="clear" w:color="auto" w:fill="BDD7EE"/>
            <w:vAlign w:val="center"/>
          </w:tcPr>
          <w:p w:rsidR="00C97CE7" w:rsidP="00C97CE7" w14:paraId="7B6F56B4" w14:textId="0F23D501">
            <w:pPr>
              <w:keepNext/>
              <w:jc w:val="center"/>
              <w:rPr>
                <w:rFonts w:ascii="Calibri" w:eastAsia="Calibri" w:hAnsi="Calibri" w:cs="Calibri"/>
                <w:b/>
                <w:sz w:val="16"/>
                <w:szCs w:val="16"/>
              </w:rPr>
            </w:pPr>
            <w:r>
              <w:rPr>
                <w:rFonts w:ascii="Calibri" w:eastAsia="Calibri" w:hAnsi="Calibri" w:cs="Calibri"/>
                <w:b/>
                <w:sz w:val="16"/>
                <w:szCs w:val="16"/>
              </w:rPr>
              <w:t>Total for Collection</w:t>
            </w:r>
          </w:p>
        </w:tc>
        <w:tc>
          <w:tcPr>
            <w:tcW w:w="1071" w:type="dxa"/>
            <w:tcBorders>
              <w:right w:val="dashed" w:sz="4" w:space="0" w:color="000000"/>
            </w:tcBorders>
            <w:shd w:val="clear" w:color="auto" w:fill="BDD7EE"/>
            <w:vAlign w:val="center"/>
          </w:tcPr>
          <w:p w:rsidR="00C97CE7" w:rsidP="00C97CE7" w14:paraId="795E2F93" w14:textId="7EA20AAB">
            <w:pPr>
              <w:keepNext/>
              <w:jc w:val="center"/>
              <w:rPr>
                <w:rFonts w:ascii="Calibri" w:eastAsia="Calibri" w:hAnsi="Calibri" w:cs="Calibri"/>
                <w:b/>
                <w:sz w:val="16"/>
                <w:szCs w:val="16"/>
              </w:rPr>
            </w:pPr>
            <w:r>
              <w:rPr>
                <w:rFonts w:ascii="Calibri" w:eastAsia="Calibri" w:hAnsi="Calibri" w:cs="Calibri"/>
                <w:b/>
                <w:sz w:val="16"/>
                <w:szCs w:val="16"/>
              </w:rPr>
              <w:t>16,147</w:t>
            </w:r>
          </w:p>
        </w:tc>
        <w:tc>
          <w:tcPr>
            <w:tcW w:w="1062" w:type="dxa"/>
            <w:tcBorders>
              <w:left w:val="dashed" w:sz="4" w:space="0" w:color="000000"/>
            </w:tcBorders>
            <w:shd w:val="clear" w:color="auto" w:fill="BDD7EE"/>
            <w:vAlign w:val="center"/>
          </w:tcPr>
          <w:p w:rsidR="00C97CE7" w:rsidP="00C97CE7" w14:paraId="2D5401BB" w14:textId="4EC4DB74">
            <w:pPr>
              <w:keepNext/>
              <w:jc w:val="center"/>
              <w:rPr>
                <w:rFonts w:ascii="Calibri" w:eastAsia="Calibri" w:hAnsi="Calibri" w:cs="Calibri"/>
                <w:b/>
                <w:sz w:val="16"/>
                <w:szCs w:val="16"/>
              </w:rPr>
            </w:pPr>
            <w:r>
              <w:rPr>
                <w:rFonts w:ascii="Calibri" w:eastAsia="Calibri" w:hAnsi="Calibri" w:cs="Calibri"/>
                <w:b/>
                <w:sz w:val="16"/>
                <w:szCs w:val="16"/>
              </w:rPr>
              <w:t>16,024</w:t>
            </w:r>
          </w:p>
        </w:tc>
        <w:tc>
          <w:tcPr>
            <w:tcW w:w="1003" w:type="dxa"/>
            <w:tcBorders>
              <w:right w:val="dashed" w:sz="4" w:space="0" w:color="000000"/>
            </w:tcBorders>
            <w:shd w:val="clear" w:color="auto" w:fill="BDD7EE"/>
            <w:vAlign w:val="center"/>
          </w:tcPr>
          <w:p w:rsidR="00C97CE7" w:rsidP="00C97CE7" w14:paraId="0AD328FF" w14:textId="7CB23068">
            <w:pPr>
              <w:keepNext/>
              <w:jc w:val="center"/>
              <w:rPr>
                <w:rFonts w:ascii="Calibri" w:eastAsia="Calibri" w:hAnsi="Calibri" w:cs="Calibri"/>
                <w:b/>
                <w:sz w:val="16"/>
                <w:szCs w:val="16"/>
              </w:rPr>
            </w:pPr>
            <w:r>
              <w:rPr>
                <w:rFonts w:ascii="Calibri" w:eastAsia="Calibri" w:hAnsi="Calibri" w:cs="Calibri"/>
                <w:b/>
                <w:sz w:val="16"/>
                <w:szCs w:val="16"/>
              </w:rPr>
              <w:t>25,721</w:t>
            </w:r>
          </w:p>
        </w:tc>
        <w:tc>
          <w:tcPr>
            <w:tcW w:w="1129" w:type="dxa"/>
            <w:tcBorders>
              <w:left w:val="dashed" w:sz="4" w:space="0" w:color="000000"/>
            </w:tcBorders>
            <w:shd w:val="clear" w:color="auto" w:fill="BDD7EE"/>
            <w:vAlign w:val="center"/>
          </w:tcPr>
          <w:p w:rsidR="00C97CE7" w:rsidP="00C97CE7" w14:paraId="61D86BBE" w14:textId="1A42453C">
            <w:pPr>
              <w:keepNext/>
              <w:jc w:val="center"/>
              <w:rPr>
                <w:rFonts w:ascii="Calibri" w:eastAsia="Calibri" w:hAnsi="Calibri" w:cs="Calibri"/>
                <w:b/>
                <w:sz w:val="16"/>
                <w:szCs w:val="16"/>
              </w:rPr>
            </w:pPr>
            <w:r>
              <w:rPr>
                <w:rFonts w:ascii="Calibri" w:eastAsia="Calibri" w:hAnsi="Calibri" w:cs="Calibri"/>
                <w:b/>
                <w:sz w:val="16"/>
                <w:szCs w:val="16"/>
              </w:rPr>
              <w:t>25,557</w:t>
            </w:r>
          </w:p>
        </w:tc>
        <w:tc>
          <w:tcPr>
            <w:tcW w:w="1129" w:type="dxa"/>
            <w:tcBorders>
              <w:right w:val="dashed" w:sz="4" w:space="0" w:color="000000"/>
            </w:tcBorders>
            <w:shd w:val="clear" w:color="auto" w:fill="BDD7EE"/>
            <w:vAlign w:val="center"/>
          </w:tcPr>
          <w:p w:rsidR="00C97CE7" w:rsidP="00C97CE7" w14:paraId="46AA3F33" w14:textId="5B0247DA">
            <w:pPr>
              <w:keepNext/>
              <w:jc w:val="center"/>
              <w:rPr>
                <w:rFonts w:ascii="Calibri" w:eastAsia="Calibri" w:hAnsi="Calibri" w:cs="Calibri"/>
                <w:b/>
                <w:sz w:val="16"/>
                <w:szCs w:val="16"/>
              </w:rPr>
            </w:pPr>
            <w:r>
              <w:rPr>
                <w:rFonts w:ascii="Calibri" w:eastAsia="Calibri" w:hAnsi="Calibri" w:cs="Calibri"/>
                <w:b/>
                <w:sz w:val="16"/>
                <w:szCs w:val="16"/>
              </w:rPr>
              <w:t>3,638</w:t>
            </w:r>
          </w:p>
        </w:tc>
        <w:tc>
          <w:tcPr>
            <w:tcW w:w="1130" w:type="dxa"/>
            <w:tcBorders>
              <w:left w:val="dashed" w:sz="4" w:space="0" w:color="000000"/>
            </w:tcBorders>
            <w:shd w:val="clear" w:color="auto" w:fill="BDD7EE"/>
            <w:vAlign w:val="center"/>
          </w:tcPr>
          <w:p w:rsidR="00C97CE7" w:rsidP="00C97CE7" w14:paraId="0C4765F1" w14:textId="68036734">
            <w:pPr>
              <w:keepNext/>
              <w:jc w:val="center"/>
              <w:rPr>
                <w:rFonts w:ascii="Calibri" w:eastAsia="Calibri" w:hAnsi="Calibri" w:cs="Calibri"/>
                <w:b/>
                <w:sz w:val="16"/>
                <w:szCs w:val="16"/>
              </w:rPr>
            </w:pPr>
            <w:r>
              <w:rPr>
                <w:rFonts w:ascii="Calibri" w:eastAsia="Calibri" w:hAnsi="Calibri" w:cs="Calibri"/>
                <w:b/>
                <w:sz w:val="16"/>
                <w:szCs w:val="16"/>
              </w:rPr>
              <w:t>3,608</w:t>
            </w:r>
          </w:p>
        </w:tc>
        <w:tc>
          <w:tcPr>
            <w:tcW w:w="1709" w:type="dxa"/>
            <w:tcBorders>
              <w:left w:val="dotted" w:sz="4" w:space="0" w:color="000000"/>
            </w:tcBorders>
            <w:shd w:val="clear" w:color="auto" w:fill="000000"/>
            <w:vAlign w:val="center"/>
          </w:tcPr>
          <w:p w:rsidR="00C97CE7" w:rsidP="00C97CE7" w14:paraId="2A1E7CEF" w14:textId="2E189DE7">
            <w:pPr>
              <w:keepNext/>
              <w:jc w:val="center"/>
              <w:rPr>
                <w:rFonts w:ascii="Calibri" w:eastAsia="Calibri" w:hAnsi="Calibri" w:cs="Calibri"/>
                <w:b/>
                <w:sz w:val="16"/>
                <w:szCs w:val="16"/>
              </w:rPr>
            </w:pPr>
          </w:p>
        </w:tc>
      </w:tr>
      <w:tr w14:paraId="718AC972" w14:textId="0D7AFFCE" w:rsidTr="00D17A55">
        <w:tblPrEx>
          <w:tblW w:w="10303" w:type="dxa"/>
          <w:tblInd w:w="-95" w:type="dxa"/>
          <w:tblLayout w:type="fixed"/>
          <w:tblLook w:val="0400"/>
        </w:tblPrEx>
        <w:tc>
          <w:tcPr>
            <w:tcW w:w="2070" w:type="dxa"/>
            <w:shd w:val="clear" w:color="auto" w:fill="FBE5D5"/>
            <w:vAlign w:val="center"/>
          </w:tcPr>
          <w:p w:rsidR="00C97CE7" w:rsidP="00C97CE7" w14:paraId="494CAECE" w14:textId="7B2A77A5">
            <w:pPr>
              <w:keepNext/>
              <w:jc w:val="center"/>
              <w:rPr>
                <w:rFonts w:ascii="Calibri" w:eastAsia="Calibri" w:hAnsi="Calibri" w:cs="Calibri"/>
                <w:b/>
                <w:sz w:val="16"/>
                <w:szCs w:val="16"/>
              </w:rPr>
            </w:pPr>
            <w:r>
              <w:rPr>
                <w:rFonts w:ascii="Calibri" w:eastAsia="Calibri" w:hAnsi="Calibri" w:cs="Calibri"/>
                <w:b/>
                <w:sz w:val="16"/>
                <w:szCs w:val="16"/>
              </w:rPr>
              <w:t>Difference</w:t>
            </w:r>
          </w:p>
        </w:tc>
        <w:tc>
          <w:tcPr>
            <w:tcW w:w="2133" w:type="dxa"/>
            <w:gridSpan w:val="2"/>
            <w:shd w:val="clear" w:color="auto" w:fill="FBE5D5"/>
            <w:vAlign w:val="center"/>
          </w:tcPr>
          <w:p w:rsidR="00C97CE7" w:rsidP="00C97CE7" w14:paraId="1DDAF007" w14:textId="2C926038">
            <w:pPr>
              <w:keepNext/>
              <w:jc w:val="center"/>
              <w:rPr>
                <w:rFonts w:ascii="Calibri" w:eastAsia="Calibri" w:hAnsi="Calibri" w:cs="Calibri"/>
                <w:b/>
                <w:sz w:val="16"/>
                <w:szCs w:val="16"/>
              </w:rPr>
            </w:pPr>
            <w:r>
              <w:rPr>
                <w:rFonts w:ascii="Calibri" w:eastAsia="Calibri" w:hAnsi="Calibri" w:cs="Calibri"/>
                <w:b/>
                <w:sz w:val="16"/>
                <w:szCs w:val="16"/>
              </w:rPr>
              <w:t>123</w:t>
            </w:r>
          </w:p>
        </w:tc>
        <w:tc>
          <w:tcPr>
            <w:tcW w:w="2132" w:type="dxa"/>
            <w:gridSpan w:val="2"/>
            <w:tcBorders>
              <w:bottom w:val="single" w:sz="4" w:space="0" w:color="000000"/>
            </w:tcBorders>
            <w:shd w:val="clear" w:color="auto" w:fill="FBE5D5"/>
            <w:vAlign w:val="center"/>
          </w:tcPr>
          <w:p w:rsidR="00C97CE7" w:rsidP="00C97CE7" w14:paraId="7336F230" w14:textId="6E9E54F5">
            <w:pPr>
              <w:keepNext/>
              <w:jc w:val="center"/>
              <w:rPr>
                <w:rFonts w:ascii="Calibri" w:eastAsia="Calibri" w:hAnsi="Calibri" w:cs="Calibri"/>
                <w:b/>
                <w:sz w:val="16"/>
                <w:szCs w:val="16"/>
              </w:rPr>
            </w:pPr>
            <w:r>
              <w:rPr>
                <w:rFonts w:ascii="Calibri" w:eastAsia="Calibri" w:hAnsi="Calibri" w:cs="Calibri"/>
                <w:b/>
                <w:sz w:val="16"/>
                <w:szCs w:val="16"/>
              </w:rPr>
              <w:t>164</w:t>
            </w:r>
          </w:p>
        </w:tc>
        <w:tc>
          <w:tcPr>
            <w:tcW w:w="2259" w:type="dxa"/>
            <w:gridSpan w:val="2"/>
            <w:shd w:val="clear" w:color="auto" w:fill="FBE5D5"/>
            <w:vAlign w:val="center"/>
          </w:tcPr>
          <w:p w:rsidR="00C97CE7" w:rsidP="00C97CE7" w14:paraId="1DF61DBD" w14:textId="5A4511E0">
            <w:pPr>
              <w:keepNext/>
              <w:jc w:val="center"/>
              <w:rPr>
                <w:rFonts w:ascii="Calibri" w:eastAsia="Calibri" w:hAnsi="Calibri" w:cs="Calibri"/>
                <w:b/>
                <w:sz w:val="16"/>
                <w:szCs w:val="16"/>
              </w:rPr>
            </w:pPr>
            <w:r>
              <w:rPr>
                <w:rFonts w:ascii="Calibri" w:eastAsia="Calibri" w:hAnsi="Calibri" w:cs="Calibri"/>
                <w:b/>
                <w:sz w:val="16"/>
                <w:szCs w:val="16"/>
              </w:rPr>
              <w:t>30</w:t>
            </w:r>
          </w:p>
        </w:tc>
        <w:tc>
          <w:tcPr>
            <w:tcW w:w="1709" w:type="dxa"/>
            <w:tcBorders>
              <w:left w:val="dotted" w:sz="4" w:space="0" w:color="000000"/>
            </w:tcBorders>
            <w:shd w:val="clear" w:color="auto" w:fill="000000"/>
            <w:vAlign w:val="center"/>
          </w:tcPr>
          <w:p w:rsidR="00C97CE7" w:rsidP="00C97CE7" w14:paraId="05DFB0B5" w14:textId="1A06AF2D">
            <w:pPr>
              <w:keepNext/>
              <w:jc w:val="center"/>
              <w:rPr>
                <w:rFonts w:ascii="Calibri" w:eastAsia="Calibri" w:hAnsi="Calibri" w:cs="Calibri"/>
                <w:b/>
                <w:sz w:val="16"/>
                <w:szCs w:val="16"/>
              </w:rPr>
            </w:pPr>
          </w:p>
        </w:tc>
      </w:tr>
    </w:tbl>
    <w:p w:rsidR="00F50DA5" w14:paraId="35CB0487" w14:textId="77777777">
      <w:pPr>
        <w:tabs>
          <w:tab w:val="left" w:pos="540"/>
        </w:tabs>
        <w:ind w:left="540"/>
        <w:rPr>
          <w:sz w:val="24"/>
          <w:szCs w:val="24"/>
        </w:rPr>
      </w:pPr>
    </w:p>
    <w:p w:rsidR="00F50DA5" w14:paraId="48798C54" w14:textId="77777777">
      <w:pPr>
        <w:tabs>
          <w:tab w:val="left" w:pos="540"/>
        </w:tabs>
        <w:ind w:left="540"/>
        <w:rPr>
          <w:sz w:val="24"/>
          <w:szCs w:val="24"/>
        </w:rPr>
        <w:sectPr>
          <w:pgSz w:w="12240" w:h="15840"/>
          <w:pgMar w:top="1440" w:right="1440" w:bottom="1440" w:left="1440" w:header="720" w:footer="720" w:gutter="0"/>
          <w:cols w:space="720" w:equalWidth="0">
            <w:col w:w="9360"/>
          </w:cols>
        </w:sectPr>
      </w:pPr>
    </w:p>
    <w:p w:rsidR="00F50DA5" w14:paraId="7A0951D2" w14:textId="77777777">
      <w:pPr>
        <w:ind w:left="720" w:firstLine="360"/>
        <w:rPr>
          <w:sz w:val="24"/>
          <w:szCs w:val="24"/>
        </w:rPr>
      </w:pPr>
    </w:p>
    <w:p w:rsidR="00BA5FBC" w:rsidRPr="00BA5FBC" w:rsidP="00BA5FBC" w14:paraId="2F0DCCEF"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50DA5" w14:paraId="3579E16B" w14:textId="77777777">
      <w:pPr>
        <w:ind w:left="720" w:firstLine="360"/>
        <w:rPr>
          <w:sz w:val="24"/>
          <w:szCs w:val="24"/>
        </w:rPr>
      </w:pPr>
    </w:p>
    <w:p w:rsidR="00F50DA5" w14:paraId="1FC9900D" w14:textId="77777777">
      <w:pPr>
        <w:pBdr>
          <w:top w:val="nil"/>
          <w:left w:val="nil"/>
          <w:bottom w:val="nil"/>
          <w:right w:val="nil"/>
          <w:between w:val="nil"/>
        </w:pBdr>
        <w:ind w:left="720"/>
        <w:rPr>
          <w:color w:val="000000"/>
          <w:sz w:val="24"/>
          <w:szCs w:val="24"/>
        </w:rPr>
      </w:pPr>
      <w:r>
        <w:rPr>
          <w:color w:val="000000"/>
          <w:sz w:val="24"/>
          <w:szCs w:val="24"/>
        </w:rPr>
        <w:t xml:space="preserve">LPS data and estimates will be included in annual catch reports to the International Commission for the Conservation of Atlantic Tunas (ICCAT) and several documents frequently produced in support of NMFS rulemakings (e.g., Environmental Assessments, Regulatory Impact Reviews, Stock Assessment and Fishery Evaluation Reports).  LPS data can also be accessed online at: </w:t>
      </w:r>
      <w:hyperlink r:id="rId13">
        <w:r>
          <w:rPr>
            <w:color w:val="0563C1"/>
            <w:sz w:val="24"/>
            <w:szCs w:val="24"/>
            <w:u w:val="single"/>
          </w:rPr>
          <w:t>www.st.nmfs.noaa.gov/recreational-fisheries/access-data/run-a-data-query/queries/index</w:t>
        </w:r>
      </w:hyperlink>
      <w:r>
        <w:rPr>
          <w:color w:val="000000"/>
          <w:sz w:val="24"/>
          <w:szCs w:val="24"/>
        </w:rPr>
        <w:t xml:space="preserve">  Additional summaries of data may be included in the annual NMFS publication "Fisheries of the United States". </w:t>
      </w:r>
    </w:p>
    <w:p w:rsidR="00F50DA5" w14:paraId="12A815D2" w14:textId="77777777">
      <w:pPr>
        <w:ind w:left="720" w:firstLine="360"/>
        <w:rPr>
          <w:sz w:val="24"/>
          <w:szCs w:val="24"/>
        </w:rPr>
      </w:pPr>
    </w:p>
    <w:p w:rsidR="00BA5FBC" w:rsidRPr="00BA5FBC" w:rsidP="00BA5FBC" w14:paraId="0E21855E"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If seeking approval to not display the expiration date for OMB approval of the information collection, explain the reasons that display would be inappropriate.</w:t>
      </w:r>
    </w:p>
    <w:p w:rsidR="00F50DA5" w14:paraId="73980FC6" w14:textId="77777777">
      <w:pPr>
        <w:ind w:left="720" w:firstLine="360"/>
        <w:rPr>
          <w:sz w:val="24"/>
          <w:szCs w:val="24"/>
        </w:rPr>
      </w:pPr>
    </w:p>
    <w:p w:rsidR="00F50DA5" w:rsidP="00237DFC" w14:paraId="0485D934" w14:textId="74D35FD0">
      <w:pPr>
        <w:ind w:left="720"/>
        <w:rPr>
          <w:sz w:val="24"/>
          <w:szCs w:val="24"/>
        </w:rPr>
      </w:pPr>
      <w:r w:rsidRPr="00C0069E">
        <w:rPr>
          <w:color w:val="000000"/>
          <w:sz w:val="24"/>
          <w:szCs w:val="24"/>
        </w:rPr>
        <w:t>The agency plans to display the expiration date for OMB approval of the information</w:t>
      </w:r>
      <w:r>
        <w:rPr>
          <w:color w:val="000000"/>
          <w:sz w:val="24"/>
          <w:szCs w:val="24"/>
        </w:rPr>
        <w:t xml:space="preserve"> collection on all instruments.</w:t>
      </w:r>
    </w:p>
    <w:p w:rsidR="00BA5FBC" w:rsidRPr="00BA5FBC" w:rsidP="00BA5FBC" w14:paraId="5D748867" w14:textId="77777777">
      <w:pPr>
        <w:numPr>
          <w:ilvl w:val="0"/>
          <w:numId w:val="6"/>
        </w:numPr>
        <w:pBdr>
          <w:top w:val="nil"/>
          <w:left w:val="nil"/>
          <w:bottom w:val="nil"/>
          <w:right w:val="nil"/>
          <w:between w:val="nil"/>
        </w:pBdr>
        <w:tabs>
          <w:tab w:val="left" w:pos="360"/>
        </w:tabs>
        <w:spacing w:before="80"/>
        <w:ind w:left="0" w:firstLine="0"/>
        <w:rPr>
          <w:b/>
          <w:color w:val="000000"/>
          <w:sz w:val="24"/>
          <w:szCs w:val="24"/>
        </w:rPr>
      </w:pPr>
      <w:r w:rsidRPr="00BA5FBC">
        <w:rPr>
          <w:b/>
          <w:color w:val="000000"/>
          <w:sz w:val="24"/>
          <w:szCs w:val="24"/>
        </w:rPr>
        <w:t>Explain each exception to the certification statement identified in “Certification for Paperwork Reduction Act Submissions."</w:t>
      </w:r>
    </w:p>
    <w:p w:rsidR="00F50DA5" w14:paraId="43841830" w14:textId="77777777">
      <w:pPr>
        <w:ind w:left="720"/>
        <w:rPr>
          <w:sz w:val="24"/>
          <w:szCs w:val="24"/>
        </w:rPr>
      </w:pPr>
    </w:p>
    <w:p w:rsidR="00F50DA5" w14:paraId="5C871FEB" w14:textId="45E9C629">
      <w:pPr>
        <w:ind w:left="720"/>
        <w:rPr>
          <w:sz w:val="24"/>
          <w:szCs w:val="24"/>
        </w:rPr>
      </w:pPr>
      <w:bookmarkStart w:id="2" w:name="_30j0zll" w:colFirst="0" w:colLast="0"/>
      <w:bookmarkEnd w:id="2"/>
      <w:r w:rsidRPr="00C0069E">
        <w:rPr>
          <w:sz w:val="24"/>
          <w:szCs w:val="24"/>
        </w:rPr>
        <w:t>The agency certifies compliance with 5 CFR 1320.9 and the related provisions of 5 CFR 1320.8(b</w:t>
      </w:r>
      <w:r w:rsidRPr="00C0069E">
        <w:rPr>
          <w:sz w:val="24"/>
          <w:szCs w:val="24"/>
        </w:rPr>
        <w:t>)(</w:t>
      </w:r>
      <w:r w:rsidRPr="00C0069E">
        <w:rPr>
          <w:sz w:val="24"/>
          <w:szCs w:val="24"/>
        </w:rPr>
        <w:t>3).</w:t>
      </w:r>
    </w:p>
    <w:p w:rsidR="00F50DA5" w14:paraId="46E06A04" w14:textId="77777777">
      <w:pPr>
        <w:ind w:left="720" w:firstLine="360"/>
        <w:rPr>
          <w:sz w:val="24"/>
          <w:szCs w:val="24"/>
        </w:rPr>
      </w:pPr>
    </w:p>
    <w:sectPr>
      <w:pgSz w:w="12240" w:h="15840"/>
      <w:pgMar w:top="1440" w:right="1440" w:bottom="1350" w:left="81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0DA5" w14:paraId="178440F6" w14:textId="5943ADBC">
    <w:pPr>
      <w:pBdr>
        <w:top w:val="nil"/>
        <w:left w:val="nil"/>
        <w:bottom w:val="nil"/>
        <w:right w:val="nil"/>
        <w:between w:val="nil"/>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B46518">
      <w:rPr>
        <w:noProof/>
        <w:color w:val="000000"/>
        <w:sz w:val="24"/>
        <w:szCs w:val="24"/>
      </w:rPr>
      <w:t>13</w:t>
    </w:r>
    <w:r>
      <w:rPr>
        <w:color w:val="000000"/>
        <w:sz w:val="24"/>
        <w:szCs w:val="24"/>
      </w:rPr>
      <w:fldChar w:fldCharType="end"/>
    </w:r>
  </w:p>
  <w:p w:rsidR="00F50DA5" w14:paraId="47BCD244" w14:textId="77777777">
    <w:pPr>
      <w:pBdr>
        <w:top w:val="nil"/>
        <w:left w:val="nil"/>
        <w:bottom w:val="nil"/>
        <w:right w:val="nil"/>
        <w:between w:val="nil"/>
      </w:pBdr>
      <w:tabs>
        <w:tab w:val="center" w:pos="4320"/>
        <w:tab w:val="right" w:pos="864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BF57D1"/>
    <w:multiLevelType w:val="multilevel"/>
    <w:tmpl w:val="50146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7FA4DCE"/>
    <w:multiLevelType w:val="multilevel"/>
    <w:tmpl w:val="1B7EF7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3C0179"/>
    <w:multiLevelType w:val="multilevel"/>
    <w:tmpl w:val="73AE42A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3">
    <w:nsid w:val="3CD45F66"/>
    <w:multiLevelType w:val="multilevel"/>
    <w:tmpl w:val="37D07446"/>
    <w:lvl w:ilvl="0">
      <w:start w:val="1"/>
      <w:numFmt w:val="decimal"/>
      <w:lvlJc w:val="left"/>
      <w:pPr>
        <w:ind w:left="0" w:firstLine="0"/>
      </w:pPr>
    </w:lvl>
    <w:lvl w:ilvl="1">
      <w:start w:val="1"/>
      <w:numFmt w:val="decimal"/>
      <w:lvlJc w:val="left"/>
      <w:pPr>
        <w:ind w:left="0" w:firstLine="0"/>
      </w:pPr>
    </w:lvl>
    <w:lvl w:ilvl="2">
      <w:start w:val="1"/>
      <w:numFmt w:val="decimal"/>
      <w:lvlJc w:val="left"/>
      <w:pPr>
        <w:ind w:left="0" w:firstLine="0"/>
      </w:pPr>
    </w:lvl>
    <w:lvl w:ilvl="3">
      <w:start w:val="1"/>
      <w:numFmt w:val="decimal"/>
      <w:lvlJc w:val="left"/>
      <w:pPr>
        <w:ind w:left="0" w:firstLine="0"/>
      </w:pPr>
    </w:lvl>
    <w:lvl w:ilvl="4">
      <w:start w:val="1"/>
      <w:numFmt w:val="decimal"/>
      <w:lvlJc w:val="left"/>
      <w:pPr>
        <w:ind w:left="0" w:firstLine="0"/>
      </w:pPr>
    </w:lvl>
    <w:lvl w:ilvl="5">
      <w:start w:val="1"/>
      <w:numFmt w:val="decimal"/>
      <w:lvlJc w:val="left"/>
      <w:pPr>
        <w:ind w:left="0" w:firstLine="0"/>
      </w:pPr>
    </w:lvl>
    <w:lvl w:ilvl="6">
      <w:start w:val="1"/>
      <w:numFmt w:val="decimal"/>
      <w:lvlJc w:val="left"/>
      <w:pPr>
        <w:ind w:left="0" w:firstLine="0"/>
      </w:pPr>
    </w:lvl>
    <w:lvl w:ilvl="7">
      <w:start w:val="1"/>
      <w:numFmt w:val="decimal"/>
      <w:lvlJc w:val="left"/>
      <w:pPr>
        <w:ind w:left="0" w:firstLine="0"/>
      </w:pPr>
    </w:lvl>
    <w:lvl w:ilvl="8">
      <w:start w:val="1"/>
      <w:numFmt w:val="decimal"/>
      <w:lvlJc w:val="left"/>
      <w:pPr>
        <w:ind w:left="0" w:firstLine="0"/>
      </w:pPr>
    </w:lvl>
  </w:abstractNum>
  <w:abstractNum w:abstractNumId="4">
    <w:nsid w:val="593F0227"/>
    <w:multiLevelType w:val="multilevel"/>
    <w:tmpl w:val="9696A1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937724"/>
    <w:multiLevelType w:val="multilevel"/>
    <w:tmpl w:val="EB12A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A5"/>
    <w:rsid w:val="00005255"/>
    <w:rsid w:val="00020094"/>
    <w:rsid w:val="000276B8"/>
    <w:rsid w:val="000C5DE7"/>
    <w:rsid w:val="00154466"/>
    <w:rsid w:val="001E04DA"/>
    <w:rsid w:val="00207BCD"/>
    <w:rsid w:val="00237DFC"/>
    <w:rsid w:val="00266579"/>
    <w:rsid w:val="003017B0"/>
    <w:rsid w:val="00303D25"/>
    <w:rsid w:val="00322F2E"/>
    <w:rsid w:val="003530E4"/>
    <w:rsid w:val="003D0BC3"/>
    <w:rsid w:val="003F76AA"/>
    <w:rsid w:val="00543A06"/>
    <w:rsid w:val="00570B01"/>
    <w:rsid w:val="00583733"/>
    <w:rsid w:val="006231A4"/>
    <w:rsid w:val="0066741E"/>
    <w:rsid w:val="006C0BA1"/>
    <w:rsid w:val="006F5CF3"/>
    <w:rsid w:val="007018C1"/>
    <w:rsid w:val="00717F30"/>
    <w:rsid w:val="00774583"/>
    <w:rsid w:val="007E0882"/>
    <w:rsid w:val="008252A9"/>
    <w:rsid w:val="0084219B"/>
    <w:rsid w:val="008C1370"/>
    <w:rsid w:val="008D655F"/>
    <w:rsid w:val="008F1055"/>
    <w:rsid w:val="00931849"/>
    <w:rsid w:val="009E22F0"/>
    <w:rsid w:val="00A07689"/>
    <w:rsid w:val="00A122C9"/>
    <w:rsid w:val="00A954A6"/>
    <w:rsid w:val="00AC231D"/>
    <w:rsid w:val="00B030FC"/>
    <w:rsid w:val="00B14676"/>
    <w:rsid w:val="00B46518"/>
    <w:rsid w:val="00B67D12"/>
    <w:rsid w:val="00BA5FBC"/>
    <w:rsid w:val="00BD01DB"/>
    <w:rsid w:val="00BD1161"/>
    <w:rsid w:val="00BF2ED2"/>
    <w:rsid w:val="00C0069E"/>
    <w:rsid w:val="00C97CE7"/>
    <w:rsid w:val="00CA4D76"/>
    <w:rsid w:val="00CE26E1"/>
    <w:rsid w:val="00CE44B8"/>
    <w:rsid w:val="00D07328"/>
    <w:rsid w:val="00D17A55"/>
    <w:rsid w:val="00D34306"/>
    <w:rsid w:val="00DB0443"/>
    <w:rsid w:val="00E05EFD"/>
    <w:rsid w:val="00E42BE9"/>
    <w:rsid w:val="00EA6E94"/>
    <w:rsid w:val="00ED77D0"/>
    <w:rsid w:val="00F50DA5"/>
    <w:rsid w:val="00F63FB3"/>
    <w:rsid w:val="00F6556D"/>
    <w:rsid w:val="00F70CAD"/>
    <w:rsid w:val="00FE72B6"/>
    <w:rsid w:val="00FF41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71B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04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44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17A55"/>
    <w:rPr>
      <w:b/>
      <w:bCs/>
    </w:rPr>
  </w:style>
  <w:style w:type="character" w:customStyle="1" w:styleId="CommentSubjectChar">
    <w:name w:val="Comment Subject Char"/>
    <w:basedOn w:val="CommentTextChar"/>
    <w:link w:val="CommentSubject"/>
    <w:uiPriority w:val="99"/>
    <w:semiHidden/>
    <w:rsid w:val="00D17A55"/>
    <w:rPr>
      <w:b/>
      <w:bCs/>
    </w:rPr>
  </w:style>
  <w:style w:type="paragraph" w:styleId="ListParagraph">
    <w:name w:val="List Paragraph"/>
    <w:basedOn w:val="Normal"/>
    <w:uiPriority w:val="34"/>
    <w:qFormat/>
    <w:rsid w:val="00BA5FBC"/>
    <w:pPr>
      <w:ind w:left="720"/>
      <w:contextualSpacing/>
    </w:pPr>
  </w:style>
  <w:style w:type="character" w:styleId="Hyperlink">
    <w:name w:val="Hyperlink"/>
    <w:basedOn w:val="DefaultParagraphFont"/>
    <w:uiPriority w:val="99"/>
    <w:unhideWhenUsed/>
    <w:rsid w:val="000200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0648-0380%2060-Day%2088%20FR%2076188%202023-1106.pdf" TargetMode="External" /><Relationship Id="rId11" Type="http://schemas.openxmlformats.org/officeDocument/2006/relationships/hyperlink" Target="https://www.noaa.gov/organization/administration/nao-216-100-protection-of-confidential-fisheries-statistics" TargetMode="External" /><Relationship Id="rId12" Type="http://schemas.openxmlformats.org/officeDocument/2006/relationships/hyperlink" Target="https://www.bls.gov/oes/current/oes_nat.htm" TargetMode="External" /><Relationship Id="rId13" Type="http://schemas.openxmlformats.org/officeDocument/2006/relationships/hyperlink" Target="http://www.st.nmfs.noaa.gov/recreational-fisheries/access-data/run-a-data-query/queries/index"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https://www.law.cornell.edu/uscode/text/16/chapter-16A" TargetMode="Externa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fedcenter.gov/Bookmarks/index.cfm?id=691" TargetMode="External" /><Relationship Id="rId9" Type="http://schemas.openxmlformats.org/officeDocument/2006/relationships/hyperlink" Target="https://www.govinfo.gov/content/pkg/PLAW-106publ554/pdf/PLAW-106publ55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090E1-6C1B-4644-AEED-4A0A9030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4412</Words>
  <Characters>25154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2024-03-08T15:52:00Z</dcterms:created>
  <dcterms:modified xsi:type="dcterms:W3CDTF">2024-03-19T19:29:00Z</dcterms:modified>
</cp:coreProperties>
</file>