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AF3E77" w:rsidP="00E517EA" w14:paraId="7F6EC0DF" w14:textId="475DD4C6">
      <w:pPr>
        <w:pStyle w:val="NormalWeb"/>
        <w:spacing w:line="288" w:lineRule="atLeast"/>
        <w:jc w:val="center"/>
        <w:rPr>
          <w:rFonts w:ascii="Cambria" w:hAnsi="Cambria" w:cs="Calibri Light"/>
          <w:sz w:val="32"/>
          <w:szCs w:val="32"/>
          <w:u w:val="single"/>
        </w:rPr>
      </w:pPr>
      <w:bookmarkStart w:id="0" w:name="cs31d"/>
      <w:r w:rsidRPr="00AF3E77">
        <w:rPr>
          <w:rFonts w:ascii="Cambria" w:hAnsi="Cambria" w:cs="Calibri Light"/>
          <w:sz w:val="32"/>
          <w:szCs w:val="32"/>
          <w:u w:val="single"/>
        </w:rPr>
        <w:t>SUPPORTING STATEMENT</w:t>
      </w:r>
      <w:r w:rsidRPr="00AF3E77" w:rsidR="006F3F40">
        <w:rPr>
          <w:rFonts w:ascii="Cambria" w:hAnsi="Cambria" w:cs="Calibri Light"/>
          <w:sz w:val="32"/>
          <w:szCs w:val="32"/>
          <w:u w:val="single"/>
        </w:rPr>
        <w:t xml:space="preserve"> – PART B</w:t>
      </w:r>
    </w:p>
    <w:p w:rsidR="00E517EA" w:rsidRPr="00AF3E77" w:rsidP="00E517EA" w14:paraId="75B88E43" w14:textId="20745A8E">
      <w:pPr>
        <w:pStyle w:val="NormalWeb"/>
        <w:spacing w:line="288" w:lineRule="atLeast"/>
        <w:jc w:val="center"/>
        <w:rPr>
          <w:rFonts w:ascii="Cambria" w:hAnsi="Cambria" w:cs="Calibri Light"/>
        </w:rPr>
      </w:pPr>
      <w:r w:rsidRPr="00AF3E77">
        <w:rPr>
          <w:rFonts w:ascii="Cambria" w:hAnsi="Cambria" w:cs="Calibri Light"/>
        </w:rPr>
        <w:t>Military Health System Providers’ Attitudes Towards and Knowledge of Contraceptive Care and Women’s Reproductive Health – 0720-WHRS</w:t>
      </w:r>
    </w:p>
    <w:p w:rsidR="005E0A0F" w:rsidRPr="00AF3E77" w:rsidP="00EE2985" w14:paraId="56EA26DE" w14:textId="77777777">
      <w:pPr>
        <w:pStyle w:val="NormalWeb"/>
        <w:spacing w:line="288" w:lineRule="atLeast"/>
        <w:rPr>
          <w:rFonts w:ascii="Cambria" w:hAnsi="Cambria" w:cs="Calibri Light"/>
          <w:u w:val="single"/>
        </w:rPr>
      </w:pPr>
      <w:bookmarkStart w:id="1" w:name="cs32"/>
      <w:bookmarkEnd w:id="0"/>
      <w:r w:rsidRPr="00AF3E77">
        <w:rPr>
          <w:rFonts w:ascii="Cambria" w:hAnsi="Cambria" w:cs="Calibri Light"/>
        </w:rPr>
        <w:t xml:space="preserve">B.  </w:t>
      </w:r>
      <w:r w:rsidRPr="00AF3E77">
        <w:rPr>
          <w:rFonts w:ascii="Cambria" w:hAnsi="Cambria" w:cs="Calibri Light"/>
          <w:u w:val="single"/>
        </w:rPr>
        <w:t>COLLECTIONS OF INFORMATION EMPLOYING STATISTICAL METHODS</w:t>
      </w:r>
    </w:p>
    <w:bookmarkEnd w:id="1"/>
    <w:p w:rsidR="005E0A0F" w:rsidRPr="00AF3E77" w:rsidP="00B91B89" w14:paraId="6FE1F63A" w14:textId="086CB555">
      <w:pPr>
        <w:pStyle w:val="NormalWeb"/>
        <w:spacing w:before="0" w:beforeAutospacing="0" w:after="0" w:afterAutospacing="0" w:line="288" w:lineRule="atLeast"/>
        <w:rPr>
          <w:rFonts w:ascii="Cambria" w:hAnsi="Cambria" w:cs="Calibri Light"/>
        </w:rPr>
      </w:pPr>
      <w:r w:rsidRPr="00AF3E77">
        <w:rPr>
          <w:rFonts w:ascii="Cambria" w:hAnsi="Cambria" w:cs="Calibri Light"/>
        </w:rPr>
        <w:t xml:space="preserve">1.  </w:t>
      </w:r>
      <w:r w:rsidRPr="00AF3E77">
        <w:rPr>
          <w:rFonts w:ascii="Cambria" w:hAnsi="Cambria" w:cs="Calibri Light"/>
          <w:u w:val="single"/>
        </w:rPr>
        <w:t>Description of the Activity</w:t>
      </w:r>
    </w:p>
    <w:p w:rsidR="00645E19" w:rsidRPr="00AF3E77" w:rsidP="00775479" w14:paraId="7E9DF307" w14:textId="77777777">
      <w:pPr>
        <w:pStyle w:val="NormalWeb"/>
        <w:spacing w:before="0" w:beforeAutospacing="0" w:after="0" w:afterAutospacing="0" w:line="288" w:lineRule="atLeast"/>
        <w:rPr>
          <w:rFonts w:ascii="Cambria" w:hAnsi="Cambria" w:cs="Calibri Light"/>
          <w:iCs/>
        </w:rPr>
      </w:pPr>
    </w:p>
    <w:p w:rsidR="00645E19" w:rsidRPr="00AF3E77" w:rsidP="00775479" w14:paraId="5676EF27" w14:textId="0CA61E1C">
      <w:pPr>
        <w:pStyle w:val="NormalWeb"/>
        <w:spacing w:before="0" w:beforeAutospacing="0" w:after="0" w:afterAutospacing="0" w:line="288" w:lineRule="atLeast"/>
        <w:rPr>
          <w:rFonts w:ascii="Cambria" w:hAnsi="Cambria" w:cs="Calibri Light"/>
          <w:iCs/>
        </w:rPr>
      </w:pPr>
      <w:r w:rsidRPr="00AF3E77">
        <w:rPr>
          <w:rFonts w:ascii="Cambria" w:hAnsi="Cambria" w:cs="Calibri Light"/>
          <w:iCs/>
        </w:rPr>
        <w:t>The purpose of the survey is to capture provider self-reported beliefs, clinical knowledge on reproductive health care (including contraceptive counseling</w:t>
      </w:r>
      <w:r w:rsidRPr="00AF3E77" w:rsidR="00AF3E77">
        <w:rPr>
          <w:rFonts w:ascii="Cambria" w:hAnsi="Cambria" w:cs="Calibri Light"/>
          <w:iCs/>
        </w:rPr>
        <w:t>) and</w:t>
      </w:r>
      <w:r w:rsidRPr="00AF3E77">
        <w:rPr>
          <w:rFonts w:ascii="Cambria" w:hAnsi="Cambria" w:cs="Calibri Light"/>
          <w:iCs/>
        </w:rPr>
        <w:t xml:space="preserve"> prescribing and providing contraception care for and during deployment.  Data and analysis from the survey will enable DoD to evaluate, enhance, and where needed, improve reproductive services delivery and educational interventions; provide a strong basis for planning policy and services related to </w:t>
      </w:r>
      <w:r w:rsidRPr="00AF3E77" w:rsidR="008039E2">
        <w:rPr>
          <w:rFonts w:ascii="Cambria" w:hAnsi="Cambria" w:cs="Calibri Light"/>
          <w:iCs/>
        </w:rPr>
        <w:t>active-duty service women’s (</w:t>
      </w:r>
      <w:r w:rsidRPr="00AF3E77">
        <w:rPr>
          <w:rFonts w:ascii="Cambria" w:hAnsi="Cambria" w:cs="Calibri Light"/>
          <w:iCs/>
        </w:rPr>
        <w:t>ADSW</w:t>
      </w:r>
      <w:r w:rsidRPr="00AF3E77" w:rsidR="008039E2">
        <w:rPr>
          <w:rFonts w:ascii="Cambria" w:hAnsi="Cambria" w:cs="Calibri Light"/>
          <w:iCs/>
        </w:rPr>
        <w:t>)</w:t>
      </w:r>
      <w:r w:rsidRPr="00AF3E77">
        <w:rPr>
          <w:rFonts w:ascii="Cambria" w:hAnsi="Cambria" w:cs="Calibri Light"/>
          <w:iCs/>
        </w:rPr>
        <w:t xml:space="preserve"> reproductive and contraceptive health; and provide data, programs, and details necessary for replication and peer review.</w:t>
      </w:r>
      <w:r w:rsidRPr="00AF3E77" w:rsidR="003E01E6">
        <w:rPr>
          <w:rFonts w:ascii="Cambria" w:hAnsi="Cambria" w:cs="Calibri Light"/>
          <w:iCs/>
        </w:rPr>
        <w:t xml:space="preserve"> </w:t>
      </w:r>
    </w:p>
    <w:p w:rsidR="00645E19" w:rsidRPr="00AF3E77" w:rsidP="00775479" w14:paraId="3BC4BC21" w14:textId="77777777">
      <w:pPr>
        <w:pStyle w:val="NormalWeb"/>
        <w:spacing w:before="0" w:beforeAutospacing="0" w:after="0" w:afterAutospacing="0" w:line="288" w:lineRule="atLeast"/>
        <w:rPr>
          <w:rFonts w:ascii="Cambria" w:hAnsi="Cambria" w:cs="Calibri Light"/>
          <w:iCs/>
        </w:rPr>
      </w:pPr>
    </w:p>
    <w:p w:rsidR="00C423C8" w:rsidRPr="00AF3E77" w:rsidP="00C423C8" w14:paraId="177E0879" w14:textId="61FF7FAD">
      <w:pPr>
        <w:pStyle w:val="NormalWeb"/>
        <w:spacing w:before="0" w:beforeAutospacing="0" w:after="0" w:afterAutospacing="0"/>
        <w:rPr>
          <w:rFonts w:ascii="Cambria" w:hAnsi="Cambria" w:cs="Calibri Light"/>
          <w:iCs/>
        </w:rPr>
      </w:pPr>
      <w:r w:rsidRPr="00AF3E77">
        <w:rPr>
          <w:rFonts w:ascii="Cambria" w:hAnsi="Cambria" w:cs="Calibri Light"/>
          <w:iCs/>
        </w:rPr>
        <w:t>The survey is devised to be a sufficiently large and representative sample of the diverse professionals who provide reproductive and contraceptive care to ADSWs at health care visits (e.g., readiness visits, pre-deployment, and during deployment).</w:t>
      </w:r>
      <w:r w:rsidRPr="00AF3E77" w:rsidR="00325B0F">
        <w:rPr>
          <w:rFonts w:ascii="Cambria" w:hAnsi="Cambria" w:cs="Calibri Light"/>
          <w:iCs/>
        </w:rPr>
        <w:t xml:space="preserve"> The total sample includes approximately</w:t>
      </w:r>
      <w:r w:rsidRPr="00AF3E77" w:rsidR="008C2355">
        <w:rPr>
          <w:rFonts w:ascii="Cambria" w:hAnsi="Cambria" w:cs="Calibri Light"/>
          <w:iCs/>
        </w:rPr>
        <w:t xml:space="preserve"> 15,200</w:t>
      </w:r>
      <w:r w:rsidRPr="00AF3E77" w:rsidR="00D57F9F">
        <w:rPr>
          <w:rFonts w:ascii="Cambria" w:hAnsi="Cambria" w:cs="Calibri Light"/>
          <w:iCs/>
        </w:rPr>
        <w:t xml:space="preserve"> uniformed (i.e., active</w:t>
      </w:r>
      <w:r w:rsidRPr="00AF3E77" w:rsidR="001F1570">
        <w:rPr>
          <w:rFonts w:ascii="Cambria" w:hAnsi="Cambria" w:cs="Calibri Light"/>
          <w:iCs/>
        </w:rPr>
        <w:t xml:space="preserve"> </w:t>
      </w:r>
      <w:r w:rsidRPr="00AF3E77" w:rsidR="00D57F9F">
        <w:rPr>
          <w:rFonts w:ascii="Cambria" w:hAnsi="Cambria" w:cs="Calibri Light"/>
          <w:iCs/>
        </w:rPr>
        <w:t xml:space="preserve">duty) and civilian Military Health System (MHS) providers. </w:t>
      </w:r>
      <w:r w:rsidRPr="00AF3E77" w:rsidR="00C6692C">
        <w:rPr>
          <w:rFonts w:ascii="Cambria" w:hAnsi="Cambria" w:cs="Calibri Light"/>
          <w:iCs/>
        </w:rPr>
        <w:t>This is a strat</w:t>
      </w:r>
      <w:r w:rsidRPr="00AF3E77" w:rsidR="00A95A8C">
        <w:rPr>
          <w:rFonts w:ascii="Cambria" w:hAnsi="Cambria" w:cs="Calibri Light"/>
          <w:iCs/>
        </w:rPr>
        <w:t>ified random sample, stratified by</w:t>
      </w:r>
      <w:r w:rsidRPr="00AF3E77" w:rsidR="00E85D7E">
        <w:rPr>
          <w:rFonts w:ascii="Cambria" w:hAnsi="Cambria" w:cs="Calibri Light"/>
          <w:iCs/>
        </w:rPr>
        <w:t xml:space="preserve"> uniformed status (i.e., uniformed versus civilians), service branch (Air Force, Army, Navy, and Defense Health Agency [DHA]), and </w:t>
      </w:r>
      <w:r w:rsidRPr="00AF3E77" w:rsidR="00A95A8C">
        <w:rPr>
          <w:rFonts w:ascii="Cambria" w:hAnsi="Cambria" w:cs="Calibri Light"/>
          <w:iCs/>
        </w:rPr>
        <w:t xml:space="preserve">provider type (i.e., </w:t>
      </w:r>
      <w:r w:rsidRPr="00AF3E77" w:rsidR="007E131E">
        <w:rPr>
          <w:rFonts w:ascii="Cambria" w:hAnsi="Cambria" w:cs="Calibri Light"/>
          <w:iCs/>
        </w:rPr>
        <w:t>obstetrician</w:t>
      </w:r>
      <w:r w:rsidRPr="00AF3E77" w:rsidR="00A95A8C">
        <w:rPr>
          <w:rFonts w:ascii="Cambria" w:hAnsi="Cambria" w:cs="Calibri Light"/>
          <w:iCs/>
        </w:rPr>
        <w:t>-</w:t>
      </w:r>
      <w:r w:rsidRPr="00AF3E77" w:rsidR="007E131E">
        <w:rPr>
          <w:rFonts w:ascii="Cambria" w:hAnsi="Cambria" w:cs="Calibri Light"/>
          <w:iCs/>
        </w:rPr>
        <w:t>gynecologist</w:t>
      </w:r>
      <w:r w:rsidRPr="00AF3E77" w:rsidR="00A95A8C">
        <w:rPr>
          <w:rFonts w:ascii="Cambria" w:hAnsi="Cambria" w:cs="Calibri Light"/>
          <w:iCs/>
        </w:rPr>
        <w:t xml:space="preserve"> [OB-GYN]</w:t>
      </w:r>
      <w:r w:rsidRPr="00AF3E77" w:rsidR="003A449C">
        <w:rPr>
          <w:rFonts w:ascii="Cambria" w:hAnsi="Cambria" w:cs="Calibri Light"/>
          <w:iCs/>
        </w:rPr>
        <w:t>, other medical doctors</w:t>
      </w:r>
      <w:r w:rsidRPr="00AF3E77" w:rsidR="00F41FF1">
        <w:rPr>
          <w:rFonts w:ascii="Cambria" w:hAnsi="Cambria" w:cs="Calibri Light"/>
          <w:iCs/>
        </w:rPr>
        <w:t xml:space="preserve"> [e.g., family practice, </w:t>
      </w:r>
      <w:r w:rsidRPr="00AF3E77" w:rsidR="0034355D">
        <w:rPr>
          <w:rFonts w:ascii="Cambria" w:hAnsi="Cambria" w:cs="Calibri Light"/>
          <w:iCs/>
        </w:rPr>
        <w:t>general medicine</w:t>
      </w:r>
      <w:r w:rsidR="00DC626B">
        <w:rPr>
          <w:rFonts w:ascii="Cambria" w:hAnsi="Cambria" w:cs="Calibri Light"/>
          <w:iCs/>
        </w:rPr>
        <w:t>]</w:t>
      </w:r>
      <w:r w:rsidRPr="00AF3E77" w:rsidR="003A449C">
        <w:rPr>
          <w:rFonts w:ascii="Cambria" w:hAnsi="Cambria" w:cs="Calibri Light"/>
          <w:iCs/>
        </w:rPr>
        <w:t xml:space="preserve">, </w:t>
      </w:r>
      <w:r w:rsidRPr="00AF3E77" w:rsidR="00714D14">
        <w:rPr>
          <w:rFonts w:ascii="Cambria" w:hAnsi="Cambria" w:cs="Calibri Light"/>
          <w:iCs/>
        </w:rPr>
        <w:t>nurse practitioners, other nurses</w:t>
      </w:r>
      <w:r w:rsidRPr="00AF3E77" w:rsidR="0034355D">
        <w:rPr>
          <w:rFonts w:ascii="Cambria" w:hAnsi="Cambria" w:cs="Calibri Light"/>
          <w:iCs/>
        </w:rPr>
        <w:t xml:space="preserve"> </w:t>
      </w:r>
      <w:r w:rsidR="00DC626B">
        <w:rPr>
          <w:rFonts w:ascii="Cambria" w:hAnsi="Cambria" w:cs="Calibri Light"/>
          <w:iCs/>
        </w:rPr>
        <w:t>[</w:t>
      </w:r>
      <w:r w:rsidRPr="00AF3E77" w:rsidR="0034355D">
        <w:rPr>
          <w:rFonts w:ascii="Cambria" w:hAnsi="Cambria" w:cs="Calibri Light"/>
          <w:iCs/>
        </w:rPr>
        <w:t xml:space="preserve">e.g., </w:t>
      </w:r>
      <w:r w:rsidRPr="00AF3E77" w:rsidR="00514C18">
        <w:rPr>
          <w:rFonts w:ascii="Cambria" w:hAnsi="Cambria" w:cs="Calibri Light"/>
          <w:iCs/>
        </w:rPr>
        <w:t>general nurse, obstetrics nurse</w:t>
      </w:r>
      <w:r w:rsidR="00DC626B">
        <w:rPr>
          <w:rFonts w:ascii="Cambria" w:hAnsi="Cambria" w:cs="Calibri Light"/>
          <w:iCs/>
        </w:rPr>
        <w:t>]</w:t>
      </w:r>
      <w:r w:rsidRPr="00AF3E77" w:rsidR="00714D14">
        <w:rPr>
          <w:rFonts w:ascii="Cambria" w:hAnsi="Cambria" w:cs="Calibri Light"/>
          <w:iCs/>
        </w:rPr>
        <w:t xml:space="preserve">, </w:t>
      </w:r>
      <w:r w:rsidRPr="00AF3E77" w:rsidR="008C4E19">
        <w:rPr>
          <w:rFonts w:ascii="Cambria" w:hAnsi="Cambria" w:cs="Calibri Light"/>
          <w:iCs/>
        </w:rPr>
        <w:t xml:space="preserve">physician </w:t>
      </w:r>
      <w:r w:rsidRPr="00AF3E77" w:rsidR="00F41FF1">
        <w:rPr>
          <w:rFonts w:ascii="Cambria" w:hAnsi="Cambria" w:cs="Calibri Light"/>
          <w:iCs/>
        </w:rPr>
        <w:t>assistants</w:t>
      </w:r>
      <w:r w:rsidRPr="00AF3E77" w:rsidR="008C4E19">
        <w:rPr>
          <w:rFonts w:ascii="Cambria" w:hAnsi="Cambria" w:cs="Calibri Light"/>
          <w:iCs/>
        </w:rPr>
        <w:t>, and enlisted medical personnel)</w:t>
      </w:r>
      <w:r w:rsidRPr="00AF3E77" w:rsidR="00F41FF1">
        <w:rPr>
          <w:rFonts w:ascii="Cambria" w:hAnsi="Cambria" w:cs="Calibri Light"/>
          <w:iCs/>
        </w:rPr>
        <w:t>.</w:t>
      </w:r>
      <w:r w:rsidRPr="00AF3E77" w:rsidR="00D92E75">
        <w:rPr>
          <w:rFonts w:ascii="Cambria" w:hAnsi="Cambria" w:cs="Calibri Light"/>
          <w:iCs/>
        </w:rPr>
        <w:t xml:space="preserve"> </w:t>
      </w:r>
      <w:r w:rsidRPr="00AF3E77">
        <w:rPr>
          <w:rFonts w:ascii="Cambria" w:hAnsi="Cambria" w:cs="Calibri Light"/>
          <w:iCs/>
        </w:rPr>
        <w:t>Specifically, the sample design involves sampling from these strata at rates as follows:</w:t>
      </w:r>
    </w:p>
    <w:p w:rsidR="00C423C8" w:rsidRPr="00AF3E77" w:rsidP="00C423C8" w14:paraId="5917C0F4" w14:textId="77777777">
      <w:pPr>
        <w:pStyle w:val="NormalWeb"/>
        <w:spacing w:before="0" w:beforeAutospacing="0" w:after="0" w:afterAutospacing="0"/>
        <w:rPr>
          <w:rFonts w:ascii="Cambria" w:hAnsi="Cambria" w:cs="Calibri Light"/>
          <w:iCs/>
        </w:rPr>
      </w:pPr>
    </w:p>
    <w:p w:rsidR="00C423C8" w:rsidRPr="00AF3E77" w:rsidP="00C423C8" w14:paraId="44D27656" w14:textId="3091B80C">
      <w:pPr>
        <w:pStyle w:val="NormalWeb"/>
        <w:numPr>
          <w:ilvl w:val="0"/>
          <w:numId w:val="4"/>
        </w:numPr>
        <w:spacing w:before="0" w:beforeAutospacing="0" w:after="0" w:afterAutospacing="0"/>
        <w:rPr>
          <w:rFonts w:ascii="Cambria" w:hAnsi="Cambria" w:cs="Calibri Light"/>
          <w:iCs/>
        </w:rPr>
      </w:pPr>
      <w:r w:rsidRPr="00AF3E77">
        <w:rPr>
          <w:rFonts w:ascii="Cambria" w:hAnsi="Cambria" w:cs="Calibri Light"/>
          <w:iCs/>
        </w:rPr>
        <w:t>Other</w:t>
      </w:r>
      <w:r w:rsidRPr="00AF3E77" w:rsidR="008D5A16">
        <w:rPr>
          <w:rFonts w:ascii="Cambria" w:hAnsi="Cambria" w:cs="Calibri Light"/>
          <w:iCs/>
        </w:rPr>
        <w:t xml:space="preserve"> civilian</w:t>
      </w:r>
      <w:r w:rsidRPr="00AF3E77">
        <w:rPr>
          <w:rFonts w:ascii="Cambria" w:hAnsi="Cambria" w:cs="Calibri Light"/>
          <w:iCs/>
        </w:rPr>
        <w:t xml:space="preserve"> nurses in the Army are sampled at a rate of 25%.</w:t>
      </w:r>
    </w:p>
    <w:p w:rsidR="00C423C8" w:rsidRPr="00AF3E77" w:rsidP="00C423C8" w14:paraId="7B7FD235" w14:textId="13B5C7BB">
      <w:pPr>
        <w:pStyle w:val="NormalWeb"/>
        <w:numPr>
          <w:ilvl w:val="0"/>
          <w:numId w:val="4"/>
        </w:numPr>
        <w:spacing w:before="0" w:beforeAutospacing="0" w:after="0" w:afterAutospacing="0"/>
        <w:rPr>
          <w:rFonts w:ascii="Cambria" w:hAnsi="Cambria" w:cs="Calibri Light"/>
          <w:iCs/>
        </w:rPr>
      </w:pPr>
      <w:r w:rsidRPr="00AF3E77">
        <w:rPr>
          <w:rFonts w:ascii="Cambria" w:hAnsi="Cambria" w:cs="Calibri Light"/>
          <w:iCs/>
        </w:rPr>
        <w:t>Other</w:t>
      </w:r>
      <w:r w:rsidRPr="00AF3E77" w:rsidR="008D5A16">
        <w:rPr>
          <w:rFonts w:ascii="Cambria" w:hAnsi="Cambria" w:cs="Calibri Light"/>
          <w:iCs/>
        </w:rPr>
        <w:t xml:space="preserve"> civilian</w:t>
      </w:r>
      <w:r w:rsidRPr="00AF3E77">
        <w:rPr>
          <w:rFonts w:ascii="Cambria" w:hAnsi="Cambria" w:cs="Calibri Light"/>
          <w:iCs/>
        </w:rPr>
        <w:t xml:space="preserve"> nurses in the Navy are sampled at a rate of 50%.</w:t>
      </w:r>
    </w:p>
    <w:p w:rsidR="00C423C8" w:rsidRPr="00AF3E77" w:rsidP="00C423C8" w14:paraId="78E7D9C4" w14:textId="0C46A3B5">
      <w:pPr>
        <w:pStyle w:val="NormalWeb"/>
        <w:numPr>
          <w:ilvl w:val="0"/>
          <w:numId w:val="4"/>
        </w:numPr>
        <w:spacing w:before="0" w:beforeAutospacing="0" w:after="0" w:afterAutospacing="0"/>
        <w:rPr>
          <w:rFonts w:ascii="Cambria" w:hAnsi="Cambria" w:cs="Calibri Light"/>
          <w:iCs/>
        </w:rPr>
      </w:pPr>
      <w:r w:rsidRPr="00AF3E77">
        <w:rPr>
          <w:rFonts w:ascii="Cambria" w:hAnsi="Cambria" w:cs="Calibri Light"/>
          <w:iCs/>
        </w:rPr>
        <w:t xml:space="preserve">Other </w:t>
      </w:r>
      <w:r w:rsidRPr="00AF3E77" w:rsidR="008D5A16">
        <w:rPr>
          <w:rFonts w:ascii="Cambria" w:hAnsi="Cambria" w:cs="Calibri Light"/>
          <w:iCs/>
        </w:rPr>
        <w:t xml:space="preserve">civilian </w:t>
      </w:r>
      <w:r w:rsidRPr="00AF3E77">
        <w:rPr>
          <w:rFonts w:ascii="Cambria" w:hAnsi="Cambria" w:cs="Calibri Light"/>
          <w:iCs/>
        </w:rPr>
        <w:t>nurses in DHA are sampled at a rate of 67%.</w:t>
      </w:r>
    </w:p>
    <w:p w:rsidR="00C423C8" w:rsidRPr="00AF3E77" w:rsidP="00C423C8" w14:paraId="7CBB49A2" w14:textId="77777777">
      <w:pPr>
        <w:pStyle w:val="NormalWeb"/>
        <w:numPr>
          <w:ilvl w:val="0"/>
          <w:numId w:val="4"/>
        </w:numPr>
        <w:spacing w:before="0" w:beforeAutospacing="0" w:after="0" w:afterAutospacing="0"/>
        <w:rPr>
          <w:rFonts w:ascii="Cambria" w:hAnsi="Cambria" w:cs="Calibri Light"/>
          <w:iCs/>
        </w:rPr>
      </w:pPr>
      <w:r w:rsidRPr="00AF3E77">
        <w:rPr>
          <w:rFonts w:ascii="Cambria" w:hAnsi="Cambria" w:cs="Calibri Light"/>
          <w:iCs/>
        </w:rPr>
        <w:t>Enlisted medical personnel in the Army and Navy are sampled at a rate of 75%.</w:t>
      </w:r>
    </w:p>
    <w:p w:rsidR="00A249E9" w:rsidRPr="00AF3E77" w:rsidP="00A249E9" w14:paraId="6BFB080D" w14:textId="77777777">
      <w:pPr>
        <w:pStyle w:val="NormalWeb"/>
        <w:spacing w:before="0" w:beforeAutospacing="0" w:after="0" w:afterAutospacing="0"/>
        <w:rPr>
          <w:rFonts w:ascii="Cambria" w:hAnsi="Cambria" w:cs="Calibri Light"/>
          <w:iCs/>
        </w:rPr>
      </w:pPr>
    </w:p>
    <w:p w:rsidR="00AA0C49" w:rsidP="00C423C8" w14:paraId="12ABA5B2" w14:textId="5BDDDD7B">
      <w:pPr>
        <w:pStyle w:val="NormalWeb"/>
        <w:spacing w:before="0" w:beforeAutospacing="0" w:after="0" w:afterAutospacing="0"/>
        <w:rPr>
          <w:rFonts w:ascii="Cambria" w:hAnsi="Cambria" w:cs="Calibri Light"/>
          <w:iCs/>
        </w:rPr>
      </w:pPr>
      <w:r w:rsidRPr="00AF3E77">
        <w:rPr>
          <w:rFonts w:ascii="Cambria" w:hAnsi="Cambria" w:cs="Calibri Light"/>
          <w:iCs/>
        </w:rPr>
        <w:t>All providers not mentioned above are sampled a rate of 100%</w:t>
      </w:r>
      <w:r w:rsidRPr="00AF3E77" w:rsidR="00D56453">
        <w:rPr>
          <w:rFonts w:ascii="Cambria" w:hAnsi="Cambria" w:cs="Calibri Light"/>
          <w:iCs/>
        </w:rPr>
        <w:t>.</w:t>
      </w:r>
      <w:r w:rsidRPr="00AF3E77" w:rsidR="00A249E9">
        <w:rPr>
          <w:rFonts w:ascii="Cambria" w:hAnsi="Cambria" w:cs="Calibri Light"/>
          <w:iCs/>
        </w:rPr>
        <w:t xml:space="preserve"> </w:t>
      </w:r>
      <w:r w:rsidRPr="00AF3E77" w:rsidR="00775479">
        <w:rPr>
          <w:rFonts w:ascii="Cambria" w:hAnsi="Cambria" w:cs="Arial"/>
        </w:rPr>
        <w:t xml:space="preserve">Below is the sample size by </w:t>
      </w:r>
      <w:r w:rsidRPr="00AF3E77">
        <w:rPr>
          <w:rFonts w:ascii="Cambria" w:hAnsi="Cambria" w:cs="Arial"/>
        </w:rPr>
        <w:t>provider and service branch.</w:t>
      </w:r>
      <w:r w:rsidRPr="00AF3E77">
        <w:rPr>
          <w:rFonts w:ascii="Cambria" w:hAnsi="Cambria" w:cs="Calibri Light"/>
          <w:iCs/>
        </w:rPr>
        <w:t xml:space="preserve"> With weights, respondents should be representative of these groups.</w:t>
      </w:r>
    </w:p>
    <w:p w:rsidR="00AF3E77" w:rsidP="00C423C8" w14:paraId="69869232" w14:textId="6AA3722F">
      <w:pPr>
        <w:pStyle w:val="NormalWeb"/>
        <w:spacing w:before="0" w:beforeAutospacing="0" w:after="0" w:afterAutospacing="0"/>
        <w:rPr>
          <w:rFonts w:ascii="Cambria" w:hAnsi="Cambria" w:cs="Calibri Light"/>
          <w:iCs/>
        </w:rPr>
      </w:pPr>
    </w:p>
    <w:p w:rsidR="00AF3E77" w:rsidP="00C423C8" w14:paraId="1B60761A" w14:textId="5E9F950A">
      <w:pPr>
        <w:pStyle w:val="NormalWeb"/>
        <w:spacing w:before="0" w:beforeAutospacing="0" w:after="0" w:afterAutospacing="0"/>
        <w:rPr>
          <w:rFonts w:ascii="Cambria" w:hAnsi="Cambria" w:cs="Calibri Light"/>
          <w:iCs/>
        </w:rPr>
      </w:pPr>
    </w:p>
    <w:p w:rsidR="00AF3E77" w:rsidP="00C423C8" w14:paraId="2B25996B" w14:textId="5C7B7037">
      <w:pPr>
        <w:pStyle w:val="NormalWeb"/>
        <w:spacing w:before="0" w:beforeAutospacing="0" w:after="0" w:afterAutospacing="0"/>
        <w:rPr>
          <w:rFonts w:ascii="Cambria" w:hAnsi="Cambria" w:cs="Calibri Light"/>
          <w:iCs/>
        </w:rPr>
      </w:pPr>
    </w:p>
    <w:p w:rsidR="00AF3E77" w:rsidP="00C423C8" w14:paraId="068CDFBA" w14:textId="656F8BB4">
      <w:pPr>
        <w:pStyle w:val="NormalWeb"/>
        <w:spacing w:before="0" w:beforeAutospacing="0" w:after="0" w:afterAutospacing="0"/>
        <w:rPr>
          <w:rFonts w:ascii="Cambria" w:hAnsi="Cambria" w:cs="Calibri Light"/>
          <w:iCs/>
        </w:rPr>
      </w:pPr>
    </w:p>
    <w:p w:rsidR="00AF3E77" w:rsidP="00C423C8" w14:paraId="034F6DE2" w14:textId="19372363">
      <w:pPr>
        <w:pStyle w:val="NormalWeb"/>
        <w:spacing w:before="0" w:beforeAutospacing="0" w:after="0" w:afterAutospacing="0"/>
        <w:rPr>
          <w:rFonts w:ascii="Cambria" w:hAnsi="Cambria" w:cs="Calibri Light"/>
          <w:iCs/>
        </w:rPr>
      </w:pPr>
    </w:p>
    <w:p w:rsidR="00AF3E77" w:rsidP="00C423C8" w14:paraId="73554DDA" w14:textId="2A98A094">
      <w:pPr>
        <w:pStyle w:val="NormalWeb"/>
        <w:spacing w:before="0" w:beforeAutospacing="0" w:after="0" w:afterAutospacing="0"/>
        <w:rPr>
          <w:rFonts w:ascii="Cambria" w:hAnsi="Cambria" w:cs="Calibri Light"/>
          <w:iCs/>
        </w:rPr>
      </w:pPr>
    </w:p>
    <w:p w:rsidR="00AF3E77" w:rsidRPr="00AF3E77" w:rsidP="00C423C8" w14:paraId="3C551553" w14:textId="77777777">
      <w:pPr>
        <w:pStyle w:val="NormalWeb"/>
        <w:spacing w:before="0" w:beforeAutospacing="0" w:after="0" w:afterAutospacing="0"/>
        <w:rPr>
          <w:rFonts w:ascii="Cambria" w:hAnsi="Cambria" w:cs="Calibri Light"/>
          <w:iCs/>
        </w:rPr>
      </w:pPr>
    </w:p>
    <w:p w:rsidR="00775479" w:rsidRPr="00AF3E77" w:rsidP="00775479" w14:paraId="08B427EE" w14:textId="77777777">
      <w:pPr>
        <w:ind w:left="2160"/>
        <w:rPr>
          <w:rFonts w:ascii="Cambria" w:hAnsi="Cambria" w:cs="Arial"/>
        </w:rPr>
      </w:pPr>
    </w:p>
    <w:tbl>
      <w:tblPr>
        <w:tblW w:w="9335" w:type="dxa"/>
        <w:tblLook w:val="04A0"/>
      </w:tblPr>
      <w:tblGrid>
        <w:gridCol w:w="2246"/>
        <w:gridCol w:w="803"/>
        <w:gridCol w:w="752"/>
        <w:gridCol w:w="1310"/>
        <w:gridCol w:w="680"/>
        <w:gridCol w:w="788"/>
        <w:gridCol w:w="736"/>
        <w:gridCol w:w="1282"/>
        <w:gridCol w:w="738"/>
      </w:tblGrid>
      <w:tr w14:paraId="2915DF20" w14:textId="77777777">
        <w:tblPrEx>
          <w:tblW w:w="9335" w:type="dxa"/>
          <w:tblLook w:val="04A0"/>
        </w:tblPrEx>
        <w:trPr>
          <w:trHeight w:val="306"/>
        </w:trPr>
        <w:tc>
          <w:tcPr>
            <w:tcW w:w="2246" w:type="dxa"/>
            <w:tcBorders>
              <w:top w:val="single" w:sz="4" w:space="0" w:color="auto"/>
              <w:left w:val="single" w:sz="4" w:space="0" w:color="auto"/>
              <w:bottom w:val="single" w:sz="4" w:space="0" w:color="auto"/>
              <w:right w:val="nil"/>
            </w:tcBorders>
            <w:shd w:val="clear" w:color="auto" w:fill="D9D9D9"/>
            <w:noWrap/>
            <w:vAlign w:val="bottom"/>
            <w:hideMark/>
          </w:tcPr>
          <w:p w:rsidR="008D5A16" w:rsidRPr="00AF3E77" w:rsidP="00FB10FD" w14:paraId="58910AF4" w14:textId="77777777">
            <w:pPr>
              <w:rPr>
                <w:rFonts w:ascii="Calibri" w:hAnsi="Calibri" w:cs="Calibri"/>
                <w:sz w:val="22"/>
                <w:szCs w:val="22"/>
              </w:rPr>
            </w:pPr>
            <w:r w:rsidRPr="00AF3E77">
              <w:rPr>
                <w:rFonts w:ascii="Calibri" w:hAnsi="Calibri" w:cs="Calibri"/>
                <w:sz w:val="22"/>
                <w:szCs w:val="22"/>
              </w:rPr>
              <w:t> </w:t>
            </w:r>
          </w:p>
        </w:tc>
        <w:tc>
          <w:tcPr>
            <w:tcW w:w="3545" w:type="dxa"/>
            <w:gridSpan w:val="4"/>
            <w:tcBorders>
              <w:top w:val="single" w:sz="4" w:space="0" w:color="auto"/>
              <w:left w:val="single" w:sz="4" w:space="0" w:color="auto"/>
              <w:bottom w:val="single" w:sz="4" w:space="0" w:color="auto"/>
              <w:right w:val="single" w:sz="18" w:space="0" w:color="auto"/>
            </w:tcBorders>
            <w:shd w:val="clear" w:color="auto" w:fill="D9D9D9"/>
            <w:noWrap/>
            <w:vAlign w:val="bottom"/>
            <w:hideMark/>
          </w:tcPr>
          <w:p w:rsidR="008D5A16" w:rsidRPr="00AF3E77" w:rsidP="00FB10FD" w14:paraId="4F5E1180" w14:textId="77777777">
            <w:pPr>
              <w:jc w:val="center"/>
              <w:rPr>
                <w:rFonts w:ascii="Calibri" w:hAnsi="Calibri" w:cs="Calibri"/>
                <w:sz w:val="22"/>
                <w:szCs w:val="22"/>
              </w:rPr>
            </w:pPr>
            <w:r w:rsidRPr="00AF3E77">
              <w:rPr>
                <w:rFonts w:ascii="Calibri" w:hAnsi="Calibri" w:cs="Calibri"/>
                <w:sz w:val="22"/>
                <w:szCs w:val="22"/>
              </w:rPr>
              <w:t>Uniformed (Active Component)</w:t>
            </w:r>
          </w:p>
        </w:tc>
        <w:tc>
          <w:tcPr>
            <w:tcW w:w="3544" w:type="dxa"/>
            <w:gridSpan w:val="4"/>
            <w:tcBorders>
              <w:top w:val="single" w:sz="4" w:space="0" w:color="auto"/>
              <w:left w:val="single" w:sz="18" w:space="0" w:color="auto"/>
              <w:bottom w:val="single" w:sz="4" w:space="0" w:color="auto"/>
              <w:right w:val="single" w:sz="4" w:space="0" w:color="000000"/>
            </w:tcBorders>
            <w:shd w:val="clear" w:color="auto" w:fill="D9D9D9"/>
            <w:noWrap/>
            <w:vAlign w:val="bottom"/>
            <w:hideMark/>
          </w:tcPr>
          <w:p w:rsidR="008D5A16" w:rsidRPr="00AF3E77" w:rsidP="00FB10FD" w14:paraId="66D233B0" w14:textId="77777777">
            <w:pPr>
              <w:jc w:val="center"/>
              <w:rPr>
                <w:rFonts w:ascii="Calibri" w:hAnsi="Calibri" w:cs="Calibri"/>
                <w:sz w:val="22"/>
                <w:szCs w:val="22"/>
              </w:rPr>
            </w:pPr>
            <w:r w:rsidRPr="00AF3E77">
              <w:rPr>
                <w:rFonts w:ascii="Calibri" w:hAnsi="Calibri" w:cs="Calibri"/>
                <w:sz w:val="22"/>
                <w:szCs w:val="22"/>
              </w:rPr>
              <w:t>Civilian</w:t>
            </w:r>
          </w:p>
        </w:tc>
      </w:tr>
      <w:tr w14:paraId="1E8E7118" w14:textId="77777777">
        <w:tblPrEx>
          <w:tblW w:w="9335" w:type="dxa"/>
          <w:tblLook w:val="04A0"/>
        </w:tblPrEx>
        <w:trPr>
          <w:trHeight w:val="306"/>
        </w:trPr>
        <w:tc>
          <w:tcPr>
            <w:tcW w:w="2246" w:type="dxa"/>
            <w:tcBorders>
              <w:top w:val="nil"/>
              <w:left w:val="single" w:sz="4" w:space="0" w:color="auto"/>
              <w:bottom w:val="single" w:sz="4" w:space="0" w:color="auto"/>
              <w:right w:val="single" w:sz="18" w:space="0" w:color="auto"/>
            </w:tcBorders>
            <w:shd w:val="clear" w:color="auto" w:fill="D9D9D9"/>
            <w:noWrap/>
            <w:vAlign w:val="bottom"/>
            <w:hideMark/>
          </w:tcPr>
          <w:p w:rsidR="008D5A16" w:rsidRPr="00AF3E77" w:rsidP="00FB10FD" w14:paraId="471D8F96" w14:textId="77777777">
            <w:pPr>
              <w:rPr>
                <w:rFonts w:ascii="Calibri" w:hAnsi="Calibri" w:cs="Calibri"/>
                <w:sz w:val="22"/>
                <w:szCs w:val="22"/>
              </w:rPr>
            </w:pPr>
            <w:r w:rsidRPr="00AF3E77">
              <w:rPr>
                <w:rFonts w:ascii="Calibri" w:hAnsi="Calibri" w:cs="Calibri"/>
                <w:sz w:val="22"/>
                <w:szCs w:val="22"/>
              </w:rPr>
              <w:t> </w:t>
            </w:r>
          </w:p>
        </w:tc>
        <w:tc>
          <w:tcPr>
            <w:tcW w:w="803" w:type="dxa"/>
            <w:tcBorders>
              <w:top w:val="nil"/>
              <w:left w:val="single" w:sz="18" w:space="0" w:color="auto"/>
              <w:bottom w:val="single" w:sz="18" w:space="0" w:color="auto"/>
              <w:right w:val="nil"/>
            </w:tcBorders>
            <w:shd w:val="clear" w:color="auto" w:fill="D9D9D9"/>
            <w:noWrap/>
            <w:vAlign w:val="center"/>
            <w:hideMark/>
          </w:tcPr>
          <w:p w:rsidR="008D5A16" w:rsidRPr="00AF3E77" w:rsidP="00FA2DF4" w14:paraId="541A59D6" w14:textId="77777777">
            <w:pPr>
              <w:jc w:val="center"/>
              <w:rPr>
                <w:rFonts w:ascii="Calibri" w:hAnsi="Calibri" w:cs="Calibri"/>
                <w:sz w:val="22"/>
                <w:szCs w:val="22"/>
              </w:rPr>
            </w:pPr>
            <w:r w:rsidRPr="00AF3E77">
              <w:rPr>
                <w:rFonts w:ascii="Calibri" w:hAnsi="Calibri" w:cs="Calibri"/>
                <w:sz w:val="22"/>
                <w:szCs w:val="22"/>
              </w:rPr>
              <w:t>Army</w:t>
            </w:r>
          </w:p>
        </w:tc>
        <w:tc>
          <w:tcPr>
            <w:tcW w:w="752" w:type="dxa"/>
            <w:tcBorders>
              <w:top w:val="nil"/>
              <w:left w:val="nil"/>
              <w:bottom w:val="single" w:sz="18" w:space="0" w:color="auto"/>
              <w:right w:val="nil"/>
            </w:tcBorders>
            <w:shd w:val="clear" w:color="auto" w:fill="D9D9D9"/>
            <w:noWrap/>
            <w:vAlign w:val="center"/>
            <w:hideMark/>
          </w:tcPr>
          <w:p w:rsidR="008D5A16" w:rsidRPr="00AF3E77" w:rsidP="00FA2DF4" w14:paraId="11F5599C" w14:textId="77777777">
            <w:pPr>
              <w:jc w:val="center"/>
              <w:rPr>
                <w:rFonts w:ascii="Calibri" w:hAnsi="Calibri" w:cs="Calibri"/>
                <w:sz w:val="22"/>
                <w:szCs w:val="22"/>
              </w:rPr>
            </w:pPr>
            <w:r w:rsidRPr="00AF3E77">
              <w:rPr>
                <w:rFonts w:ascii="Calibri" w:hAnsi="Calibri" w:cs="Calibri"/>
                <w:sz w:val="22"/>
                <w:szCs w:val="22"/>
              </w:rPr>
              <w:t>Navy</w:t>
            </w:r>
          </w:p>
        </w:tc>
        <w:tc>
          <w:tcPr>
            <w:tcW w:w="1310" w:type="dxa"/>
            <w:tcBorders>
              <w:top w:val="nil"/>
              <w:left w:val="nil"/>
              <w:bottom w:val="single" w:sz="18" w:space="0" w:color="auto"/>
              <w:right w:val="nil"/>
            </w:tcBorders>
            <w:shd w:val="clear" w:color="auto" w:fill="D9D9D9"/>
            <w:noWrap/>
            <w:vAlign w:val="center"/>
            <w:hideMark/>
          </w:tcPr>
          <w:p w:rsidR="008D5A16" w:rsidRPr="00AF3E77" w:rsidP="00FA2DF4" w14:paraId="0C7B7A9C" w14:textId="77777777">
            <w:pPr>
              <w:jc w:val="center"/>
              <w:rPr>
                <w:rFonts w:ascii="Calibri" w:hAnsi="Calibri" w:cs="Calibri"/>
                <w:sz w:val="22"/>
                <w:szCs w:val="22"/>
              </w:rPr>
            </w:pPr>
            <w:r w:rsidRPr="00AF3E77">
              <w:rPr>
                <w:rFonts w:ascii="Calibri" w:hAnsi="Calibri" w:cs="Calibri"/>
                <w:sz w:val="22"/>
                <w:szCs w:val="22"/>
              </w:rPr>
              <w:t>Air Force</w:t>
            </w:r>
          </w:p>
        </w:tc>
        <w:tc>
          <w:tcPr>
            <w:tcW w:w="678" w:type="dxa"/>
            <w:tcBorders>
              <w:top w:val="nil"/>
              <w:left w:val="nil"/>
              <w:bottom w:val="single" w:sz="18" w:space="0" w:color="auto"/>
              <w:right w:val="single" w:sz="18" w:space="0" w:color="auto"/>
            </w:tcBorders>
            <w:shd w:val="clear" w:color="auto" w:fill="D9D9D9"/>
            <w:noWrap/>
            <w:vAlign w:val="center"/>
            <w:hideMark/>
          </w:tcPr>
          <w:p w:rsidR="008D5A16" w:rsidRPr="00AF3E77" w:rsidP="00FA2DF4" w14:paraId="781B6A57" w14:textId="77777777">
            <w:pPr>
              <w:jc w:val="center"/>
              <w:rPr>
                <w:rFonts w:ascii="Calibri" w:hAnsi="Calibri" w:cs="Calibri"/>
                <w:sz w:val="22"/>
                <w:szCs w:val="22"/>
              </w:rPr>
            </w:pPr>
            <w:r w:rsidRPr="00AF3E77">
              <w:rPr>
                <w:rFonts w:ascii="Calibri" w:hAnsi="Calibri" w:cs="Calibri"/>
                <w:sz w:val="22"/>
                <w:szCs w:val="22"/>
              </w:rPr>
              <w:t>DHA</w:t>
            </w:r>
          </w:p>
        </w:tc>
        <w:tc>
          <w:tcPr>
            <w:tcW w:w="788" w:type="dxa"/>
            <w:tcBorders>
              <w:top w:val="nil"/>
              <w:left w:val="single" w:sz="18" w:space="0" w:color="auto"/>
              <w:bottom w:val="single" w:sz="18" w:space="0" w:color="auto"/>
              <w:right w:val="nil"/>
            </w:tcBorders>
            <w:shd w:val="clear" w:color="auto" w:fill="D9D9D9"/>
            <w:noWrap/>
            <w:vAlign w:val="center"/>
            <w:hideMark/>
          </w:tcPr>
          <w:p w:rsidR="008D5A16" w:rsidRPr="00AF3E77" w:rsidP="00FA2DF4" w14:paraId="4ECB8A3C" w14:textId="77777777">
            <w:pPr>
              <w:jc w:val="center"/>
              <w:rPr>
                <w:rFonts w:ascii="Calibri" w:hAnsi="Calibri" w:cs="Calibri"/>
                <w:sz w:val="22"/>
                <w:szCs w:val="22"/>
              </w:rPr>
            </w:pPr>
            <w:r w:rsidRPr="00AF3E77">
              <w:rPr>
                <w:rFonts w:ascii="Calibri" w:hAnsi="Calibri" w:cs="Calibri"/>
                <w:sz w:val="22"/>
                <w:szCs w:val="22"/>
              </w:rPr>
              <w:t>Army</w:t>
            </w:r>
          </w:p>
        </w:tc>
        <w:tc>
          <w:tcPr>
            <w:tcW w:w="736" w:type="dxa"/>
            <w:tcBorders>
              <w:top w:val="nil"/>
              <w:left w:val="nil"/>
              <w:bottom w:val="single" w:sz="18" w:space="0" w:color="auto"/>
              <w:right w:val="nil"/>
            </w:tcBorders>
            <w:shd w:val="clear" w:color="auto" w:fill="D9D9D9"/>
            <w:noWrap/>
            <w:vAlign w:val="center"/>
            <w:hideMark/>
          </w:tcPr>
          <w:p w:rsidR="008D5A16" w:rsidRPr="00AF3E77" w:rsidP="00FA2DF4" w14:paraId="7182F8BC" w14:textId="77777777">
            <w:pPr>
              <w:jc w:val="center"/>
              <w:rPr>
                <w:rFonts w:ascii="Calibri" w:hAnsi="Calibri" w:cs="Calibri"/>
                <w:sz w:val="22"/>
                <w:szCs w:val="22"/>
              </w:rPr>
            </w:pPr>
            <w:r w:rsidRPr="00AF3E77">
              <w:rPr>
                <w:rFonts w:ascii="Calibri" w:hAnsi="Calibri" w:cs="Calibri"/>
                <w:sz w:val="22"/>
                <w:szCs w:val="22"/>
              </w:rPr>
              <w:t>Navy</w:t>
            </w:r>
          </w:p>
        </w:tc>
        <w:tc>
          <w:tcPr>
            <w:tcW w:w="1282" w:type="dxa"/>
            <w:tcBorders>
              <w:top w:val="nil"/>
              <w:left w:val="nil"/>
              <w:bottom w:val="single" w:sz="18" w:space="0" w:color="auto"/>
              <w:right w:val="nil"/>
            </w:tcBorders>
            <w:shd w:val="clear" w:color="auto" w:fill="D9D9D9"/>
            <w:noWrap/>
            <w:vAlign w:val="center"/>
            <w:hideMark/>
          </w:tcPr>
          <w:p w:rsidR="008D5A16" w:rsidRPr="00AF3E77" w:rsidP="00FA2DF4" w14:paraId="488D3570" w14:textId="77777777">
            <w:pPr>
              <w:jc w:val="center"/>
              <w:rPr>
                <w:rFonts w:ascii="Calibri" w:hAnsi="Calibri" w:cs="Calibri"/>
                <w:sz w:val="22"/>
                <w:szCs w:val="22"/>
              </w:rPr>
            </w:pPr>
            <w:r w:rsidRPr="00AF3E77">
              <w:rPr>
                <w:rFonts w:ascii="Calibri" w:hAnsi="Calibri" w:cs="Calibri"/>
                <w:sz w:val="22"/>
                <w:szCs w:val="22"/>
              </w:rPr>
              <w:t>Air Force</w:t>
            </w:r>
          </w:p>
        </w:tc>
        <w:tc>
          <w:tcPr>
            <w:tcW w:w="736" w:type="dxa"/>
            <w:tcBorders>
              <w:top w:val="nil"/>
              <w:left w:val="nil"/>
              <w:bottom w:val="single" w:sz="18" w:space="0" w:color="auto"/>
              <w:right w:val="single" w:sz="4" w:space="0" w:color="auto"/>
            </w:tcBorders>
            <w:shd w:val="clear" w:color="auto" w:fill="D9D9D9"/>
            <w:noWrap/>
            <w:vAlign w:val="center"/>
            <w:hideMark/>
          </w:tcPr>
          <w:p w:rsidR="008D5A16" w:rsidRPr="00AF3E77" w:rsidP="00FA2DF4" w14:paraId="6C47EE50" w14:textId="77777777">
            <w:pPr>
              <w:jc w:val="center"/>
              <w:rPr>
                <w:rFonts w:ascii="Calibri" w:hAnsi="Calibri" w:cs="Calibri"/>
                <w:sz w:val="22"/>
                <w:szCs w:val="22"/>
              </w:rPr>
            </w:pPr>
            <w:r w:rsidRPr="00AF3E77">
              <w:rPr>
                <w:rFonts w:ascii="Calibri" w:hAnsi="Calibri" w:cs="Calibri"/>
                <w:sz w:val="22"/>
                <w:szCs w:val="22"/>
              </w:rPr>
              <w:t>DHA</w:t>
            </w:r>
          </w:p>
        </w:tc>
      </w:tr>
      <w:tr w14:paraId="7FC0A192" w14:textId="77777777">
        <w:tblPrEx>
          <w:tblW w:w="9335" w:type="dxa"/>
          <w:tblLook w:val="04A0"/>
        </w:tblPrEx>
        <w:trPr>
          <w:trHeight w:val="306"/>
        </w:trPr>
        <w:tc>
          <w:tcPr>
            <w:tcW w:w="2246" w:type="dxa"/>
            <w:tcBorders>
              <w:top w:val="nil"/>
              <w:left w:val="single" w:sz="4" w:space="0" w:color="auto"/>
              <w:bottom w:val="nil"/>
              <w:right w:val="single" w:sz="18" w:space="0" w:color="auto"/>
            </w:tcBorders>
            <w:shd w:val="clear" w:color="auto" w:fill="D9D9D9"/>
            <w:noWrap/>
            <w:vAlign w:val="bottom"/>
            <w:hideMark/>
          </w:tcPr>
          <w:p w:rsidR="008D5A16" w:rsidRPr="00AF3E77" w:rsidP="00FB10FD" w14:paraId="59956D46" w14:textId="641128DF">
            <w:pPr>
              <w:rPr>
                <w:rFonts w:ascii="Calibri" w:hAnsi="Calibri" w:cs="Calibri"/>
                <w:sz w:val="22"/>
                <w:szCs w:val="22"/>
              </w:rPr>
            </w:pPr>
            <w:r w:rsidRPr="00AF3E77">
              <w:rPr>
                <w:rFonts w:ascii="Calibri" w:hAnsi="Calibri" w:cs="Calibri"/>
                <w:sz w:val="22"/>
                <w:szCs w:val="22"/>
              </w:rPr>
              <w:t>Obstetrician-Gynecologist</w:t>
            </w:r>
          </w:p>
        </w:tc>
        <w:tc>
          <w:tcPr>
            <w:tcW w:w="803" w:type="dxa"/>
            <w:tcBorders>
              <w:top w:val="single" w:sz="18" w:space="0" w:color="auto"/>
              <w:left w:val="single" w:sz="18" w:space="0" w:color="auto"/>
              <w:bottom w:val="nil"/>
              <w:right w:val="nil"/>
            </w:tcBorders>
            <w:shd w:val="clear" w:color="auto" w:fill="auto"/>
            <w:noWrap/>
            <w:vAlign w:val="center"/>
            <w:hideMark/>
          </w:tcPr>
          <w:p w:rsidR="008D5A16" w:rsidRPr="00AF3E77" w:rsidP="00FA2DF4" w14:paraId="548E022D" w14:textId="77777777">
            <w:pPr>
              <w:jc w:val="center"/>
              <w:rPr>
                <w:rFonts w:ascii="Calibri" w:hAnsi="Calibri" w:cs="Calibri"/>
                <w:sz w:val="22"/>
                <w:szCs w:val="22"/>
              </w:rPr>
            </w:pPr>
            <w:r w:rsidRPr="00AF3E77">
              <w:rPr>
                <w:rFonts w:ascii="Calibri" w:hAnsi="Calibri" w:cs="Calibri"/>
                <w:sz w:val="22"/>
                <w:szCs w:val="22"/>
              </w:rPr>
              <w:t>126</w:t>
            </w:r>
          </w:p>
        </w:tc>
        <w:tc>
          <w:tcPr>
            <w:tcW w:w="752" w:type="dxa"/>
            <w:tcBorders>
              <w:top w:val="single" w:sz="18" w:space="0" w:color="auto"/>
              <w:left w:val="nil"/>
              <w:bottom w:val="nil"/>
              <w:right w:val="nil"/>
            </w:tcBorders>
            <w:shd w:val="clear" w:color="auto" w:fill="auto"/>
            <w:noWrap/>
            <w:vAlign w:val="center"/>
            <w:hideMark/>
          </w:tcPr>
          <w:p w:rsidR="008D5A16" w:rsidRPr="00AF3E77" w:rsidP="00FA2DF4" w14:paraId="66F659D4" w14:textId="77777777">
            <w:pPr>
              <w:jc w:val="center"/>
              <w:rPr>
                <w:rFonts w:ascii="Calibri" w:hAnsi="Calibri" w:cs="Calibri"/>
                <w:sz w:val="22"/>
                <w:szCs w:val="22"/>
              </w:rPr>
            </w:pPr>
            <w:r w:rsidRPr="00AF3E77">
              <w:rPr>
                <w:rFonts w:ascii="Calibri" w:hAnsi="Calibri" w:cs="Calibri"/>
                <w:sz w:val="22"/>
                <w:szCs w:val="22"/>
              </w:rPr>
              <w:t>95</w:t>
            </w:r>
          </w:p>
        </w:tc>
        <w:tc>
          <w:tcPr>
            <w:tcW w:w="1310" w:type="dxa"/>
            <w:tcBorders>
              <w:top w:val="single" w:sz="18" w:space="0" w:color="auto"/>
              <w:left w:val="nil"/>
              <w:bottom w:val="nil"/>
              <w:right w:val="nil"/>
            </w:tcBorders>
            <w:shd w:val="clear" w:color="auto" w:fill="auto"/>
            <w:noWrap/>
            <w:vAlign w:val="center"/>
            <w:hideMark/>
          </w:tcPr>
          <w:p w:rsidR="008D5A16" w:rsidRPr="00AF3E77" w:rsidP="00FA2DF4" w14:paraId="13E0FFEC" w14:textId="77777777">
            <w:pPr>
              <w:jc w:val="center"/>
              <w:rPr>
                <w:rFonts w:ascii="Calibri" w:hAnsi="Calibri" w:cs="Calibri"/>
                <w:sz w:val="22"/>
                <w:szCs w:val="22"/>
              </w:rPr>
            </w:pPr>
            <w:r w:rsidRPr="00AF3E77">
              <w:rPr>
                <w:rFonts w:ascii="Calibri" w:hAnsi="Calibri" w:cs="Calibri"/>
                <w:sz w:val="22"/>
                <w:szCs w:val="22"/>
              </w:rPr>
              <w:t>78</w:t>
            </w:r>
          </w:p>
        </w:tc>
        <w:tc>
          <w:tcPr>
            <w:tcW w:w="678" w:type="dxa"/>
            <w:tcBorders>
              <w:top w:val="single" w:sz="18" w:space="0" w:color="auto"/>
              <w:left w:val="nil"/>
              <w:bottom w:val="nil"/>
              <w:right w:val="single" w:sz="18" w:space="0" w:color="auto"/>
            </w:tcBorders>
            <w:shd w:val="clear" w:color="auto" w:fill="auto"/>
            <w:noWrap/>
            <w:vAlign w:val="center"/>
            <w:hideMark/>
          </w:tcPr>
          <w:p w:rsidR="008D5A16" w:rsidRPr="00AF3E77" w:rsidP="00FA2DF4" w14:paraId="39C6B569"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single" w:sz="18" w:space="0" w:color="auto"/>
              <w:left w:val="single" w:sz="18" w:space="0" w:color="auto"/>
              <w:bottom w:val="nil"/>
              <w:right w:val="nil"/>
            </w:tcBorders>
            <w:shd w:val="clear" w:color="auto" w:fill="auto"/>
            <w:noWrap/>
            <w:vAlign w:val="center"/>
            <w:hideMark/>
          </w:tcPr>
          <w:p w:rsidR="008D5A16" w:rsidRPr="00AF3E77" w:rsidP="00FA2DF4" w14:paraId="172A4B39" w14:textId="77777777">
            <w:pPr>
              <w:jc w:val="center"/>
              <w:rPr>
                <w:rFonts w:ascii="Calibri" w:hAnsi="Calibri" w:cs="Calibri"/>
                <w:sz w:val="22"/>
                <w:szCs w:val="22"/>
              </w:rPr>
            </w:pPr>
            <w:r w:rsidRPr="00AF3E77">
              <w:rPr>
                <w:rFonts w:ascii="Calibri" w:hAnsi="Calibri" w:cs="Calibri"/>
                <w:sz w:val="22"/>
                <w:szCs w:val="22"/>
              </w:rPr>
              <w:t>0</w:t>
            </w:r>
          </w:p>
        </w:tc>
        <w:tc>
          <w:tcPr>
            <w:tcW w:w="736" w:type="dxa"/>
            <w:tcBorders>
              <w:top w:val="single" w:sz="18" w:space="0" w:color="auto"/>
              <w:left w:val="nil"/>
              <w:bottom w:val="nil"/>
              <w:right w:val="nil"/>
            </w:tcBorders>
            <w:shd w:val="clear" w:color="auto" w:fill="auto"/>
            <w:noWrap/>
            <w:vAlign w:val="center"/>
            <w:hideMark/>
          </w:tcPr>
          <w:p w:rsidR="008D5A16" w:rsidRPr="00AF3E77" w:rsidP="00FA2DF4" w14:paraId="4C948786" w14:textId="77777777">
            <w:pPr>
              <w:jc w:val="center"/>
              <w:rPr>
                <w:rFonts w:ascii="Calibri" w:hAnsi="Calibri" w:cs="Calibri"/>
                <w:sz w:val="22"/>
                <w:szCs w:val="22"/>
              </w:rPr>
            </w:pPr>
            <w:r w:rsidRPr="00AF3E77">
              <w:rPr>
                <w:rFonts w:ascii="Calibri" w:hAnsi="Calibri" w:cs="Calibri"/>
                <w:sz w:val="22"/>
                <w:szCs w:val="22"/>
              </w:rPr>
              <w:t>0</w:t>
            </w:r>
          </w:p>
        </w:tc>
        <w:tc>
          <w:tcPr>
            <w:tcW w:w="1282" w:type="dxa"/>
            <w:tcBorders>
              <w:top w:val="single" w:sz="18" w:space="0" w:color="auto"/>
              <w:left w:val="nil"/>
              <w:bottom w:val="nil"/>
              <w:right w:val="nil"/>
            </w:tcBorders>
            <w:shd w:val="clear" w:color="auto" w:fill="auto"/>
            <w:noWrap/>
            <w:vAlign w:val="center"/>
            <w:hideMark/>
          </w:tcPr>
          <w:p w:rsidR="008D5A16" w:rsidRPr="00AF3E77" w:rsidP="00FA2DF4" w14:paraId="791FF3E5" w14:textId="77777777">
            <w:pPr>
              <w:jc w:val="center"/>
              <w:rPr>
                <w:rFonts w:ascii="Calibri" w:hAnsi="Calibri" w:cs="Calibri"/>
                <w:sz w:val="22"/>
                <w:szCs w:val="22"/>
              </w:rPr>
            </w:pPr>
            <w:r w:rsidRPr="00AF3E77">
              <w:rPr>
                <w:rFonts w:ascii="Calibri" w:hAnsi="Calibri" w:cs="Calibri"/>
                <w:sz w:val="22"/>
                <w:szCs w:val="22"/>
              </w:rPr>
              <w:t>0</w:t>
            </w:r>
          </w:p>
        </w:tc>
        <w:tc>
          <w:tcPr>
            <w:tcW w:w="736" w:type="dxa"/>
            <w:tcBorders>
              <w:top w:val="single" w:sz="18" w:space="0" w:color="auto"/>
              <w:left w:val="nil"/>
              <w:bottom w:val="nil"/>
              <w:right w:val="single" w:sz="4" w:space="0" w:color="auto"/>
            </w:tcBorders>
            <w:shd w:val="clear" w:color="auto" w:fill="auto"/>
            <w:noWrap/>
            <w:vAlign w:val="center"/>
            <w:hideMark/>
          </w:tcPr>
          <w:p w:rsidR="008D5A16" w:rsidRPr="00AF3E77" w:rsidP="00FA2DF4" w14:paraId="59DC9EB0" w14:textId="77777777">
            <w:pPr>
              <w:jc w:val="center"/>
              <w:rPr>
                <w:rFonts w:ascii="Calibri" w:hAnsi="Calibri" w:cs="Calibri"/>
                <w:sz w:val="22"/>
                <w:szCs w:val="22"/>
              </w:rPr>
            </w:pPr>
            <w:r w:rsidRPr="00AF3E77">
              <w:rPr>
                <w:rFonts w:ascii="Calibri" w:hAnsi="Calibri" w:cs="Calibri"/>
                <w:sz w:val="22"/>
                <w:szCs w:val="22"/>
              </w:rPr>
              <w:t>71</w:t>
            </w:r>
          </w:p>
        </w:tc>
      </w:tr>
      <w:tr w14:paraId="1700DC34" w14:textId="77777777">
        <w:tblPrEx>
          <w:tblW w:w="9335" w:type="dxa"/>
          <w:tblLook w:val="04A0"/>
        </w:tblPrEx>
        <w:trPr>
          <w:trHeight w:val="306"/>
        </w:trPr>
        <w:tc>
          <w:tcPr>
            <w:tcW w:w="2246" w:type="dxa"/>
            <w:tcBorders>
              <w:top w:val="nil"/>
              <w:left w:val="single" w:sz="4" w:space="0" w:color="auto"/>
              <w:bottom w:val="nil"/>
              <w:right w:val="single" w:sz="18" w:space="0" w:color="auto"/>
            </w:tcBorders>
            <w:shd w:val="clear" w:color="auto" w:fill="D9D9D9"/>
            <w:noWrap/>
            <w:vAlign w:val="bottom"/>
            <w:hideMark/>
          </w:tcPr>
          <w:p w:rsidR="008D5A16" w:rsidRPr="00AF3E77" w:rsidP="00FB10FD" w14:paraId="1C0363DD" w14:textId="2B55C7EC">
            <w:pPr>
              <w:rPr>
                <w:rFonts w:ascii="Calibri" w:hAnsi="Calibri" w:cs="Calibri"/>
                <w:sz w:val="22"/>
                <w:szCs w:val="22"/>
              </w:rPr>
            </w:pPr>
            <w:r w:rsidRPr="00AF3E77">
              <w:rPr>
                <w:rFonts w:ascii="Calibri" w:hAnsi="Calibri" w:cs="Calibri"/>
                <w:sz w:val="22"/>
                <w:szCs w:val="22"/>
              </w:rPr>
              <w:t>Other M</w:t>
            </w:r>
            <w:r w:rsidRPr="00AF3E77" w:rsidR="002829D8">
              <w:rPr>
                <w:rFonts w:ascii="Calibri" w:hAnsi="Calibri" w:cs="Calibri"/>
                <w:sz w:val="22"/>
                <w:szCs w:val="22"/>
              </w:rPr>
              <w:t>edical Doctor</w:t>
            </w:r>
          </w:p>
        </w:tc>
        <w:tc>
          <w:tcPr>
            <w:tcW w:w="803" w:type="dxa"/>
            <w:tcBorders>
              <w:top w:val="nil"/>
              <w:left w:val="single" w:sz="18" w:space="0" w:color="auto"/>
              <w:bottom w:val="nil"/>
              <w:right w:val="nil"/>
            </w:tcBorders>
            <w:shd w:val="clear" w:color="auto" w:fill="auto"/>
            <w:noWrap/>
            <w:vAlign w:val="center"/>
            <w:hideMark/>
          </w:tcPr>
          <w:p w:rsidR="008D5A16" w:rsidRPr="00AF3E77" w:rsidP="00FA2DF4" w14:paraId="491AD8A5" w14:textId="77777777">
            <w:pPr>
              <w:jc w:val="center"/>
              <w:rPr>
                <w:rFonts w:ascii="Calibri" w:hAnsi="Calibri" w:cs="Calibri"/>
                <w:sz w:val="22"/>
                <w:szCs w:val="22"/>
              </w:rPr>
            </w:pPr>
            <w:r w:rsidRPr="00AF3E77">
              <w:rPr>
                <w:rFonts w:ascii="Calibri" w:hAnsi="Calibri" w:cs="Calibri"/>
                <w:sz w:val="22"/>
                <w:szCs w:val="22"/>
              </w:rPr>
              <w:t>660</w:t>
            </w:r>
          </w:p>
        </w:tc>
        <w:tc>
          <w:tcPr>
            <w:tcW w:w="752" w:type="dxa"/>
            <w:tcBorders>
              <w:top w:val="nil"/>
              <w:left w:val="nil"/>
              <w:bottom w:val="nil"/>
              <w:right w:val="nil"/>
            </w:tcBorders>
            <w:shd w:val="clear" w:color="auto" w:fill="auto"/>
            <w:noWrap/>
            <w:vAlign w:val="center"/>
            <w:hideMark/>
          </w:tcPr>
          <w:p w:rsidR="008D5A16" w:rsidRPr="00AF3E77" w:rsidP="00FA2DF4" w14:paraId="25F61719" w14:textId="77777777">
            <w:pPr>
              <w:jc w:val="center"/>
              <w:rPr>
                <w:rFonts w:ascii="Calibri" w:hAnsi="Calibri" w:cs="Calibri"/>
                <w:sz w:val="22"/>
                <w:szCs w:val="22"/>
              </w:rPr>
            </w:pPr>
            <w:r w:rsidRPr="00AF3E77">
              <w:rPr>
                <w:rFonts w:ascii="Calibri" w:hAnsi="Calibri" w:cs="Calibri"/>
                <w:sz w:val="22"/>
                <w:szCs w:val="22"/>
              </w:rPr>
              <w:t>690</w:t>
            </w:r>
          </w:p>
        </w:tc>
        <w:tc>
          <w:tcPr>
            <w:tcW w:w="1310" w:type="dxa"/>
            <w:tcBorders>
              <w:top w:val="nil"/>
              <w:left w:val="nil"/>
              <w:bottom w:val="nil"/>
              <w:right w:val="nil"/>
            </w:tcBorders>
            <w:shd w:val="clear" w:color="auto" w:fill="auto"/>
            <w:noWrap/>
            <w:vAlign w:val="center"/>
            <w:hideMark/>
          </w:tcPr>
          <w:p w:rsidR="008D5A16" w:rsidRPr="00AF3E77" w:rsidP="00FA2DF4" w14:paraId="6CE0D5CC" w14:textId="77777777">
            <w:pPr>
              <w:jc w:val="center"/>
              <w:rPr>
                <w:rFonts w:ascii="Calibri" w:hAnsi="Calibri" w:cs="Calibri"/>
                <w:sz w:val="22"/>
                <w:szCs w:val="22"/>
              </w:rPr>
            </w:pPr>
            <w:r w:rsidRPr="00AF3E77">
              <w:rPr>
                <w:rFonts w:ascii="Calibri" w:hAnsi="Calibri" w:cs="Calibri"/>
                <w:sz w:val="22"/>
                <w:szCs w:val="22"/>
              </w:rPr>
              <w:t>553</w:t>
            </w:r>
          </w:p>
        </w:tc>
        <w:tc>
          <w:tcPr>
            <w:tcW w:w="678" w:type="dxa"/>
            <w:tcBorders>
              <w:top w:val="nil"/>
              <w:left w:val="nil"/>
              <w:bottom w:val="nil"/>
              <w:right w:val="single" w:sz="18" w:space="0" w:color="auto"/>
            </w:tcBorders>
            <w:shd w:val="clear" w:color="auto" w:fill="auto"/>
            <w:noWrap/>
            <w:vAlign w:val="center"/>
            <w:hideMark/>
          </w:tcPr>
          <w:p w:rsidR="008D5A16" w:rsidRPr="00AF3E77" w:rsidP="00FA2DF4" w14:paraId="0876EA66"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nil"/>
              <w:left w:val="single" w:sz="18" w:space="0" w:color="auto"/>
              <w:bottom w:val="nil"/>
              <w:right w:val="nil"/>
            </w:tcBorders>
            <w:shd w:val="clear" w:color="auto" w:fill="auto"/>
            <w:noWrap/>
            <w:vAlign w:val="center"/>
            <w:hideMark/>
          </w:tcPr>
          <w:p w:rsidR="008D5A16" w:rsidRPr="00AF3E77" w:rsidP="00FA2DF4" w14:paraId="550B0520" w14:textId="77777777">
            <w:pPr>
              <w:jc w:val="center"/>
              <w:rPr>
                <w:rFonts w:ascii="Calibri" w:hAnsi="Calibri" w:cs="Calibri"/>
                <w:sz w:val="22"/>
                <w:szCs w:val="22"/>
              </w:rPr>
            </w:pPr>
            <w:r w:rsidRPr="00AF3E77">
              <w:rPr>
                <w:rFonts w:ascii="Calibri" w:hAnsi="Calibri" w:cs="Calibri"/>
                <w:sz w:val="22"/>
                <w:szCs w:val="22"/>
              </w:rPr>
              <w:t>16</w:t>
            </w:r>
          </w:p>
        </w:tc>
        <w:tc>
          <w:tcPr>
            <w:tcW w:w="736" w:type="dxa"/>
            <w:tcBorders>
              <w:top w:val="nil"/>
              <w:left w:val="nil"/>
              <w:bottom w:val="nil"/>
              <w:right w:val="nil"/>
            </w:tcBorders>
            <w:shd w:val="clear" w:color="auto" w:fill="auto"/>
            <w:noWrap/>
            <w:vAlign w:val="center"/>
            <w:hideMark/>
          </w:tcPr>
          <w:p w:rsidR="008D5A16" w:rsidRPr="00AF3E77" w:rsidP="00FA2DF4" w14:paraId="22D06DB3" w14:textId="77777777">
            <w:pPr>
              <w:jc w:val="center"/>
              <w:rPr>
                <w:rFonts w:ascii="Calibri" w:hAnsi="Calibri" w:cs="Calibri"/>
                <w:sz w:val="22"/>
                <w:szCs w:val="22"/>
              </w:rPr>
            </w:pPr>
            <w:r w:rsidRPr="00AF3E77">
              <w:rPr>
                <w:rFonts w:ascii="Calibri" w:hAnsi="Calibri" w:cs="Calibri"/>
                <w:sz w:val="22"/>
                <w:szCs w:val="22"/>
              </w:rPr>
              <w:t>1</w:t>
            </w:r>
          </w:p>
        </w:tc>
        <w:tc>
          <w:tcPr>
            <w:tcW w:w="1282" w:type="dxa"/>
            <w:tcBorders>
              <w:top w:val="nil"/>
              <w:left w:val="nil"/>
              <w:bottom w:val="nil"/>
              <w:right w:val="nil"/>
            </w:tcBorders>
            <w:shd w:val="clear" w:color="auto" w:fill="auto"/>
            <w:noWrap/>
            <w:vAlign w:val="center"/>
            <w:hideMark/>
          </w:tcPr>
          <w:p w:rsidR="008D5A16" w:rsidRPr="00AF3E77" w:rsidP="00FA2DF4" w14:paraId="310D3409" w14:textId="77777777">
            <w:pPr>
              <w:jc w:val="center"/>
              <w:rPr>
                <w:rFonts w:ascii="Calibri" w:hAnsi="Calibri" w:cs="Calibri"/>
                <w:sz w:val="22"/>
                <w:szCs w:val="22"/>
              </w:rPr>
            </w:pPr>
            <w:r w:rsidRPr="00AF3E77">
              <w:rPr>
                <w:rFonts w:ascii="Calibri" w:hAnsi="Calibri" w:cs="Calibri"/>
                <w:sz w:val="22"/>
                <w:szCs w:val="22"/>
              </w:rPr>
              <w:t>6</w:t>
            </w:r>
          </w:p>
        </w:tc>
        <w:tc>
          <w:tcPr>
            <w:tcW w:w="736" w:type="dxa"/>
            <w:tcBorders>
              <w:top w:val="nil"/>
              <w:left w:val="nil"/>
              <w:bottom w:val="nil"/>
              <w:right w:val="single" w:sz="4" w:space="0" w:color="auto"/>
            </w:tcBorders>
            <w:shd w:val="clear" w:color="auto" w:fill="auto"/>
            <w:noWrap/>
            <w:vAlign w:val="center"/>
            <w:hideMark/>
          </w:tcPr>
          <w:p w:rsidR="008D5A16" w:rsidRPr="00AF3E77" w:rsidP="00FA2DF4" w14:paraId="62920619" w14:textId="77777777">
            <w:pPr>
              <w:jc w:val="center"/>
              <w:rPr>
                <w:rFonts w:ascii="Calibri" w:hAnsi="Calibri" w:cs="Calibri"/>
                <w:sz w:val="22"/>
                <w:szCs w:val="22"/>
              </w:rPr>
            </w:pPr>
            <w:r w:rsidRPr="00AF3E77">
              <w:rPr>
                <w:rFonts w:ascii="Calibri" w:hAnsi="Calibri" w:cs="Calibri"/>
                <w:sz w:val="22"/>
                <w:szCs w:val="22"/>
              </w:rPr>
              <w:t>725</w:t>
            </w:r>
          </w:p>
        </w:tc>
      </w:tr>
      <w:tr w14:paraId="58051788" w14:textId="77777777">
        <w:tblPrEx>
          <w:tblW w:w="9335" w:type="dxa"/>
          <w:tblLook w:val="04A0"/>
        </w:tblPrEx>
        <w:trPr>
          <w:trHeight w:val="306"/>
        </w:trPr>
        <w:tc>
          <w:tcPr>
            <w:tcW w:w="2246" w:type="dxa"/>
            <w:tcBorders>
              <w:top w:val="nil"/>
              <w:left w:val="single" w:sz="4" w:space="0" w:color="auto"/>
              <w:bottom w:val="nil"/>
              <w:right w:val="single" w:sz="18" w:space="0" w:color="auto"/>
            </w:tcBorders>
            <w:shd w:val="clear" w:color="auto" w:fill="D9D9D9"/>
            <w:noWrap/>
            <w:vAlign w:val="bottom"/>
            <w:hideMark/>
          </w:tcPr>
          <w:p w:rsidR="008D5A16" w:rsidRPr="00AF3E77" w:rsidP="00FB10FD" w14:paraId="170C78AE" w14:textId="77777777">
            <w:pPr>
              <w:rPr>
                <w:rFonts w:ascii="Calibri" w:hAnsi="Calibri" w:cs="Calibri"/>
                <w:sz w:val="22"/>
                <w:szCs w:val="22"/>
              </w:rPr>
            </w:pPr>
            <w:r w:rsidRPr="00AF3E77">
              <w:rPr>
                <w:rFonts w:ascii="Calibri" w:hAnsi="Calibri" w:cs="Calibri"/>
                <w:sz w:val="22"/>
                <w:szCs w:val="22"/>
              </w:rPr>
              <w:t>Nurse Practitioner</w:t>
            </w:r>
          </w:p>
        </w:tc>
        <w:tc>
          <w:tcPr>
            <w:tcW w:w="803" w:type="dxa"/>
            <w:tcBorders>
              <w:top w:val="nil"/>
              <w:left w:val="single" w:sz="18" w:space="0" w:color="auto"/>
              <w:bottom w:val="nil"/>
              <w:right w:val="nil"/>
            </w:tcBorders>
            <w:shd w:val="clear" w:color="auto" w:fill="auto"/>
            <w:noWrap/>
            <w:vAlign w:val="center"/>
            <w:hideMark/>
          </w:tcPr>
          <w:p w:rsidR="008D5A16" w:rsidRPr="00AF3E77" w:rsidP="00FA2DF4" w14:paraId="547E711E" w14:textId="77777777">
            <w:pPr>
              <w:jc w:val="center"/>
              <w:rPr>
                <w:rFonts w:ascii="Calibri" w:hAnsi="Calibri" w:cs="Calibri"/>
                <w:sz w:val="22"/>
                <w:szCs w:val="22"/>
              </w:rPr>
            </w:pPr>
            <w:r w:rsidRPr="00AF3E77">
              <w:rPr>
                <w:rFonts w:ascii="Calibri" w:hAnsi="Calibri" w:cs="Calibri"/>
                <w:sz w:val="22"/>
                <w:szCs w:val="22"/>
              </w:rPr>
              <w:t>178</w:t>
            </w:r>
          </w:p>
        </w:tc>
        <w:tc>
          <w:tcPr>
            <w:tcW w:w="752" w:type="dxa"/>
            <w:tcBorders>
              <w:top w:val="nil"/>
              <w:left w:val="nil"/>
              <w:bottom w:val="nil"/>
              <w:right w:val="nil"/>
            </w:tcBorders>
            <w:shd w:val="clear" w:color="auto" w:fill="auto"/>
            <w:noWrap/>
            <w:vAlign w:val="center"/>
            <w:hideMark/>
          </w:tcPr>
          <w:p w:rsidR="008D5A16" w:rsidRPr="00AF3E77" w:rsidP="00FA2DF4" w14:paraId="11C677CC" w14:textId="77777777">
            <w:pPr>
              <w:jc w:val="center"/>
              <w:rPr>
                <w:rFonts w:ascii="Calibri" w:hAnsi="Calibri" w:cs="Calibri"/>
                <w:sz w:val="22"/>
                <w:szCs w:val="22"/>
              </w:rPr>
            </w:pPr>
            <w:r w:rsidRPr="00AF3E77">
              <w:rPr>
                <w:rFonts w:ascii="Calibri" w:hAnsi="Calibri" w:cs="Calibri"/>
                <w:sz w:val="22"/>
                <w:szCs w:val="22"/>
              </w:rPr>
              <w:t>77</w:t>
            </w:r>
          </w:p>
        </w:tc>
        <w:tc>
          <w:tcPr>
            <w:tcW w:w="1310" w:type="dxa"/>
            <w:tcBorders>
              <w:top w:val="nil"/>
              <w:left w:val="nil"/>
              <w:bottom w:val="nil"/>
              <w:right w:val="nil"/>
            </w:tcBorders>
            <w:shd w:val="clear" w:color="auto" w:fill="auto"/>
            <w:noWrap/>
            <w:vAlign w:val="center"/>
            <w:hideMark/>
          </w:tcPr>
          <w:p w:rsidR="008D5A16" w:rsidRPr="00AF3E77" w:rsidP="00FA2DF4" w14:paraId="05EE962B" w14:textId="77777777">
            <w:pPr>
              <w:jc w:val="center"/>
              <w:rPr>
                <w:rFonts w:ascii="Calibri" w:hAnsi="Calibri" w:cs="Calibri"/>
                <w:sz w:val="22"/>
                <w:szCs w:val="22"/>
              </w:rPr>
            </w:pPr>
            <w:r w:rsidRPr="00AF3E77">
              <w:rPr>
                <w:rFonts w:ascii="Calibri" w:hAnsi="Calibri" w:cs="Calibri"/>
                <w:sz w:val="22"/>
                <w:szCs w:val="22"/>
              </w:rPr>
              <w:t>204</w:t>
            </w:r>
          </w:p>
        </w:tc>
        <w:tc>
          <w:tcPr>
            <w:tcW w:w="678" w:type="dxa"/>
            <w:tcBorders>
              <w:top w:val="nil"/>
              <w:left w:val="nil"/>
              <w:bottom w:val="nil"/>
              <w:right w:val="single" w:sz="18" w:space="0" w:color="auto"/>
            </w:tcBorders>
            <w:shd w:val="clear" w:color="auto" w:fill="auto"/>
            <w:noWrap/>
            <w:vAlign w:val="center"/>
            <w:hideMark/>
          </w:tcPr>
          <w:p w:rsidR="008D5A16" w:rsidRPr="00AF3E77" w:rsidP="00FA2DF4" w14:paraId="2D03A6EB"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nil"/>
              <w:left w:val="single" w:sz="18" w:space="0" w:color="auto"/>
              <w:bottom w:val="nil"/>
              <w:right w:val="nil"/>
            </w:tcBorders>
            <w:shd w:val="clear" w:color="auto" w:fill="auto"/>
            <w:noWrap/>
            <w:vAlign w:val="center"/>
            <w:hideMark/>
          </w:tcPr>
          <w:p w:rsidR="008D5A16" w:rsidRPr="00AF3E77" w:rsidP="00FA2DF4" w14:paraId="0027612A" w14:textId="77777777">
            <w:pPr>
              <w:jc w:val="center"/>
              <w:rPr>
                <w:rFonts w:ascii="Calibri" w:hAnsi="Calibri" w:cs="Calibri"/>
                <w:sz w:val="22"/>
                <w:szCs w:val="22"/>
              </w:rPr>
            </w:pPr>
            <w:r w:rsidRPr="00AF3E77">
              <w:rPr>
                <w:rFonts w:ascii="Calibri" w:hAnsi="Calibri" w:cs="Calibri"/>
                <w:sz w:val="22"/>
                <w:szCs w:val="22"/>
              </w:rPr>
              <w:t>1</w:t>
            </w:r>
          </w:p>
        </w:tc>
        <w:tc>
          <w:tcPr>
            <w:tcW w:w="736" w:type="dxa"/>
            <w:tcBorders>
              <w:top w:val="nil"/>
              <w:left w:val="nil"/>
              <w:bottom w:val="nil"/>
              <w:right w:val="nil"/>
            </w:tcBorders>
            <w:shd w:val="clear" w:color="auto" w:fill="auto"/>
            <w:noWrap/>
            <w:vAlign w:val="center"/>
            <w:hideMark/>
          </w:tcPr>
          <w:p w:rsidR="008D5A16" w:rsidRPr="00AF3E77" w:rsidP="00FA2DF4" w14:paraId="01C728EE" w14:textId="77777777">
            <w:pPr>
              <w:jc w:val="center"/>
              <w:rPr>
                <w:rFonts w:ascii="Calibri" w:hAnsi="Calibri" w:cs="Calibri"/>
                <w:sz w:val="22"/>
                <w:szCs w:val="22"/>
              </w:rPr>
            </w:pPr>
            <w:r w:rsidRPr="00AF3E77">
              <w:rPr>
                <w:rFonts w:ascii="Calibri" w:hAnsi="Calibri" w:cs="Calibri"/>
                <w:sz w:val="22"/>
                <w:szCs w:val="22"/>
              </w:rPr>
              <w:t>0</w:t>
            </w:r>
          </w:p>
        </w:tc>
        <w:tc>
          <w:tcPr>
            <w:tcW w:w="1282" w:type="dxa"/>
            <w:tcBorders>
              <w:top w:val="nil"/>
              <w:left w:val="nil"/>
              <w:bottom w:val="nil"/>
              <w:right w:val="nil"/>
            </w:tcBorders>
            <w:shd w:val="clear" w:color="auto" w:fill="auto"/>
            <w:noWrap/>
            <w:vAlign w:val="center"/>
            <w:hideMark/>
          </w:tcPr>
          <w:p w:rsidR="008D5A16" w:rsidRPr="00AF3E77" w:rsidP="00FA2DF4" w14:paraId="5079ED6E" w14:textId="77777777">
            <w:pPr>
              <w:jc w:val="center"/>
              <w:rPr>
                <w:rFonts w:ascii="Calibri" w:hAnsi="Calibri" w:cs="Calibri"/>
                <w:sz w:val="22"/>
                <w:szCs w:val="22"/>
              </w:rPr>
            </w:pPr>
            <w:r w:rsidRPr="00AF3E77">
              <w:rPr>
                <w:rFonts w:ascii="Calibri" w:hAnsi="Calibri" w:cs="Calibri"/>
                <w:sz w:val="22"/>
                <w:szCs w:val="22"/>
              </w:rPr>
              <w:t>0</w:t>
            </w:r>
          </w:p>
        </w:tc>
        <w:tc>
          <w:tcPr>
            <w:tcW w:w="736" w:type="dxa"/>
            <w:tcBorders>
              <w:top w:val="nil"/>
              <w:left w:val="nil"/>
              <w:bottom w:val="nil"/>
              <w:right w:val="single" w:sz="4" w:space="0" w:color="auto"/>
            </w:tcBorders>
            <w:shd w:val="clear" w:color="auto" w:fill="auto"/>
            <w:noWrap/>
            <w:vAlign w:val="center"/>
            <w:hideMark/>
          </w:tcPr>
          <w:p w:rsidR="008D5A16" w:rsidRPr="00AF3E77" w:rsidP="00FA2DF4" w14:paraId="70967B4C" w14:textId="77777777">
            <w:pPr>
              <w:jc w:val="center"/>
              <w:rPr>
                <w:rFonts w:ascii="Calibri" w:hAnsi="Calibri" w:cs="Calibri"/>
                <w:sz w:val="22"/>
                <w:szCs w:val="22"/>
              </w:rPr>
            </w:pPr>
            <w:r w:rsidRPr="00AF3E77">
              <w:rPr>
                <w:rFonts w:ascii="Calibri" w:hAnsi="Calibri" w:cs="Calibri"/>
                <w:sz w:val="22"/>
                <w:szCs w:val="22"/>
              </w:rPr>
              <w:t>279</w:t>
            </w:r>
          </w:p>
        </w:tc>
      </w:tr>
      <w:tr w14:paraId="5A89CCEA" w14:textId="77777777" w:rsidTr="005D5BCD">
        <w:tblPrEx>
          <w:tblW w:w="9335" w:type="dxa"/>
          <w:tblLook w:val="04A0"/>
        </w:tblPrEx>
        <w:trPr>
          <w:trHeight w:val="306"/>
        </w:trPr>
        <w:tc>
          <w:tcPr>
            <w:tcW w:w="2246" w:type="dxa"/>
            <w:tcBorders>
              <w:top w:val="nil"/>
              <w:left w:val="single" w:sz="4" w:space="0" w:color="auto"/>
              <w:bottom w:val="nil"/>
              <w:right w:val="single" w:sz="18" w:space="0" w:color="auto"/>
            </w:tcBorders>
            <w:shd w:val="clear" w:color="auto" w:fill="D9D9D9"/>
            <w:noWrap/>
            <w:vAlign w:val="bottom"/>
            <w:hideMark/>
          </w:tcPr>
          <w:p w:rsidR="008D5A16" w:rsidRPr="00AF3E77" w:rsidP="00FB10FD" w14:paraId="56649F3C" w14:textId="73E4B7CD">
            <w:pPr>
              <w:rPr>
                <w:rFonts w:ascii="Calibri" w:hAnsi="Calibri" w:cs="Calibri"/>
                <w:sz w:val="22"/>
                <w:szCs w:val="22"/>
              </w:rPr>
            </w:pPr>
            <w:r w:rsidRPr="00AF3E77">
              <w:rPr>
                <w:rFonts w:ascii="Calibri" w:hAnsi="Calibri" w:cs="Calibri"/>
                <w:sz w:val="22"/>
                <w:szCs w:val="22"/>
              </w:rPr>
              <w:t xml:space="preserve">Other </w:t>
            </w:r>
            <w:r w:rsidRPr="00AF3E77" w:rsidR="002829D8">
              <w:rPr>
                <w:rFonts w:ascii="Calibri" w:hAnsi="Calibri" w:cs="Calibri"/>
                <w:sz w:val="22"/>
                <w:szCs w:val="22"/>
              </w:rPr>
              <w:t>N</w:t>
            </w:r>
            <w:r w:rsidRPr="00AF3E77">
              <w:rPr>
                <w:rFonts w:ascii="Calibri" w:hAnsi="Calibri" w:cs="Calibri"/>
                <w:sz w:val="22"/>
                <w:szCs w:val="22"/>
              </w:rPr>
              <w:t>urses</w:t>
            </w:r>
          </w:p>
        </w:tc>
        <w:tc>
          <w:tcPr>
            <w:tcW w:w="803" w:type="dxa"/>
            <w:tcBorders>
              <w:top w:val="nil"/>
              <w:left w:val="single" w:sz="18" w:space="0" w:color="auto"/>
              <w:bottom w:val="nil"/>
              <w:right w:val="nil"/>
            </w:tcBorders>
            <w:shd w:val="clear" w:color="auto" w:fill="auto"/>
            <w:noWrap/>
            <w:vAlign w:val="center"/>
            <w:hideMark/>
          </w:tcPr>
          <w:p w:rsidR="008D5A16" w:rsidRPr="00AF3E77" w:rsidP="00FA2DF4" w14:paraId="6D3DB109" w14:textId="77777777">
            <w:pPr>
              <w:jc w:val="center"/>
              <w:rPr>
                <w:rFonts w:ascii="Calibri" w:hAnsi="Calibri" w:cs="Calibri"/>
                <w:sz w:val="22"/>
                <w:szCs w:val="22"/>
              </w:rPr>
            </w:pPr>
            <w:r w:rsidRPr="00AF3E77">
              <w:rPr>
                <w:rFonts w:ascii="Calibri" w:hAnsi="Calibri" w:cs="Calibri"/>
                <w:sz w:val="22"/>
                <w:szCs w:val="22"/>
              </w:rPr>
              <w:t>168</w:t>
            </w:r>
          </w:p>
        </w:tc>
        <w:tc>
          <w:tcPr>
            <w:tcW w:w="752" w:type="dxa"/>
            <w:tcBorders>
              <w:top w:val="nil"/>
              <w:left w:val="nil"/>
              <w:bottom w:val="nil"/>
              <w:right w:val="nil"/>
            </w:tcBorders>
            <w:shd w:val="clear" w:color="auto" w:fill="auto"/>
            <w:noWrap/>
            <w:vAlign w:val="center"/>
            <w:hideMark/>
          </w:tcPr>
          <w:p w:rsidR="008D5A16" w:rsidRPr="00AF3E77" w:rsidP="00FA2DF4" w14:paraId="72BDAA37" w14:textId="77777777">
            <w:pPr>
              <w:jc w:val="center"/>
              <w:rPr>
                <w:rFonts w:ascii="Calibri" w:hAnsi="Calibri" w:cs="Calibri"/>
                <w:sz w:val="22"/>
                <w:szCs w:val="22"/>
              </w:rPr>
            </w:pPr>
            <w:r w:rsidRPr="00AF3E77">
              <w:rPr>
                <w:rFonts w:ascii="Calibri" w:hAnsi="Calibri" w:cs="Calibri"/>
                <w:sz w:val="22"/>
                <w:szCs w:val="22"/>
              </w:rPr>
              <w:t>517</w:t>
            </w:r>
          </w:p>
        </w:tc>
        <w:tc>
          <w:tcPr>
            <w:tcW w:w="1310" w:type="dxa"/>
            <w:tcBorders>
              <w:top w:val="nil"/>
              <w:left w:val="nil"/>
              <w:bottom w:val="nil"/>
              <w:right w:val="nil"/>
            </w:tcBorders>
            <w:shd w:val="clear" w:color="auto" w:fill="auto"/>
            <w:noWrap/>
            <w:vAlign w:val="center"/>
            <w:hideMark/>
          </w:tcPr>
          <w:p w:rsidR="008D5A16" w:rsidRPr="00AF3E77" w:rsidP="00FA2DF4" w14:paraId="7137FB3C" w14:textId="77777777">
            <w:pPr>
              <w:jc w:val="center"/>
              <w:rPr>
                <w:rFonts w:ascii="Calibri" w:hAnsi="Calibri" w:cs="Calibri"/>
                <w:sz w:val="22"/>
                <w:szCs w:val="22"/>
              </w:rPr>
            </w:pPr>
            <w:r w:rsidRPr="00AF3E77">
              <w:rPr>
                <w:rFonts w:ascii="Calibri" w:hAnsi="Calibri" w:cs="Calibri"/>
                <w:sz w:val="22"/>
                <w:szCs w:val="22"/>
              </w:rPr>
              <w:t>177</w:t>
            </w:r>
          </w:p>
        </w:tc>
        <w:tc>
          <w:tcPr>
            <w:tcW w:w="678" w:type="dxa"/>
            <w:tcBorders>
              <w:top w:val="nil"/>
              <w:left w:val="nil"/>
              <w:bottom w:val="nil"/>
              <w:right w:val="single" w:sz="18" w:space="0" w:color="auto"/>
            </w:tcBorders>
            <w:shd w:val="clear" w:color="auto" w:fill="auto"/>
            <w:noWrap/>
            <w:vAlign w:val="center"/>
            <w:hideMark/>
          </w:tcPr>
          <w:p w:rsidR="008D5A16" w:rsidRPr="00AF3E77" w:rsidP="00FA2DF4" w14:paraId="0BAE255C"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nil"/>
              <w:left w:val="single" w:sz="18" w:space="0" w:color="auto"/>
              <w:bottom w:val="nil"/>
              <w:right w:val="nil"/>
            </w:tcBorders>
            <w:shd w:val="clear" w:color="auto" w:fill="auto"/>
            <w:noWrap/>
            <w:vAlign w:val="center"/>
          </w:tcPr>
          <w:p w:rsidR="008D5A16" w:rsidRPr="00AF3E77" w:rsidP="00FA2DF4" w14:paraId="32DBF7F0" w14:textId="3D3BEA22">
            <w:pPr>
              <w:jc w:val="center"/>
              <w:rPr>
                <w:rFonts w:ascii="Calibri" w:hAnsi="Calibri" w:cs="Calibri"/>
                <w:sz w:val="22"/>
                <w:szCs w:val="22"/>
              </w:rPr>
            </w:pPr>
            <w:r w:rsidRPr="00AF3E77">
              <w:rPr>
                <w:rFonts w:ascii="Calibri" w:hAnsi="Calibri" w:cs="Calibri"/>
                <w:sz w:val="22"/>
                <w:szCs w:val="22"/>
              </w:rPr>
              <w:t>1,911</w:t>
            </w:r>
          </w:p>
        </w:tc>
        <w:tc>
          <w:tcPr>
            <w:tcW w:w="736" w:type="dxa"/>
            <w:tcBorders>
              <w:top w:val="nil"/>
              <w:left w:val="nil"/>
              <w:bottom w:val="nil"/>
              <w:right w:val="nil"/>
            </w:tcBorders>
            <w:shd w:val="clear" w:color="auto" w:fill="auto"/>
            <w:noWrap/>
            <w:vAlign w:val="center"/>
          </w:tcPr>
          <w:p w:rsidR="008D5A16" w:rsidRPr="00AF3E77" w:rsidP="00FA2DF4" w14:paraId="3BC390E6" w14:textId="21721C76">
            <w:pPr>
              <w:jc w:val="center"/>
              <w:rPr>
                <w:rFonts w:ascii="Calibri" w:hAnsi="Calibri" w:cs="Calibri"/>
                <w:sz w:val="22"/>
                <w:szCs w:val="22"/>
              </w:rPr>
            </w:pPr>
            <w:r w:rsidRPr="00AF3E77">
              <w:rPr>
                <w:rFonts w:ascii="Calibri" w:hAnsi="Calibri" w:cs="Calibri"/>
                <w:sz w:val="22"/>
                <w:szCs w:val="22"/>
              </w:rPr>
              <w:t>922</w:t>
            </w:r>
          </w:p>
        </w:tc>
        <w:tc>
          <w:tcPr>
            <w:tcW w:w="1282" w:type="dxa"/>
            <w:tcBorders>
              <w:top w:val="nil"/>
              <w:left w:val="nil"/>
              <w:bottom w:val="nil"/>
              <w:right w:val="nil"/>
            </w:tcBorders>
            <w:shd w:val="clear" w:color="auto" w:fill="auto"/>
            <w:noWrap/>
            <w:vAlign w:val="center"/>
            <w:hideMark/>
          </w:tcPr>
          <w:p w:rsidR="008D5A16" w:rsidRPr="00AF3E77" w:rsidP="00FA2DF4" w14:paraId="589A91CF" w14:textId="756143FB">
            <w:pPr>
              <w:jc w:val="center"/>
              <w:rPr>
                <w:rFonts w:ascii="Calibri" w:hAnsi="Calibri" w:cs="Calibri"/>
                <w:sz w:val="22"/>
                <w:szCs w:val="22"/>
              </w:rPr>
            </w:pPr>
            <w:r w:rsidRPr="00AF3E77">
              <w:rPr>
                <w:rFonts w:ascii="Calibri" w:hAnsi="Calibri" w:cs="Calibri"/>
                <w:sz w:val="22"/>
                <w:szCs w:val="22"/>
              </w:rPr>
              <w:t>1</w:t>
            </w:r>
            <w:r w:rsidRPr="00AF3E77" w:rsidR="00EA181B">
              <w:rPr>
                <w:rFonts w:ascii="Calibri" w:hAnsi="Calibri" w:cs="Calibri"/>
                <w:sz w:val="22"/>
                <w:szCs w:val="22"/>
              </w:rPr>
              <w:t>,</w:t>
            </w:r>
            <w:r w:rsidRPr="00AF3E77">
              <w:rPr>
                <w:rFonts w:ascii="Calibri" w:hAnsi="Calibri" w:cs="Calibri"/>
                <w:sz w:val="22"/>
                <w:szCs w:val="22"/>
              </w:rPr>
              <w:t>017</w:t>
            </w:r>
          </w:p>
        </w:tc>
        <w:tc>
          <w:tcPr>
            <w:tcW w:w="736" w:type="dxa"/>
            <w:tcBorders>
              <w:top w:val="nil"/>
              <w:left w:val="nil"/>
              <w:bottom w:val="nil"/>
              <w:right w:val="single" w:sz="4" w:space="0" w:color="auto"/>
            </w:tcBorders>
            <w:shd w:val="clear" w:color="auto" w:fill="auto"/>
            <w:noWrap/>
            <w:vAlign w:val="center"/>
            <w:hideMark/>
          </w:tcPr>
          <w:p w:rsidR="008D5A16" w:rsidRPr="00AF3E77" w:rsidP="00FA2DF4" w14:paraId="3CD88C43" w14:textId="46352E84">
            <w:pPr>
              <w:jc w:val="center"/>
              <w:rPr>
                <w:rFonts w:ascii="Calibri" w:hAnsi="Calibri" w:cs="Calibri"/>
                <w:sz w:val="22"/>
                <w:szCs w:val="22"/>
              </w:rPr>
            </w:pPr>
            <w:r w:rsidRPr="00AF3E77">
              <w:rPr>
                <w:rFonts w:ascii="Calibri" w:hAnsi="Calibri" w:cs="Calibri"/>
                <w:sz w:val="22"/>
                <w:szCs w:val="22"/>
              </w:rPr>
              <w:t>1,9</w:t>
            </w:r>
            <w:r w:rsidRPr="00AF3E77" w:rsidR="001B4ED0">
              <w:rPr>
                <w:rFonts w:ascii="Calibri" w:hAnsi="Calibri" w:cs="Calibri"/>
                <w:sz w:val="22"/>
                <w:szCs w:val="22"/>
              </w:rPr>
              <w:t>4</w:t>
            </w:r>
            <w:r w:rsidRPr="00AF3E77">
              <w:rPr>
                <w:rFonts w:ascii="Calibri" w:hAnsi="Calibri" w:cs="Calibri"/>
                <w:sz w:val="22"/>
                <w:szCs w:val="22"/>
              </w:rPr>
              <w:t>5</w:t>
            </w:r>
          </w:p>
        </w:tc>
      </w:tr>
      <w:tr w14:paraId="21D41590" w14:textId="77777777">
        <w:tblPrEx>
          <w:tblW w:w="9335" w:type="dxa"/>
          <w:tblLook w:val="04A0"/>
        </w:tblPrEx>
        <w:trPr>
          <w:trHeight w:val="306"/>
        </w:trPr>
        <w:tc>
          <w:tcPr>
            <w:tcW w:w="2246" w:type="dxa"/>
            <w:tcBorders>
              <w:top w:val="nil"/>
              <w:left w:val="single" w:sz="4" w:space="0" w:color="auto"/>
              <w:bottom w:val="nil"/>
              <w:right w:val="single" w:sz="18" w:space="0" w:color="auto"/>
            </w:tcBorders>
            <w:shd w:val="clear" w:color="auto" w:fill="D9D9D9"/>
            <w:noWrap/>
            <w:vAlign w:val="bottom"/>
            <w:hideMark/>
          </w:tcPr>
          <w:p w:rsidR="008D5A16" w:rsidRPr="00AF3E77" w:rsidP="00FB10FD" w14:paraId="73872065" w14:textId="77777777">
            <w:pPr>
              <w:rPr>
                <w:rFonts w:ascii="Calibri" w:hAnsi="Calibri" w:cs="Calibri"/>
                <w:sz w:val="22"/>
                <w:szCs w:val="22"/>
              </w:rPr>
            </w:pPr>
            <w:r w:rsidRPr="00AF3E77">
              <w:rPr>
                <w:rFonts w:ascii="Calibri" w:hAnsi="Calibri" w:cs="Calibri"/>
                <w:sz w:val="22"/>
                <w:szCs w:val="22"/>
              </w:rPr>
              <w:t>Physician's Assistants</w:t>
            </w:r>
          </w:p>
        </w:tc>
        <w:tc>
          <w:tcPr>
            <w:tcW w:w="803" w:type="dxa"/>
            <w:tcBorders>
              <w:top w:val="nil"/>
              <w:left w:val="single" w:sz="18" w:space="0" w:color="auto"/>
              <w:bottom w:val="nil"/>
              <w:right w:val="nil"/>
            </w:tcBorders>
            <w:shd w:val="clear" w:color="auto" w:fill="auto"/>
            <w:noWrap/>
            <w:vAlign w:val="center"/>
            <w:hideMark/>
          </w:tcPr>
          <w:p w:rsidR="008D5A16" w:rsidRPr="00AF3E77" w:rsidP="00FA2DF4" w14:paraId="21F2B868" w14:textId="77777777">
            <w:pPr>
              <w:jc w:val="center"/>
              <w:rPr>
                <w:rFonts w:ascii="Calibri" w:hAnsi="Calibri" w:cs="Calibri"/>
                <w:sz w:val="22"/>
                <w:szCs w:val="22"/>
              </w:rPr>
            </w:pPr>
            <w:r w:rsidRPr="00AF3E77">
              <w:rPr>
                <w:rFonts w:ascii="Calibri" w:hAnsi="Calibri" w:cs="Calibri"/>
                <w:sz w:val="22"/>
                <w:szCs w:val="22"/>
              </w:rPr>
              <w:t>729</w:t>
            </w:r>
          </w:p>
        </w:tc>
        <w:tc>
          <w:tcPr>
            <w:tcW w:w="752" w:type="dxa"/>
            <w:tcBorders>
              <w:top w:val="nil"/>
              <w:left w:val="nil"/>
              <w:bottom w:val="nil"/>
              <w:right w:val="nil"/>
            </w:tcBorders>
            <w:shd w:val="clear" w:color="auto" w:fill="auto"/>
            <w:noWrap/>
            <w:vAlign w:val="center"/>
            <w:hideMark/>
          </w:tcPr>
          <w:p w:rsidR="008D5A16" w:rsidRPr="00AF3E77" w:rsidP="00FA2DF4" w14:paraId="77992F0A" w14:textId="77777777">
            <w:pPr>
              <w:jc w:val="center"/>
              <w:rPr>
                <w:rFonts w:ascii="Calibri" w:hAnsi="Calibri" w:cs="Calibri"/>
                <w:sz w:val="22"/>
                <w:szCs w:val="22"/>
              </w:rPr>
            </w:pPr>
            <w:r w:rsidRPr="00AF3E77">
              <w:rPr>
                <w:rFonts w:ascii="Calibri" w:hAnsi="Calibri" w:cs="Calibri"/>
                <w:sz w:val="22"/>
                <w:szCs w:val="22"/>
              </w:rPr>
              <w:t>334</w:t>
            </w:r>
          </w:p>
        </w:tc>
        <w:tc>
          <w:tcPr>
            <w:tcW w:w="1310" w:type="dxa"/>
            <w:tcBorders>
              <w:top w:val="nil"/>
              <w:left w:val="nil"/>
              <w:bottom w:val="nil"/>
              <w:right w:val="nil"/>
            </w:tcBorders>
            <w:shd w:val="clear" w:color="auto" w:fill="auto"/>
            <w:noWrap/>
            <w:vAlign w:val="center"/>
            <w:hideMark/>
          </w:tcPr>
          <w:p w:rsidR="008D5A16" w:rsidRPr="00AF3E77" w:rsidP="00FA2DF4" w14:paraId="4AAE9ADA" w14:textId="77777777">
            <w:pPr>
              <w:jc w:val="center"/>
              <w:rPr>
                <w:rFonts w:ascii="Calibri" w:hAnsi="Calibri" w:cs="Calibri"/>
                <w:sz w:val="22"/>
                <w:szCs w:val="22"/>
              </w:rPr>
            </w:pPr>
            <w:r w:rsidRPr="00AF3E77">
              <w:rPr>
                <w:rFonts w:ascii="Calibri" w:hAnsi="Calibri" w:cs="Calibri"/>
                <w:sz w:val="22"/>
                <w:szCs w:val="22"/>
              </w:rPr>
              <w:t>435</w:t>
            </w:r>
          </w:p>
        </w:tc>
        <w:tc>
          <w:tcPr>
            <w:tcW w:w="678" w:type="dxa"/>
            <w:tcBorders>
              <w:top w:val="nil"/>
              <w:left w:val="nil"/>
              <w:bottom w:val="nil"/>
              <w:right w:val="single" w:sz="18" w:space="0" w:color="auto"/>
            </w:tcBorders>
            <w:shd w:val="clear" w:color="auto" w:fill="auto"/>
            <w:noWrap/>
            <w:vAlign w:val="center"/>
            <w:hideMark/>
          </w:tcPr>
          <w:p w:rsidR="008D5A16" w:rsidRPr="00AF3E77" w:rsidP="00FA2DF4" w14:paraId="27777FBA"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nil"/>
              <w:left w:val="single" w:sz="18" w:space="0" w:color="auto"/>
              <w:bottom w:val="nil"/>
              <w:right w:val="nil"/>
            </w:tcBorders>
            <w:shd w:val="clear" w:color="auto" w:fill="auto"/>
            <w:noWrap/>
            <w:vAlign w:val="center"/>
            <w:hideMark/>
          </w:tcPr>
          <w:p w:rsidR="008D5A16" w:rsidRPr="00AF3E77" w:rsidP="00FA2DF4" w14:paraId="2E6BD6F1" w14:textId="77777777">
            <w:pPr>
              <w:jc w:val="center"/>
              <w:rPr>
                <w:rFonts w:ascii="Calibri" w:hAnsi="Calibri" w:cs="Calibri"/>
                <w:sz w:val="22"/>
                <w:szCs w:val="22"/>
              </w:rPr>
            </w:pPr>
            <w:r w:rsidRPr="00AF3E77">
              <w:rPr>
                <w:rFonts w:ascii="Calibri" w:hAnsi="Calibri" w:cs="Calibri"/>
                <w:sz w:val="22"/>
                <w:szCs w:val="22"/>
              </w:rPr>
              <w:t>350</w:t>
            </w:r>
          </w:p>
        </w:tc>
        <w:tc>
          <w:tcPr>
            <w:tcW w:w="736" w:type="dxa"/>
            <w:tcBorders>
              <w:top w:val="nil"/>
              <w:left w:val="nil"/>
              <w:bottom w:val="nil"/>
              <w:right w:val="nil"/>
            </w:tcBorders>
            <w:shd w:val="clear" w:color="auto" w:fill="auto"/>
            <w:noWrap/>
            <w:vAlign w:val="center"/>
            <w:hideMark/>
          </w:tcPr>
          <w:p w:rsidR="008D5A16" w:rsidRPr="00AF3E77" w:rsidP="00FA2DF4" w14:paraId="7A21A341" w14:textId="77777777">
            <w:pPr>
              <w:jc w:val="center"/>
              <w:rPr>
                <w:rFonts w:ascii="Calibri" w:hAnsi="Calibri" w:cs="Calibri"/>
                <w:sz w:val="22"/>
                <w:szCs w:val="22"/>
              </w:rPr>
            </w:pPr>
            <w:r w:rsidRPr="00AF3E77">
              <w:rPr>
                <w:rFonts w:ascii="Calibri" w:hAnsi="Calibri" w:cs="Calibri"/>
                <w:sz w:val="22"/>
                <w:szCs w:val="22"/>
              </w:rPr>
              <w:t>63</w:t>
            </w:r>
          </w:p>
        </w:tc>
        <w:tc>
          <w:tcPr>
            <w:tcW w:w="1282" w:type="dxa"/>
            <w:tcBorders>
              <w:top w:val="nil"/>
              <w:left w:val="nil"/>
              <w:bottom w:val="nil"/>
              <w:right w:val="nil"/>
            </w:tcBorders>
            <w:shd w:val="clear" w:color="auto" w:fill="auto"/>
            <w:noWrap/>
            <w:vAlign w:val="center"/>
            <w:hideMark/>
          </w:tcPr>
          <w:p w:rsidR="008D5A16" w:rsidRPr="00AF3E77" w:rsidP="00FA2DF4" w14:paraId="7780EE4B" w14:textId="77777777">
            <w:pPr>
              <w:jc w:val="center"/>
              <w:rPr>
                <w:rFonts w:ascii="Calibri" w:hAnsi="Calibri" w:cs="Calibri"/>
                <w:sz w:val="22"/>
                <w:szCs w:val="22"/>
              </w:rPr>
            </w:pPr>
            <w:r w:rsidRPr="00AF3E77">
              <w:rPr>
                <w:rFonts w:ascii="Calibri" w:hAnsi="Calibri" w:cs="Calibri"/>
                <w:sz w:val="22"/>
                <w:szCs w:val="22"/>
              </w:rPr>
              <w:t>38</w:t>
            </w:r>
          </w:p>
        </w:tc>
        <w:tc>
          <w:tcPr>
            <w:tcW w:w="736" w:type="dxa"/>
            <w:tcBorders>
              <w:top w:val="nil"/>
              <w:left w:val="nil"/>
              <w:bottom w:val="nil"/>
              <w:right w:val="single" w:sz="4" w:space="0" w:color="auto"/>
            </w:tcBorders>
            <w:shd w:val="clear" w:color="auto" w:fill="auto"/>
            <w:noWrap/>
            <w:vAlign w:val="center"/>
            <w:hideMark/>
          </w:tcPr>
          <w:p w:rsidR="008D5A16" w:rsidRPr="00AF3E77" w:rsidP="00FA2DF4" w14:paraId="2842B2DA" w14:textId="77777777">
            <w:pPr>
              <w:jc w:val="center"/>
              <w:rPr>
                <w:rFonts w:ascii="Calibri" w:hAnsi="Calibri" w:cs="Calibri"/>
                <w:sz w:val="22"/>
                <w:szCs w:val="22"/>
              </w:rPr>
            </w:pPr>
            <w:r w:rsidRPr="00AF3E77">
              <w:rPr>
                <w:rFonts w:ascii="Calibri" w:hAnsi="Calibri" w:cs="Calibri"/>
                <w:sz w:val="22"/>
                <w:szCs w:val="22"/>
              </w:rPr>
              <w:t>96</w:t>
            </w:r>
          </w:p>
        </w:tc>
      </w:tr>
      <w:tr w14:paraId="7175EA70" w14:textId="77777777" w:rsidTr="00CB09EF">
        <w:tblPrEx>
          <w:tblW w:w="9335" w:type="dxa"/>
          <w:tblLook w:val="04A0"/>
        </w:tblPrEx>
        <w:trPr>
          <w:trHeight w:val="306"/>
        </w:trPr>
        <w:tc>
          <w:tcPr>
            <w:tcW w:w="2246" w:type="dxa"/>
            <w:tcBorders>
              <w:top w:val="nil"/>
              <w:left w:val="single" w:sz="4" w:space="0" w:color="auto"/>
              <w:bottom w:val="single" w:sz="4" w:space="0" w:color="auto"/>
              <w:right w:val="single" w:sz="18" w:space="0" w:color="auto"/>
            </w:tcBorders>
            <w:shd w:val="clear" w:color="auto" w:fill="D9D9D9"/>
            <w:noWrap/>
            <w:vAlign w:val="bottom"/>
            <w:hideMark/>
          </w:tcPr>
          <w:p w:rsidR="008D5A16" w:rsidRPr="00AF3E77" w:rsidP="00FB10FD" w14:paraId="604BE9E9" w14:textId="779DFB8E">
            <w:pPr>
              <w:rPr>
                <w:rFonts w:ascii="Calibri" w:hAnsi="Calibri" w:cs="Calibri"/>
                <w:sz w:val="22"/>
                <w:szCs w:val="22"/>
              </w:rPr>
            </w:pPr>
            <w:r w:rsidRPr="00AF3E77">
              <w:rPr>
                <w:rFonts w:ascii="Calibri" w:hAnsi="Calibri" w:cs="Calibri"/>
                <w:sz w:val="22"/>
                <w:szCs w:val="22"/>
              </w:rPr>
              <w:t xml:space="preserve">Enlisted </w:t>
            </w:r>
            <w:r w:rsidRPr="00AF3E77" w:rsidR="002829D8">
              <w:rPr>
                <w:rFonts w:ascii="Calibri" w:hAnsi="Calibri" w:cs="Calibri"/>
                <w:sz w:val="22"/>
                <w:szCs w:val="22"/>
              </w:rPr>
              <w:t>M</w:t>
            </w:r>
            <w:r w:rsidRPr="00AF3E77">
              <w:rPr>
                <w:rFonts w:ascii="Calibri" w:hAnsi="Calibri" w:cs="Calibri"/>
                <w:sz w:val="22"/>
                <w:szCs w:val="22"/>
              </w:rPr>
              <w:t xml:space="preserve">edical </w:t>
            </w:r>
            <w:r w:rsidRPr="00AF3E77" w:rsidR="002829D8">
              <w:rPr>
                <w:rFonts w:ascii="Calibri" w:hAnsi="Calibri" w:cs="Calibri"/>
                <w:sz w:val="22"/>
                <w:szCs w:val="22"/>
              </w:rPr>
              <w:t>P</w:t>
            </w:r>
            <w:r w:rsidRPr="00AF3E77">
              <w:rPr>
                <w:rFonts w:ascii="Calibri" w:hAnsi="Calibri" w:cs="Calibri"/>
                <w:sz w:val="22"/>
                <w:szCs w:val="22"/>
              </w:rPr>
              <w:t>ersonnel</w:t>
            </w:r>
          </w:p>
        </w:tc>
        <w:tc>
          <w:tcPr>
            <w:tcW w:w="803" w:type="dxa"/>
            <w:tcBorders>
              <w:top w:val="nil"/>
              <w:left w:val="single" w:sz="18" w:space="0" w:color="auto"/>
              <w:bottom w:val="single" w:sz="4" w:space="0" w:color="auto"/>
              <w:right w:val="nil"/>
            </w:tcBorders>
            <w:shd w:val="clear" w:color="auto" w:fill="auto"/>
            <w:noWrap/>
            <w:vAlign w:val="center"/>
          </w:tcPr>
          <w:p w:rsidR="008D5A16" w:rsidRPr="00AF3E77" w:rsidP="00FA2DF4" w14:paraId="5B597D1D" w14:textId="1C369791">
            <w:pPr>
              <w:jc w:val="center"/>
              <w:rPr>
                <w:rFonts w:ascii="Calibri" w:hAnsi="Calibri" w:cs="Calibri"/>
                <w:sz w:val="22"/>
                <w:szCs w:val="22"/>
              </w:rPr>
            </w:pPr>
            <w:r w:rsidRPr="00AF3E77">
              <w:rPr>
                <w:rFonts w:ascii="Calibri" w:hAnsi="Calibri" w:cs="Calibri"/>
                <w:sz w:val="22"/>
                <w:szCs w:val="22"/>
              </w:rPr>
              <w:t>1,164</w:t>
            </w:r>
          </w:p>
        </w:tc>
        <w:tc>
          <w:tcPr>
            <w:tcW w:w="752" w:type="dxa"/>
            <w:tcBorders>
              <w:top w:val="nil"/>
              <w:left w:val="nil"/>
              <w:bottom w:val="single" w:sz="4" w:space="0" w:color="auto"/>
              <w:right w:val="nil"/>
            </w:tcBorders>
            <w:shd w:val="clear" w:color="auto" w:fill="auto"/>
            <w:noWrap/>
            <w:vAlign w:val="center"/>
          </w:tcPr>
          <w:p w:rsidR="008D5A16" w:rsidRPr="00AF3E77" w:rsidP="00FA2DF4" w14:paraId="1321A9D7" w14:textId="08D5BE82">
            <w:pPr>
              <w:jc w:val="center"/>
              <w:rPr>
                <w:rFonts w:ascii="Calibri" w:hAnsi="Calibri" w:cs="Calibri"/>
                <w:sz w:val="22"/>
                <w:szCs w:val="22"/>
              </w:rPr>
            </w:pPr>
            <w:r w:rsidRPr="00AF3E77">
              <w:rPr>
                <w:rFonts w:ascii="Calibri" w:hAnsi="Calibri" w:cs="Calibri"/>
                <w:sz w:val="22"/>
                <w:szCs w:val="22"/>
              </w:rPr>
              <w:t>1,</w:t>
            </w:r>
            <w:r w:rsidRPr="00AF3E77" w:rsidR="00CB09EF">
              <w:rPr>
                <w:rFonts w:ascii="Calibri" w:hAnsi="Calibri" w:cs="Calibri"/>
                <w:sz w:val="22"/>
                <w:szCs w:val="22"/>
              </w:rPr>
              <w:t>0</w:t>
            </w:r>
            <w:r w:rsidRPr="00AF3E77" w:rsidR="00BA18D4">
              <w:rPr>
                <w:rFonts w:ascii="Calibri" w:hAnsi="Calibri" w:cs="Calibri"/>
                <w:sz w:val="22"/>
                <w:szCs w:val="22"/>
              </w:rPr>
              <w:t>90</w:t>
            </w:r>
          </w:p>
        </w:tc>
        <w:tc>
          <w:tcPr>
            <w:tcW w:w="1310" w:type="dxa"/>
            <w:tcBorders>
              <w:top w:val="nil"/>
              <w:left w:val="nil"/>
              <w:bottom w:val="single" w:sz="4" w:space="0" w:color="auto"/>
              <w:right w:val="nil"/>
            </w:tcBorders>
            <w:shd w:val="clear" w:color="auto" w:fill="auto"/>
            <w:noWrap/>
            <w:vAlign w:val="center"/>
            <w:hideMark/>
          </w:tcPr>
          <w:p w:rsidR="008D5A16" w:rsidRPr="00AF3E77" w:rsidP="00FA2DF4" w14:paraId="0D7D4A97" w14:textId="77777777">
            <w:pPr>
              <w:jc w:val="center"/>
              <w:rPr>
                <w:rFonts w:ascii="Calibri" w:hAnsi="Calibri" w:cs="Calibri"/>
                <w:sz w:val="22"/>
                <w:szCs w:val="22"/>
              </w:rPr>
            </w:pPr>
            <w:r w:rsidRPr="00AF3E77">
              <w:rPr>
                <w:rFonts w:ascii="Calibri" w:hAnsi="Calibri" w:cs="Calibri"/>
                <w:sz w:val="22"/>
                <w:szCs w:val="22"/>
              </w:rPr>
              <w:t>478</w:t>
            </w:r>
          </w:p>
        </w:tc>
        <w:tc>
          <w:tcPr>
            <w:tcW w:w="678" w:type="dxa"/>
            <w:tcBorders>
              <w:top w:val="nil"/>
              <w:left w:val="nil"/>
              <w:bottom w:val="single" w:sz="4" w:space="0" w:color="auto"/>
              <w:right w:val="single" w:sz="18" w:space="0" w:color="auto"/>
            </w:tcBorders>
            <w:shd w:val="clear" w:color="auto" w:fill="auto"/>
            <w:noWrap/>
            <w:vAlign w:val="center"/>
            <w:hideMark/>
          </w:tcPr>
          <w:p w:rsidR="008D5A16" w:rsidRPr="00AF3E77" w:rsidP="00FA2DF4" w14:paraId="1AA34026" w14:textId="77777777">
            <w:pPr>
              <w:jc w:val="center"/>
              <w:rPr>
                <w:rFonts w:ascii="Calibri" w:hAnsi="Calibri" w:cs="Calibri"/>
                <w:sz w:val="22"/>
                <w:szCs w:val="22"/>
              </w:rPr>
            </w:pPr>
            <w:r w:rsidRPr="00AF3E77">
              <w:rPr>
                <w:rFonts w:ascii="Calibri" w:hAnsi="Calibri" w:cs="Calibri"/>
                <w:sz w:val="22"/>
                <w:szCs w:val="22"/>
              </w:rPr>
              <w:t>0</w:t>
            </w:r>
          </w:p>
        </w:tc>
        <w:tc>
          <w:tcPr>
            <w:tcW w:w="788" w:type="dxa"/>
            <w:tcBorders>
              <w:top w:val="nil"/>
              <w:left w:val="single" w:sz="18" w:space="0" w:color="auto"/>
              <w:bottom w:val="single" w:sz="4" w:space="0" w:color="auto"/>
              <w:right w:val="nil"/>
            </w:tcBorders>
            <w:shd w:val="clear" w:color="auto" w:fill="auto"/>
            <w:noWrap/>
            <w:vAlign w:val="center"/>
            <w:hideMark/>
          </w:tcPr>
          <w:p w:rsidR="008D5A16" w:rsidRPr="00AF3E77" w:rsidP="00FA2DF4" w14:paraId="03E0BB9D" w14:textId="77777777">
            <w:pPr>
              <w:jc w:val="center"/>
              <w:rPr>
                <w:rFonts w:ascii="Calibri" w:hAnsi="Calibri" w:cs="Calibri"/>
                <w:sz w:val="22"/>
                <w:szCs w:val="22"/>
              </w:rPr>
            </w:pPr>
            <w:r w:rsidRPr="00AF3E77">
              <w:rPr>
                <w:rFonts w:ascii="Calibri" w:hAnsi="Calibri" w:cs="Calibri"/>
                <w:sz w:val="22"/>
                <w:szCs w:val="22"/>
              </w:rPr>
              <w:t>0</w:t>
            </w:r>
          </w:p>
        </w:tc>
        <w:tc>
          <w:tcPr>
            <w:tcW w:w="736" w:type="dxa"/>
            <w:tcBorders>
              <w:top w:val="nil"/>
              <w:left w:val="nil"/>
              <w:bottom w:val="single" w:sz="4" w:space="0" w:color="auto"/>
              <w:right w:val="nil"/>
            </w:tcBorders>
            <w:shd w:val="clear" w:color="auto" w:fill="auto"/>
            <w:noWrap/>
            <w:vAlign w:val="center"/>
            <w:hideMark/>
          </w:tcPr>
          <w:p w:rsidR="008D5A16" w:rsidRPr="00AF3E77" w:rsidP="00FA2DF4" w14:paraId="5F8A264A" w14:textId="77777777">
            <w:pPr>
              <w:jc w:val="center"/>
              <w:rPr>
                <w:rFonts w:ascii="Calibri" w:hAnsi="Calibri" w:cs="Calibri"/>
                <w:sz w:val="22"/>
                <w:szCs w:val="22"/>
              </w:rPr>
            </w:pPr>
            <w:r w:rsidRPr="00AF3E77">
              <w:rPr>
                <w:rFonts w:ascii="Calibri" w:hAnsi="Calibri" w:cs="Calibri"/>
                <w:sz w:val="22"/>
                <w:szCs w:val="22"/>
              </w:rPr>
              <w:t>0</w:t>
            </w:r>
          </w:p>
        </w:tc>
        <w:tc>
          <w:tcPr>
            <w:tcW w:w="1282" w:type="dxa"/>
            <w:tcBorders>
              <w:top w:val="nil"/>
              <w:left w:val="nil"/>
              <w:bottom w:val="single" w:sz="4" w:space="0" w:color="auto"/>
              <w:right w:val="nil"/>
            </w:tcBorders>
            <w:shd w:val="clear" w:color="auto" w:fill="auto"/>
            <w:noWrap/>
            <w:vAlign w:val="center"/>
            <w:hideMark/>
          </w:tcPr>
          <w:p w:rsidR="008D5A16" w:rsidRPr="00AF3E77" w:rsidP="00FA2DF4" w14:paraId="51EBBDD2" w14:textId="77777777">
            <w:pPr>
              <w:jc w:val="center"/>
              <w:rPr>
                <w:rFonts w:ascii="Calibri" w:hAnsi="Calibri" w:cs="Calibri"/>
                <w:sz w:val="22"/>
                <w:szCs w:val="22"/>
              </w:rPr>
            </w:pPr>
            <w:r w:rsidRPr="00AF3E77">
              <w:rPr>
                <w:rFonts w:ascii="Calibri" w:hAnsi="Calibri" w:cs="Calibri"/>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8D5A16" w:rsidRPr="00AF3E77" w:rsidP="00FA2DF4" w14:paraId="5BDE126E" w14:textId="77777777">
            <w:pPr>
              <w:jc w:val="center"/>
              <w:rPr>
                <w:rFonts w:ascii="Calibri" w:hAnsi="Calibri" w:cs="Calibri"/>
                <w:sz w:val="22"/>
                <w:szCs w:val="22"/>
              </w:rPr>
            </w:pPr>
            <w:r w:rsidRPr="00AF3E77">
              <w:rPr>
                <w:rFonts w:ascii="Calibri" w:hAnsi="Calibri" w:cs="Calibri"/>
                <w:sz w:val="22"/>
                <w:szCs w:val="22"/>
              </w:rPr>
              <w:t>0</w:t>
            </w:r>
          </w:p>
        </w:tc>
      </w:tr>
    </w:tbl>
    <w:p w:rsidR="00B33ED9" w:rsidRPr="00AF3E77" w:rsidP="00B91B89" w14:paraId="02CEDE24" w14:textId="77777777">
      <w:pPr>
        <w:pStyle w:val="NormalWeb"/>
        <w:spacing w:before="0" w:beforeAutospacing="0" w:after="0" w:afterAutospacing="0" w:line="288" w:lineRule="atLeast"/>
        <w:rPr>
          <w:rFonts w:ascii="Cambria" w:hAnsi="Cambria" w:cs="Calibri Light"/>
          <w:iCs/>
        </w:rPr>
      </w:pPr>
    </w:p>
    <w:p w:rsidR="00AA0C49" w:rsidRPr="00AF3E77" w:rsidP="00B91B89" w14:paraId="274B1360" w14:textId="05CB9121">
      <w:pPr>
        <w:pStyle w:val="NormalWeb"/>
        <w:spacing w:before="0" w:beforeAutospacing="0" w:after="0" w:afterAutospacing="0" w:line="288" w:lineRule="atLeast"/>
        <w:rPr>
          <w:rFonts w:ascii="Cambria" w:hAnsi="Cambria" w:cs="Calibri Light"/>
          <w:iCs/>
        </w:rPr>
      </w:pPr>
      <w:r w:rsidRPr="00AF3E77">
        <w:rPr>
          <w:rFonts w:ascii="Cambria" w:hAnsi="Cambria" w:cs="Calibri Light"/>
          <w:iCs/>
        </w:rPr>
        <w:t>Although this is a new data collection effort, based on prior surveys of DoD populations and health care providers, we assume a 10% response rate for all MDs (including OB/Gyn) a</w:t>
      </w:r>
      <w:r w:rsidRPr="00AF3E77" w:rsidR="00B33ED9">
        <w:rPr>
          <w:rFonts w:ascii="Cambria" w:hAnsi="Cambria" w:cs="Calibri Light"/>
          <w:iCs/>
        </w:rPr>
        <w:t xml:space="preserve"> 15% response rate for all</w:t>
      </w:r>
      <w:r w:rsidRPr="00AF3E77">
        <w:rPr>
          <w:rFonts w:ascii="Cambria" w:hAnsi="Cambria" w:cs="Calibri Light"/>
          <w:iCs/>
        </w:rPr>
        <w:t xml:space="preserve"> non-MD providers </w:t>
      </w:r>
      <w:r w:rsidRPr="00AF3E77" w:rsidR="00B33ED9">
        <w:rPr>
          <w:rFonts w:ascii="Cambria" w:hAnsi="Cambria" w:cs="Calibri Light"/>
          <w:iCs/>
        </w:rPr>
        <w:t>(e.g., nurses)</w:t>
      </w:r>
      <w:r w:rsidR="00AF3E77">
        <w:rPr>
          <w:rFonts w:ascii="Cambria" w:hAnsi="Cambria" w:cs="Calibri Light"/>
          <w:iCs/>
        </w:rPr>
        <w:t>.</w:t>
      </w:r>
    </w:p>
    <w:p w:rsidR="005E0A0F" w:rsidRPr="00AF3E77" w:rsidP="00B91B89" w14:paraId="22862468" w14:textId="56C60571">
      <w:pPr>
        <w:pStyle w:val="NormalWeb"/>
        <w:spacing w:after="0" w:afterAutospacing="0" w:line="288" w:lineRule="atLeast"/>
        <w:rPr>
          <w:rFonts w:ascii="Cambria" w:hAnsi="Cambria" w:cs="Calibri Light"/>
        </w:rPr>
      </w:pPr>
      <w:r w:rsidRPr="00AF3E77">
        <w:rPr>
          <w:rFonts w:ascii="Cambria" w:hAnsi="Cambria" w:cs="Calibri Light"/>
        </w:rPr>
        <w:t xml:space="preserve">2.  </w:t>
      </w:r>
      <w:r w:rsidRPr="00AF3E77">
        <w:rPr>
          <w:rFonts w:ascii="Cambria" w:hAnsi="Cambria" w:cs="Calibri Light"/>
          <w:u w:val="single"/>
        </w:rPr>
        <w:t>Procedures for the Collection of Information</w:t>
      </w:r>
    </w:p>
    <w:p w:rsidR="00C609BA" w:rsidRPr="00AF3E77" w:rsidP="00C609BA" w14:paraId="548716ED" w14:textId="461E6AD2">
      <w:pPr>
        <w:pStyle w:val="NormalWeb"/>
        <w:spacing w:line="288" w:lineRule="atLeast"/>
        <w:rPr>
          <w:rFonts w:ascii="Cambria" w:hAnsi="Cambria" w:cs="Calibri Light"/>
          <w:iCs/>
        </w:rPr>
      </w:pPr>
      <w:r w:rsidRPr="00AF3E77">
        <w:rPr>
          <w:rFonts w:ascii="Cambria" w:hAnsi="Cambria" w:cs="Calibri Light"/>
          <w:iCs/>
        </w:rPr>
        <w:t xml:space="preserve">The sampling strategy is based on randomly sampling from three strata: </w:t>
      </w:r>
      <w:r w:rsidRPr="00AF3E77" w:rsidR="008F37FF">
        <w:rPr>
          <w:rFonts w:ascii="Cambria" w:hAnsi="Cambria" w:cs="Calibri Light"/>
          <w:iCs/>
        </w:rPr>
        <w:t xml:space="preserve">uniformed status, service branch, and provider type. Given small sample sizes within some of the strata, a 100% sampling approach will be used in all cases </w:t>
      </w:r>
      <w:r w:rsidRPr="00AF3E77" w:rsidR="008F37FF">
        <w:rPr>
          <w:rFonts w:ascii="Cambria" w:hAnsi="Cambria" w:cs="Calibri Light"/>
          <w:i/>
        </w:rPr>
        <w:t>except</w:t>
      </w:r>
      <w:r w:rsidRPr="00AF3E77" w:rsidR="008F37FF">
        <w:rPr>
          <w:rFonts w:ascii="Cambria" w:hAnsi="Cambria" w:cs="Calibri Light"/>
          <w:iCs/>
        </w:rPr>
        <w:t>: other civilian nurses in the Army, other civilian nurses in the Navy, other civilian nurses in DHA, and enlisted medical personnel in the Army and Navy</w:t>
      </w:r>
      <w:r w:rsidRPr="00AF3E77" w:rsidR="00C228CC">
        <w:rPr>
          <w:rFonts w:ascii="Cambria" w:hAnsi="Cambria" w:cs="Calibri Light"/>
          <w:iCs/>
        </w:rPr>
        <w:t>.</w:t>
      </w:r>
      <w:r w:rsidRPr="00AF3E77">
        <w:rPr>
          <w:rFonts w:ascii="Cambria" w:hAnsi="Cambria" w:cs="Calibri Light"/>
          <w:iCs/>
        </w:rPr>
        <w:t xml:space="preserve"> The sampling strategy tries to balance increasing sample sizes (and costs) and reducing variation to provide more precise estimates. All one-way strata based on</w:t>
      </w:r>
      <w:r w:rsidRPr="00AF3E77" w:rsidR="002C7818">
        <w:rPr>
          <w:rFonts w:ascii="Cambria" w:hAnsi="Cambria" w:cs="Calibri Light"/>
          <w:iCs/>
        </w:rPr>
        <w:t xml:space="preserve"> uniformed</w:t>
      </w:r>
      <w:r w:rsidRPr="00AF3E77">
        <w:rPr>
          <w:rFonts w:ascii="Cambria" w:hAnsi="Cambria" w:cs="Calibri Light"/>
          <w:iCs/>
        </w:rPr>
        <w:t xml:space="preserve"> status, branch, </w:t>
      </w:r>
      <w:r w:rsidRPr="00AF3E77" w:rsidR="002C7818">
        <w:rPr>
          <w:rFonts w:ascii="Cambria" w:hAnsi="Cambria" w:cs="Calibri Light"/>
          <w:iCs/>
        </w:rPr>
        <w:t xml:space="preserve">or </w:t>
      </w:r>
      <w:r w:rsidRPr="00AF3E77">
        <w:rPr>
          <w:rFonts w:ascii="Cambria" w:hAnsi="Cambria" w:cs="Calibri Light"/>
          <w:iCs/>
        </w:rPr>
        <w:t>job type</w:t>
      </w:r>
      <w:r w:rsidRPr="00AF3E77" w:rsidR="002C7818">
        <w:rPr>
          <w:rFonts w:ascii="Cambria" w:hAnsi="Cambria" w:cs="Calibri Light"/>
          <w:iCs/>
        </w:rPr>
        <w:t xml:space="preserve"> are designed</w:t>
      </w:r>
      <w:r w:rsidRPr="00AF3E77">
        <w:rPr>
          <w:rFonts w:ascii="Cambria" w:hAnsi="Cambria" w:cs="Calibri Light"/>
          <w:iCs/>
        </w:rPr>
        <w:t xml:space="preserve"> to yield a maximum margin of error of no more than 5%. Similarly, relevant two-way strata (e.g., Army Nurses)</w:t>
      </w:r>
      <w:r w:rsidRPr="00AF3E77" w:rsidR="002C7818">
        <w:rPr>
          <w:rFonts w:ascii="Cambria" w:hAnsi="Cambria" w:cs="Calibri Light"/>
          <w:iCs/>
        </w:rPr>
        <w:t xml:space="preserve"> are designed to </w:t>
      </w:r>
      <w:r w:rsidRPr="00AF3E77">
        <w:rPr>
          <w:rFonts w:ascii="Cambria" w:hAnsi="Cambria" w:cs="Calibri Light"/>
          <w:iCs/>
        </w:rPr>
        <w:t xml:space="preserve">have a maximum margin of error of no more than 8%.  </w:t>
      </w:r>
    </w:p>
    <w:p w:rsidR="005E0A0F" w:rsidRPr="00AF3E77" w:rsidP="00B91B89" w14:paraId="504BEA70" w14:textId="377D7135">
      <w:pPr>
        <w:pStyle w:val="NormalWeb"/>
        <w:spacing w:before="0" w:beforeAutospacing="0" w:after="0" w:afterAutospacing="0" w:line="288" w:lineRule="atLeast"/>
        <w:rPr>
          <w:rFonts w:ascii="Cambria" w:hAnsi="Cambria"/>
        </w:rPr>
      </w:pPr>
      <w:r w:rsidRPr="00AF3E77">
        <w:rPr>
          <w:rFonts w:ascii="Cambria" w:hAnsi="Cambria" w:cs="Calibri Light"/>
        </w:rPr>
        <w:t xml:space="preserve">3.  </w:t>
      </w:r>
      <w:r w:rsidRPr="00AF3E77">
        <w:rPr>
          <w:rFonts w:ascii="Cambria" w:hAnsi="Cambria" w:cs="Calibri Light"/>
          <w:u w:val="single"/>
        </w:rPr>
        <w:t>Maximization of Response Rates, Non-response, and Reliability</w:t>
      </w:r>
      <w:r w:rsidRPr="00AF3E77" w:rsidR="00076309">
        <w:rPr>
          <w:rFonts w:ascii="Cambria" w:hAnsi="Cambria"/>
        </w:rPr>
        <w:t xml:space="preserve"> </w:t>
      </w:r>
    </w:p>
    <w:p w:rsidR="00A34164" w:rsidRPr="00AF3E77" w:rsidP="0075306B" w14:paraId="553B7C4D" w14:textId="6927BB28">
      <w:pPr>
        <w:pStyle w:val="NormalWeb"/>
        <w:spacing w:line="288" w:lineRule="atLeast"/>
        <w:rPr>
          <w:rFonts w:ascii="Cambria" w:hAnsi="Cambria"/>
        </w:rPr>
      </w:pPr>
      <w:r w:rsidRPr="00AF3E77">
        <w:rPr>
          <w:rFonts w:ascii="Cambria" w:hAnsi="Cambria"/>
        </w:rPr>
        <w:t xml:space="preserve">The survey is confidential, which allows for targeted follow-up reminders to only those participants who have not yet completed the survey. In addition, </w:t>
      </w:r>
      <w:r w:rsidRPr="00AF3E77" w:rsidR="00BB536F">
        <w:rPr>
          <w:rFonts w:ascii="Cambria" w:hAnsi="Cambria"/>
        </w:rPr>
        <w:t>the survey vendor will use phone reminders which can be converted into survey completions (i.e.,</w:t>
      </w:r>
      <w:r w:rsidRPr="00AF3E77" w:rsidR="004E2053">
        <w:rPr>
          <w:rFonts w:ascii="Cambria" w:hAnsi="Cambria"/>
        </w:rPr>
        <w:t xml:space="preserve"> respondents will be able to complete the survey over the phone if they wish).</w:t>
      </w:r>
      <w:r w:rsidRPr="00AF3E77" w:rsidR="00FE466C">
        <w:rPr>
          <w:rFonts w:ascii="Cambria" w:hAnsi="Cambria"/>
        </w:rPr>
        <w:t xml:space="preserve"> </w:t>
      </w:r>
      <w:r w:rsidRPr="00AF3E77">
        <w:rPr>
          <w:rFonts w:ascii="Cambria" w:hAnsi="Cambria"/>
        </w:rPr>
        <w:t xml:space="preserve">Because health </w:t>
      </w:r>
      <w:r w:rsidRPr="00AF3E77" w:rsidR="0084692A">
        <w:rPr>
          <w:rFonts w:ascii="Cambria" w:hAnsi="Cambria"/>
        </w:rPr>
        <w:t>care providers are considered a hard-to-reach population in survey research, participants who complete the survey will receive a $40 e-gift card</w:t>
      </w:r>
      <w:r w:rsidRPr="00AF3E77" w:rsidR="00CA3D26">
        <w:rPr>
          <w:rFonts w:ascii="Cambria" w:hAnsi="Cambria"/>
        </w:rPr>
        <w:t xml:space="preserve"> (assuming they attest to completing the survey outside of duty hours, per DoD regulation). </w:t>
      </w:r>
    </w:p>
    <w:p w:rsidR="0075306B" w:rsidRPr="00AF3E77" w:rsidP="0075306B" w14:paraId="51016D8B" w14:textId="522A84E7">
      <w:pPr>
        <w:pStyle w:val="NormalWeb"/>
        <w:spacing w:line="288" w:lineRule="atLeast"/>
        <w:rPr>
          <w:rFonts w:ascii="Cambria" w:hAnsi="Cambria"/>
        </w:rPr>
      </w:pPr>
      <w:r w:rsidRPr="00AF3E77">
        <w:rPr>
          <w:rFonts w:ascii="Cambria" w:hAnsi="Cambria"/>
        </w:rPr>
        <w:t>Imputation procedure</w:t>
      </w:r>
      <w:r w:rsidRPr="00AF3E77" w:rsidR="00546756">
        <w:rPr>
          <w:rFonts w:ascii="Cambria" w:hAnsi="Cambria"/>
        </w:rPr>
        <w:t>s</w:t>
      </w:r>
      <w:r w:rsidRPr="00AF3E77">
        <w:rPr>
          <w:rFonts w:ascii="Cambria" w:hAnsi="Cambria"/>
        </w:rPr>
        <w:t xml:space="preserve"> to address missing data among respondents will also be used as part of data analysis.</w:t>
      </w:r>
      <w:r w:rsidRPr="00AF3E77" w:rsidR="00A34164">
        <w:rPr>
          <w:rFonts w:ascii="Cambria" w:hAnsi="Cambria"/>
        </w:rPr>
        <w:t xml:space="preserve"> </w:t>
      </w:r>
      <w:r w:rsidRPr="00AF3E77" w:rsidR="00585F50">
        <w:rPr>
          <w:rFonts w:ascii="Cambria" w:hAnsi="Cambria"/>
        </w:rPr>
        <w:t>Because sampling uses a stratified, random sampling approach (based on</w:t>
      </w:r>
      <w:r w:rsidRPr="00AF3E77" w:rsidR="00FA2DF4">
        <w:rPr>
          <w:rFonts w:ascii="Cambria" w:hAnsi="Cambria"/>
        </w:rPr>
        <w:t xml:space="preserve"> uniformed/civilian status,</w:t>
      </w:r>
      <w:r w:rsidRPr="00AF3E77" w:rsidR="00585F50">
        <w:rPr>
          <w:rFonts w:ascii="Cambria" w:hAnsi="Cambria"/>
        </w:rPr>
        <w:t xml:space="preserve"> </w:t>
      </w:r>
      <w:r w:rsidRPr="00AF3E77" w:rsidR="00FA2DF4">
        <w:rPr>
          <w:rFonts w:ascii="Cambria" w:hAnsi="Cambria"/>
        </w:rPr>
        <w:t>service branch, and provider type</w:t>
      </w:r>
      <w:r w:rsidRPr="00AF3E77" w:rsidR="005B4C9D">
        <w:rPr>
          <w:rFonts w:ascii="Cambria" w:hAnsi="Cambria"/>
        </w:rPr>
        <w:t>), the u</w:t>
      </w:r>
      <w:r w:rsidRPr="00AF3E77" w:rsidR="00A34164">
        <w:rPr>
          <w:rFonts w:ascii="Cambria" w:hAnsi="Cambria"/>
        </w:rPr>
        <w:t>se of</w:t>
      </w:r>
      <w:r w:rsidRPr="00AF3E77">
        <w:rPr>
          <w:rFonts w:ascii="Cambria" w:hAnsi="Cambria"/>
        </w:rPr>
        <w:t xml:space="preserve"> analytic weights in all study analyses </w:t>
      </w:r>
      <w:r w:rsidRPr="00AF3E77" w:rsidR="00A34164">
        <w:rPr>
          <w:rFonts w:ascii="Cambria" w:hAnsi="Cambria"/>
        </w:rPr>
        <w:t xml:space="preserve">will </w:t>
      </w:r>
      <w:r w:rsidRPr="00AF3E77">
        <w:rPr>
          <w:rFonts w:ascii="Cambria" w:hAnsi="Cambria"/>
        </w:rPr>
        <w:t>ensur</w:t>
      </w:r>
      <w:r w:rsidRPr="00AF3E77" w:rsidR="00A34164">
        <w:rPr>
          <w:rFonts w:ascii="Cambria" w:hAnsi="Cambria"/>
        </w:rPr>
        <w:t>e</w:t>
      </w:r>
      <w:r w:rsidRPr="00AF3E77">
        <w:rPr>
          <w:rFonts w:ascii="Cambria" w:hAnsi="Cambria"/>
        </w:rPr>
        <w:t xml:space="preserve"> that the results generalize to</w:t>
      </w:r>
      <w:r w:rsidRPr="00AF3E77" w:rsidR="00A34164">
        <w:rPr>
          <w:rFonts w:ascii="Cambria" w:hAnsi="Cambria"/>
        </w:rPr>
        <w:t xml:space="preserve"> MHS providers of the types included in the sample.</w:t>
      </w:r>
      <w:r w:rsidRPr="00AF3E77">
        <w:rPr>
          <w:rFonts w:ascii="Cambria" w:hAnsi="Cambria"/>
        </w:rPr>
        <w:t xml:space="preserve"> Analytic weights are the product of non-response weights (designed to account for unequal probabilities of response across respondents) and sample weights (designed to account for the stratified random sampling approach). </w:t>
      </w:r>
    </w:p>
    <w:p w:rsidR="005E0A0F" w:rsidRPr="00AF3E77" w:rsidP="00B91B89" w14:paraId="56997D2D" w14:textId="626CE188">
      <w:pPr>
        <w:pStyle w:val="NormalWeb"/>
        <w:spacing w:before="0" w:beforeAutospacing="0" w:after="0" w:afterAutospacing="0" w:line="288" w:lineRule="atLeast"/>
        <w:rPr>
          <w:rFonts w:ascii="Cambria" w:hAnsi="Cambria" w:cs="Calibri Light"/>
        </w:rPr>
      </w:pPr>
      <w:r w:rsidRPr="00AF3E77">
        <w:rPr>
          <w:rFonts w:ascii="Cambria" w:hAnsi="Cambria" w:cs="Calibri Light"/>
        </w:rPr>
        <w:t xml:space="preserve">4.  </w:t>
      </w:r>
      <w:r w:rsidRPr="00AF3E77">
        <w:rPr>
          <w:rFonts w:ascii="Cambria" w:hAnsi="Cambria" w:cs="Calibri Light"/>
          <w:u w:val="single"/>
        </w:rPr>
        <w:t>Tests of Procedures</w:t>
      </w:r>
      <w:r w:rsidRPr="00AF3E77" w:rsidR="00076309">
        <w:rPr>
          <w:rFonts w:ascii="Cambria" w:hAnsi="Cambria" w:cs="Calibri Light"/>
        </w:rPr>
        <w:t xml:space="preserve"> </w:t>
      </w:r>
    </w:p>
    <w:p w:rsidR="00A31DDD" w:rsidRPr="00AF3E77" w:rsidP="00724A8A" w14:paraId="5801318B" w14:textId="77777777">
      <w:pPr>
        <w:pStyle w:val="NormalWeb"/>
        <w:spacing w:before="0" w:beforeAutospacing="0" w:after="0" w:afterAutospacing="0" w:line="288" w:lineRule="atLeast"/>
        <w:rPr>
          <w:rFonts w:ascii="Cambria" w:hAnsi="Cambria" w:cs="Calibri Light"/>
          <w:iCs/>
        </w:rPr>
      </w:pPr>
    </w:p>
    <w:p w:rsidR="00724A8A" w:rsidRPr="00AF3E77" w:rsidP="00724A8A" w14:paraId="76C40B67" w14:textId="716C04CD">
      <w:pPr>
        <w:pStyle w:val="NormalWeb"/>
        <w:spacing w:before="0" w:beforeAutospacing="0" w:after="0" w:afterAutospacing="0" w:line="288" w:lineRule="atLeast"/>
        <w:rPr>
          <w:rFonts w:ascii="Cambria" w:hAnsi="Cambria" w:cs="Calibri Light"/>
          <w:iCs/>
        </w:rPr>
      </w:pPr>
      <w:r w:rsidRPr="00AF3E77">
        <w:rPr>
          <w:rFonts w:ascii="Cambria" w:hAnsi="Cambria" w:cs="Calibri Light"/>
          <w:iCs/>
        </w:rPr>
        <w:t>The survey</w:t>
      </w:r>
      <w:r w:rsidRPr="00AF3E77" w:rsidR="00146644">
        <w:rPr>
          <w:rFonts w:ascii="Cambria" w:hAnsi="Cambria" w:cs="Calibri Light"/>
          <w:iCs/>
        </w:rPr>
        <w:t xml:space="preserve"> instrument</w:t>
      </w:r>
      <w:r w:rsidRPr="00AF3E77">
        <w:rPr>
          <w:rFonts w:ascii="Cambria" w:hAnsi="Cambria" w:cs="Calibri Light"/>
          <w:iCs/>
        </w:rPr>
        <w:t xml:space="preserve"> was reviewed by four current MHS providers</w:t>
      </w:r>
      <w:r w:rsidRPr="00AF3E77" w:rsidR="00146644">
        <w:rPr>
          <w:rFonts w:ascii="Cambria" w:hAnsi="Cambria" w:cs="Calibri Light"/>
          <w:iCs/>
        </w:rPr>
        <w:t xml:space="preserve"> (including nurses and enlisted medical personnel)</w:t>
      </w:r>
      <w:r w:rsidRPr="00AF3E77">
        <w:rPr>
          <w:rFonts w:ascii="Cambria" w:hAnsi="Cambria" w:cs="Calibri Light"/>
          <w:iCs/>
        </w:rPr>
        <w:t>. These providers were active-duty service members.</w:t>
      </w:r>
    </w:p>
    <w:p w:rsidR="005E0A0F" w:rsidRPr="00AF3E77" w:rsidP="00B91B89" w14:paraId="6E742A40" w14:textId="06151219">
      <w:pPr>
        <w:pStyle w:val="NormalWeb"/>
        <w:spacing w:after="0" w:afterAutospacing="0" w:line="288" w:lineRule="atLeast"/>
      </w:pPr>
      <w:r w:rsidRPr="00AF3E77">
        <w:rPr>
          <w:rFonts w:ascii="Cambria" w:hAnsi="Cambria" w:cs="Calibri Light"/>
        </w:rPr>
        <w:t xml:space="preserve">5.  </w:t>
      </w:r>
      <w:r w:rsidRPr="00AF3E77">
        <w:rPr>
          <w:rFonts w:ascii="Cambria" w:hAnsi="Cambria" w:cs="Calibri Light"/>
          <w:u w:val="single"/>
        </w:rPr>
        <w:t>Statistical Consultation and Information Analysis</w:t>
      </w:r>
    </w:p>
    <w:p w:rsidR="00076309" w:rsidRPr="00AF3E77" w:rsidP="00076309" w14:paraId="3B100A7C" w14:textId="4172531D">
      <w:pPr>
        <w:pStyle w:val="NormalWeb"/>
        <w:spacing w:line="288" w:lineRule="atLeast"/>
        <w:rPr>
          <w:rFonts w:ascii="Cambria" w:hAnsi="Cambria"/>
          <w:i/>
        </w:rPr>
      </w:pPr>
      <w:r w:rsidRPr="00AF3E77">
        <w:rPr>
          <w:rFonts w:ascii="Cambria" w:eastAsia="Calibri" w:hAnsi="Cambria"/>
          <w:szCs w:val="22"/>
        </w:rPr>
        <w:t xml:space="preserve">No additional consultation apart from soliciting public comments through the Federal Register was conducted for this submission. </w:t>
      </w:r>
    </w:p>
    <w:p w:rsidR="00076309" w:rsidRPr="00AF3E77" w:rsidP="00076309" w14:paraId="716EFD07" w14:textId="77777777">
      <w:pPr>
        <w:pStyle w:val="NormalWeb"/>
        <w:spacing w:before="0" w:beforeAutospacing="0" w:after="0" w:afterAutospacing="0" w:line="288" w:lineRule="atLeast"/>
        <w:ind w:left="1080"/>
        <w:rPr>
          <w:rFonts w:ascii="Cambria" w:hAnsi="Cambria" w:cs="Calibri Light"/>
          <w:i/>
        </w:rPr>
      </w:pPr>
    </w:p>
    <w:p w:rsidR="00F1447C" w:rsidRPr="00AF3E77" w:rsidP="001A7BBD" w14:paraId="49EDE868" w14:textId="77777777">
      <w:pPr>
        <w:pStyle w:val="NormalWeb"/>
        <w:spacing w:line="288" w:lineRule="atLeast"/>
        <w:ind w:left="432" w:firstLine="720"/>
        <w:rPr>
          <w:rFonts w:ascii="Cambria" w:hAnsi="Cambria" w:cs="Calibri Light"/>
        </w:rPr>
      </w:pPr>
    </w:p>
    <w:sectPr w:rsidSect="00F1447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689CB704"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122DA4"/>
    <w:multiLevelType w:val="hybridMultilevel"/>
    <w:tmpl w:val="6D56F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88821338">
    <w:abstractNumId w:val="0"/>
  </w:num>
  <w:num w:numId="2" w16cid:durableId="590896137">
    <w:abstractNumId w:val="2"/>
  </w:num>
  <w:num w:numId="3" w16cid:durableId="2035838444">
    <w:abstractNumId w:val="3"/>
  </w:num>
  <w:num w:numId="4" w16cid:durableId="136618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121B"/>
    <w:rsid w:val="00062C3C"/>
    <w:rsid w:val="00076309"/>
    <w:rsid w:val="000B0B75"/>
    <w:rsid w:val="0011279F"/>
    <w:rsid w:val="00123481"/>
    <w:rsid w:val="00146644"/>
    <w:rsid w:val="00146F7E"/>
    <w:rsid w:val="001A7BBD"/>
    <w:rsid w:val="001B4ED0"/>
    <w:rsid w:val="001F1570"/>
    <w:rsid w:val="00217AE4"/>
    <w:rsid w:val="00270852"/>
    <w:rsid w:val="002829D8"/>
    <w:rsid w:val="002B25B6"/>
    <w:rsid w:val="002C006C"/>
    <w:rsid w:val="002C750E"/>
    <w:rsid w:val="002C7818"/>
    <w:rsid w:val="002F4713"/>
    <w:rsid w:val="0030008B"/>
    <w:rsid w:val="00325B0F"/>
    <w:rsid w:val="0034355D"/>
    <w:rsid w:val="003A449C"/>
    <w:rsid w:val="003C79D5"/>
    <w:rsid w:val="003E01E6"/>
    <w:rsid w:val="004E2053"/>
    <w:rsid w:val="00503131"/>
    <w:rsid w:val="00514C18"/>
    <w:rsid w:val="005220F2"/>
    <w:rsid w:val="005242CC"/>
    <w:rsid w:val="00546756"/>
    <w:rsid w:val="005569D9"/>
    <w:rsid w:val="00585F50"/>
    <w:rsid w:val="0058679B"/>
    <w:rsid w:val="0058799A"/>
    <w:rsid w:val="00591F94"/>
    <w:rsid w:val="005B4C9D"/>
    <w:rsid w:val="005B6B66"/>
    <w:rsid w:val="005D5BCD"/>
    <w:rsid w:val="005E0A0F"/>
    <w:rsid w:val="006418BC"/>
    <w:rsid w:val="00645E19"/>
    <w:rsid w:val="006B2B17"/>
    <w:rsid w:val="006F289C"/>
    <w:rsid w:val="006F3F40"/>
    <w:rsid w:val="006F616E"/>
    <w:rsid w:val="00714D14"/>
    <w:rsid w:val="00724A8A"/>
    <w:rsid w:val="00742BD0"/>
    <w:rsid w:val="0075306B"/>
    <w:rsid w:val="00764C11"/>
    <w:rsid w:val="00775479"/>
    <w:rsid w:val="007C4EA3"/>
    <w:rsid w:val="007E131E"/>
    <w:rsid w:val="007F4F61"/>
    <w:rsid w:val="008039E2"/>
    <w:rsid w:val="00821454"/>
    <w:rsid w:val="0084692A"/>
    <w:rsid w:val="00856766"/>
    <w:rsid w:val="008C2355"/>
    <w:rsid w:val="008C4E19"/>
    <w:rsid w:val="008D461C"/>
    <w:rsid w:val="008D5A16"/>
    <w:rsid w:val="008F37FF"/>
    <w:rsid w:val="00906F70"/>
    <w:rsid w:val="009246D0"/>
    <w:rsid w:val="00945D09"/>
    <w:rsid w:val="00977A74"/>
    <w:rsid w:val="0099528C"/>
    <w:rsid w:val="009D6ECE"/>
    <w:rsid w:val="009F0B30"/>
    <w:rsid w:val="009F28DB"/>
    <w:rsid w:val="00A06D26"/>
    <w:rsid w:val="00A235A1"/>
    <w:rsid w:val="00A249E9"/>
    <w:rsid w:val="00A31DDD"/>
    <w:rsid w:val="00A34164"/>
    <w:rsid w:val="00A93CBF"/>
    <w:rsid w:val="00A95A8C"/>
    <w:rsid w:val="00AA0C49"/>
    <w:rsid w:val="00AC71AE"/>
    <w:rsid w:val="00AF3E77"/>
    <w:rsid w:val="00AF65D3"/>
    <w:rsid w:val="00B33ED9"/>
    <w:rsid w:val="00B518E1"/>
    <w:rsid w:val="00B74856"/>
    <w:rsid w:val="00B91B89"/>
    <w:rsid w:val="00BA18D4"/>
    <w:rsid w:val="00BB536F"/>
    <w:rsid w:val="00C228CC"/>
    <w:rsid w:val="00C27E84"/>
    <w:rsid w:val="00C34D08"/>
    <w:rsid w:val="00C423C8"/>
    <w:rsid w:val="00C42ED8"/>
    <w:rsid w:val="00C53FA6"/>
    <w:rsid w:val="00C609BA"/>
    <w:rsid w:val="00C6692C"/>
    <w:rsid w:val="00C66D8C"/>
    <w:rsid w:val="00C87AE8"/>
    <w:rsid w:val="00CA3D26"/>
    <w:rsid w:val="00CB09EF"/>
    <w:rsid w:val="00CB5E42"/>
    <w:rsid w:val="00D46148"/>
    <w:rsid w:val="00D55905"/>
    <w:rsid w:val="00D56453"/>
    <w:rsid w:val="00D5670A"/>
    <w:rsid w:val="00D57F9F"/>
    <w:rsid w:val="00D92E75"/>
    <w:rsid w:val="00DB625D"/>
    <w:rsid w:val="00DC626B"/>
    <w:rsid w:val="00DE39D3"/>
    <w:rsid w:val="00E517EA"/>
    <w:rsid w:val="00E65007"/>
    <w:rsid w:val="00E85D7E"/>
    <w:rsid w:val="00EA181B"/>
    <w:rsid w:val="00EE2985"/>
    <w:rsid w:val="00F035AB"/>
    <w:rsid w:val="00F1447C"/>
    <w:rsid w:val="00F36855"/>
    <w:rsid w:val="00F41FF1"/>
    <w:rsid w:val="00F434B6"/>
    <w:rsid w:val="00F92085"/>
    <w:rsid w:val="00F92ACC"/>
    <w:rsid w:val="00FA0C50"/>
    <w:rsid w:val="00FA2DF4"/>
    <w:rsid w:val="00FB10FD"/>
    <w:rsid w:val="00FD16C6"/>
    <w:rsid w:val="00FD6586"/>
    <w:rsid w:val="00FD65A4"/>
    <w:rsid w:val="00FE46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DAD63"/>
  <w15:chartTrackingRefBased/>
  <w15:docId w15:val="{4E7E591A-34BC-417B-BA1C-0AB5268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table" w:customStyle="1" w:styleId="TableGrid1">
    <w:name w:val="Table Grid1"/>
    <w:basedOn w:val="TableNormal"/>
    <w:uiPriority w:val="39"/>
    <w:rsid w:val="007754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2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2D53-F74F-4211-95CE-4BA8905306E8}">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2024-06-13T15:55:00Z</dcterms:created>
  <dcterms:modified xsi:type="dcterms:W3CDTF">2024-06-13T15:55:00Z</dcterms:modified>
</cp:coreProperties>
</file>