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92B6C" w:rsidRPr="00FB7B9C" w:rsidP="00B92B6C" w14:paraId="7BB40C3E" w14:textId="49A908A4">
      <w:pPr>
        <w:spacing w:after="200" w:line="276" w:lineRule="auto"/>
        <w:rPr>
          <w:rFonts w:eastAsia="Calibri"/>
        </w:rPr>
      </w:pPr>
      <w:r w:rsidRPr="00FB7B9C">
        <w:rPr>
          <w:rFonts w:eastAsia="Calibri"/>
          <w:b/>
        </w:rPr>
        <w:t>DATE:</w:t>
      </w:r>
      <w:r w:rsidRPr="00FB7B9C">
        <w:rPr>
          <w:rFonts w:eastAsia="Calibri"/>
        </w:rPr>
        <w:tab/>
      </w:r>
      <w:r w:rsidRPr="00FB7B9C">
        <w:rPr>
          <w:rFonts w:eastAsia="Calibri"/>
        </w:rPr>
        <w:tab/>
      </w:r>
      <w:r w:rsidRPr="00FB7B9C" w:rsidR="00573D0B">
        <w:rPr>
          <w:rFonts w:eastAsia="Calibri"/>
        </w:rPr>
        <w:t>M</w:t>
      </w:r>
      <w:r w:rsidRPr="00FB7B9C" w:rsidR="009731E7">
        <w:rPr>
          <w:rFonts w:eastAsia="Calibri"/>
        </w:rPr>
        <w:t xml:space="preserve">arch </w:t>
      </w:r>
      <w:r w:rsidRPr="00FB7B9C" w:rsidR="00FB7B9C">
        <w:rPr>
          <w:rFonts w:eastAsia="Calibri"/>
        </w:rPr>
        <w:t>19</w:t>
      </w:r>
      <w:r w:rsidRPr="00FB7B9C" w:rsidR="00C33C03">
        <w:rPr>
          <w:rFonts w:eastAsia="Calibri"/>
        </w:rPr>
        <w:t>, 202</w:t>
      </w:r>
      <w:r w:rsidRPr="00FB7B9C" w:rsidR="009731E7">
        <w:rPr>
          <w:rFonts w:eastAsia="Calibri"/>
        </w:rPr>
        <w:t>4</w:t>
      </w:r>
    </w:p>
    <w:p w:rsidR="00B92B6C" w:rsidRPr="00FB7B9C" w:rsidP="00B92B6C" w14:paraId="4546AFDE" w14:textId="54212F85">
      <w:pPr>
        <w:spacing w:after="200" w:line="276" w:lineRule="auto"/>
        <w:rPr>
          <w:rFonts w:eastAsia="Calibri"/>
        </w:rPr>
      </w:pPr>
      <w:r w:rsidRPr="00FB7B9C">
        <w:rPr>
          <w:rFonts w:eastAsia="Calibri"/>
          <w:b/>
        </w:rPr>
        <w:t>TO:</w:t>
      </w:r>
      <w:r w:rsidRPr="00FB7B9C">
        <w:rPr>
          <w:rFonts w:eastAsia="Calibri"/>
        </w:rPr>
        <w:tab/>
      </w:r>
      <w:r w:rsidRPr="00FB7B9C">
        <w:rPr>
          <w:rFonts w:eastAsia="Calibri"/>
        </w:rPr>
        <w:tab/>
      </w:r>
      <w:r w:rsidRPr="00FB7B9C">
        <w:rPr>
          <w:rFonts w:eastAsia="Calibri"/>
        </w:rPr>
        <w:tab/>
      </w:r>
      <w:r w:rsidRPr="00FB7B9C" w:rsidR="00FB7B9C">
        <w:rPr>
          <w:rFonts w:eastAsia="Calibri"/>
        </w:rPr>
        <w:t>Dan Cline</w:t>
      </w:r>
      <w:r w:rsidRPr="00FB7B9C">
        <w:rPr>
          <w:rFonts w:eastAsia="Calibri"/>
        </w:rPr>
        <w:t>, OMB Desk Officer</w:t>
      </w:r>
    </w:p>
    <w:p w:rsidR="00B92B6C" w:rsidRPr="00B92B6C" w:rsidP="00B92B6C" w14:paraId="77BC1D71" w14:textId="3D8BBA8D">
      <w:pPr>
        <w:spacing w:after="200" w:line="276" w:lineRule="auto"/>
        <w:rPr>
          <w:rFonts w:eastAsia="Calibri"/>
        </w:rPr>
      </w:pPr>
      <w:r w:rsidRPr="00FB7B9C">
        <w:rPr>
          <w:rFonts w:eastAsia="Calibri"/>
          <w:b/>
        </w:rPr>
        <w:t>FROM:</w:t>
      </w:r>
      <w:r w:rsidRPr="00FB7B9C">
        <w:rPr>
          <w:rFonts w:eastAsia="Calibri"/>
        </w:rPr>
        <w:tab/>
      </w:r>
      <w:r w:rsidRPr="00FB7B9C">
        <w:rPr>
          <w:rFonts w:eastAsia="Calibri"/>
        </w:rPr>
        <w:tab/>
      </w:r>
      <w:r w:rsidRPr="00FB7B9C" w:rsidR="00FB7B9C">
        <w:rPr>
          <w:rFonts w:eastAsia="Calibri"/>
        </w:rPr>
        <w:t>Joella Roland</w:t>
      </w:r>
      <w:r w:rsidRPr="00FB7B9C">
        <w:rPr>
          <w:rFonts w:eastAsia="Calibri"/>
        </w:rPr>
        <w:t>, HRSA Information Collection Clearance Officer</w:t>
      </w:r>
    </w:p>
    <w:p w:rsidR="00B92B6C" w:rsidRPr="00B92B6C" w:rsidP="00B92B6C" w14:paraId="06C26FDD" w14:textId="77777777">
      <w:pPr>
        <w:spacing w:after="200" w:line="276" w:lineRule="auto"/>
        <w:ind w:left="2160" w:hanging="2160"/>
        <w:rPr>
          <w:rFonts w:eastAsia="Calibri"/>
          <w:b/>
        </w:rPr>
      </w:pPr>
      <w:r w:rsidRPr="00B92B6C">
        <w:rPr>
          <w:rFonts w:eastAsia="Calibri"/>
          <w:b/>
        </w:rPr>
        <w:t>______________________________________________________________________________</w:t>
      </w:r>
    </w:p>
    <w:p w:rsidR="00B92B6C" w:rsidRPr="00B92B6C" w:rsidP="00B92B6C" w14:paraId="6C4A35D8" w14:textId="254F5DEE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Request</w:t>
      </w:r>
      <w:r w:rsidRPr="00B92B6C">
        <w:rPr>
          <w:rFonts w:eastAsia="Calibri"/>
        </w:rPr>
        <w:t xml:space="preserve">: </w:t>
      </w:r>
      <w:r w:rsidRPr="00B92B6C">
        <w:rPr>
          <w:rFonts w:eastAsia="Calibri"/>
        </w:rPr>
        <w:tab/>
        <w:t xml:space="preserve">The Health Resources and Services Administration (HRSA) </w:t>
      </w:r>
      <w:r w:rsidR="0085434D">
        <w:rPr>
          <w:rFonts w:eastAsia="Calibri"/>
        </w:rPr>
        <w:t xml:space="preserve">Office of Federal Assistance Management </w:t>
      </w:r>
      <w:r w:rsidRPr="00B92B6C">
        <w:rPr>
          <w:rFonts w:eastAsia="Calibri"/>
        </w:rPr>
        <w:t xml:space="preserve">requests approval for changes to the </w:t>
      </w:r>
      <w:r w:rsidRPr="00B12180" w:rsidR="00384238">
        <w:rPr>
          <w:rFonts w:eastAsia="Calibri"/>
        </w:rPr>
        <w:t xml:space="preserve">COVID-19 Provider Relief Programs Single and Commercial Audits and Delinquent Audit </w:t>
      </w:r>
      <w:r w:rsidRPr="00B12180" w:rsidR="00B12180">
        <w:rPr>
          <w:rFonts w:eastAsia="Calibri"/>
        </w:rPr>
        <w:t>Reporting Submission Activities</w:t>
      </w:r>
      <w:r w:rsidRPr="00B12180" w:rsidR="00D07DD8">
        <w:rPr>
          <w:rFonts w:eastAsia="Calibri"/>
        </w:rPr>
        <w:t xml:space="preserve"> </w:t>
      </w:r>
      <w:r w:rsidRPr="00B12180" w:rsidR="001C250A">
        <w:rPr>
          <w:rFonts w:eastAsia="Calibri"/>
        </w:rPr>
        <w:t xml:space="preserve">(OMB </w:t>
      </w:r>
      <w:r w:rsidR="008915BF">
        <w:rPr>
          <w:rFonts w:eastAsia="Calibri"/>
        </w:rPr>
        <w:t>0915</w:t>
      </w:r>
      <w:r w:rsidR="004E6749">
        <w:rPr>
          <w:rFonts w:eastAsia="Calibri"/>
        </w:rPr>
        <w:t>/</w:t>
      </w:r>
      <w:r w:rsidRPr="00B12180" w:rsidR="002B2C62">
        <w:rPr>
          <w:rFonts w:eastAsia="Calibri"/>
        </w:rPr>
        <w:t>09</w:t>
      </w:r>
      <w:r w:rsidRPr="00B12180" w:rsidR="000E1245">
        <w:rPr>
          <w:rFonts w:eastAsia="Calibri"/>
        </w:rPr>
        <w:t>06</w:t>
      </w:r>
      <w:r w:rsidRPr="00B12180" w:rsidR="00D157E0">
        <w:rPr>
          <w:rFonts w:eastAsia="Calibri"/>
        </w:rPr>
        <w:t>-</w:t>
      </w:r>
      <w:r w:rsidRPr="00B12180" w:rsidR="00C76C18">
        <w:rPr>
          <w:rFonts w:eastAsia="Calibri"/>
        </w:rPr>
        <w:t>0</w:t>
      </w:r>
      <w:r w:rsidRPr="00B12180" w:rsidR="000E1245">
        <w:rPr>
          <w:rFonts w:eastAsia="Calibri"/>
        </w:rPr>
        <w:t>083</w:t>
      </w:r>
      <w:r w:rsidRPr="00B12180">
        <w:rPr>
          <w:rFonts w:eastAsia="Calibri"/>
        </w:rPr>
        <w:t xml:space="preserve"> expiration date </w:t>
      </w:r>
      <w:r w:rsidR="004B2305">
        <w:rPr>
          <w:rFonts w:eastAsia="Calibri"/>
        </w:rPr>
        <w:t>08/</w:t>
      </w:r>
      <w:r w:rsidR="00D157E0">
        <w:rPr>
          <w:rFonts w:eastAsia="Calibri"/>
        </w:rPr>
        <w:t>31/2024</w:t>
      </w:r>
      <w:r w:rsidRPr="00ED3751">
        <w:rPr>
          <w:rFonts w:eastAsia="Calibri"/>
        </w:rPr>
        <w:t>).</w:t>
      </w:r>
      <w:r w:rsidRPr="00B92B6C">
        <w:rPr>
          <w:rFonts w:eastAsia="Calibri"/>
        </w:rPr>
        <w:t xml:space="preserve"> </w:t>
      </w:r>
    </w:p>
    <w:p w:rsidR="00C456A8" w:rsidP="006A2831" w14:paraId="44EC5A03" w14:textId="173E4AED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Purpose</w:t>
      </w:r>
      <w:r w:rsidRPr="00B92B6C">
        <w:rPr>
          <w:rFonts w:eastAsia="Calibri"/>
        </w:rPr>
        <w:t xml:space="preserve">: </w:t>
      </w:r>
      <w:r w:rsidRPr="00B92B6C">
        <w:rPr>
          <w:rFonts w:eastAsia="Calibri"/>
        </w:rPr>
        <w:tab/>
        <w:t xml:space="preserve">The purpose of this request </w:t>
      </w:r>
      <w:r w:rsidR="002B2C62">
        <w:rPr>
          <w:rFonts w:eastAsia="Calibri"/>
        </w:rPr>
        <w:t xml:space="preserve">is to make changes to </w:t>
      </w:r>
      <w:r w:rsidR="009C61FB">
        <w:rPr>
          <w:rFonts w:eastAsia="Calibri"/>
        </w:rPr>
        <w:t xml:space="preserve">the </w:t>
      </w:r>
      <w:r w:rsidR="00E64CA4">
        <w:rPr>
          <w:rFonts w:eastAsia="Calibri"/>
        </w:rPr>
        <w:t>Question Cost Attestation Form and the Delinquent Audit Attestation Form</w:t>
      </w:r>
      <w:r w:rsidR="007D4C06">
        <w:rPr>
          <w:rFonts w:eastAsia="Calibri"/>
        </w:rPr>
        <w:t xml:space="preserve">. The </w:t>
      </w:r>
      <w:r w:rsidR="00225417">
        <w:rPr>
          <w:rFonts w:eastAsia="Calibri"/>
        </w:rPr>
        <w:t xml:space="preserve">changes provide clarification </w:t>
      </w:r>
      <w:r w:rsidR="00F01F33">
        <w:rPr>
          <w:rFonts w:eastAsia="Calibri"/>
        </w:rPr>
        <w:t>to the information requested in the forms</w:t>
      </w:r>
      <w:r w:rsidR="001C3F53">
        <w:rPr>
          <w:rFonts w:eastAsia="Calibri"/>
        </w:rPr>
        <w:t xml:space="preserve"> related to the attestation statements,</w:t>
      </w:r>
      <w:r w:rsidR="00782418">
        <w:rPr>
          <w:rFonts w:eastAsia="Calibri"/>
        </w:rPr>
        <w:t xml:space="preserve"> organization information collected, and</w:t>
      </w:r>
      <w:r w:rsidR="00F45CF7">
        <w:rPr>
          <w:rFonts w:eastAsia="Calibri"/>
        </w:rPr>
        <w:t xml:space="preserve"> all of Provider Relief Programs covered</w:t>
      </w:r>
      <w:r w:rsidR="006A2831">
        <w:rPr>
          <w:rFonts w:eastAsia="Calibri"/>
        </w:rPr>
        <w:t xml:space="preserve">. </w:t>
      </w:r>
      <w:r w:rsidR="001C3F53">
        <w:rPr>
          <w:rFonts w:eastAsia="Calibri"/>
        </w:rPr>
        <w:t xml:space="preserve"> </w:t>
      </w:r>
    </w:p>
    <w:p w:rsidR="00E4624F" w:rsidRPr="00E4624F" w:rsidP="00E4624F" w14:paraId="76F8CA29" w14:textId="4170733E">
      <w:pPr>
        <w:spacing w:after="200" w:line="276" w:lineRule="auto"/>
        <w:ind w:left="2160"/>
        <w:rPr>
          <w:rFonts w:eastAsia="Calibri"/>
          <w:b/>
        </w:rPr>
      </w:pPr>
      <w:r>
        <w:rPr>
          <w:rFonts w:eastAsia="Calibri"/>
        </w:rPr>
        <w:t>T</w:t>
      </w:r>
      <w:r w:rsidRPr="00B92B6C">
        <w:rPr>
          <w:rFonts w:eastAsia="Calibri"/>
        </w:rPr>
        <w:t xml:space="preserve">his memo </w:t>
      </w:r>
      <w:r>
        <w:rPr>
          <w:rFonts w:eastAsia="Calibri"/>
        </w:rPr>
        <w:t>explains t</w:t>
      </w:r>
      <w:r w:rsidRPr="00B92B6C" w:rsidR="00B92B6C">
        <w:rPr>
          <w:rFonts w:eastAsia="Calibri"/>
        </w:rPr>
        <w:t xml:space="preserve">he changes and supporting rationale. </w:t>
      </w:r>
      <w:r w:rsidR="00C456A8">
        <w:rPr>
          <w:rFonts w:eastAsia="Calibri"/>
          <w:b/>
        </w:rPr>
        <w:tab/>
      </w:r>
    </w:p>
    <w:p w:rsidR="00141E59" w:rsidP="00E82116" w14:paraId="3D7315A6" w14:textId="7FE6B913">
      <w:pPr>
        <w:spacing w:after="200" w:line="276" w:lineRule="auto"/>
        <w:ind w:left="2160" w:hanging="2160"/>
        <w:rPr>
          <w:rFonts w:eastAsia="Calibri"/>
        </w:rPr>
      </w:pPr>
      <w:r w:rsidRPr="00C456A8">
        <w:rPr>
          <w:rFonts w:eastAsia="Calibri"/>
          <w:b/>
          <w:bCs/>
        </w:rPr>
        <w:t>Changes:</w:t>
      </w:r>
      <w:r w:rsidR="00053774">
        <w:rPr>
          <w:rFonts w:eastAsia="Calibri"/>
        </w:rPr>
        <w:t xml:space="preserve"> </w:t>
      </w:r>
      <w:r w:rsidR="00E82116">
        <w:rPr>
          <w:rFonts w:eastAsia="Calibri"/>
          <w:b/>
          <w:bCs/>
        </w:rPr>
        <w:tab/>
      </w:r>
      <w:r w:rsidR="00EF41AD">
        <w:rPr>
          <w:rFonts w:eastAsia="Calibri"/>
        </w:rPr>
        <w:t>Table A</w:t>
      </w:r>
      <w:r w:rsidR="00ED3751">
        <w:rPr>
          <w:rFonts w:eastAsia="Calibri"/>
        </w:rPr>
        <w:t xml:space="preserve"> includes the </w:t>
      </w:r>
      <w:r>
        <w:rPr>
          <w:rFonts w:eastAsia="Calibri"/>
        </w:rPr>
        <w:t xml:space="preserve">type of </w:t>
      </w:r>
      <w:r w:rsidR="00ED3751">
        <w:rPr>
          <w:rFonts w:eastAsia="Calibri"/>
        </w:rPr>
        <w:t xml:space="preserve">instrument that received the change, </w:t>
      </w:r>
      <w:r>
        <w:rPr>
          <w:rFonts w:eastAsia="Calibri"/>
        </w:rPr>
        <w:t xml:space="preserve">a </w:t>
      </w:r>
      <w:r w:rsidR="00ED3751">
        <w:rPr>
          <w:rFonts w:eastAsia="Calibri"/>
        </w:rPr>
        <w:t>description of the change</w:t>
      </w:r>
      <w:r w:rsidR="00EF41AD">
        <w:rPr>
          <w:rFonts w:eastAsia="Calibri"/>
        </w:rPr>
        <w:t xml:space="preserve">, and </w:t>
      </w:r>
      <w:r>
        <w:rPr>
          <w:rFonts w:eastAsia="Calibri"/>
        </w:rPr>
        <w:t xml:space="preserve">the </w:t>
      </w:r>
      <w:r w:rsidR="00EF41AD">
        <w:rPr>
          <w:rFonts w:eastAsia="Calibri"/>
        </w:rPr>
        <w:t>rationale for the change</w:t>
      </w:r>
      <w:r w:rsidR="00ED3751">
        <w:rPr>
          <w:rFonts w:eastAsia="Calibri"/>
        </w:rPr>
        <w:t xml:space="preserve">. </w:t>
      </w:r>
      <w:r w:rsidR="00914F17">
        <w:rPr>
          <w:rFonts w:eastAsia="Calibri"/>
        </w:rPr>
        <w:t xml:space="preserve">Attached are </w:t>
      </w:r>
      <w:r w:rsidR="00EF41AD">
        <w:rPr>
          <w:rFonts w:eastAsia="Calibri"/>
        </w:rPr>
        <w:t xml:space="preserve">the </w:t>
      </w:r>
      <w:r w:rsidR="00E82116">
        <w:rPr>
          <w:rFonts w:eastAsia="Calibri"/>
        </w:rPr>
        <w:t>Questioned Cost Attestation Form and the Delinquent Audit Follow-up Attestation Form</w:t>
      </w:r>
      <w:r>
        <w:rPr>
          <w:rFonts w:eastAsia="Calibri"/>
        </w:rPr>
        <w:t xml:space="preserve"> </w:t>
      </w:r>
      <w:r w:rsidR="00914F17">
        <w:rPr>
          <w:rFonts w:eastAsia="Calibri"/>
        </w:rPr>
        <w:t>with the changes tracked, for reference.</w:t>
      </w:r>
      <w:r>
        <w:rPr>
          <w:rFonts w:eastAsia="Calibri"/>
        </w:rPr>
        <w:t xml:space="preserve"> </w:t>
      </w:r>
      <w:r w:rsidRPr="00B92B6C" w:rsidR="00B92B6C">
        <w:rPr>
          <w:rFonts w:eastAsia="Calibri"/>
        </w:rPr>
        <w:t>The overall scope o</w:t>
      </w:r>
      <w:r w:rsidR="001709E2">
        <w:rPr>
          <w:rFonts w:eastAsia="Calibri"/>
        </w:rPr>
        <w:t>f change</w:t>
      </w:r>
      <w:r w:rsidR="00E82116">
        <w:rPr>
          <w:rFonts w:eastAsia="Calibri"/>
        </w:rPr>
        <w:t xml:space="preserve">s </w:t>
      </w:r>
      <w:r w:rsidR="008F1E21">
        <w:rPr>
          <w:rFonts w:eastAsia="Calibri"/>
        </w:rPr>
        <w:t>is</w:t>
      </w:r>
      <w:r w:rsidR="00D047E3">
        <w:rPr>
          <w:rFonts w:eastAsia="Calibri"/>
        </w:rPr>
        <w:t xml:space="preserve"> to ensure all Provider Relief Programs are include</w:t>
      </w:r>
      <w:r w:rsidR="00CD5418">
        <w:rPr>
          <w:rFonts w:eastAsia="Calibri"/>
        </w:rPr>
        <w:t xml:space="preserve">d, plain language is utilized, and </w:t>
      </w:r>
      <w:r w:rsidR="005510E3">
        <w:rPr>
          <w:rFonts w:eastAsia="Calibri"/>
        </w:rPr>
        <w:t xml:space="preserve">form is formatted for consistent responses </w:t>
      </w:r>
      <w:r w:rsidR="008F1E21">
        <w:rPr>
          <w:rFonts w:eastAsia="Calibri"/>
        </w:rPr>
        <w:t xml:space="preserve">in </w:t>
      </w:r>
      <w:r w:rsidR="005510E3">
        <w:rPr>
          <w:rFonts w:eastAsia="Calibri"/>
        </w:rPr>
        <w:t>DocuSign</w:t>
      </w:r>
      <w:r w:rsidR="008F1E21">
        <w:rPr>
          <w:rFonts w:eastAsia="Calibri"/>
        </w:rPr>
        <w:t>.</w:t>
      </w:r>
    </w:p>
    <w:p w:rsidR="00EC24E4" w:rsidP="00EC24E4" w14:paraId="64B89D5D" w14:textId="77777777">
      <w:pPr>
        <w:spacing w:after="200" w:line="276" w:lineRule="auto"/>
        <w:ind w:left="2160"/>
        <w:rPr>
          <w:rFonts w:eastAsia="Calibri"/>
        </w:rPr>
      </w:pPr>
      <w:r w:rsidRPr="00EC24E4">
        <w:rPr>
          <w:rFonts w:eastAsia="Calibri"/>
        </w:rPr>
        <w:t>Note:  The Delinquent Audit Follow-up Attestation Form is fully factored into the burden statement and the updated version and redline is included under the Delinquent Audit Follow-up Email and Attestation information collection section in ROCIS. Not including it in the original emergency clearance package was an oversight.</w:t>
      </w:r>
    </w:p>
    <w:p w:rsidR="00B92B6C" w:rsidRPr="00B92B6C" w:rsidP="00EC24E4" w14:paraId="29473172" w14:textId="354CF751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Time Sensitivity</w:t>
      </w:r>
      <w:r w:rsidR="00816253">
        <w:rPr>
          <w:rFonts w:eastAsia="Calibri"/>
        </w:rPr>
        <w:t xml:space="preserve">: </w:t>
      </w:r>
      <w:r w:rsidR="00816253">
        <w:rPr>
          <w:rFonts w:eastAsia="Calibri"/>
        </w:rPr>
        <w:tab/>
      </w:r>
      <w:r w:rsidR="00270FE3">
        <w:rPr>
          <w:rFonts w:eastAsia="Calibri"/>
        </w:rPr>
        <w:t xml:space="preserve">The </w:t>
      </w:r>
      <w:r w:rsidRPr="00B92B6C" w:rsidR="00270FE3">
        <w:rPr>
          <w:rFonts w:eastAsia="Calibri"/>
        </w:rPr>
        <w:t xml:space="preserve">data collection changes must be completed in a </w:t>
      </w:r>
      <w:r w:rsidR="00270FE3">
        <w:rPr>
          <w:rFonts w:eastAsia="Calibri"/>
        </w:rPr>
        <w:t xml:space="preserve">timely manner to ensure that the </w:t>
      </w:r>
      <w:r w:rsidR="004271DE">
        <w:rPr>
          <w:rFonts w:eastAsia="Calibri"/>
        </w:rPr>
        <w:t xml:space="preserve">collection of delinquent audits and the completion of audit and dispute resolutions </w:t>
      </w:r>
      <w:r w:rsidR="00270FE3">
        <w:rPr>
          <w:rFonts w:eastAsia="Calibri"/>
        </w:rPr>
        <w:t xml:space="preserve">will not experience significant delay. </w:t>
      </w:r>
      <w:r w:rsidRPr="00B92B6C" w:rsidR="00270FE3">
        <w:rPr>
          <w:rFonts w:eastAsia="Calibri"/>
        </w:rPr>
        <w:t>Approval of</w:t>
      </w:r>
      <w:r w:rsidR="00270FE3">
        <w:rPr>
          <w:rFonts w:eastAsia="Calibri"/>
        </w:rPr>
        <w:t xml:space="preserve"> these changes is needed </w:t>
      </w:r>
      <w:r w:rsidRPr="00D66D58" w:rsidR="00270FE3">
        <w:rPr>
          <w:rFonts w:eastAsia="Calibri"/>
        </w:rPr>
        <w:t>by</w:t>
      </w:r>
      <w:r w:rsidR="004271DE">
        <w:rPr>
          <w:rFonts w:eastAsia="Calibri"/>
        </w:rPr>
        <w:t xml:space="preserve"> </w:t>
      </w:r>
      <w:r w:rsidR="00FB7B9C">
        <w:rPr>
          <w:rFonts w:eastAsia="Calibri"/>
        </w:rPr>
        <w:t>April 2, 2024</w:t>
      </w:r>
      <w:r w:rsidRPr="00D66D58" w:rsidR="00270FE3">
        <w:rPr>
          <w:rFonts w:eastAsia="Calibri"/>
        </w:rPr>
        <w:t>, t</w:t>
      </w:r>
      <w:r w:rsidRPr="00B92B6C" w:rsidR="00270FE3">
        <w:rPr>
          <w:rFonts w:eastAsia="Calibri"/>
        </w:rPr>
        <w:t xml:space="preserve">o implement the changes </w:t>
      </w:r>
      <w:r w:rsidR="00270FE3">
        <w:rPr>
          <w:rFonts w:eastAsia="Calibri"/>
        </w:rPr>
        <w:t>and to prepare for the timely collection of data critical to HRSA</w:t>
      </w:r>
      <w:r w:rsidRPr="00B92B6C" w:rsidR="00270FE3">
        <w:rPr>
          <w:rFonts w:eastAsia="Calibri"/>
        </w:rPr>
        <w:t>.</w:t>
      </w:r>
      <w:r w:rsidR="00270FE3">
        <w:rPr>
          <w:rFonts w:eastAsia="Calibri"/>
        </w:rPr>
        <w:t xml:space="preserve"> </w:t>
      </w:r>
      <w:r w:rsidR="006934A4">
        <w:rPr>
          <w:rFonts w:eastAsia="Calibri"/>
        </w:rPr>
        <w:t xml:space="preserve"> </w:t>
      </w:r>
    </w:p>
    <w:p w:rsidR="00B92B6C" w:rsidRPr="00B92B6C" w:rsidP="00CA5F1A" w14:paraId="2B40BE0E" w14:textId="7AD7789B">
      <w:pPr>
        <w:spacing w:after="200" w:line="276" w:lineRule="auto"/>
        <w:ind w:left="2160" w:hanging="2160"/>
        <w:rPr>
          <w:rFonts w:eastAsia="Calibri"/>
        </w:rPr>
      </w:pPr>
      <w:r w:rsidRPr="118A5B19">
        <w:rPr>
          <w:rFonts w:eastAsia="Calibri"/>
          <w:b/>
          <w:bCs/>
        </w:rPr>
        <w:t>Burden:</w:t>
      </w:r>
      <w:r>
        <w:tab/>
      </w:r>
      <w:r w:rsidR="00CA5F1A">
        <w:t>Th</w:t>
      </w:r>
      <w:r w:rsidRPr="118A5B19">
        <w:rPr>
          <w:rFonts w:eastAsia="Calibri"/>
        </w:rPr>
        <w:t>e</w:t>
      </w:r>
      <w:r w:rsidRPr="118A5B19" w:rsidR="008E1E20">
        <w:rPr>
          <w:rFonts w:eastAsia="Calibri"/>
        </w:rPr>
        <w:t xml:space="preserve">se </w:t>
      </w:r>
      <w:r w:rsidRPr="118A5B19" w:rsidR="004A3B9D">
        <w:rPr>
          <w:rFonts w:eastAsia="Calibri"/>
        </w:rPr>
        <w:t>changes</w:t>
      </w:r>
      <w:r w:rsidRPr="118A5B19">
        <w:rPr>
          <w:rFonts w:eastAsia="Calibri"/>
        </w:rPr>
        <w:t xml:space="preserve"> do not change the estimated reporting burden </w:t>
      </w:r>
      <w:r w:rsidRPr="118A5B19" w:rsidR="007261EE">
        <w:rPr>
          <w:rFonts w:eastAsia="Calibri"/>
        </w:rPr>
        <w:t>for</w:t>
      </w:r>
      <w:r w:rsidRPr="118A5B19" w:rsidR="00816253">
        <w:rPr>
          <w:rFonts w:eastAsia="Calibri"/>
        </w:rPr>
        <w:t xml:space="preserve"> </w:t>
      </w:r>
      <w:r w:rsidR="00CA5F1A">
        <w:rPr>
          <w:rFonts w:eastAsia="Calibri"/>
        </w:rPr>
        <w:t>organizations</w:t>
      </w:r>
      <w:r w:rsidRPr="118A5B19" w:rsidR="00816253">
        <w:rPr>
          <w:rFonts w:eastAsia="Calibri"/>
        </w:rPr>
        <w:t>.</w:t>
      </w:r>
      <w:r w:rsidRPr="118A5B19" w:rsidR="3C8F4FD9">
        <w:rPr>
          <w:rFonts w:eastAsia="Calibri"/>
        </w:rPr>
        <w:t xml:space="preserve"> </w:t>
      </w:r>
    </w:p>
    <w:p w:rsidR="00B92B6C" w:rsidP="00B92B6C" w14:paraId="2876826F" w14:textId="46DC3F93">
      <w:pPr>
        <w:spacing w:after="200" w:line="276" w:lineRule="auto"/>
        <w:rPr>
          <w:rFonts w:eastAsia="Calibri"/>
          <w:b/>
        </w:rPr>
      </w:pPr>
      <w:r>
        <w:rPr>
          <w:rFonts w:eastAsia="Calibri"/>
          <w:b/>
        </w:rPr>
        <w:br w:type="column"/>
      </w:r>
      <w:r w:rsidRPr="00B92B6C">
        <w:rPr>
          <w:rFonts w:eastAsia="Calibri"/>
          <w:b/>
        </w:rPr>
        <w:t xml:space="preserve">PROPOSED CLARIFICATIONS AND </w:t>
      </w:r>
      <w:r w:rsidR="005114FA">
        <w:rPr>
          <w:rFonts w:eastAsia="Calibri"/>
          <w:b/>
        </w:rPr>
        <w:t>NON-SUBSTANTIVE CHANGES</w:t>
      </w:r>
      <w:r w:rsidRPr="00B92B6C">
        <w:rPr>
          <w:rFonts w:eastAsia="Calibri"/>
          <w:b/>
        </w:rPr>
        <w:t>:</w:t>
      </w:r>
    </w:p>
    <w:p w:rsidR="00EF41AD" w:rsidP="00EF41AD" w14:paraId="2B4B0ED2" w14:textId="711533F7">
      <w:pPr>
        <w:spacing w:line="276" w:lineRule="auto"/>
        <w:outlineLvl w:val="0"/>
        <w:rPr>
          <w:b/>
          <w:u w:val="single"/>
        </w:rPr>
      </w:pPr>
      <w:r>
        <w:rPr>
          <w:b/>
          <w:u w:val="single"/>
        </w:rPr>
        <w:t>Table A</w:t>
      </w:r>
    </w:p>
    <w:p w:rsidR="00053774" w:rsidP="00EF41AD" w14:paraId="55778982" w14:textId="77777777">
      <w:pPr>
        <w:spacing w:line="276" w:lineRule="auto"/>
        <w:outlineLvl w:val="0"/>
        <w:rPr>
          <w:b/>
          <w:u w:val="single"/>
        </w:rPr>
      </w:pPr>
    </w:p>
    <w:tbl>
      <w:tblPr>
        <w:tblStyle w:val="TableGrid"/>
        <w:tblW w:w="7894" w:type="dxa"/>
        <w:tblInd w:w="-5" w:type="dxa"/>
        <w:tblLook w:val="04A0"/>
      </w:tblPr>
      <w:tblGrid>
        <w:gridCol w:w="1350"/>
        <w:gridCol w:w="3313"/>
        <w:gridCol w:w="3231"/>
      </w:tblGrid>
      <w:tr w14:paraId="277662DD" w14:textId="77777777" w:rsidTr="00E82116">
        <w:tblPrEx>
          <w:tblW w:w="7894" w:type="dxa"/>
          <w:tblInd w:w="-5" w:type="dxa"/>
          <w:tblLook w:val="04A0"/>
        </w:tblPrEx>
        <w:trPr>
          <w:trHeight w:val="242"/>
        </w:trPr>
        <w:tc>
          <w:tcPr>
            <w:tcW w:w="1350" w:type="dxa"/>
          </w:tcPr>
          <w:p w:rsidR="00E82116" w:rsidRPr="00ED3751" w:rsidP="00110613" w14:paraId="5EC80E86" w14:textId="77777777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ED3751">
              <w:rPr>
                <w:rFonts w:eastAsia="Calibri"/>
                <w:b/>
                <w:bCs/>
                <w:sz w:val="20"/>
                <w:szCs w:val="20"/>
              </w:rPr>
              <w:t>Instrument</w:t>
            </w:r>
          </w:p>
        </w:tc>
        <w:tc>
          <w:tcPr>
            <w:tcW w:w="3313" w:type="dxa"/>
          </w:tcPr>
          <w:p w:rsidR="00E82116" w:rsidRPr="00ED3751" w:rsidP="00110613" w14:paraId="6CD945B0" w14:textId="77777777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ED3751">
              <w:rPr>
                <w:rFonts w:eastAsia="Calibri"/>
                <w:b/>
                <w:bCs/>
                <w:sz w:val="20"/>
                <w:szCs w:val="20"/>
              </w:rPr>
              <w:t>Change implemented</w:t>
            </w:r>
          </w:p>
        </w:tc>
        <w:tc>
          <w:tcPr>
            <w:tcW w:w="3231" w:type="dxa"/>
          </w:tcPr>
          <w:p w:rsidR="00E82116" w:rsidRPr="00ED3751" w:rsidP="00110613" w14:paraId="66535F28" w14:textId="77777777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Rationale</w:t>
            </w:r>
          </w:p>
        </w:tc>
      </w:tr>
      <w:tr w14:paraId="528C7299" w14:textId="77777777" w:rsidTr="00E82116">
        <w:tblPrEx>
          <w:tblW w:w="7894" w:type="dxa"/>
          <w:tblInd w:w="-5" w:type="dxa"/>
          <w:tblLook w:val="04A0"/>
        </w:tblPrEx>
        <w:tc>
          <w:tcPr>
            <w:tcW w:w="1350" w:type="dxa"/>
          </w:tcPr>
          <w:p w:rsidR="00E82116" w:rsidRPr="00ED3751" w:rsidP="00110613" w14:paraId="03BB9041" w14:textId="124DE8A7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Questioned Cost Attestation Form</w:t>
            </w:r>
          </w:p>
        </w:tc>
        <w:tc>
          <w:tcPr>
            <w:tcW w:w="3313" w:type="dxa"/>
          </w:tcPr>
          <w:p w:rsidR="00E82116" w:rsidRPr="00ED3751" w:rsidP="00110613" w14:paraId="1FFB90BC" w14:textId="6728CE42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Included </w:t>
            </w:r>
            <w:r w:rsidR="008A2F0C">
              <w:rPr>
                <w:rFonts w:eastAsia="Calibri"/>
                <w:sz w:val="20"/>
                <w:szCs w:val="20"/>
              </w:rPr>
              <w:t>American Rescue Plan (ARP) Rural program</w:t>
            </w:r>
            <w:r w:rsidR="001741DC">
              <w:rPr>
                <w:rFonts w:eastAsia="Calibri"/>
                <w:sz w:val="20"/>
                <w:szCs w:val="20"/>
              </w:rPr>
              <w:t xml:space="preserve"> and formatting for DocuSign.</w:t>
            </w:r>
          </w:p>
        </w:tc>
        <w:tc>
          <w:tcPr>
            <w:tcW w:w="3231" w:type="dxa"/>
          </w:tcPr>
          <w:p w:rsidR="00B9535A" w:rsidP="00110613" w14:paraId="10EC4129" w14:textId="7C00285B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Minor edits made to the attestation form to</w:t>
            </w:r>
            <w:r w:rsidR="001A465C">
              <w:rPr>
                <w:rFonts w:eastAsia="Calibri"/>
                <w:sz w:val="20"/>
                <w:szCs w:val="20"/>
              </w:rPr>
              <w:t xml:space="preserve"> ensure the form covers all applicable Provider Relief Programs</w:t>
            </w:r>
            <w:r w:rsidR="00ED47FE">
              <w:rPr>
                <w:rFonts w:eastAsia="Calibri"/>
                <w:sz w:val="20"/>
                <w:szCs w:val="20"/>
              </w:rPr>
              <w:t xml:space="preserve"> </w:t>
            </w:r>
            <w:r w:rsidRPr="00DB39A7">
              <w:rPr>
                <w:rFonts w:eastAsia="Calibri"/>
                <w:sz w:val="20"/>
                <w:szCs w:val="20"/>
              </w:rPr>
              <w:t>and form is formatted for DocuSign.</w:t>
            </w:r>
          </w:p>
        </w:tc>
      </w:tr>
      <w:tr w14:paraId="76CC485F" w14:textId="77777777" w:rsidTr="00E82116">
        <w:tblPrEx>
          <w:tblW w:w="7894" w:type="dxa"/>
          <w:tblInd w:w="-5" w:type="dxa"/>
          <w:tblLook w:val="04A0"/>
        </w:tblPrEx>
        <w:tc>
          <w:tcPr>
            <w:tcW w:w="1350" w:type="dxa"/>
          </w:tcPr>
          <w:p w:rsidR="00E82116" w:rsidP="00110613" w14:paraId="23792381" w14:textId="12E5C0C3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Delinquent Audit Follow-up Attestation Form </w:t>
            </w:r>
          </w:p>
        </w:tc>
        <w:tc>
          <w:tcPr>
            <w:tcW w:w="3313" w:type="dxa"/>
          </w:tcPr>
          <w:p w:rsidR="00E82116" w:rsidP="00110613" w14:paraId="1E392EC3" w14:textId="442BE04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Included American Rescue Plan (ARP) Rural and COVID-19 Coverage Assistance Fund (CAF) programs</w:t>
            </w:r>
            <w:r w:rsidR="00ED47FE">
              <w:rPr>
                <w:rFonts w:eastAsia="Calibri"/>
                <w:sz w:val="20"/>
                <w:szCs w:val="20"/>
              </w:rPr>
              <w:t>, utilized plain language,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29221A">
              <w:rPr>
                <w:rFonts w:eastAsia="Calibri"/>
                <w:sz w:val="20"/>
                <w:szCs w:val="20"/>
              </w:rPr>
              <w:t xml:space="preserve">and made </w:t>
            </w:r>
            <w:r w:rsidR="00ED47FE">
              <w:rPr>
                <w:rFonts w:eastAsia="Calibri"/>
                <w:sz w:val="20"/>
                <w:szCs w:val="20"/>
              </w:rPr>
              <w:t xml:space="preserve">formatting edits </w:t>
            </w:r>
            <w:r w:rsidR="0029221A">
              <w:rPr>
                <w:rFonts w:eastAsia="Calibri"/>
                <w:sz w:val="20"/>
                <w:szCs w:val="20"/>
              </w:rPr>
              <w:t>for DocuSign.</w:t>
            </w:r>
          </w:p>
        </w:tc>
        <w:tc>
          <w:tcPr>
            <w:tcW w:w="3231" w:type="dxa"/>
          </w:tcPr>
          <w:p w:rsidR="00E82116" w:rsidP="00110613" w14:paraId="12C3A637" w14:textId="0D2FF555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Minor edits made to the attestation form to ensure the form covers all applicable Provider Relief Programs, </w:t>
            </w:r>
            <w:r w:rsidRPr="00DB39A7">
              <w:rPr>
                <w:rFonts w:eastAsia="Calibri"/>
                <w:sz w:val="20"/>
                <w:szCs w:val="20"/>
              </w:rPr>
              <w:t>plain language is utilized, and form is formatted for consistent responses in DocuSign.</w:t>
            </w:r>
          </w:p>
        </w:tc>
      </w:tr>
    </w:tbl>
    <w:p w:rsidR="00053774" w:rsidP="00EF41AD" w14:paraId="3F814F32" w14:textId="77777777">
      <w:pPr>
        <w:spacing w:line="276" w:lineRule="auto"/>
        <w:outlineLvl w:val="0"/>
        <w:rPr>
          <w:b/>
          <w:u w:val="single"/>
        </w:rPr>
      </w:pPr>
    </w:p>
    <w:p w:rsidR="00053774" w:rsidP="00EF41AD" w14:paraId="366B17AC" w14:textId="77777777">
      <w:pPr>
        <w:spacing w:line="276" w:lineRule="auto"/>
        <w:outlineLvl w:val="0"/>
        <w:rPr>
          <w:b/>
          <w:u w:val="single"/>
        </w:rPr>
      </w:pPr>
    </w:p>
    <w:p w:rsidR="00B92B6C" w:rsidRPr="00B92B6C" w:rsidP="00F8193D" w14:paraId="4A325EA8" w14:textId="3B98090C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</w:rPr>
      </w:pPr>
    </w:p>
    <w:p w:rsidR="00DE2FF6" w:rsidRPr="00CA5F1A" w:rsidP="00CA5F1A" w14:paraId="2F85B67B" w14:textId="17F69797">
      <w:pPr>
        <w:keepNext/>
        <w:spacing w:after="200" w:line="276" w:lineRule="auto"/>
        <w:rPr>
          <w:rFonts w:eastAsia="Calibri"/>
          <w:b/>
        </w:rPr>
      </w:pPr>
      <w:r w:rsidRPr="00B92B6C">
        <w:rPr>
          <w:rFonts w:eastAsia="Calibri"/>
          <w:b/>
        </w:rPr>
        <w:t>Attachments:</w:t>
      </w:r>
    </w:p>
    <w:p w:rsidR="00B92B6C" w:rsidRPr="00B92B6C" w:rsidP="00B92B6C" w14:paraId="23BBD0D9" w14:textId="7C20A5A8">
      <w:pPr>
        <w:numPr>
          <w:ilvl w:val="0"/>
          <w:numId w:val="6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Questioned Cost Attestation </w:t>
      </w:r>
      <w:r w:rsidR="00C80514">
        <w:rPr>
          <w:rFonts w:eastAsia="Calibri"/>
        </w:rPr>
        <w:t>(All changes</w:t>
      </w:r>
      <w:r w:rsidR="006A4E88">
        <w:rPr>
          <w:rFonts w:eastAsia="Calibri"/>
        </w:rPr>
        <w:t xml:space="preserve"> and additions are tracked</w:t>
      </w:r>
      <w:r w:rsidR="00C80514">
        <w:rPr>
          <w:rFonts w:eastAsia="Calibri"/>
        </w:rPr>
        <w:t xml:space="preserve"> </w:t>
      </w:r>
      <w:r w:rsidR="006A4E88">
        <w:rPr>
          <w:rFonts w:eastAsia="Calibri"/>
        </w:rPr>
        <w:t>in the</w:t>
      </w:r>
      <w:r w:rsidR="00C80514">
        <w:rPr>
          <w:rFonts w:eastAsia="Calibri"/>
        </w:rPr>
        <w:t xml:space="preserve"> attached document)</w:t>
      </w:r>
    </w:p>
    <w:p w:rsidR="009C61FB" w:rsidRPr="00B92B6C" w:rsidP="009C61FB" w14:paraId="1F63D02B" w14:textId="16316D33">
      <w:pPr>
        <w:numPr>
          <w:ilvl w:val="0"/>
          <w:numId w:val="6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Delinquent Audit Follow-up Attestation </w:t>
      </w:r>
      <w:r w:rsidR="006A4E88">
        <w:rPr>
          <w:rFonts w:eastAsia="Calibri"/>
        </w:rPr>
        <w:t>(All changes and additions are tracked in the attached document)</w:t>
      </w:r>
    </w:p>
    <w:p w:rsidR="00D47431" w:rsidP="00D47431" w14:paraId="6161513E" w14:textId="6D76910F">
      <w:pPr>
        <w:spacing w:after="200" w:line="276" w:lineRule="auto"/>
        <w:rPr>
          <w:rFonts w:eastAsia="Calibri"/>
        </w:rPr>
      </w:pPr>
    </w:p>
    <w:sectPr w:rsidSect="00DB2ED0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490528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2B6C" w14:paraId="3701255B" w14:textId="4074B5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D0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92B6C" w14:paraId="03906C3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0EC9" w:rsidP="00E60EC9" w14:paraId="49DBEF95" w14:textId="50F795C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F41D5" w:rsidP="00DF41D5" w14:paraId="3A758905" w14:textId="6C1B350C">
    <w:pPr>
      <w:widowControl w:val="0"/>
      <w:tabs>
        <w:tab w:val="left" w:pos="1540"/>
      </w:tabs>
      <w:autoSpaceDE w:val="0"/>
      <w:autoSpaceDN w:val="0"/>
      <w:spacing w:before="80"/>
      <w:ind w:left="-360" w:hanging="4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  <w:r w:rsidRPr="00146E41">
      <w:rPr>
        <w:rFonts w:eastAsia="Calibri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5236422</wp:posOffset>
          </wp:positionH>
          <wp:positionV relativeFrom="paragraph">
            <wp:posOffset>-148590</wp:posOffset>
          </wp:positionV>
          <wp:extent cx="1033455" cy="1044269"/>
          <wp:effectExtent l="0" t="0" r="0" b="3810"/>
          <wp:wrapNone/>
          <wp:docPr id="9" name="Picture 9" descr="Department of Health and Human Services, 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695328733" descr="Department of Health and Human Services, USA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455" cy="1044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058">
      <w:rPr>
        <w:rFonts w:eastAsia="Calibri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-270722</wp:posOffset>
          </wp:positionH>
          <wp:positionV relativeFrom="paragraph">
            <wp:posOffset>-66675</wp:posOffset>
          </wp:positionV>
          <wp:extent cx="1536065" cy="590550"/>
          <wp:effectExtent l="0" t="0" r="6985" b="0"/>
          <wp:wrapNone/>
          <wp:docPr id="892768734" name="Picture 892768734" descr="Health Resources and Services Administration (HRS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768734" name="Picture 892768734" descr="Health Resources and Services Administration (HRSA)"/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6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F41D5" w:rsidP="00DF41D5" w14:paraId="4A166998" w14:textId="0D9B4099">
    <w:pPr>
      <w:widowControl w:val="0"/>
      <w:tabs>
        <w:tab w:val="left" w:pos="1540"/>
      </w:tabs>
      <w:autoSpaceDE w:val="0"/>
      <w:autoSpaceDN w:val="0"/>
      <w:spacing w:before="80"/>
      <w:ind w:left="-360" w:hanging="4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</w:p>
  <w:p w:rsidR="00DF41D5" w:rsidRPr="00D1135B" w:rsidP="00DF41D5" w14:paraId="58DDD1D2" w14:textId="77777777">
    <w:pPr>
      <w:widowControl w:val="0"/>
      <w:tabs>
        <w:tab w:val="left" w:pos="1540"/>
      </w:tabs>
      <w:autoSpaceDE w:val="0"/>
      <w:autoSpaceDN w:val="0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</w:p>
  <w:p w:rsidR="00DF41D5" w:rsidP="00DF41D5" w14:paraId="50C74AD1" w14:textId="77777777">
    <w:pPr>
      <w:widowControl w:val="0"/>
      <w:tabs>
        <w:tab w:val="left" w:pos="1540"/>
      </w:tabs>
      <w:autoSpaceDE w:val="0"/>
      <w:autoSpaceDN w:val="0"/>
      <w:ind w:left="-360"/>
      <w:outlineLvl w:val="0"/>
      <w:rPr>
        <w:rFonts w:ascii="Arial Nova Cond" w:hAnsi="Arial Nova Cond"/>
        <w:color w:val="000000" w:themeColor="text1"/>
        <w:sz w:val="20"/>
        <w:szCs w:val="20"/>
      </w:rPr>
    </w:pPr>
    <w:r w:rsidRPr="00696C96">
      <w:rPr>
        <w:rFonts w:ascii="Arial Nova Cond" w:hAnsi="Arial Nova Cond"/>
        <w:color w:val="000000" w:themeColor="text1"/>
        <w:sz w:val="20"/>
        <w:szCs w:val="20"/>
      </w:rPr>
      <w:t>5600 Fishers Lane</w:t>
    </w:r>
  </w:p>
  <w:p w:rsidR="00DF41D5" w:rsidRPr="00971770" w:rsidP="00DF41D5" w14:paraId="088E127D" w14:textId="77777777">
    <w:pPr>
      <w:widowControl w:val="0"/>
      <w:tabs>
        <w:tab w:val="left" w:pos="1540"/>
      </w:tabs>
      <w:autoSpaceDE w:val="0"/>
      <w:autoSpaceDN w:val="0"/>
      <w:ind w:left="-360"/>
      <w:outlineLvl w:val="0"/>
      <w:rPr>
        <w:rFonts w:ascii="Arial Nova Cond" w:hAnsi="Arial Nova Cond"/>
        <w:color w:val="000000" w:themeColor="text1"/>
        <w:sz w:val="20"/>
        <w:szCs w:val="20"/>
      </w:rPr>
    </w:pPr>
    <w:r w:rsidRPr="00696C96">
      <w:rPr>
        <w:rFonts w:ascii="Arial Nova Cond" w:hAnsi="Arial Nova Cond"/>
        <w:color w:val="000000" w:themeColor="text1"/>
        <w:sz w:val="20"/>
        <w:szCs w:val="20"/>
      </w:rPr>
      <w:t>Rockville, MD 20857</w:t>
    </w:r>
  </w:p>
  <w:p w:rsidR="00E60EC9" w:rsidRPr="00DF41D5" w:rsidP="00DF41D5" w14:paraId="49DBEF9F" w14:textId="2F6BF67B">
    <w:pPr>
      <w:pStyle w:val="Header"/>
    </w:pPr>
    <w:r w:rsidRPr="001048BB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column">
                <wp:posOffset>-233680</wp:posOffset>
              </wp:positionH>
              <wp:positionV relativeFrom="paragraph">
                <wp:posOffset>44450</wp:posOffset>
              </wp:positionV>
              <wp:extent cx="6553835" cy="45085"/>
              <wp:effectExtent l="0" t="0" r="0" b="0"/>
              <wp:wrapThrough wrapText="bothSides">
                <wp:wrapPolygon>
                  <wp:start x="0" y="0"/>
                  <wp:lineTo x="0" y="9127"/>
                  <wp:lineTo x="21535" y="9127"/>
                  <wp:lineTo x="21535" y="0"/>
                  <wp:lineTo x="0" y="0"/>
                </wp:wrapPolygon>
              </wp:wrapThrough>
              <wp:docPr id="4" name="Freeform 13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553835" cy="45085"/>
                      </a:xfrm>
                      <a:custGeom>
                        <a:avLst/>
                        <a:gdLst>
                          <a:gd name="T0" fmla="*/ 0 w 12206"/>
                          <a:gd name="T1" fmla="*/ 0 h 120"/>
                          <a:gd name="T2" fmla="*/ 0 w 12206"/>
                          <a:gd name="T3" fmla="*/ 119 h 120"/>
                          <a:gd name="T4" fmla="*/ 12205 w 12206"/>
                          <a:gd name="T5" fmla="*/ 119 h 120"/>
                          <a:gd name="T6" fmla="*/ 12205 w 12206"/>
                          <a:gd name="T7" fmla="*/ 0 h 120"/>
                          <a:gd name="T8" fmla="*/ 0 w 12206"/>
                          <a:gd name="T9" fmla="*/ 0 h 120"/>
                        </a:gdLst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fill="norm" h="120" w="12206" stroke="1">
                            <a:moveTo>
                              <a:pt x="0" y="0"/>
                            </a:moveTo>
                            <a:lnTo>
                              <a:pt x="0" y="119"/>
                            </a:lnTo>
                            <a:lnTo>
                              <a:pt x="12205" y="119"/>
                            </a:lnTo>
                            <a:lnTo>
                              <a:pt x="1220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388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13" o:spid="_x0000_s2049" alt="&quot;&quot;" style="width:516.05pt;height:3.55pt;margin-top:3.5pt;margin-left:-18.4pt;mso-height-percent:0;mso-height-relative:margin;mso-width-percent:0;mso-width-relative:margin;mso-wrap-distance-bottom:0;mso-wrap-distance-left:0;mso-wrap-distance-right:0;mso-wrap-distance-top:0;mso-wrap-style:square;position:absolute;visibility:visible;v-text-anchor:top;z-index:251659264" coordsize="12206,120" path="m,l,119l12205,119l12205,,,xe" fillcolor="#001388" stroked="f">
              <v:path arrowok="t" o:connecttype="custom" o:connectlocs="0,0;0,44709;6553298,44709;6553298,0;0,0" o:connectangles="0,0,0,0,0"/>
              <o:lock v:ext="edit" aspectratio="t"/>
              <w10:wrap type="throug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2922D1"/>
    <w:multiLevelType w:val="hybridMultilevel"/>
    <w:tmpl w:val="B1DE09D0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FB14D14"/>
    <w:multiLevelType w:val="hybridMultilevel"/>
    <w:tmpl w:val="3A88FCE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82945"/>
    <w:multiLevelType w:val="hybridMultilevel"/>
    <w:tmpl w:val="DE8A10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91A32"/>
    <w:multiLevelType w:val="hybridMultilevel"/>
    <w:tmpl w:val="B67E9FC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D604C"/>
    <w:multiLevelType w:val="hybridMultilevel"/>
    <w:tmpl w:val="214E2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C0DFE"/>
    <w:multiLevelType w:val="hybridMultilevel"/>
    <w:tmpl w:val="09601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777302">
    <w:abstractNumId w:val="1"/>
  </w:num>
  <w:num w:numId="2" w16cid:durableId="1189493300">
    <w:abstractNumId w:val="0"/>
  </w:num>
  <w:num w:numId="3" w16cid:durableId="1131703119">
    <w:abstractNumId w:val="4"/>
  </w:num>
  <w:num w:numId="4" w16cid:durableId="77140030">
    <w:abstractNumId w:val="5"/>
  </w:num>
  <w:num w:numId="5" w16cid:durableId="818227811">
    <w:abstractNumId w:val="2"/>
  </w:num>
  <w:num w:numId="6" w16cid:durableId="412043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EE"/>
    <w:rsid w:val="00003763"/>
    <w:rsid w:val="0001164D"/>
    <w:rsid w:val="0004504B"/>
    <w:rsid w:val="00045B42"/>
    <w:rsid w:val="00053774"/>
    <w:rsid w:val="00054659"/>
    <w:rsid w:val="00073F1E"/>
    <w:rsid w:val="00077FC4"/>
    <w:rsid w:val="00083190"/>
    <w:rsid w:val="00086224"/>
    <w:rsid w:val="00086A3E"/>
    <w:rsid w:val="000A7DE4"/>
    <w:rsid w:val="000D2751"/>
    <w:rsid w:val="000D4ED8"/>
    <w:rsid w:val="000E1245"/>
    <w:rsid w:val="000E5DF0"/>
    <w:rsid w:val="000E7CCD"/>
    <w:rsid w:val="000F2103"/>
    <w:rsid w:val="00110613"/>
    <w:rsid w:val="00122B02"/>
    <w:rsid w:val="00126866"/>
    <w:rsid w:val="00141E59"/>
    <w:rsid w:val="00142733"/>
    <w:rsid w:val="00161207"/>
    <w:rsid w:val="00161D18"/>
    <w:rsid w:val="001626D3"/>
    <w:rsid w:val="001709E2"/>
    <w:rsid w:val="001741DC"/>
    <w:rsid w:val="00184624"/>
    <w:rsid w:val="00190C2F"/>
    <w:rsid w:val="00191CE9"/>
    <w:rsid w:val="00193E7F"/>
    <w:rsid w:val="001A465C"/>
    <w:rsid w:val="001A5F8A"/>
    <w:rsid w:val="001C250A"/>
    <w:rsid w:val="001C3F53"/>
    <w:rsid w:val="001E08B7"/>
    <w:rsid w:val="001E257B"/>
    <w:rsid w:val="001F1678"/>
    <w:rsid w:val="001F177E"/>
    <w:rsid w:val="001F7458"/>
    <w:rsid w:val="00204028"/>
    <w:rsid w:val="00225417"/>
    <w:rsid w:val="00233631"/>
    <w:rsid w:val="00254744"/>
    <w:rsid w:val="002558F1"/>
    <w:rsid w:val="00255B93"/>
    <w:rsid w:val="0025694D"/>
    <w:rsid w:val="00270D9F"/>
    <w:rsid w:val="00270FE3"/>
    <w:rsid w:val="002774D5"/>
    <w:rsid w:val="0029221A"/>
    <w:rsid w:val="002940FF"/>
    <w:rsid w:val="002B17DB"/>
    <w:rsid w:val="002B1E19"/>
    <w:rsid w:val="002B2C62"/>
    <w:rsid w:val="00301C0B"/>
    <w:rsid w:val="00310E49"/>
    <w:rsid w:val="00332AC4"/>
    <w:rsid w:val="00334D1E"/>
    <w:rsid w:val="003544DE"/>
    <w:rsid w:val="0037258C"/>
    <w:rsid w:val="003747B2"/>
    <w:rsid w:val="00383ECD"/>
    <w:rsid w:val="00384238"/>
    <w:rsid w:val="003901DB"/>
    <w:rsid w:val="003A6602"/>
    <w:rsid w:val="003B2616"/>
    <w:rsid w:val="003B3248"/>
    <w:rsid w:val="003C2DAD"/>
    <w:rsid w:val="003D33F5"/>
    <w:rsid w:val="003D4040"/>
    <w:rsid w:val="003E0442"/>
    <w:rsid w:val="003F0F33"/>
    <w:rsid w:val="004271DE"/>
    <w:rsid w:val="004418A1"/>
    <w:rsid w:val="00441EE8"/>
    <w:rsid w:val="004473B6"/>
    <w:rsid w:val="00456345"/>
    <w:rsid w:val="00460A3D"/>
    <w:rsid w:val="00467E88"/>
    <w:rsid w:val="004870F0"/>
    <w:rsid w:val="00493F65"/>
    <w:rsid w:val="004A289E"/>
    <w:rsid w:val="004A3B9D"/>
    <w:rsid w:val="004B2305"/>
    <w:rsid w:val="004C5BA6"/>
    <w:rsid w:val="004C6261"/>
    <w:rsid w:val="004C67B8"/>
    <w:rsid w:val="004D2B5B"/>
    <w:rsid w:val="004E6749"/>
    <w:rsid w:val="004E6DD2"/>
    <w:rsid w:val="004E733E"/>
    <w:rsid w:val="005114FA"/>
    <w:rsid w:val="00512E18"/>
    <w:rsid w:val="005302CD"/>
    <w:rsid w:val="005439D1"/>
    <w:rsid w:val="00544E69"/>
    <w:rsid w:val="0055021B"/>
    <w:rsid w:val="005510E3"/>
    <w:rsid w:val="005725D4"/>
    <w:rsid w:val="00573D0B"/>
    <w:rsid w:val="00574FDB"/>
    <w:rsid w:val="0057786D"/>
    <w:rsid w:val="005950E5"/>
    <w:rsid w:val="005B1738"/>
    <w:rsid w:val="005B1CC1"/>
    <w:rsid w:val="005B20F2"/>
    <w:rsid w:val="005B3157"/>
    <w:rsid w:val="005E064E"/>
    <w:rsid w:val="006049AF"/>
    <w:rsid w:val="00612CE6"/>
    <w:rsid w:val="0061313F"/>
    <w:rsid w:val="00614C26"/>
    <w:rsid w:val="00616B50"/>
    <w:rsid w:val="0062277A"/>
    <w:rsid w:val="006272EB"/>
    <w:rsid w:val="0063324E"/>
    <w:rsid w:val="006408E7"/>
    <w:rsid w:val="00642DD6"/>
    <w:rsid w:val="006562F9"/>
    <w:rsid w:val="00657689"/>
    <w:rsid w:val="00657C22"/>
    <w:rsid w:val="00671F80"/>
    <w:rsid w:val="00680233"/>
    <w:rsid w:val="00680508"/>
    <w:rsid w:val="006934A4"/>
    <w:rsid w:val="00696C96"/>
    <w:rsid w:val="006A0213"/>
    <w:rsid w:val="006A2831"/>
    <w:rsid w:val="006A4E88"/>
    <w:rsid w:val="006A5A87"/>
    <w:rsid w:val="006C099B"/>
    <w:rsid w:val="006C520D"/>
    <w:rsid w:val="006D6D68"/>
    <w:rsid w:val="00714AC6"/>
    <w:rsid w:val="007177BC"/>
    <w:rsid w:val="0072161F"/>
    <w:rsid w:val="007261EE"/>
    <w:rsid w:val="007279C1"/>
    <w:rsid w:val="00754D00"/>
    <w:rsid w:val="00782418"/>
    <w:rsid w:val="00782ABF"/>
    <w:rsid w:val="00783738"/>
    <w:rsid w:val="0078631F"/>
    <w:rsid w:val="0079084A"/>
    <w:rsid w:val="00791085"/>
    <w:rsid w:val="00793E52"/>
    <w:rsid w:val="007A3FC7"/>
    <w:rsid w:val="007B07DB"/>
    <w:rsid w:val="007B6733"/>
    <w:rsid w:val="007C459E"/>
    <w:rsid w:val="007D4C06"/>
    <w:rsid w:val="007E23CC"/>
    <w:rsid w:val="007F4058"/>
    <w:rsid w:val="0081548F"/>
    <w:rsid w:val="00816253"/>
    <w:rsid w:val="00827ADF"/>
    <w:rsid w:val="0085434D"/>
    <w:rsid w:val="00865C53"/>
    <w:rsid w:val="00867179"/>
    <w:rsid w:val="008672A0"/>
    <w:rsid w:val="00873737"/>
    <w:rsid w:val="00875450"/>
    <w:rsid w:val="00885F3B"/>
    <w:rsid w:val="008915BF"/>
    <w:rsid w:val="0089448C"/>
    <w:rsid w:val="008A09BF"/>
    <w:rsid w:val="008A2F0C"/>
    <w:rsid w:val="008A3EF2"/>
    <w:rsid w:val="008A415A"/>
    <w:rsid w:val="008C5FD9"/>
    <w:rsid w:val="008C6E21"/>
    <w:rsid w:val="008C7857"/>
    <w:rsid w:val="008D25BE"/>
    <w:rsid w:val="008D35DB"/>
    <w:rsid w:val="008D4322"/>
    <w:rsid w:val="008D5DDD"/>
    <w:rsid w:val="008E1E20"/>
    <w:rsid w:val="008E6BB9"/>
    <w:rsid w:val="008F10BC"/>
    <w:rsid w:val="008F1E21"/>
    <w:rsid w:val="0090482D"/>
    <w:rsid w:val="009079C5"/>
    <w:rsid w:val="00914F17"/>
    <w:rsid w:val="00920EE1"/>
    <w:rsid w:val="00942426"/>
    <w:rsid w:val="00943979"/>
    <w:rsid w:val="0094649B"/>
    <w:rsid w:val="00955BDB"/>
    <w:rsid w:val="00971770"/>
    <w:rsid w:val="009731E7"/>
    <w:rsid w:val="009A60CA"/>
    <w:rsid w:val="009B37A2"/>
    <w:rsid w:val="009C3060"/>
    <w:rsid w:val="009C34AD"/>
    <w:rsid w:val="009C61FB"/>
    <w:rsid w:val="009E2112"/>
    <w:rsid w:val="009E2189"/>
    <w:rsid w:val="009E6D0C"/>
    <w:rsid w:val="009F1FA3"/>
    <w:rsid w:val="00A05E88"/>
    <w:rsid w:val="00A06906"/>
    <w:rsid w:val="00A1536E"/>
    <w:rsid w:val="00A24CAF"/>
    <w:rsid w:val="00A24FF9"/>
    <w:rsid w:val="00A31978"/>
    <w:rsid w:val="00A31D65"/>
    <w:rsid w:val="00A60A57"/>
    <w:rsid w:val="00A73790"/>
    <w:rsid w:val="00AA379E"/>
    <w:rsid w:val="00AC73BA"/>
    <w:rsid w:val="00AD4B43"/>
    <w:rsid w:val="00AF0B8C"/>
    <w:rsid w:val="00AF3431"/>
    <w:rsid w:val="00AF6A02"/>
    <w:rsid w:val="00B0690E"/>
    <w:rsid w:val="00B12180"/>
    <w:rsid w:val="00B1243A"/>
    <w:rsid w:val="00B25482"/>
    <w:rsid w:val="00B50762"/>
    <w:rsid w:val="00B6725E"/>
    <w:rsid w:val="00B727B5"/>
    <w:rsid w:val="00B81189"/>
    <w:rsid w:val="00B820BA"/>
    <w:rsid w:val="00B86A41"/>
    <w:rsid w:val="00B92B6C"/>
    <w:rsid w:val="00B9535A"/>
    <w:rsid w:val="00BB3521"/>
    <w:rsid w:val="00BD0FD5"/>
    <w:rsid w:val="00C06EF5"/>
    <w:rsid w:val="00C23BA3"/>
    <w:rsid w:val="00C251B3"/>
    <w:rsid w:val="00C33C03"/>
    <w:rsid w:val="00C456A8"/>
    <w:rsid w:val="00C46224"/>
    <w:rsid w:val="00C5131A"/>
    <w:rsid w:val="00C51FB0"/>
    <w:rsid w:val="00C6196F"/>
    <w:rsid w:val="00C65821"/>
    <w:rsid w:val="00C76C18"/>
    <w:rsid w:val="00C80514"/>
    <w:rsid w:val="00C863D6"/>
    <w:rsid w:val="00C91D3D"/>
    <w:rsid w:val="00CA0734"/>
    <w:rsid w:val="00CA30CB"/>
    <w:rsid w:val="00CA5F1A"/>
    <w:rsid w:val="00CA698A"/>
    <w:rsid w:val="00CB6679"/>
    <w:rsid w:val="00CD3335"/>
    <w:rsid w:val="00CD382D"/>
    <w:rsid w:val="00CD5418"/>
    <w:rsid w:val="00CD6D52"/>
    <w:rsid w:val="00CF3D1C"/>
    <w:rsid w:val="00D00DA9"/>
    <w:rsid w:val="00D030FA"/>
    <w:rsid w:val="00D047E3"/>
    <w:rsid w:val="00D07DD8"/>
    <w:rsid w:val="00D1135B"/>
    <w:rsid w:val="00D157E0"/>
    <w:rsid w:val="00D31453"/>
    <w:rsid w:val="00D3225E"/>
    <w:rsid w:val="00D46292"/>
    <w:rsid w:val="00D47431"/>
    <w:rsid w:val="00D561ED"/>
    <w:rsid w:val="00D66D58"/>
    <w:rsid w:val="00D72BAB"/>
    <w:rsid w:val="00D8185D"/>
    <w:rsid w:val="00D91EA3"/>
    <w:rsid w:val="00D972E0"/>
    <w:rsid w:val="00DB2D70"/>
    <w:rsid w:val="00DB2ED0"/>
    <w:rsid w:val="00DB39A7"/>
    <w:rsid w:val="00DB44FF"/>
    <w:rsid w:val="00DC13B0"/>
    <w:rsid w:val="00DD0EDB"/>
    <w:rsid w:val="00DE2FF6"/>
    <w:rsid w:val="00DF2527"/>
    <w:rsid w:val="00DF2945"/>
    <w:rsid w:val="00DF4076"/>
    <w:rsid w:val="00DF41D5"/>
    <w:rsid w:val="00E03B62"/>
    <w:rsid w:val="00E10C70"/>
    <w:rsid w:val="00E14FD5"/>
    <w:rsid w:val="00E25523"/>
    <w:rsid w:val="00E40EEC"/>
    <w:rsid w:val="00E4624F"/>
    <w:rsid w:val="00E471B0"/>
    <w:rsid w:val="00E47B16"/>
    <w:rsid w:val="00E60EC9"/>
    <w:rsid w:val="00E64CA4"/>
    <w:rsid w:val="00E7034B"/>
    <w:rsid w:val="00E712E8"/>
    <w:rsid w:val="00E7389F"/>
    <w:rsid w:val="00E76C0F"/>
    <w:rsid w:val="00E82116"/>
    <w:rsid w:val="00E90041"/>
    <w:rsid w:val="00E9248F"/>
    <w:rsid w:val="00E974A7"/>
    <w:rsid w:val="00EA53EC"/>
    <w:rsid w:val="00EB1D65"/>
    <w:rsid w:val="00EC24E4"/>
    <w:rsid w:val="00EC570C"/>
    <w:rsid w:val="00EC7B82"/>
    <w:rsid w:val="00ED3264"/>
    <w:rsid w:val="00ED3751"/>
    <w:rsid w:val="00ED47FE"/>
    <w:rsid w:val="00EE3B20"/>
    <w:rsid w:val="00EE676F"/>
    <w:rsid w:val="00EF41AD"/>
    <w:rsid w:val="00F01F33"/>
    <w:rsid w:val="00F15689"/>
    <w:rsid w:val="00F23997"/>
    <w:rsid w:val="00F25576"/>
    <w:rsid w:val="00F36AE9"/>
    <w:rsid w:val="00F45CF7"/>
    <w:rsid w:val="00F609B2"/>
    <w:rsid w:val="00F63D18"/>
    <w:rsid w:val="00F8193D"/>
    <w:rsid w:val="00F90AEE"/>
    <w:rsid w:val="00FA1C8D"/>
    <w:rsid w:val="00FB215E"/>
    <w:rsid w:val="00FB4481"/>
    <w:rsid w:val="00FB7B9C"/>
    <w:rsid w:val="00FC1E4D"/>
    <w:rsid w:val="00FD4553"/>
    <w:rsid w:val="00FE6659"/>
    <w:rsid w:val="00FE6949"/>
    <w:rsid w:val="118A5B19"/>
    <w:rsid w:val="3C8F4FD9"/>
    <w:rsid w:val="585C1C21"/>
    <w:rsid w:val="66B1907D"/>
    <w:rsid w:val="67CA327D"/>
  </w:rsids>
  <w:docVars>
    <w:docVar w:name="__Grammarly_42___1" w:val="H4sIAAAAAAAEAKtWcslP9kxRslIyNDYyMjM1NjGzNDI2MDU2NTZU0lEKTi0uzszPAykwrAUANQ+YY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DBEF66"/>
  <w15:docId w15:val="{4CE4EBBC-C141-4D11-983A-3B8F6092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Heading3"/>
    <w:next w:val="Normal"/>
    <w:link w:val="Heading2Char"/>
    <w:autoRedefine/>
    <w:unhideWhenUsed/>
    <w:qFormat/>
    <w:rsid w:val="00E60EC9"/>
    <w:pPr>
      <w:keepLines w:val="0"/>
      <w:spacing w:before="0"/>
      <w:outlineLvl w:val="1"/>
    </w:pPr>
    <w:rPr>
      <w:rFonts w:ascii="Times New Roman" w:eastAsia="Times New Roman" w:hAnsi="Times New Roman" w:cs="Times New Roman"/>
      <w:color w:val="auto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E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AEE"/>
  </w:style>
  <w:style w:type="paragraph" w:styleId="Footer">
    <w:name w:val="footer"/>
    <w:basedOn w:val="Normal"/>
    <w:link w:val="Foot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AEE"/>
  </w:style>
  <w:style w:type="paragraph" w:styleId="BalloonText">
    <w:name w:val="Balloon Text"/>
    <w:basedOn w:val="Normal"/>
    <w:link w:val="BalloonTextChar"/>
    <w:uiPriority w:val="99"/>
    <w:semiHidden/>
    <w:unhideWhenUsed/>
    <w:rsid w:val="00F90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A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60EC9"/>
    <w:rPr>
      <w:rFonts w:ascii="Times New Roman" w:eastAsia="Times New Roman" w:hAnsi="Times New Roman" w:cs="Times New Roman"/>
      <w:b/>
      <w:bCs/>
      <w:sz w:val="24"/>
      <w:szCs w:val="26"/>
      <w:u w:val="single"/>
    </w:rPr>
  </w:style>
  <w:style w:type="paragraph" w:styleId="BodyText">
    <w:name w:val="Body Text"/>
    <w:basedOn w:val="Normal"/>
    <w:link w:val="BodyTextChar"/>
    <w:unhideWhenUsed/>
    <w:rsid w:val="00E60EC9"/>
  </w:style>
  <w:style w:type="character" w:customStyle="1" w:styleId="BodyTextChar">
    <w:name w:val="Body Text Char"/>
    <w:basedOn w:val="DefaultParagraphFont"/>
    <w:link w:val="BodyText"/>
    <w:rsid w:val="00E60EC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E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74A7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B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92B6C"/>
    <w:rPr>
      <w:rFonts w:eastAsiaTheme="minorEastAsia"/>
      <w:color w:val="5A5A5A" w:themeColor="text1" w:themeTint="A5"/>
      <w:spacing w:val="15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B92B6C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B92B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2B6C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B92B6C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B92B6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46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62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2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29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F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c2e6f3-6ea4-42c3-835e-44e49d8f3a1e">5C3YEWZCVWVS-1743964322-48</_dlc_DocId>
    <_dlc_DocIdUrl xmlns="68c2e6f3-6ea4-42c3-835e-44e49d8f3a1e">
      <Url>https://nih.sharepoint.com/sites/HRSA-OA-OPAE/_layouts/15/DocIdRedir.aspx?ID=5C3YEWZCVWVS-1743964322-48</Url>
      <Description>5C3YEWZCVWVS-1743964322-48</Description>
    </_dlc_DocIdUrl>
    <CurrentVersion_x003f_ xmlns="b07d60d0-a851-40d7-ab0c-f280ece78be0">true</CurrentVersion_x003f_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D9414765D524DA28632E683BD9EE0" ma:contentTypeVersion="9" ma:contentTypeDescription="Create a new document." ma:contentTypeScope="" ma:versionID="ece8df2cb1eb8a1cf523745a9e40affb">
  <xsd:schema xmlns:xsd="http://www.w3.org/2001/XMLSchema" xmlns:xs="http://www.w3.org/2001/XMLSchema" xmlns:p="http://schemas.microsoft.com/office/2006/metadata/properties" xmlns:ns2="68c2e6f3-6ea4-42c3-835e-44e49d8f3a1e" xmlns:ns3="b07d60d0-a851-40d7-ab0c-f280ece78be0" targetNamespace="http://schemas.microsoft.com/office/2006/metadata/properties" ma:root="true" ma:fieldsID="f8c52327037f98f5087d7ba2d59cf34c" ns2:_="" ns3:_="">
    <xsd:import namespace="68c2e6f3-6ea4-42c3-835e-44e49d8f3a1e"/>
    <xsd:import namespace="b07d60d0-a851-40d7-ab0c-f280ece78b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CurrentVersion_x003f_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2e6f3-6ea4-42c3-835e-44e49d8f3a1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d60d0-a851-40d7-ab0c-f280ece78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CurrentVersion_x003f_" ma:index="13" nillable="true" ma:displayName="Current Version?" ma:default="1" ma:format="Dropdown" ma:internalName="CurrentVersion_x003f_">
      <xsd:simpleType>
        <xsd:restriction base="dms:Boolea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8CBF77-6372-4304-AA4D-BDF3FD9952C9}">
  <ds:schemaRefs>
    <ds:schemaRef ds:uri="http://schemas.microsoft.com/office/2006/metadata/properties"/>
    <ds:schemaRef ds:uri="http://schemas.microsoft.com/office/infopath/2007/PartnerControls"/>
    <ds:schemaRef ds:uri="68c2e6f3-6ea4-42c3-835e-44e49d8f3a1e"/>
    <ds:schemaRef ds:uri="b07d60d0-a851-40d7-ab0c-f280ece78be0"/>
  </ds:schemaRefs>
</ds:datastoreItem>
</file>

<file path=customXml/itemProps2.xml><?xml version="1.0" encoding="utf-8"?>
<ds:datastoreItem xmlns:ds="http://schemas.openxmlformats.org/officeDocument/2006/customXml" ds:itemID="{72C76FBB-6048-4752-BD6E-DAC75FD2152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69A3F5-EA4C-4860-A80E-AB6F22311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2e6f3-6ea4-42c3-835e-44e49d8f3a1e"/>
    <ds:schemaRef ds:uri="b07d60d0-a851-40d7-ab0c-f280ece78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23F02D-0C66-448F-93F0-4A55349BA2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31FA58D-00DC-41A1-9F58-38753BD3A2B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memo</vt:lpstr>
    </vt:vector>
  </TitlesOfParts>
  <Company>HRSA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memo</dc:title>
  <dc:creator>Windows User</dc:creator>
  <cp:lastModifiedBy>Cooper, Laura (HRSA)</cp:lastModifiedBy>
  <cp:revision>75</cp:revision>
  <cp:lastPrinted>2015-10-27T13:28:00Z</cp:lastPrinted>
  <dcterms:created xsi:type="dcterms:W3CDTF">2024-01-12T12:01:00Z</dcterms:created>
  <dcterms:modified xsi:type="dcterms:W3CDTF">2024-03-19T17:19:00Z</dcterms:modified>
  <cp:category>Memo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0x01010047DD9414765D524DA28632E683BD9EE0</vt:lpwstr>
  </property>
  <property fmtid="{D5CDD505-2E9C-101B-9397-08002B2CF9AE}" pid="3" name="_dlc_DocIdItemGuid">
    <vt:lpwstr>3ae90248-15ff-438f-b04d-5ae8c7c5fd6d</vt:lpwstr>
  </property>
</Properties>
</file>