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RPr="00397E50" w:rsidP="00D41D5A" w14:paraId="2FEB452F" w14:textId="2D9F6CD4">
      <w:pPr>
        <w:jc w:val="center"/>
        <w:rPr>
          <w:rFonts w:eastAsia="Calibri"/>
        </w:rPr>
      </w:pPr>
      <w:r w:rsidRPr="00397E50">
        <w:rPr>
          <w:rFonts w:eastAsia="Calibri"/>
        </w:rPr>
        <w:t xml:space="preserve">UNITED STATES FOOD </w:t>
      </w:r>
      <w:r>
        <w:rPr>
          <w:rFonts w:eastAsia="Calibri"/>
        </w:rPr>
        <w:t xml:space="preserve">&amp; </w:t>
      </w:r>
      <w:r w:rsidRPr="00397E50">
        <w:rPr>
          <w:rFonts w:eastAsia="Calibri"/>
        </w:rPr>
        <w:t>DRUG ADMINISTRATION</w:t>
      </w:r>
    </w:p>
    <w:p w:rsidR="00357C8A" w:rsidRPr="00397E50" w:rsidP="00D41D5A" w14:paraId="6FC9E607" w14:textId="77777777">
      <w:pPr>
        <w:jc w:val="center"/>
        <w:rPr>
          <w:rFonts w:eastAsia="Calibri"/>
        </w:rPr>
      </w:pPr>
    </w:p>
    <w:p w:rsidR="00357C8A" w:rsidRPr="00397E50" w:rsidP="00D41D5A" w14:paraId="2F8A7F19" w14:textId="1526EDFC">
      <w:pPr>
        <w:jc w:val="center"/>
        <w:rPr>
          <w:rFonts w:eastAsia="Calibri"/>
        </w:rPr>
      </w:pPr>
      <w:r w:rsidRPr="00397E50">
        <w:t xml:space="preserve">Data </w:t>
      </w:r>
      <w:r w:rsidR="008A5F5D">
        <w:t xml:space="preserve">Collections </w:t>
      </w:r>
      <w:r w:rsidRPr="00397E50" w:rsidR="00E67D4B">
        <w:t>t</w:t>
      </w:r>
      <w:r w:rsidRPr="00397E50">
        <w:t>o Support Drug Product Communications</w:t>
      </w:r>
    </w:p>
    <w:p w:rsidR="00357C8A" w:rsidRPr="00397E50" w:rsidP="00D41D5A" w14:paraId="6F3AB2ED" w14:textId="77777777">
      <w:pPr>
        <w:jc w:val="center"/>
        <w:rPr>
          <w:rFonts w:eastAsia="Calibri"/>
        </w:rPr>
      </w:pPr>
    </w:p>
    <w:p w:rsidR="00EB7DBF" w:rsidP="00C75773" w14:paraId="1F68E263" w14:textId="062DCB62">
      <w:pPr>
        <w:jc w:val="center"/>
        <w:rPr>
          <w:rFonts w:eastAsia="Calibri"/>
        </w:rPr>
      </w:pPr>
      <w:r w:rsidRPr="00B56907">
        <w:rPr>
          <w:rFonts w:eastAsia="Calibri"/>
          <w:u w:val="single"/>
        </w:rPr>
        <w:t>OMB Control No. 0910-</w:t>
      </w:r>
      <w:r w:rsidRPr="00B56907" w:rsidR="00DF4C7E">
        <w:rPr>
          <w:rFonts w:eastAsia="Calibri"/>
          <w:u w:val="single"/>
        </w:rPr>
        <w:t>0695</w:t>
      </w:r>
      <w:r w:rsidRPr="00B56907" w:rsidR="00A62CEC">
        <w:rPr>
          <w:rFonts w:eastAsia="Calibri"/>
          <w:u w:val="single"/>
        </w:rPr>
        <w:t xml:space="preserve"> </w:t>
      </w:r>
      <w:r w:rsidRPr="00B56907" w:rsidR="00E46A4C">
        <w:rPr>
          <w:rFonts w:eastAsia="Calibri"/>
          <w:u w:val="single"/>
        </w:rPr>
        <w:t>–</w:t>
      </w:r>
      <w:r w:rsidRPr="00B56907" w:rsidR="00A62CEC">
        <w:rPr>
          <w:rFonts w:eastAsia="Calibri"/>
          <w:u w:val="single"/>
        </w:rPr>
        <w:t xml:space="preserve"> </w:t>
      </w:r>
      <w:r w:rsidRPr="00B56907" w:rsidR="00E46A4C">
        <w:rPr>
          <w:rFonts w:eastAsia="Calibri"/>
          <w:u w:val="single"/>
        </w:rPr>
        <w:t>Generic Clearance</w:t>
      </w:r>
      <w:r w:rsidR="00F9271B">
        <w:rPr>
          <w:rFonts w:eastAsia="Calibri"/>
        </w:rPr>
        <w:t xml:space="preserve">  </w:t>
      </w:r>
      <w:r w:rsidR="00987267">
        <w:rPr>
          <w:rFonts w:eastAsia="Calibri"/>
        </w:rPr>
        <w:t>- EXTENSION</w:t>
      </w:r>
    </w:p>
    <w:p w:rsidR="002024E1" w:rsidRPr="00397E50" w:rsidP="00C75773" w14:paraId="20B0DD19" w14:textId="77777777">
      <w:pPr>
        <w:jc w:val="center"/>
        <w:rPr>
          <w:rFonts w:eastAsia="Calibri"/>
        </w:rPr>
      </w:pPr>
    </w:p>
    <w:p w:rsidR="00E3177A" w:rsidRPr="00397E50" w:rsidP="00D41D5A" w14:paraId="20176527" w14:textId="28A9362E">
      <w:pPr>
        <w:rPr>
          <w:rFonts w:eastAsia="Calibri"/>
        </w:rPr>
      </w:pPr>
      <w:r w:rsidRPr="007A3B4F">
        <w:rPr>
          <w:rFonts w:eastAsia="Calibri"/>
          <w:b/>
          <w:bCs/>
          <w:i/>
          <w:iCs/>
        </w:rPr>
        <w:t>Terms of Clearance</w:t>
      </w:r>
      <w:r>
        <w:rPr>
          <w:rFonts w:eastAsia="Calibri"/>
        </w:rPr>
        <w:t>:</w:t>
      </w:r>
      <w:r>
        <w:rPr>
          <w:rFonts w:eastAsia="Calibri"/>
          <w:i/>
          <w:iCs/>
        </w:rPr>
        <w:t xml:space="preserve">  Consistent with OMB approval, individual collection requests </w:t>
      </w:r>
      <w:r w:rsidR="00E85A2C">
        <w:rPr>
          <w:rFonts w:eastAsia="Calibri"/>
          <w:i/>
          <w:iCs/>
        </w:rPr>
        <w:t xml:space="preserve">under the established Generic Clearance </w:t>
      </w:r>
      <w:r w:rsidRPr="00381398">
        <w:rPr>
          <w:rFonts w:eastAsia="Calibri"/>
          <w:i/>
          <w:iCs/>
        </w:rPr>
        <w:t xml:space="preserve">will </w:t>
      </w:r>
      <w:r>
        <w:rPr>
          <w:rFonts w:eastAsia="Calibri"/>
          <w:i/>
          <w:iCs/>
        </w:rPr>
        <w:t xml:space="preserve">continue to </w:t>
      </w:r>
      <w:r w:rsidRPr="00381398">
        <w:rPr>
          <w:rFonts w:eastAsia="Calibri"/>
          <w:i/>
          <w:iCs/>
        </w:rPr>
        <w:t xml:space="preserve">undergo review by </w:t>
      </w:r>
      <w:r w:rsidRPr="00381398" w:rsidR="00A35A2C">
        <w:rPr>
          <w:rFonts w:eastAsia="Calibri"/>
          <w:i/>
          <w:iCs/>
        </w:rPr>
        <w:t>FDA’s Research Involving Human Subjects Committee (RIHSC)</w:t>
      </w:r>
      <w:r w:rsidR="00A35A2C">
        <w:rPr>
          <w:rFonts w:eastAsia="Calibri"/>
          <w:i/>
          <w:iCs/>
        </w:rPr>
        <w:t>,</w:t>
      </w:r>
      <w:r w:rsidRPr="00381398" w:rsidR="00A35A2C">
        <w:rPr>
          <w:rFonts w:eastAsia="Calibri"/>
          <w:i/>
          <w:iCs/>
        </w:rPr>
        <w:t xml:space="preserve"> </w:t>
      </w:r>
      <w:r w:rsidRPr="00381398">
        <w:rPr>
          <w:rFonts w:eastAsia="Calibri"/>
          <w:i/>
          <w:iCs/>
        </w:rPr>
        <w:t xml:space="preserve">senior leadership in </w:t>
      </w:r>
      <w:r w:rsidR="00194E1E">
        <w:rPr>
          <w:rFonts w:eastAsia="Calibri"/>
          <w:i/>
          <w:iCs/>
        </w:rPr>
        <w:t>the Center for Drug Evaluation and Research (CDER)</w:t>
      </w:r>
      <w:r>
        <w:rPr>
          <w:rFonts w:eastAsia="Calibri"/>
          <w:i/>
          <w:iCs/>
        </w:rPr>
        <w:t xml:space="preserve">, </w:t>
      </w:r>
      <w:r w:rsidRPr="00381398">
        <w:rPr>
          <w:rFonts w:eastAsia="Calibri"/>
          <w:i/>
          <w:iCs/>
        </w:rPr>
        <w:t xml:space="preserve">and </w:t>
      </w:r>
      <w:r>
        <w:rPr>
          <w:rFonts w:eastAsia="Calibri"/>
          <w:i/>
          <w:iCs/>
        </w:rPr>
        <w:t xml:space="preserve">FDA </w:t>
      </w:r>
      <w:r w:rsidRPr="00381398">
        <w:rPr>
          <w:rFonts w:eastAsia="Calibri"/>
          <w:i/>
          <w:iCs/>
        </w:rPr>
        <w:t>Paperwork Reduction Act (PRA) specialists</w:t>
      </w:r>
      <w:r>
        <w:rPr>
          <w:rFonts w:eastAsia="Calibri"/>
          <w:i/>
          <w:iCs/>
        </w:rPr>
        <w:t xml:space="preserve"> prior to submission</w:t>
      </w:r>
      <w:r w:rsidRPr="00381398">
        <w:rPr>
          <w:rFonts w:eastAsia="Calibri"/>
          <w:i/>
          <w:iCs/>
        </w:rPr>
        <w:t>.</w:t>
      </w:r>
      <w:r>
        <w:rPr>
          <w:rFonts w:eastAsia="Calibri"/>
          <w:i/>
          <w:iCs/>
        </w:rPr>
        <w:t xml:space="preserve">  Also in accordance with OMB approval, </w:t>
      </w:r>
      <w:r w:rsidR="00395011">
        <w:rPr>
          <w:rFonts w:eastAsia="Calibri"/>
          <w:i/>
          <w:iCs/>
        </w:rPr>
        <w:t xml:space="preserve">in </w:t>
      </w:r>
      <w:r w:rsidRPr="00B60DAA" w:rsidR="00395011">
        <w:rPr>
          <w:rFonts w:eastAsia="Calibri"/>
          <w:b/>
          <w:bCs/>
          <w:i/>
          <w:iCs/>
          <w:u w:val="single"/>
        </w:rPr>
        <w:t xml:space="preserve">Question </w:t>
      </w:r>
      <w:r w:rsidRPr="00B60DAA" w:rsidR="00B60DAA">
        <w:rPr>
          <w:rFonts w:eastAsia="Calibri"/>
          <w:b/>
          <w:bCs/>
          <w:i/>
          <w:iCs/>
          <w:u w:val="single"/>
        </w:rPr>
        <w:t>2</w:t>
      </w:r>
      <w:r w:rsidR="00B60DAA">
        <w:rPr>
          <w:rFonts w:eastAsia="Calibri"/>
          <w:i/>
          <w:iCs/>
        </w:rPr>
        <w:t xml:space="preserve"> </w:t>
      </w:r>
      <w:r>
        <w:rPr>
          <w:rFonts w:eastAsia="Calibri"/>
          <w:i/>
          <w:iCs/>
        </w:rPr>
        <w:t xml:space="preserve">we include a </w:t>
      </w:r>
      <w:r w:rsidRPr="00381398">
        <w:rPr>
          <w:rFonts w:eastAsia="Calibri"/>
          <w:i/>
          <w:iCs/>
        </w:rPr>
        <w:t>report</w:t>
      </w:r>
      <w:r>
        <w:rPr>
          <w:rFonts w:eastAsia="Calibri"/>
          <w:i/>
          <w:iCs/>
        </w:rPr>
        <w:t xml:space="preserve"> </w:t>
      </w:r>
      <w:r w:rsidRPr="00381398">
        <w:rPr>
          <w:rFonts w:eastAsia="Calibri"/>
          <w:i/>
          <w:iCs/>
        </w:rPr>
        <w:t>summarizing the numb</w:t>
      </w:r>
      <w:r>
        <w:rPr>
          <w:rFonts w:eastAsia="Calibri"/>
          <w:i/>
          <w:iCs/>
        </w:rPr>
        <w:t>e</w:t>
      </w:r>
      <w:r w:rsidRPr="00381398">
        <w:rPr>
          <w:rFonts w:eastAsia="Calibri"/>
          <w:i/>
          <w:iCs/>
        </w:rPr>
        <w:t>r of hours used, as well as the nature and results of the activities completed under th</w:t>
      </w:r>
      <w:r w:rsidR="007C16AE">
        <w:rPr>
          <w:rFonts w:eastAsia="Calibri"/>
          <w:i/>
          <w:iCs/>
        </w:rPr>
        <w:t>e individual requests</w:t>
      </w:r>
      <w:r w:rsidR="004274B7">
        <w:rPr>
          <w:rFonts w:eastAsia="Calibri"/>
          <w:i/>
          <w:iCs/>
        </w:rPr>
        <w:t xml:space="preserve"> since last OMB review</w:t>
      </w:r>
      <w:r w:rsidRPr="00381398">
        <w:rPr>
          <w:rFonts w:eastAsia="Calibri"/>
          <w:i/>
          <w:iCs/>
        </w:rPr>
        <w:t>.</w:t>
      </w:r>
      <w:r w:rsidR="000F43A1">
        <w:rPr>
          <w:rFonts w:eastAsia="Calibri"/>
          <w:i/>
          <w:iCs/>
        </w:rPr>
        <w:t xml:space="preserve">  In addition, </w:t>
      </w:r>
      <w:r w:rsidR="009137D7">
        <w:rPr>
          <w:rFonts w:eastAsia="Calibri"/>
          <w:i/>
          <w:iCs/>
        </w:rPr>
        <w:t>c</w:t>
      </w:r>
      <w:r w:rsidRPr="005D7883" w:rsidR="009137D7">
        <w:rPr>
          <w:rFonts w:eastAsia="Calibri"/>
          <w:i/>
          <w:iCs/>
        </w:rPr>
        <w:t>onsistent with OMB communication on flexibilities under the PRA</w:t>
      </w:r>
      <w:r>
        <w:rPr>
          <w:rFonts w:eastAsia="Calibri"/>
          <w:i/>
          <w:iCs/>
          <w:vertAlign w:val="superscript"/>
        </w:rPr>
        <w:footnoteReference w:id="3"/>
      </w:r>
      <w:r w:rsidRPr="005D7883" w:rsidR="009137D7">
        <w:rPr>
          <w:rFonts w:eastAsia="Calibri"/>
          <w:i/>
          <w:iCs/>
        </w:rPr>
        <w:t xml:space="preserve"> and the use of Generic Clearance</w:t>
      </w:r>
      <w:r w:rsidR="004274B7">
        <w:rPr>
          <w:rFonts w:eastAsia="Calibri"/>
          <w:i/>
          <w:iCs/>
        </w:rPr>
        <w:t>s</w:t>
      </w:r>
      <w:r w:rsidRPr="005D7883" w:rsidR="009137D7">
        <w:rPr>
          <w:rFonts w:eastAsia="Calibri"/>
          <w:i/>
          <w:iCs/>
        </w:rPr>
        <w:t xml:space="preserve">, individual submission requests will be those we believe are low in burden, similar in nature, and do not raise any substantive or policy issues.  </w:t>
      </w:r>
    </w:p>
    <w:p w:rsidR="00AF078E" w:rsidP="00D41D5A" w14:paraId="7433C0A5" w14:textId="77777777">
      <w:pPr>
        <w:rPr>
          <w:rFonts w:eastAsia="Calibri"/>
          <w:bCs/>
        </w:rPr>
      </w:pPr>
    </w:p>
    <w:p w:rsidR="00357C8A" w:rsidRPr="00397E50" w:rsidP="00D41D5A" w14:paraId="35CE821F" w14:textId="13210118">
      <w:pPr>
        <w:rPr>
          <w:rFonts w:eastAsia="Calibri"/>
        </w:rPr>
      </w:pPr>
      <w:r>
        <w:rPr>
          <w:rFonts w:eastAsia="Calibri"/>
          <w:b/>
        </w:rPr>
        <w:t xml:space="preserve">SUPPORTING STATEMENT – </w:t>
      </w:r>
      <w:r w:rsidRPr="00397E50">
        <w:rPr>
          <w:rFonts w:eastAsia="Calibri"/>
          <w:b/>
        </w:rPr>
        <w:t>Part A:  Justification</w:t>
      </w:r>
      <w:r w:rsidRPr="00397E50">
        <w:rPr>
          <w:rFonts w:eastAsia="Calibri"/>
        </w:rPr>
        <w:t>:</w:t>
      </w:r>
    </w:p>
    <w:p w:rsidR="000D79CC" w:rsidRPr="00397E50" w:rsidP="00D41D5A" w14:paraId="4E62BE7F" w14:textId="77777777">
      <w:pPr>
        <w:rPr>
          <w:rFonts w:eastAsia="Calibri"/>
        </w:rPr>
      </w:pPr>
    </w:p>
    <w:p w:rsidR="00357C8A" w:rsidRPr="00397E50" w:rsidP="00D41D5A" w14:paraId="3D32E2CE" w14:textId="77777777">
      <w:pPr>
        <w:numPr>
          <w:ilvl w:val="0"/>
          <w:numId w:val="6"/>
        </w:numPr>
        <w:spacing w:after="200"/>
        <w:rPr>
          <w:rFonts w:eastAsia="Calibri"/>
        </w:rPr>
      </w:pPr>
      <w:r w:rsidRPr="00397E50">
        <w:rPr>
          <w:rFonts w:eastAsia="Calibri"/>
          <w:u w:val="single"/>
        </w:rPr>
        <w:t>Circumstances Making the Collection of Information Necessary</w:t>
      </w:r>
    </w:p>
    <w:p w:rsidR="009A59F9" w:rsidP="00D41D5A" w14:paraId="594681AB" w14:textId="117F90AE">
      <w:pPr>
        <w:rPr>
          <w:rFonts w:eastAsia="Calibri"/>
        </w:rPr>
      </w:pPr>
      <w:r w:rsidRPr="007829E3">
        <w:rPr>
          <w:rFonts w:eastAsia="Calibri"/>
        </w:rPr>
        <w:t xml:space="preserve">This information collection supports </w:t>
      </w:r>
      <w:r>
        <w:rPr>
          <w:rFonts w:eastAsia="Calibri"/>
        </w:rPr>
        <w:t>a</w:t>
      </w:r>
      <w:r w:rsidRPr="007829E3">
        <w:rPr>
          <w:rFonts w:eastAsia="Calibri"/>
        </w:rPr>
        <w:t>gency outreach and other proactive communication efforts.  Evaluating communication messages and supporting materials in advance of a communication campaign provides an important role in improving FDA communications as they allow for an in-depth understanding of individuals' knowledge, attitudes, beliefs, motivations, feelings, and behaviors.</w:t>
      </w:r>
      <w:r w:rsidR="007929FD">
        <w:rPr>
          <w:rFonts w:eastAsia="Calibri"/>
        </w:rPr>
        <w:t xml:space="preserve">  </w:t>
      </w:r>
      <w:r w:rsidR="005056A5">
        <w:rPr>
          <w:rFonts w:eastAsia="Calibri"/>
        </w:rPr>
        <w:t xml:space="preserve">Mandated by Congress to </w:t>
      </w:r>
      <w:r w:rsidR="007E4D31">
        <w:rPr>
          <w:rFonts w:eastAsia="Calibri"/>
        </w:rPr>
        <w:t>ensur</w:t>
      </w:r>
      <w:r w:rsidR="005056A5">
        <w:rPr>
          <w:rFonts w:eastAsia="Calibri"/>
        </w:rPr>
        <w:t>e</w:t>
      </w:r>
      <w:r w:rsidR="007E4D31">
        <w:rPr>
          <w:rFonts w:eastAsia="Calibri"/>
        </w:rPr>
        <w:t xml:space="preserve"> </w:t>
      </w:r>
      <w:r w:rsidRPr="00397E50" w:rsidR="00BB29CC">
        <w:rPr>
          <w:rFonts w:eastAsia="Calibri"/>
        </w:rPr>
        <w:t>the safety and effectiveness of medical products</w:t>
      </w:r>
      <w:r w:rsidR="007F291C">
        <w:rPr>
          <w:rFonts w:eastAsia="Calibri"/>
        </w:rPr>
        <w:t>,</w:t>
      </w:r>
      <w:r w:rsidRPr="00397E50" w:rsidR="00BB29CC">
        <w:rPr>
          <w:rFonts w:eastAsia="Calibri"/>
        </w:rPr>
        <w:t xml:space="preserve"> including biologics, drugs, foods, cosmetics, medical products, radiological products, and animal drugs, we have established th</w:t>
      </w:r>
      <w:r w:rsidR="00A37054">
        <w:rPr>
          <w:rFonts w:eastAsia="Calibri"/>
        </w:rPr>
        <w:t xml:space="preserve">is generic </w:t>
      </w:r>
      <w:r w:rsidR="00241D76">
        <w:rPr>
          <w:rFonts w:eastAsia="Calibri"/>
        </w:rPr>
        <w:t xml:space="preserve">information </w:t>
      </w:r>
      <w:r w:rsidRPr="00397E50" w:rsidR="00BB29CC">
        <w:rPr>
          <w:rFonts w:eastAsia="Calibri"/>
        </w:rPr>
        <w:t xml:space="preserve">collection as a tool to </w:t>
      </w:r>
      <w:r w:rsidR="007F291C">
        <w:rPr>
          <w:rFonts w:eastAsia="Calibri"/>
        </w:rPr>
        <w:t xml:space="preserve">help </w:t>
      </w:r>
      <w:r w:rsidRPr="00397E50" w:rsidR="00BB29CC">
        <w:rPr>
          <w:rFonts w:eastAsia="Calibri"/>
        </w:rPr>
        <w:t xml:space="preserve">assess the need for </w:t>
      </w:r>
      <w:r w:rsidR="0006552A">
        <w:rPr>
          <w:rFonts w:eastAsia="Calibri"/>
        </w:rPr>
        <w:t xml:space="preserve">FDA </w:t>
      </w:r>
      <w:r w:rsidRPr="00397E50" w:rsidR="00BB29CC">
        <w:rPr>
          <w:rFonts w:eastAsia="Calibri"/>
        </w:rPr>
        <w:t>communications on specific topics</w:t>
      </w:r>
      <w:r w:rsidR="000C1094">
        <w:rPr>
          <w:rFonts w:eastAsia="Calibri"/>
        </w:rPr>
        <w:t xml:space="preserve"> pertaining to </w:t>
      </w:r>
      <w:r w:rsidR="003632E1">
        <w:rPr>
          <w:rFonts w:eastAsia="Calibri"/>
        </w:rPr>
        <w:t xml:space="preserve">drug </w:t>
      </w:r>
      <w:r w:rsidR="00FC6E4F">
        <w:rPr>
          <w:rFonts w:eastAsia="Calibri"/>
        </w:rPr>
        <w:t>products</w:t>
      </w:r>
      <w:r w:rsidR="0006552A">
        <w:rPr>
          <w:rFonts w:eastAsia="Calibri"/>
        </w:rPr>
        <w:t xml:space="preserve"> we regulate</w:t>
      </w:r>
      <w:r w:rsidR="00011ED8">
        <w:rPr>
          <w:rFonts w:eastAsia="Calibri"/>
        </w:rPr>
        <w:t xml:space="preserve">.  </w:t>
      </w:r>
      <w:r w:rsidR="00BC6A71">
        <w:rPr>
          <w:rFonts w:eastAsia="Calibri"/>
        </w:rPr>
        <w:t xml:space="preserve">FDA is authorized to undertake </w:t>
      </w:r>
      <w:r w:rsidRPr="00397E50" w:rsidR="00FC6E4F">
        <w:rPr>
          <w:rFonts w:eastAsia="Calibri"/>
        </w:rPr>
        <w:t xml:space="preserve">formative and evaluative research </w:t>
      </w:r>
      <w:r w:rsidRPr="004C4258" w:rsidR="004C4258">
        <w:rPr>
          <w:rFonts w:eastAsia="Calibri"/>
        </w:rPr>
        <w:t>under section 1003(d)(2)(D) of the Federal Food Drug and Cosmetic Act (the FD&amp;C Act) (21 U.S.C. 393(d)(2)(D))</w:t>
      </w:r>
      <w:r w:rsidR="002B72AF">
        <w:rPr>
          <w:rFonts w:eastAsia="Calibri"/>
        </w:rPr>
        <w:t xml:space="preserve">, </w:t>
      </w:r>
      <w:r w:rsidR="00181515">
        <w:rPr>
          <w:rFonts w:eastAsia="Calibri"/>
        </w:rPr>
        <w:t xml:space="preserve">as well as </w:t>
      </w:r>
      <w:r w:rsidR="0028176A">
        <w:rPr>
          <w:rFonts w:eastAsia="Calibri"/>
        </w:rPr>
        <w:t>s</w:t>
      </w:r>
      <w:r w:rsidRPr="00C91C66" w:rsidR="00C91C66">
        <w:rPr>
          <w:rFonts w:eastAsia="Calibri"/>
        </w:rPr>
        <w:t>ection 301 of the Public Health Service Act (42 U.S.C. 241(a)).</w:t>
      </w:r>
      <w:r w:rsidR="00F172D8">
        <w:rPr>
          <w:rFonts w:eastAsia="Calibri"/>
        </w:rPr>
        <w:t xml:space="preserve">  </w:t>
      </w:r>
      <w:r w:rsidRPr="004C4258" w:rsidR="004C4258">
        <w:rPr>
          <w:rFonts w:eastAsia="Calibri"/>
        </w:rPr>
        <w:t xml:space="preserve">To maximize the effectiveness of </w:t>
      </w:r>
      <w:r w:rsidR="00D044D3">
        <w:rPr>
          <w:rFonts w:eastAsia="Calibri"/>
        </w:rPr>
        <w:t xml:space="preserve">drug product </w:t>
      </w:r>
      <w:r w:rsidRPr="004C4258" w:rsidR="004C4258">
        <w:rPr>
          <w:rFonts w:eastAsia="Calibri"/>
        </w:rPr>
        <w:t xml:space="preserve">communications </w:t>
      </w:r>
      <w:r w:rsidR="00642590">
        <w:rPr>
          <w:rFonts w:eastAsia="Calibri"/>
        </w:rPr>
        <w:t xml:space="preserve">so that they </w:t>
      </w:r>
      <w:r w:rsidRPr="004C4258" w:rsidR="004C4258">
        <w:rPr>
          <w:rFonts w:eastAsia="Calibri"/>
        </w:rPr>
        <w:t xml:space="preserve">have the highest potential to be received, understood, and </w:t>
      </w:r>
      <w:r w:rsidR="00642590">
        <w:rPr>
          <w:rFonts w:eastAsia="Calibri"/>
        </w:rPr>
        <w:t xml:space="preserve">utilized </w:t>
      </w:r>
      <w:r w:rsidRPr="004C4258" w:rsidR="004C4258">
        <w:rPr>
          <w:rFonts w:eastAsia="Calibri"/>
        </w:rPr>
        <w:t xml:space="preserve">by those for whom they are intended, we plan </w:t>
      </w:r>
      <w:r w:rsidR="00862C75">
        <w:rPr>
          <w:rFonts w:eastAsia="Calibri"/>
        </w:rPr>
        <w:t xml:space="preserve">to conduct </w:t>
      </w:r>
      <w:r w:rsidR="00B0082F">
        <w:rPr>
          <w:rFonts w:eastAsia="Calibri"/>
        </w:rPr>
        <w:t xml:space="preserve">individual information collections to support </w:t>
      </w:r>
      <w:r w:rsidRPr="004C4258" w:rsidR="004C4258">
        <w:rPr>
          <w:rFonts w:eastAsia="Calibri"/>
        </w:rPr>
        <w:t xml:space="preserve">research and studies </w:t>
      </w:r>
      <w:r w:rsidR="00C91C66">
        <w:rPr>
          <w:rFonts w:eastAsia="Calibri"/>
        </w:rPr>
        <w:t xml:space="preserve">consistent with this authority.  </w:t>
      </w:r>
    </w:p>
    <w:p w:rsidR="009A59F9" w:rsidP="00D41D5A" w14:paraId="13946337" w14:textId="240A73B1">
      <w:pPr>
        <w:rPr>
          <w:rFonts w:eastAsia="Calibri"/>
        </w:rPr>
      </w:pPr>
    </w:p>
    <w:p w:rsidR="009A59F9" w:rsidRPr="005B2384" w:rsidP="00D41D5A" w14:paraId="400509EB" w14:textId="7CC65B96">
      <w:pPr>
        <w:rPr>
          <w:rFonts w:eastAsia="Calibri"/>
          <w:i/>
          <w:iCs/>
        </w:rPr>
      </w:pPr>
      <w:r w:rsidRPr="005B2384">
        <w:rPr>
          <w:rFonts w:eastAsia="Calibri"/>
          <w:i/>
          <w:iCs/>
        </w:rPr>
        <w:t>Background</w:t>
      </w:r>
      <w:r w:rsidRPr="005B2384" w:rsidR="000158A4">
        <w:rPr>
          <w:rFonts w:eastAsia="Calibri"/>
          <w:i/>
          <w:iCs/>
        </w:rPr>
        <w:t>:</w:t>
      </w:r>
    </w:p>
    <w:p w:rsidR="009A59F9" w:rsidRPr="005B2384" w:rsidP="00D41D5A" w14:paraId="5615F951" w14:textId="77777777">
      <w:pPr>
        <w:rPr>
          <w:rFonts w:eastAsia="Calibri"/>
        </w:rPr>
      </w:pPr>
    </w:p>
    <w:p w:rsidR="00D82636" w:rsidRPr="005B2384" w:rsidP="00D41D5A" w14:paraId="412002CC" w14:textId="10892733">
      <w:pPr>
        <w:rPr>
          <w:rFonts w:eastAsia="Calibri"/>
        </w:rPr>
      </w:pPr>
      <w:r w:rsidRPr="005B2384">
        <w:rPr>
          <w:rFonts w:eastAsia="Calibri"/>
        </w:rPr>
        <w:t xml:space="preserve">As communicated on our website at </w:t>
      </w:r>
      <w:hyperlink r:id="rId6" w:anchor="glance" w:history="1">
        <w:r w:rsidRPr="005B2384" w:rsidR="00D235DE">
          <w:rPr>
            <w:rStyle w:val="Hyperlink"/>
            <w:rFonts w:eastAsia="Calibri"/>
          </w:rPr>
          <w:t>https://www.fda.gov/about-fda/reports/strategic-plan-risk-communication#glance</w:t>
        </w:r>
      </w:hyperlink>
      <w:r w:rsidRPr="005B2384" w:rsidR="00456CA5">
        <w:rPr>
          <w:rFonts w:eastAsia="Calibri"/>
        </w:rPr>
        <w:t>, we continue to identify actions the agency plans to take to improve risk communication</w:t>
      </w:r>
      <w:r w:rsidRPr="005B2384" w:rsidR="00C65EE5">
        <w:rPr>
          <w:rFonts w:eastAsia="Calibri"/>
        </w:rPr>
        <w:t xml:space="preserve"> to public audiences</w:t>
      </w:r>
      <w:r w:rsidRPr="005B2384" w:rsidR="00954DED">
        <w:rPr>
          <w:rFonts w:eastAsia="Calibri"/>
        </w:rPr>
        <w:t xml:space="preserve">.  </w:t>
      </w:r>
      <w:r w:rsidRPr="005B2384" w:rsidR="00AC7B75">
        <w:rPr>
          <w:rFonts w:eastAsia="Calibri"/>
        </w:rPr>
        <w:t>These initiatives fall into the following</w:t>
      </w:r>
      <w:r w:rsidRPr="005B2384" w:rsidR="00AC00ED">
        <w:rPr>
          <w:rFonts w:eastAsia="Calibri"/>
        </w:rPr>
        <w:t xml:space="preserve"> three</w:t>
      </w:r>
      <w:r w:rsidRPr="005B2384" w:rsidR="00AC7B75">
        <w:rPr>
          <w:rFonts w:eastAsia="Calibri"/>
        </w:rPr>
        <w:t xml:space="preserve"> areas:</w:t>
      </w:r>
    </w:p>
    <w:p w:rsidR="00D82636" w:rsidRPr="005B2384" w:rsidP="00D41D5A" w14:paraId="037DB3E6" w14:textId="2D555DD9">
      <w:pPr>
        <w:rPr>
          <w:rFonts w:eastAsia="Calibri"/>
          <w:b/>
          <w:bCs/>
        </w:rPr>
      </w:pPr>
    </w:p>
    <w:p w:rsidR="00AC7B75" w:rsidRPr="005B2384" w:rsidP="00D41D5A" w14:paraId="36282FF6" w14:textId="1F1D56BA">
      <w:pPr>
        <w:pStyle w:val="ListParagraph"/>
        <w:numPr>
          <w:ilvl w:val="0"/>
          <w:numId w:val="19"/>
        </w:numPr>
        <w:rPr>
          <w:rFonts w:eastAsia="Calibri"/>
        </w:rPr>
      </w:pPr>
      <w:bookmarkStart w:id="0" w:name="strengthen"/>
      <w:bookmarkEnd w:id="0"/>
      <w:r w:rsidRPr="005B2384">
        <w:rPr>
          <w:rFonts w:eastAsia="Calibri"/>
          <w:b/>
          <w:bCs/>
        </w:rPr>
        <w:t>Strengthen the </w:t>
      </w:r>
      <w:r w:rsidRPr="005B2384">
        <w:rPr>
          <w:rFonts w:eastAsia="Calibri"/>
          <w:b/>
          <w:bCs/>
          <w:i/>
          <w:iCs/>
        </w:rPr>
        <w:t>science</w:t>
      </w:r>
      <w:r w:rsidRPr="005B2384">
        <w:rPr>
          <w:rFonts w:eastAsia="Calibri"/>
          <w:b/>
          <w:bCs/>
        </w:rPr>
        <w:t xml:space="preserve"> that supports effective risk </w:t>
      </w:r>
      <w:r w:rsidRPr="005B2384" w:rsidR="00FF1B5E">
        <w:rPr>
          <w:rFonts w:eastAsia="Calibri"/>
          <w:b/>
          <w:bCs/>
        </w:rPr>
        <w:t>communication.</w:t>
      </w:r>
    </w:p>
    <w:p w:rsidR="00C03999" w:rsidRPr="005B2384" w:rsidP="00D41D5A" w14:paraId="05FAE5F6" w14:textId="77777777">
      <w:pPr>
        <w:rPr>
          <w:rFonts w:eastAsia="Calibri"/>
        </w:rPr>
      </w:pPr>
    </w:p>
    <w:p w:rsidR="00D82636" w:rsidRPr="005B2384" w:rsidP="00D41D5A" w14:paraId="32F690E2" w14:textId="6EC88E9D">
      <w:pPr>
        <w:pStyle w:val="ListParagraph"/>
        <w:numPr>
          <w:ilvl w:val="0"/>
          <w:numId w:val="19"/>
        </w:numPr>
        <w:rPr>
          <w:rFonts w:eastAsia="Calibri"/>
        </w:rPr>
      </w:pPr>
      <w:r w:rsidRPr="005B2384">
        <w:rPr>
          <w:rFonts w:eastAsia="Calibri"/>
          <w:b/>
          <w:bCs/>
        </w:rPr>
        <w:t>Expand FDA </w:t>
      </w:r>
      <w:r w:rsidRPr="005B2384">
        <w:rPr>
          <w:rFonts w:eastAsia="Calibri"/>
          <w:b/>
          <w:bCs/>
          <w:i/>
          <w:iCs/>
        </w:rPr>
        <w:t>capacity</w:t>
      </w:r>
      <w:r w:rsidRPr="005B2384">
        <w:rPr>
          <w:rFonts w:eastAsia="Calibri"/>
          <w:b/>
          <w:bCs/>
        </w:rPr>
        <w:t xml:space="preserve"> to generate, disseminate, and oversee effective risk </w:t>
      </w:r>
      <w:r w:rsidRPr="005B2384" w:rsidR="00FF1B5E">
        <w:rPr>
          <w:rFonts w:eastAsia="Calibri"/>
          <w:b/>
          <w:bCs/>
        </w:rPr>
        <w:t>communication.</w:t>
      </w:r>
    </w:p>
    <w:p w:rsidR="00FB0E3D" w:rsidRPr="005B2384" w:rsidP="00D41D5A" w14:paraId="3A4659F6" w14:textId="51A5EADB">
      <w:pPr>
        <w:pStyle w:val="ListParagraph"/>
        <w:rPr>
          <w:rFonts w:eastAsia="Calibri"/>
        </w:rPr>
      </w:pPr>
    </w:p>
    <w:p w:rsidR="00D82636" w:rsidRPr="005B2384" w:rsidP="00D41D5A" w14:paraId="2AFF2946" w14:textId="56CBA4DD">
      <w:pPr>
        <w:pStyle w:val="ListParagraph"/>
        <w:numPr>
          <w:ilvl w:val="0"/>
          <w:numId w:val="19"/>
        </w:numPr>
        <w:rPr>
          <w:rFonts w:eastAsia="Calibri"/>
        </w:rPr>
      </w:pPr>
      <w:r w:rsidRPr="005B2384">
        <w:rPr>
          <w:rFonts w:eastAsia="Calibri"/>
          <w:b/>
          <w:bCs/>
        </w:rPr>
        <w:t>Optimize FDA </w:t>
      </w:r>
      <w:r w:rsidRPr="005B2384">
        <w:rPr>
          <w:rFonts w:eastAsia="Calibri"/>
          <w:b/>
          <w:bCs/>
          <w:i/>
          <w:iCs/>
        </w:rPr>
        <w:t>policies</w:t>
      </w:r>
      <w:r w:rsidRPr="005B2384">
        <w:rPr>
          <w:rFonts w:eastAsia="Calibri"/>
          <w:b/>
          <w:bCs/>
        </w:rPr>
        <w:t xml:space="preserve"> on communicating risks and </w:t>
      </w:r>
      <w:r w:rsidRPr="005B2384" w:rsidR="00FF1B5E">
        <w:rPr>
          <w:rFonts w:eastAsia="Calibri"/>
          <w:b/>
          <w:bCs/>
        </w:rPr>
        <w:t>benefits.</w:t>
      </w:r>
    </w:p>
    <w:p w:rsidR="007B1C30" w:rsidP="00D41D5A" w14:paraId="5A4E605C" w14:textId="5D80A380">
      <w:pPr>
        <w:rPr>
          <w:rFonts w:eastAsia="Calibri"/>
        </w:rPr>
      </w:pPr>
    </w:p>
    <w:p w:rsidR="00A77DD7" w:rsidRPr="00A77DD7" w:rsidP="00D41D5A" w14:paraId="414FE1D9" w14:textId="760BF698">
      <w:pPr>
        <w:rPr>
          <w:rFonts w:eastAsia="Calibri"/>
          <w:i/>
          <w:iCs/>
        </w:rPr>
      </w:pPr>
      <w:r w:rsidRPr="00A77DD7">
        <w:rPr>
          <w:rFonts w:eastAsia="Calibri"/>
          <w:i/>
          <w:iCs/>
        </w:rPr>
        <w:t>Rick Communications:</w:t>
      </w:r>
    </w:p>
    <w:p w:rsidR="00A77DD7" w:rsidP="00D41D5A" w14:paraId="54CF6809" w14:textId="77777777">
      <w:pPr>
        <w:rPr>
          <w:rFonts w:eastAsia="Calibri"/>
        </w:rPr>
      </w:pPr>
    </w:p>
    <w:p w:rsidR="00C0784B" w:rsidRPr="00C0784B" w:rsidP="00C0784B" w14:paraId="049B5B8B" w14:textId="77777777">
      <w:pPr>
        <w:rPr>
          <w:rFonts w:eastAsia="Calibri"/>
        </w:rPr>
      </w:pPr>
      <w:r w:rsidRPr="00C0784B">
        <w:rPr>
          <w:rFonts w:eastAsia="Calibri"/>
        </w:rPr>
        <w:t>Risk and health communication research consistently shows the importance and benefits of conducting formative and evaluative studies to inform communications (Communicating Risks and Benefits: An Evidence-Based User's Guide</w:t>
      </w:r>
    </w:p>
    <w:p w:rsidR="005C15A5" w:rsidP="00D41D5A" w14:paraId="586DFBC6" w14:textId="01EC9F21">
      <w:pPr>
        <w:rPr>
          <w:rFonts w:eastAsia="Calibri"/>
        </w:rPr>
      </w:pPr>
      <w:hyperlink r:id="rId7" w:history="1">
        <w:r w:rsidRPr="00C0784B" w:rsidR="00C0784B">
          <w:rPr>
            <w:rStyle w:val="Hyperlink"/>
            <w:rFonts w:eastAsia="Calibri"/>
          </w:rPr>
          <w:t>https://www.fda.gov/about-fda/reports/communicating-risks-and-benefits-evidence-based-users-guide</w:t>
        </w:r>
      </w:hyperlink>
      <w:r w:rsidRPr="00C0784B" w:rsidR="00C0784B">
        <w:rPr>
          <w:rFonts w:eastAsia="Calibri"/>
        </w:rPr>
        <w:t>.)  Through communications testing FDA is able to better understand characteristics of the target audience--their attitudes, beliefs, and behaviors--and use these to ensure effective risk communications that meet audiences’ needs and desires and enhance their decision making; design messages and select formats that have increased potential to influence target audiences’ attitudes and behavior in desirable ways; determine the best distribution channels; and expend limited program resource dollars wisely and effectively.</w:t>
      </w:r>
      <w:r w:rsidR="00AE00F2">
        <w:rPr>
          <w:rFonts w:eastAsia="Calibri"/>
        </w:rPr>
        <w:t xml:space="preserve">  </w:t>
      </w:r>
      <w:r w:rsidRPr="00A77DD7" w:rsidR="00A77DD7">
        <w:rPr>
          <w:rFonts w:eastAsia="Calibri"/>
        </w:rPr>
        <w:t>To effectively inform consumers about the risks and benefits of use of drugs, FDA must understand critical influences on people’s decision making when choosing to use, not use, or stop using drugs.</w:t>
      </w:r>
      <w:r w:rsidR="005672F7">
        <w:rPr>
          <w:rFonts w:eastAsia="Calibri"/>
        </w:rPr>
        <w:t xml:space="preserve">  </w:t>
      </w:r>
      <w:r w:rsidRPr="005672F7" w:rsidR="005672F7">
        <w:rPr>
          <w:rFonts w:eastAsia="Calibri"/>
        </w:rPr>
        <w:t xml:space="preserve">FDA must </w:t>
      </w:r>
      <w:r w:rsidR="005672F7">
        <w:rPr>
          <w:rFonts w:eastAsia="Calibri"/>
        </w:rPr>
        <w:t xml:space="preserve">continue to </w:t>
      </w:r>
      <w:r w:rsidRPr="005672F7" w:rsidR="005672F7">
        <w:rPr>
          <w:rFonts w:eastAsia="Calibri"/>
        </w:rPr>
        <w:t>explore consumers’ beliefs and perceptions about using medications to formulate the basic objectives of its risk communication efforts.</w:t>
      </w:r>
    </w:p>
    <w:p w:rsidR="000833FC" w:rsidP="00D41D5A" w14:paraId="2B8EDD41" w14:textId="77777777">
      <w:pPr>
        <w:rPr>
          <w:rFonts w:eastAsia="Calibri"/>
        </w:rPr>
      </w:pPr>
    </w:p>
    <w:p w:rsidR="005C15A5" w:rsidRPr="00E64333" w:rsidP="00D41D5A" w14:paraId="0E60C9C1" w14:textId="77777777">
      <w:pPr>
        <w:rPr>
          <w:rFonts w:eastAsia="Calibri"/>
          <w:i/>
          <w:iCs/>
        </w:rPr>
      </w:pPr>
      <w:r w:rsidRPr="00E64333">
        <w:rPr>
          <w:rFonts w:eastAsia="Calibri"/>
          <w:i/>
          <w:iCs/>
        </w:rPr>
        <w:t>Target Audiences:</w:t>
      </w:r>
    </w:p>
    <w:p w:rsidR="005C15A5" w:rsidP="00D41D5A" w14:paraId="32289707" w14:textId="77777777">
      <w:pPr>
        <w:rPr>
          <w:rFonts w:eastAsia="Calibri"/>
        </w:rPr>
      </w:pPr>
    </w:p>
    <w:p w:rsidR="005C15A5" w:rsidRPr="0043282B" w:rsidP="00D41D5A" w14:paraId="5A36BDEF" w14:textId="4CD5C897">
      <w:pPr>
        <w:spacing w:after="200"/>
        <w:rPr>
          <w:rFonts w:eastAsia="Calibri"/>
        </w:rPr>
      </w:pPr>
      <w:r w:rsidRPr="00227F0E">
        <w:rPr>
          <w:rFonts w:eastAsia="Calibri"/>
        </w:rPr>
        <w:t>Qualitative and quantitative information on decision making processes will also give FDA a better understanding of the needs of its different target audiences.</w:t>
      </w:r>
      <w:r w:rsidR="00C54313">
        <w:rPr>
          <w:rFonts w:eastAsia="Calibri"/>
        </w:rPr>
        <w:t xml:space="preserve">  </w:t>
      </w:r>
      <w:r w:rsidRPr="00227F0E">
        <w:rPr>
          <w:rFonts w:eastAsia="Calibri"/>
        </w:rPr>
        <w:t>The data will not be directly used for the purposes of making regulatory or other policy decisions.</w:t>
      </w:r>
      <w:r w:rsidR="006D384A">
        <w:rPr>
          <w:rFonts w:eastAsia="Calibri"/>
        </w:rPr>
        <w:t xml:space="preserve">  </w:t>
      </w:r>
      <w:r w:rsidRPr="0043282B" w:rsidR="00471E0F">
        <w:rPr>
          <w:rFonts w:eastAsia="Calibri"/>
        </w:rPr>
        <w:t xml:space="preserve">To help achieve </w:t>
      </w:r>
      <w:r w:rsidRPr="0043282B" w:rsidR="006D384A">
        <w:rPr>
          <w:rFonts w:eastAsia="Calibri"/>
        </w:rPr>
        <w:t xml:space="preserve">our </w:t>
      </w:r>
      <w:r w:rsidRPr="0043282B" w:rsidR="00471E0F">
        <w:rPr>
          <w:rFonts w:eastAsia="Calibri"/>
        </w:rPr>
        <w:t>strategic goals</w:t>
      </w:r>
      <w:r w:rsidRPr="0043282B" w:rsidR="006D384A">
        <w:rPr>
          <w:rFonts w:eastAsia="Calibri"/>
        </w:rPr>
        <w:t xml:space="preserve"> however</w:t>
      </w:r>
      <w:r w:rsidRPr="0043282B" w:rsidR="00471E0F">
        <w:rPr>
          <w:rFonts w:eastAsia="Calibri"/>
        </w:rPr>
        <w:t xml:space="preserve">, </w:t>
      </w:r>
      <w:r w:rsidRPr="0043282B">
        <w:rPr>
          <w:rFonts w:eastAsia="Calibri"/>
        </w:rPr>
        <w:t xml:space="preserve">FDA must also understand the general beliefs, experiences, and behaviors of </w:t>
      </w:r>
      <w:r w:rsidRPr="0043282B" w:rsidR="00B85B3A">
        <w:rPr>
          <w:rFonts w:eastAsia="Calibri"/>
        </w:rPr>
        <w:t xml:space="preserve">specific or target audiences.  For example, </w:t>
      </w:r>
      <w:r w:rsidRPr="0043282B">
        <w:rPr>
          <w:rFonts w:eastAsia="Calibri"/>
        </w:rPr>
        <w:t xml:space="preserve">healthcare professionals.  Prescribers, including physicians, physician assistants, and nurse practitioners, nurses, </w:t>
      </w:r>
      <w:r w:rsidRPr="0043282B" w:rsidR="003E333F">
        <w:rPr>
          <w:rFonts w:eastAsia="Calibri"/>
        </w:rPr>
        <w:t xml:space="preserve">and </w:t>
      </w:r>
      <w:r w:rsidRPr="0043282B">
        <w:rPr>
          <w:rFonts w:eastAsia="Calibri"/>
        </w:rPr>
        <w:t>pharmacists</w:t>
      </w:r>
      <w:r w:rsidRPr="0043282B" w:rsidR="003E333F">
        <w:rPr>
          <w:rFonts w:eastAsia="Calibri"/>
        </w:rPr>
        <w:t xml:space="preserve"> also </w:t>
      </w:r>
      <w:r w:rsidRPr="0043282B">
        <w:rPr>
          <w:rFonts w:eastAsia="Calibri"/>
        </w:rPr>
        <w:t>play a key role in the use of drugs.  Among prescribers, FDA must determine the most appropriate target audiences</w:t>
      </w:r>
      <w:r w:rsidRPr="0043282B" w:rsidR="00FD0212">
        <w:rPr>
          <w:rFonts w:eastAsia="Calibri"/>
        </w:rPr>
        <w:t xml:space="preserve"> </w:t>
      </w:r>
      <w:r w:rsidRPr="0043282B" w:rsidR="0053766A">
        <w:rPr>
          <w:rFonts w:eastAsia="Calibri"/>
        </w:rPr>
        <w:t xml:space="preserve">for </w:t>
      </w:r>
      <w:r w:rsidRPr="0043282B">
        <w:rPr>
          <w:rFonts w:eastAsia="Calibri"/>
        </w:rPr>
        <w:t>the informational needs and the most effective communication channels and formats for reaching and educating those audiences about new warnings and guidelines.  This information will allow FDA to engage healthcare professionals as partners in the safe and effective prescribing and use of drugs.</w:t>
      </w:r>
    </w:p>
    <w:p w:rsidR="00506BDC" w:rsidRPr="0043282B" w:rsidP="00506BDC" w14:paraId="216CEC7F" w14:textId="410931A5">
      <w:pPr>
        <w:spacing w:after="200"/>
        <w:rPr>
          <w:rFonts w:eastAsia="Calibri"/>
        </w:rPr>
      </w:pPr>
      <w:r w:rsidRPr="0043282B">
        <w:rPr>
          <w:rFonts w:eastAsia="Calibri"/>
        </w:rPr>
        <w:t>Respondents' input and reactions provide insight into how target audiences may react and how the messages should be formulated or revised to communicate most effectively.  Other information gathered on respondents’ gender, age, socioeconomic level, race/ethnicity, and personal/family use of drugs provides a basis for evaluating whether the messages may be perceived differently by various segments of the audience.  For example, selected age groups may find a particular message or graphic image more compelling than other age groups.</w:t>
      </w:r>
    </w:p>
    <w:p w:rsidR="005C15A5" w:rsidRPr="0043282B" w:rsidP="00700B7E" w14:paraId="20E34936" w14:textId="6E697875">
      <w:pPr>
        <w:spacing w:after="200"/>
        <w:rPr>
          <w:rFonts w:eastAsia="Calibri"/>
        </w:rPr>
      </w:pPr>
      <w:r w:rsidRPr="0043282B">
        <w:rPr>
          <w:rFonts w:eastAsia="Calibri"/>
        </w:rPr>
        <w:t>In addition</w:t>
      </w:r>
      <w:r w:rsidRPr="0043282B">
        <w:rPr>
          <w:rFonts w:eastAsia="Calibri"/>
        </w:rPr>
        <w:t xml:space="preserve">, initial studies will give FDA some information about the potential effectiveness of messages and materials in reaching and successfully communicating with their intended audiences.  Testing messages with a sample of the target audience will allow FDA to refine messages while they are still in the developmental stage, especially important when information must be posted or </w:t>
      </w:r>
      <w:r w:rsidRPr="0043282B">
        <w:rPr>
          <w:rFonts w:eastAsia="Calibri"/>
        </w:rPr>
        <w:t>released prior to formative research as is often the case with information about new and emerging drug safety issues and public health emergencies (i.e., COVID-19).</w:t>
      </w:r>
    </w:p>
    <w:p w:rsidR="00D82636" w:rsidRPr="000158A4" w:rsidP="00AE00F2" w14:paraId="1BA8FCEC" w14:textId="0E710541">
      <w:pPr>
        <w:keepNext/>
        <w:keepLines/>
        <w:rPr>
          <w:rFonts w:eastAsia="Calibri"/>
          <w:i/>
          <w:iCs/>
        </w:rPr>
      </w:pPr>
      <w:r w:rsidRPr="000158A4">
        <w:rPr>
          <w:rFonts w:eastAsia="Calibri"/>
          <w:i/>
          <w:iCs/>
        </w:rPr>
        <w:t>Current Efforts</w:t>
      </w:r>
      <w:r w:rsidRPr="000158A4" w:rsidR="000158A4">
        <w:rPr>
          <w:rFonts w:eastAsia="Calibri"/>
          <w:i/>
          <w:iCs/>
        </w:rPr>
        <w:t>:</w:t>
      </w:r>
    </w:p>
    <w:p w:rsidR="009A59F9" w:rsidP="00AE00F2" w14:paraId="5E9B81A3" w14:textId="77777777">
      <w:pPr>
        <w:keepNext/>
        <w:keepLines/>
        <w:jc w:val="center"/>
        <w:rPr>
          <w:rFonts w:eastAsia="Calibri"/>
        </w:rPr>
      </w:pPr>
    </w:p>
    <w:p w:rsidR="00E10179" w:rsidP="00AE00F2" w14:paraId="267B98F6" w14:textId="2A952846">
      <w:pPr>
        <w:keepNext/>
        <w:keepLines/>
        <w:rPr>
          <w:rFonts w:eastAsia="Calibri"/>
        </w:rPr>
      </w:pPr>
      <w:r w:rsidRPr="00397E50">
        <w:rPr>
          <w:rFonts w:eastAsia="Calibri"/>
        </w:rPr>
        <w:t>Obtaining feedback from intended audiences during the development of messages and materials is crucial for the success of communication program</w:t>
      </w:r>
      <w:r w:rsidR="00755E89">
        <w:rPr>
          <w:rFonts w:eastAsia="Calibri"/>
        </w:rPr>
        <w:t>s</w:t>
      </w:r>
      <w:r w:rsidRPr="00397E50">
        <w:rPr>
          <w:rFonts w:eastAsia="Calibri"/>
        </w:rPr>
        <w:t>.</w:t>
      </w:r>
      <w:r>
        <w:rPr>
          <w:rStyle w:val="FootnoteReference"/>
          <w:rFonts w:eastAsia="Calibri"/>
        </w:rPr>
        <w:footnoteReference w:id="4"/>
      </w:r>
      <w:r w:rsidRPr="00397E50">
        <w:rPr>
          <w:rFonts w:eastAsia="Calibri"/>
        </w:rPr>
        <w:t xml:space="preserve">  The purpose of early testing is to improve materials and strategies while revisions are still affordable and possible.</w:t>
      </w:r>
      <w:r w:rsidR="006B4265">
        <w:rPr>
          <w:rFonts w:eastAsia="Calibri"/>
        </w:rPr>
        <w:t xml:space="preserve">  </w:t>
      </w:r>
      <w:r w:rsidRPr="00397E50">
        <w:rPr>
          <w:rFonts w:eastAsia="Calibri"/>
        </w:rPr>
        <w:t>Testing can also avoid potentially expensive and dangerous unintended outcomes caused by audiences’ interpreting messages in a way that was not intended.  By maximizing the effectiveness of messages and strategies for reaching targeted audiences, the frequency with which communication messages need to be modified should be greatly reduced</w:t>
      </w:r>
      <w:r>
        <w:rPr>
          <w:rFonts w:eastAsia="Calibri"/>
        </w:rPr>
        <w:t xml:space="preserve"> </w:t>
      </w:r>
      <w:r w:rsidRPr="00AE00F2">
        <w:rPr>
          <w:rFonts w:eastAsia="Calibri"/>
        </w:rPr>
        <w:t>along with associated costs.</w:t>
      </w:r>
      <w:r w:rsidRPr="00AE00F2" w:rsidR="00506172">
        <w:rPr>
          <w:rFonts w:eastAsia="Calibri"/>
        </w:rPr>
        <w:t xml:space="preserve">  </w:t>
      </w:r>
      <w:r w:rsidR="00BE2D92">
        <w:rPr>
          <w:rFonts w:eastAsia="Calibri"/>
        </w:rPr>
        <w:t>C</w:t>
      </w:r>
      <w:r w:rsidRPr="00397E50">
        <w:rPr>
          <w:rFonts w:eastAsia="Calibri"/>
        </w:rPr>
        <w:t>onduct</w:t>
      </w:r>
      <w:r w:rsidR="00BE2D92">
        <w:rPr>
          <w:rFonts w:eastAsia="Calibri"/>
        </w:rPr>
        <w:t>ing</w:t>
      </w:r>
      <w:r w:rsidRPr="00397E50">
        <w:rPr>
          <w:rFonts w:eastAsia="Calibri"/>
        </w:rPr>
        <w:t xml:space="preserve"> formative and evaluati</w:t>
      </w:r>
      <w:r w:rsidR="00F11DB8">
        <w:rPr>
          <w:rFonts w:eastAsia="Calibri"/>
        </w:rPr>
        <w:t xml:space="preserve">ve </w:t>
      </w:r>
      <w:r w:rsidRPr="00397E50">
        <w:rPr>
          <w:rFonts w:eastAsia="Calibri"/>
        </w:rPr>
        <w:t>research</w:t>
      </w:r>
      <w:r w:rsidR="00BE2D92">
        <w:rPr>
          <w:rFonts w:eastAsia="Calibri"/>
        </w:rPr>
        <w:t xml:space="preserve"> is also </w:t>
      </w:r>
      <w:r w:rsidR="00BB358B">
        <w:rPr>
          <w:rFonts w:eastAsia="Calibri"/>
        </w:rPr>
        <w:t xml:space="preserve">consistent with Department </w:t>
      </w:r>
      <w:r w:rsidRPr="00397E50">
        <w:rPr>
          <w:rFonts w:eastAsia="Calibri"/>
        </w:rPr>
        <w:t xml:space="preserve">of Health and Human Services (DHHS) </w:t>
      </w:r>
      <w:r w:rsidR="00FF5FFA">
        <w:rPr>
          <w:rFonts w:eastAsia="Calibri"/>
        </w:rPr>
        <w:t xml:space="preserve">objectives to </w:t>
      </w:r>
      <w:r w:rsidRPr="00397E50">
        <w:rPr>
          <w:rFonts w:eastAsia="Calibri"/>
        </w:rPr>
        <w:t>increas</w:t>
      </w:r>
      <w:r w:rsidR="00FF5FFA">
        <w:rPr>
          <w:rFonts w:eastAsia="Calibri"/>
        </w:rPr>
        <w:t>e</w:t>
      </w:r>
      <w:r w:rsidRPr="00397E50">
        <w:rPr>
          <w:rFonts w:eastAsia="Calibri"/>
        </w:rPr>
        <w:t xml:space="preserve"> the proportion of health communication activities that include research and evaluation.</w:t>
      </w:r>
      <w:r>
        <w:rPr>
          <w:rStyle w:val="FootnoteReference"/>
          <w:rFonts w:eastAsia="Calibri"/>
        </w:rPr>
        <w:footnoteReference w:id="5"/>
      </w:r>
      <w:r w:rsidR="00FF5FFA">
        <w:rPr>
          <w:rFonts w:eastAsia="Calibri"/>
        </w:rPr>
        <w:t xml:space="preserve"> </w:t>
      </w:r>
      <w:r w:rsidR="00506172">
        <w:rPr>
          <w:rFonts w:eastAsia="Calibri"/>
        </w:rPr>
        <w:t xml:space="preserve">  </w:t>
      </w:r>
      <w:r w:rsidRPr="00397E50">
        <w:rPr>
          <w:rFonts w:eastAsia="Calibri"/>
        </w:rPr>
        <w:t xml:space="preserve">By identifying gaps in key areas of public health knowledge, evaluating the effectiveness of communication messages and integrating knowledge gained through research/evaluation into practice, FDA </w:t>
      </w:r>
      <w:r w:rsidR="00240730">
        <w:rPr>
          <w:rFonts w:eastAsia="Calibri"/>
        </w:rPr>
        <w:t xml:space="preserve">can better </w:t>
      </w:r>
      <w:r w:rsidRPr="00397E50">
        <w:rPr>
          <w:rFonts w:eastAsia="Calibri"/>
        </w:rPr>
        <w:t xml:space="preserve">ensure that the public has </w:t>
      </w:r>
      <w:r>
        <w:rPr>
          <w:rFonts w:eastAsia="Calibri"/>
        </w:rPr>
        <w:t xml:space="preserve">reliable </w:t>
      </w:r>
      <w:r w:rsidRPr="00397E50">
        <w:rPr>
          <w:rFonts w:eastAsia="Calibri"/>
        </w:rPr>
        <w:t>information need</w:t>
      </w:r>
      <w:r>
        <w:rPr>
          <w:rFonts w:eastAsia="Calibri"/>
        </w:rPr>
        <w:t>ed</w:t>
      </w:r>
      <w:r w:rsidRPr="00397E50">
        <w:rPr>
          <w:rFonts w:eastAsia="Calibri"/>
        </w:rPr>
        <w:t xml:space="preserve"> about FDA-regulated products.</w:t>
      </w:r>
      <w:r w:rsidR="000B440D">
        <w:rPr>
          <w:rFonts w:eastAsia="Calibri"/>
        </w:rPr>
        <w:t xml:space="preserve">  </w:t>
      </w:r>
    </w:p>
    <w:p w:rsidR="00821B11" w:rsidP="00D41D5A" w14:paraId="341B76E5" w14:textId="1A696256">
      <w:pPr>
        <w:rPr>
          <w:rFonts w:eastAsia="Calibri"/>
        </w:rPr>
      </w:pPr>
    </w:p>
    <w:p w:rsidR="00821B11" w:rsidRPr="000158A4" w:rsidP="00D41D5A" w14:paraId="57EE30CB" w14:textId="4CE176AF">
      <w:pPr>
        <w:keepNext/>
        <w:keepLines/>
        <w:rPr>
          <w:rFonts w:eastAsia="Calibri"/>
          <w:i/>
          <w:iCs/>
        </w:rPr>
      </w:pPr>
      <w:r w:rsidRPr="000158A4">
        <w:rPr>
          <w:rFonts w:eastAsia="Calibri"/>
          <w:i/>
          <w:iCs/>
        </w:rPr>
        <w:t xml:space="preserve">Scope of </w:t>
      </w:r>
      <w:r w:rsidR="005D3D8E">
        <w:rPr>
          <w:rFonts w:eastAsia="Calibri"/>
          <w:i/>
          <w:iCs/>
        </w:rPr>
        <w:t>Activity</w:t>
      </w:r>
      <w:r>
        <w:rPr>
          <w:rFonts w:eastAsia="Calibri"/>
          <w:i/>
          <w:iCs/>
        </w:rPr>
        <w:t>:</w:t>
      </w:r>
    </w:p>
    <w:p w:rsidR="00821B11" w:rsidP="00D41D5A" w14:paraId="3226ED46" w14:textId="77777777">
      <w:pPr>
        <w:keepNext/>
        <w:keepLines/>
        <w:rPr>
          <w:rFonts w:eastAsia="Calibri"/>
        </w:rPr>
      </w:pPr>
    </w:p>
    <w:p w:rsidR="000045B4" w:rsidP="00D41D5A" w14:paraId="1AF2416D" w14:textId="77777777">
      <w:pPr>
        <w:keepNext/>
        <w:keepLines/>
        <w:rPr>
          <w:rFonts w:eastAsia="Calibri"/>
        </w:rPr>
      </w:pPr>
      <w:r w:rsidRPr="005D3D8E">
        <w:rPr>
          <w:rFonts w:eastAsia="Calibri"/>
        </w:rPr>
        <w:t>We continue to create and utilize a variety of print (e.g., brochures, posters, fact sheets, information kits), broadcast (e.g., Public Service Announcements, video news releases, podcasts), and electronic media formats (e.g., Internet, listservs, CD-ROMs) to communicate with the public and health professionals about the risks and benefits of regulated products</w:t>
      </w:r>
      <w:r>
        <w:rPr>
          <w:rFonts w:eastAsia="Calibri"/>
        </w:rPr>
        <w:t xml:space="preserve">.  </w:t>
      </w:r>
    </w:p>
    <w:p w:rsidR="000045B4" w:rsidP="00D41D5A" w14:paraId="44C23CF9" w14:textId="77777777">
      <w:pPr>
        <w:rPr>
          <w:rFonts w:eastAsia="Calibri"/>
        </w:rPr>
      </w:pPr>
    </w:p>
    <w:p w:rsidR="000045B4" w:rsidP="00D41D5A" w14:paraId="1349AB15" w14:textId="6D709A42">
      <w:pPr>
        <w:rPr>
          <w:rFonts w:eastAsia="Calibri"/>
        </w:rPr>
      </w:pPr>
      <w:r>
        <w:rPr>
          <w:rFonts w:eastAsia="Calibri"/>
        </w:rPr>
        <w:t>Planned r</w:t>
      </w:r>
      <w:r w:rsidR="000158A4">
        <w:rPr>
          <w:rFonts w:eastAsia="Calibri"/>
        </w:rPr>
        <w:t>esearch activities include</w:t>
      </w:r>
      <w:r w:rsidRPr="00397E50" w:rsidR="00E164C7">
        <w:rPr>
          <w:rFonts w:eastAsia="Calibri"/>
        </w:rPr>
        <w:t>:</w:t>
      </w:r>
    </w:p>
    <w:p w:rsidR="00FB342A" w:rsidP="00D41D5A" w14:paraId="4CC7BAEC" w14:textId="77777777">
      <w:pPr>
        <w:rPr>
          <w:rFonts w:eastAsia="Calibri"/>
        </w:rPr>
      </w:pPr>
    </w:p>
    <w:p w:rsidR="000045B4" w:rsidP="00D41D5A" w14:paraId="65B4C5C6" w14:textId="77777777">
      <w:pPr>
        <w:ind w:left="720"/>
        <w:rPr>
          <w:rFonts w:eastAsia="Calibri"/>
        </w:rPr>
      </w:pPr>
      <w:r w:rsidRPr="00397E50">
        <w:rPr>
          <w:rFonts w:eastAsia="Calibri"/>
        </w:rPr>
        <w:t>(</w:t>
      </w:r>
      <w:r w:rsidRPr="00397E50" w:rsidR="5EF9F535">
        <w:rPr>
          <w:rFonts w:eastAsia="Calibri"/>
        </w:rPr>
        <w:t>1) assessing audience knowledge, attitudes,</w:t>
      </w:r>
      <w:r w:rsidR="00515B64">
        <w:rPr>
          <w:rFonts w:eastAsia="Calibri"/>
        </w:rPr>
        <w:t xml:space="preserve"> beliefs</w:t>
      </w:r>
      <w:r w:rsidR="008C76F3">
        <w:rPr>
          <w:rFonts w:eastAsia="Calibri"/>
        </w:rPr>
        <w:t>, motivations, feelings,</w:t>
      </w:r>
      <w:r w:rsidRPr="00397E50" w:rsidR="5EF9F535">
        <w:rPr>
          <w:rFonts w:eastAsia="Calibri"/>
        </w:rPr>
        <w:t xml:space="preserve"> behaviors and other characteristics for the planning/development of health messages, communication strategies, and public information programs; </w:t>
      </w:r>
    </w:p>
    <w:p w:rsidR="00FB342A" w:rsidP="00D41D5A" w14:paraId="2A101A41" w14:textId="77777777">
      <w:pPr>
        <w:ind w:left="720"/>
        <w:rPr>
          <w:rFonts w:eastAsia="Calibri"/>
        </w:rPr>
      </w:pPr>
    </w:p>
    <w:p w:rsidR="000045B4" w:rsidP="00D41D5A" w14:paraId="17BCB295" w14:textId="77777777">
      <w:pPr>
        <w:ind w:left="720"/>
        <w:rPr>
          <w:rFonts w:eastAsia="Calibri"/>
        </w:rPr>
      </w:pPr>
      <w:r w:rsidRPr="00397E50">
        <w:rPr>
          <w:rFonts w:eastAsia="Calibri"/>
        </w:rPr>
        <w:t>(</w:t>
      </w:r>
      <w:r w:rsidRPr="00397E50" w:rsidR="5EF9F535">
        <w:rPr>
          <w:rFonts w:eastAsia="Calibri"/>
        </w:rPr>
        <w:t xml:space="preserve">2) testing these health messages, strategies, and program components while they are in developmental form to assess audience comprehension, reactions, and perceptions; and </w:t>
      </w:r>
    </w:p>
    <w:p w:rsidR="00FB342A" w:rsidP="00D41D5A" w14:paraId="4A00EB2E" w14:textId="77777777">
      <w:pPr>
        <w:ind w:left="720"/>
        <w:rPr>
          <w:rFonts w:eastAsia="Calibri"/>
        </w:rPr>
      </w:pPr>
    </w:p>
    <w:p w:rsidR="00BB29CC" w:rsidP="00D41D5A" w14:paraId="54E3757E" w14:textId="63142AD9">
      <w:pPr>
        <w:ind w:left="720"/>
        <w:rPr>
          <w:rFonts w:eastAsia="Calibri"/>
        </w:rPr>
      </w:pPr>
      <w:r w:rsidRPr="00397E50">
        <w:rPr>
          <w:rFonts w:eastAsia="Calibri"/>
        </w:rPr>
        <w:t>(</w:t>
      </w:r>
      <w:r w:rsidRPr="00397E50" w:rsidR="5EF9F535">
        <w:rPr>
          <w:rFonts w:eastAsia="Calibri"/>
        </w:rPr>
        <w:t>3) evaluating the final communication products to determine the effectiveness of the messages and distribution methods.</w:t>
      </w:r>
    </w:p>
    <w:p w:rsidR="008F02F2" w:rsidRPr="00397E50" w:rsidP="00D41D5A" w14:paraId="3F5E01C9" w14:textId="77777777">
      <w:pPr>
        <w:rPr>
          <w:rFonts w:eastAsia="Calibri"/>
        </w:rPr>
      </w:pPr>
    </w:p>
    <w:p w:rsidR="004C77E6" w:rsidRPr="005A6B3F" w:rsidP="00D41D5A" w14:paraId="585F3E04" w14:textId="75D42C39">
      <w:pPr>
        <w:spacing w:after="200"/>
        <w:rPr>
          <w:rFonts w:eastAsia="Calibri"/>
          <w:i/>
          <w:iCs/>
        </w:rPr>
      </w:pPr>
      <w:r>
        <w:rPr>
          <w:rFonts w:eastAsia="Calibri"/>
          <w:i/>
          <w:iCs/>
        </w:rPr>
        <w:t xml:space="preserve">Data Collection </w:t>
      </w:r>
      <w:r w:rsidR="00201F8B">
        <w:rPr>
          <w:rFonts w:eastAsia="Calibri"/>
          <w:i/>
          <w:iCs/>
        </w:rPr>
        <w:t>Criteria:</w:t>
      </w:r>
      <w:r>
        <w:rPr>
          <w:rFonts w:eastAsia="Calibri"/>
          <w:i/>
          <w:iCs/>
        </w:rPr>
        <w:t>:</w:t>
      </w:r>
    </w:p>
    <w:p w:rsidR="005D7883" w:rsidRPr="00124458" w:rsidP="00D41D5A" w14:paraId="19BB36DE" w14:textId="56E35DFA">
      <w:pPr>
        <w:spacing w:after="200"/>
        <w:rPr>
          <w:rFonts w:eastAsia="Calibri"/>
        </w:rPr>
      </w:pPr>
      <w:r w:rsidRPr="00124458">
        <w:rPr>
          <w:rFonts w:eastAsia="Calibri"/>
        </w:rPr>
        <w:t xml:space="preserve">Respondents may be asked to give reaction to </w:t>
      </w:r>
      <w:r w:rsidRPr="00124458" w:rsidR="00F3414A">
        <w:rPr>
          <w:rFonts w:eastAsia="Calibri"/>
        </w:rPr>
        <w:t xml:space="preserve">simulated </w:t>
      </w:r>
      <w:r w:rsidRPr="00124458">
        <w:rPr>
          <w:rFonts w:eastAsia="Calibri"/>
        </w:rPr>
        <w:t>messages in individual or group settings.</w:t>
      </w:r>
      <w:r w:rsidRPr="00124458" w:rsidR="00F3414A">
        <w:rPr>
          <w:rFonts w:eastAsia="Calibri"/>
        </w:rPr>
        <w:t xml:space="preserve">  </w:t>
      </w:r>
      <w:r w:rsidRPr="00124458">
        <w:rPr>
          <w:rFonts w:eastAsia="Calibri"/>
        </w:rPr>
        <w:t xml:space="preserve">Initial studies may provide information on a variety of factors, including: </w:t>
      </w:r>
    </w:p>
    <w:p w:rsidR="005D7883" w:rsidRPr="00124458" w:rsidP="00D41D5A" w14:paraId="3E349142" w14:textId="77777777">
      <w:pPr>
        <w:ind w:left="450"/>
        <w:rPr>
          <w:rFonts w:eastAsia="Calibri"/>
        </w:rPr>
      </w:pPr>
      <w:r w:rsidRPr="00124458">
        <w:rPr>
          <w:rFonts w:eastAsia="Calibri"/>
          <w:i/>
        </w:rPr>
        <w:t>Attention</w:t>
      </w:r>
      <w:r w:rsidRPr="00124458">
        <w:rPr>
          <w:rFonts w:eastAsia="Calibri"/>
        </w:rPr>
        <w:t xml:space="preserve"> - The extent to which factors such as language, placement, format, order, typography, and graphic images attract and hold the audience's attention.</w:t>
      </w:r>
    </w:p>
    <w:p w:rsidR="005D7883" w:rsidRPr="00124458" w:rsidP="00D41D5A" w14:paraId="01B55AB6" w14:textId="77777777">
      <w:pPr>
        <w:ind w:left="450"/>
        <w:rPr>
          <w:rFonts w:eastAsia="Calibri"/>
          <w:i/>
        </w:rPr>
      </w:pPr>
    </w:p>
    <w:p w:rsidR="005D7883" w:rsidRPr="00124458" w:rsidP="00D41D5A" w14:paraId="2565A168" w14:textId="77777777">
      <w:pPr>
        <w:ind w:left="450"/>
        <w:rPr>
          <w:rFonts w:eastAsia="Calibri"/>
        </w:rPr>
      </w:pPr>
      <w:r w:rsidRPr="00124458">
        <w:rPr>
          <w:rFonts w:eastAsia="Calibri"/>
          <w:i/>
        </w:rPr>
        <w:t>Comprehension</w:t>
      </w:r>
      <w:r w:rsidRPr="00124458">
        <w:rPr>
          <w:rFonts w:eastAsia="Calibri"/>
        </w:rPr>
        <w:t xml:space="preserve"> – The extent to which communication messages clearly convey information and risks, including to address the needs of low-literacy audiences and with respect to plain language principles and design.</w:t>
      </w:r>
    </w:p>
    <w:p w:rsidR="005D7883" w:rsidRPr="00124458" w:rsidP="00D41D5A" w14:paraId="46EDC97B" w14:textId="77777777">
      <w:pPr>
        <w:ind w:left="450"/>
        <w:rPr>
          <w:rFonts w:eastAsia="Calibri"/>
        </w:rPr>
      </w:pPr>
    </w:p>
    <w:p w:rsidR="005D7883" w:rsidRPr="00124458" w:rsidP="00D41D5A" w14:paraId="2B575518" w14:textId="77777777">
      <w:pPr>
        <w:ind w:left="450"/>
        <w:rPr>
          <w:rFonts w:eastAsia="Calibri"/>
        </w:rPr>
      </w:pPr>
      <w:r w:rsidRPr="00124458">
        <w:rPr>
          <w:rFonts w:eastAsia="Calibri"/>
          <w:i/>
        </w:rPr>
        <w:t>Personal Relevance and Self-efficacy</w:t>
      </w:r>
      <w:r w:rsidRPr="00124458">
        <w:rPr>
          <w:rFonts w:eastAsia="Calibri"/>
        </w:rPr>
        <w:t xml:space="preserve"> – Perceptions that communication messages apply to target audience members personally, that the information is considered important, and that target audience members feel they are able to act on the message.</w:t>
      </w:r>
    </w:p>
    <w:p w:rsidR="005D7883" w:rsidRPr="00124458" w:rsidP="00D41D5A" w14:paraId="5068324A" w14:textId="77777777">
      <w:pPr>
        <w:ind w:left="450"/>
        <w:rPr>
          <w:rFonts w:eastAsia="Calibri"/>
        </w:rPr>
      </w:pPr>
    </w:p>
    <w:p w:rsidR="005D7883" w:rsidRPr="00124458" w:rsidP="00D41D5A" w14:paraId="485E200B" w14:textId="77777777">
      <w:pPr>
        <w:ind w:left="450"/>
        <w:rPr>
          <w:rFonts w:eastAsia="Calibri"/>
        </w:rPr>
      </w:pPr>
      <w:r w:rsidRPr="00124458">
        <w:rPr>
          <w:rFonts w:eastAsia="Calibri"/>
          <w:i/>
        </w:rPr>
        <w:t>Credibility</w:t>
      </w:r>
      <w:r w:rsidRPr="00124458">
        <w:rPr>
          <w:rFonts w:eastAsia="Calibri"/>
        </w:rPr>
        <w:t xml:space="preserve"> – Perceptions that communication messages are credible and are being issued by a trustworthy and knowledgeable source.</w:t>
      </w:r>
    </w:p>
    <w:p w:rsidR="005D7883" w:rsidRPr="00124458" w:rsidP="00D41D5A" w14:paraId="5E0013B2" w14:textId="77777777">
      <w:pPr>
        <w:ind w:left="450"/>
        <w:rPr>
          <w:rFonts w:eastAsia="Calibri"/>
        </w:rPr>
      </w:pPr>
    </w:p>
    <w:p w:rsidR="005D7883" w:rsidRPr="00124458" w:rsidP="00D41D5A" w14:paraId="44007B5D" w14:textId="77777777">
      <w:pPr>
        <w:ind w:left="450"/>
        <w:rPr>
          <w:rFonts w:eastAsia="Calibri"/>
        </w:rPr>
      </w:pPr>
      <w:r w:rsidRPr="00124458">
        <w:rPr>
          <w:rFonts w:eastAsia="Calibri"/>
          <w:i/>
          <w:iCs/>
        </w:rPr>
        <w:t>Behavioral Intent</w:t>
      </w:r>
      <w:r w:rsidRPr="00124458">
        <w:rPr>
          <w:rFonts w:eastAsia="Calibri"/>
        </w:rPr>
        <w:t xml:space="preserve"> – The extent to which respondents think they will take action as a result of seeing the communication messages, e.g., sharing a message with friends or on social media, talking with a health care professional about a new medication or a safety issue with a drug they have been prescribed.</w:t>
      </w:r>
    </w:p>
    <w:p w:rsidR="005D7883" w:rsidRPr="00124458" w:rsidP="00D41D5A" w14:paraId="6189879C" w14:textId="77777777">
      <w:pPr>
        <w:ind w:left="450"/>
        <w:rPr>
          <w:rFonts w:eastAsia="Calibri"/>
        </w:rPr>
      </w:pPr>
    </w:p>
    <w:p w:rsidR="005D7883" w:rsidRPr="00124458" w:rsidP="00D41D5A" w14:paraId="742449EE" w14:textId="77777777">
      <w:pPr>
        <w:ind w:left="450"/>
        <w:rPr>
          <w:rFonts w:eastAsia="Calibri"/>
        </w:rPr>
      </w:pPr>
      <w:r w:rsidRPr="00124458">
        <w:rPr>
          <w:rFonts w:eastAsia="Calibri"/>
          <w:i/>
        </w:rPr>
        <w:t xml:space="preserve">Potential Unintended Consequences </w:t>
      </w:r>
      <w:r w:rsidRPr="00124458">
        <w:rPr>
          <w:rFonts w:eastAsia="Calibri"/>
        </w:rPr>
        <w:t>– Detection of potential negative reactions and the extent to which target audience members find communication messages to be offensive, unacceptable, or culturally insensitive.</w:t>
      </w:r>
    </w:p>
    <w:p w:rsidR="005D7883" w:rsidRPr="005D7883" w:rsidP="00D41D5A" w14:paraId="2F351CA2" w14:textId="77777777">
      <w:pPr>
        <w:rPr>
          <w:rFonts w:eastAsia="Calibri"/>
          <w:highlight w:val="lightGray"/>
        </w:rPr>
      </w:pPr>
    </w:p>
    <w:p w:rsidR="00D237B0" w:rsidP="00D41D5A" w14:paraId="7826CED1" w14:textId="0521EEBF">
      <w:r w:rsidRPr="00301D7D">
        <w:t xml:space="preserve">We </w:t>
      </w:r>
      <w:r w:rsidR="00201F8B">
        <w:t xml:space="preserve">therefore request approval for </w:t>
      </w:r>
      <w:r w:rsidR="00887946">
        <w:t>this generic clearance</w:t>
      </w:r>
      <w:r w:rsidR="003632E1">
        <w:t xml:space="preserve"> of </w:t>
      </w:r>
      <w:r w:rsidR="00887946">
        <w:t xml:space="preserve">information collections </w:t>
      </w:r>
      <w:r w:rsidR="003632E1">
        <w:t>to support drug product communications, as discussed in this supporting statement.</w:t>
      </w:r>
    </w:p>
    <w:p w:rsidR="003632E1" w:rsidP="00D41D5A" w14:paraId="01D0CA24" w14:textId="77777777"/>
    <w:p w:rsidR="00357C8A" w:rsidRPr="00397E50" w:rsidP="00D41D5A" w14:paraId="50AA1D97" w14:textId="77777777">
      <w:pPr>
        <w:numPr>
          <w:ilvl w:val="0"/>
          <w:numId w:val="6"/>
        </w:numPr>
        <w:spacing w:after="200"/>
        <w:rPr>
          <w:rFonts w:eastAsia="Calibri"/>
          <w:u w:val="single"/>
        </w:rPr>
      </w:pPr>
      <w:r w:rsidRPr="00397E50">
        <w:rPr>
          <w:rFonts w:eastAsia="Calibri"/>
          <w:u w:val="single"/>
        </w:rPr>
        <w:t xml:space="preserve">Purpose and Use of the Information Collection </w:t>
      </w:r>
    </w:p>
    <w:p w:rsidR="005D7883" w:rsidRPr="005D7883" w:rsidP="00D41D5A" w14:paraId="7A8A5292" w14:textId="72236E36">
      <w:pPr>
        <w:numPr>
          <w:ilvl w:val="12"/>
          <w:numId w:val="0"/>
        </w:numPr>
      </w:pPr>
      <w:r w:rsidRPr="00873292">
        <w:t>We expect data collected through individual requests under this generic clearance to serve two major purposes.  First, formative research will provide qualitative information about target audiences, understanding their needs, their decision-making processes, and knowledge, attitudes and perceptions--that is critical to initial communications planning and development.  Different formative research will have different foci, depending on the audience addressed and the research questions needing to be answered to develop effective communications.</w:t>
      </w:r>
      <w:r w:rsidR="006D2BF4">
        <w:t xml:space="preserve">  We discuss methodologies that will be </w:t>
      </w:r>
      <w:r w:rsidR="00EA6322">
        <w:t>utilized in administering the individual collection requests more fully i</w:t>
      </w:r>
      <w:r w:rsidR="009A4B4A">
        <w:t>n Part B of our supporting statement.</w:t>
      </w:r>
      <w:r w:rsidR="00B575B3">
        <w:t xml:space="preserve">  </w:t>
      </w:r>
      <w:r w:rsidRPr="005D7883">
        <w:t>Since last OMB review and approval of the generic clearance, we have conducted the following individual information collections:</w:t>
      </w:r>
    </w:p>
    <w:p w:rsidR="005D7883" w:rsidRPr="005D7883" w:rsidP="00D41D5A" w14:paraId="278E949D" w14:textId="77777777">
      <w:pPr>
        <w:numPr>
          <w:ilvl w:val="12"/>
          <w:numId w:val="0"/>
        </w:numPr>
      </w:pPr>
    </w:p>
    <w:tbl>
      <w:tblPr>
        <w:tblW w:w="49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3054"/>
        <w:gridCol w:w="2886"/>
        <w:gridCol w:w="1041"/>
      </w:tblGrid>
      <w:tr w14:paraId="0253EF08" w14:textId="77777777" w:rsidTr="00F401D6">
        <w:tblPrEx>
          <w:tblW w:w="49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trPr>
        <w:tc>
          <w:tcPr>
            <w:tcW w:w="1326" w:type="pct"/>
            <w:shd w:val="clear" w:color="auto" w:fill="F2F2F2" w:themeFill="background1" w:themeFillShade="F2"/>
          </w:tcPr>
          <w:p w:rsidR="005D7883" w:rsidRPr="005D7883" w:rsidP="00D41D5A" w14:paraId="23E82254" w14:textId="77777777">
            <w:pPr>
              <w:jc w:val="center"/>
              <w:rPr>
                <w:b/>
                <w:bCs/>
                <w:sz w:val="20"/>
                <w:szCs w:val="20"/>
              </w:rPr>
            </w:pPr>
            <w:r w:rsidRPr="005D7883">
              <w:rPr>
                <w:b/>
                <w:bCs/>
                <w:sz w:val="20"/>
                <w:szCs w:val="20"/>
              </w:rPr>
              <w:t>Title of Collection</w:t>
            </w:r>
          </w:p>
        </w:tc>
        <w:tc>
          <w:tcPr>
            <w:tcW w:w="1607" w:type="pct"/>
            <w:shd w:val="clear" w:color="auto" w:fill="F2F2F2" w:themeFill="background1" w:themeFillShade="F2"/>
          </w:tcPr>
          <w:p w:rsidR="005D7883" w:rsidRPr="005D7883" w:rsidP="00D41D5A" w14:paraId="1B79BB72" w14:textId="77777777">
            <w:pPr>
              <w:jc w:val="center"/>
              <w:rPr>
                <w:b/>
                <w:bCs/>
                <w:sz w:val="20"/>
                <w:szCs w:val="20"/>
              </w:rPr>
            </w:pPr>
            <w:r w:rsidRPr="005D7883">
              <w:rPr>
                <w:b/>
                <w:bCs/>
                <w:sz w:val="20"/>
                <w:szCs w:val="20"/>
              </w:rPr>
              <w:t>Participants</w:t>
            </w:r>
          </w:p>
        </w:tc>
        <w:tc>
          <w:tcPr>
            <w:tcW w:w="1519" w:type="pct"/>
            <w:shd w:val="clear" w:color="auto" w:fill="F2F2F2" w:themeFill="background1" w:themeFillShade="F2"/>
          </w:tcPr>
          <w:p w:rsidR="005D7883" w:rsidRPr="005D7883" w:rsidP="00D41D5A" w14:paraId="2818D078" w14:textId="77777777">
            <w:pPr>
              <w:jc w:val="center"/>
              <w:rPr>
                <w:b/>
                <w:bCs/>
                <w:sz w:val="20"/>
                <w:szCs w:val="20"/>
              </w:rPr>
            </w:pPr>
            <w:r w:rsidRPr="005D7883">
              <w:rPr>
                <w:b/>
                <w:bCs/>
                <w:sz w:val="20"/>
                <w:szCs w:val="20"/>
              </w:rPr>
              <w:t>Use of Information</w:t>
            </w:r>
          </w:p>
        </w:tc>
        <w:tc>
          <w:tcPr>
            <w:tcW w:w="548" w:type="pct"/>
            <w:shd w:val="clear" w:color="auto" w:fill="F2F2F2" w:themeFill="background1" w:themeFillShade="F2"/>
          </w:tcPr>
          <w:p w:rsidR="005D7883" w:rsidRPr="005D7883" w:rsidP="00D41D5A" w14:paraId="5B024D14" w14:textId="77777777">
            <w:pPr>
              <w:jc w:val="center"/>
              <w:rPr>
                <w:b/>
                <w:bCs/>
                <w:sz w:val="20"/>
                <w:szCs w:val="20"/>
              </w:rPr>
            </w:pPr>
            <w:r w:rsidRPr="005D7883">
              <w:rPr>
                <w:b/>
                <w:bCs/>
                <w:sz w:val="20"/>
                <w:szCs w:val="20"/>
              </w:rPr>
              <w:t>Hours Used</w:t>
            </w:r>
          </w:p>
        </w:tc>
      </w:tr>
      <w:tr w14:paraId="644B01BE" w14:textId="77777777" w:rsidTr="00BA4BA0">
        <w:tblPrEx>
          <w:tblW w:w="4929" w:type="pct"/>
          <w:jc w:val="center"/>
          <w:tblInd w:w="0" w:type="dxa"/>
          <w:tblLayout w:type="fixed"/>
          <w:tblLook w:val="01E0"/>
        </w:tblPrEx>
        <w:trPr>
          <w:cantSplit/>
          <w:trHeight w:val="1772"/>
          <w:jc w:val="center"/>
        </w:trPr>
        <w:tc>
          <w:tcPr>
            <w:tcW w:w="1326" w:type="pct"/>
            <w:shd w:val="clear" w:color="auto" w:fill="auto"/>
          </w:tcPr>
          <w:p w:rsidR="000D25DC" w:rsidRPr="003A0F29" w:rsidP="00D41D5A" w14:paraId="3068CF81" w14:textId="77777777">
            <w:pPr>
              <w:keepLines/>
              <w:ind w:right="-17"/>
              <w:rPr>
                <w:sz w:val="20"/>
                <w:szCs w:val="20"/>
              </w:rPr>
            </w:pPr>
            <w:r w:rsidRPr="005B2384">
              <w:rPr>
                <w:sz w:val="20"/>
                <w:szCs w:val="20"/>
              </w:rPr>
              <w:t>CDER Rapid Message Testing with Consumers – Prescription Stimulant Diversion Messaging</w:t>
            </w:r>
          </w:p>
        </w:tc>
        <w:tc>
          <w:tcPr>
            <w:tcW w:w="1607" w:type="pct"/>
            <w:shd w:val="clear" w:color="auto" w:fill="auto"/>
          </w:tcPr>
          <w:p w:rsidR="000D25DC" w:rsidRPr="003A0F29" w:rsidP="00D41D5A" w14:paraId="3FED5736" w14:textId="77777777">
            <w:pPr>
              <w:rPr>
                <w:sz w:val="20"/>
                <w:szCs w:val="20"/>
              </w:rPr>
            </w:pPr>
            <w:r w:rsidRPr="003A0F29">
              <w:rPr>
                <w:sz w:val="20"/>
                <w:szCs w:val="20"/>
              </w:rPr>
              <w:t>30 respondents (U.S. adults 18 or older)</w:t>
            </w:r>
          </w:p>
          <w:p w:rsidR="000D25DC" w:rsidRPr="003A0F29" w:rsidP="00D41D5A" w14:paraId="0F379A2C" w14:textId="77777777">
            <w:pPr>
              <w:pStyle w:val="ListParagraph"/>
              <w:numPr>
                <w:ilvl w:val="0"/>
                <w:numId w:val="18"/>
              </w:numPr>
              <w:contextualSpacing/>
              <w:rPr>
                <w:sz w:val="20"/>
                <w:szCs w:val="20"/>
              </w:rPr>
            </w:pPr>
            <w:r w:rsidRPr="003A0F29">
              <w:rPr>
                <w:sz w:val="20"/>
                <w:szCs w:val="20"/>
              </w:rPr>
              <w:t xml:space="preserve">Half prescribed a stimulant for ADHD; </w:t>
            </w:r>
          </w:p>
          <w:p w:rsidR="000D25DC" w:rsidRPr="003A0F29" w:rsidP="00D41D5A" w14:paraId="63223E82" w14:textId="77777777">
            <w:pPr>
              <w:pStyle w:val="ListParagraph"/>
              <w:numPr>
                <w:ilvl w:val="0"/>
                <w:numId w:val="18"/>
              </w:numPr>
              <w:contextualSpacing/>
              <w:rPr>
                <w:sz w:val="20"/>
                <w:szCs w:val="20"/>
              </w:rPr>
            </w:pPr>
            <w:r w:rsidRPr="003A0F29">
              <w:rPr>
                <w:sz w:val="20"/>
                <w:szCs w:val="20"/>
              </w:rPr>
              <w:t>Half used a prescription stimulant without a prescription.</w:t>
            </w:r>
          </w:p>
        </w:tc>
        <w:tc>
          <w:tcPr>
            <w:tcW w:w="1519" w:type="pct"/>
          </w:tcPr>
          <w:p w:rsidR="000D25DC" w:rsidRPr="003A0F29" w:rsidP="00D41D5A" w14:paraId="33C4E7BB" w14:textId="77777777">
            <w:pPr>
              <w:rPr>
                <w:sz w:val="20"/>
                <w:szCs w:val="20"/>
              </w:rPr>
            </w:pPr>
            <w:r w:rsidRPr="003A0F29">
              <w:rPr>
                <w:sz w:val="20"/>
                <w:szCs w:val="20"/>
              </w:rPr>
              <w:t>Used to inform updates to prescription stimulant communications designed to prevent misuse and abuse.</w:t>
            </w:r>
          </w:p>
        </w:tc>
        <w:tc>
          <w:tcPr>
            <w:tcW w:w="548" w:type="pct"/>
          </w:tcPr>
          <w:p w:rsidR="000D25DC" w:rsidRPr="003A0F29" w:rsidP="00D41D5A" w14:paraId="23FAB6FE" w14:textId="77777777">
            <w:pPr>
              <w:jc w:val="right"/>
              <w:rPr>
                <w:sz w:val="20"/>
                <w:szCs w:val="20"/>
              </w:rPr>
            </w:pPr>
            <w:r w:rsidRPr="003A0F29">
              <w:rPr>
                <w:sz w:val="20"/>
                <w:szCs w:val="20"/>
              </w:rPr>
              <w:t>98</w:t>
            </w:r>
          </w:p>
        </w:tc>
      </w:tr>
      <w:tr w14:paraId="0630B087" w14:textId="77777777" w:rsidTr="00F401D6">
        <w:tblPrEx>
          <w:tblW w:w="4929" w:type="pct"/>
          <w:jc w:val="center"/>
          <w:tblInd w:w="0" w:type="dxa"/>
          <w:tblLayout w:type="fixed"/>
          <w:tblLook w:val="01E0"/>
        </w:tblPrEx>
        <w:trPr>
          <w:cantSplit/>
          <w:trHeight w:val="300"/>
          <w:jc w:val="center"/>
        </w:trPr>
        <w:tc>
          <w:tcPr>
            <w:tcW w:w="1326" w:type="pct"/>
            <w:shd w:val="clear" w:color="auto" w:fill="auto"/>
          </w:tcPr>
          <w:p w:rsidR="000D25DC" w:rsidRPr="003A0F29" w:rsidP="00D41D5A" w14:paraId="2C8EBD34" w14:textId="77777777">
            <w:pPr>
              <w:keepLines/>
              <w:ind w:right="-17"/>
              <w:rPr>
                <w:sz w:val="20"/>
                <w:szCs w:val="20"/>
              </w:rPr>
            </w:pPr>
            <w:r w:rsidRPr="003A0F29">
              <w:rPr>
                <w:sz w:val="20"/>
                <w:szCs w:val="20"/>
              </w:rPr>
              <w:t>Combating the Infodemics Through Evidence-Based Misinformation Management Strategies – Phase I</w:t>
            </w:r>
          </w:p>
        </w:tc>
        <w:tc>
          <w:tcPr>
            <w:tcW w:w="1607" w:type="pct"/>
            <w:shd w:val="clear" w:color="auto" w:fill="auto"/>
          </w:tcPr>
          <w:p w:rsidR="000D25DC" w:rsidRPr="003A0F29" w:rsidP="00D41D5A" w14:paraId="7AFD2BEF" w14:textId="77777777">
            <w:pPr>
              <w:autoSpaceDE w:val="0"/>
              <w:autoSpaceDN w:val="0"/>
              <w:adjustRightInd w:val="0"/>
              <w:rPr>
                <w:sz w:val="20"/>
                <w:szCs w:val="20"/>
              </w:rPr>
            </w:pPr>
            <w:r w:rsidRPr="003A0F29">
              <w:rPr>
                <w:sz w:val="20"/>
                <w:szCs w:val="20"/>
              </w:rPr>
              <w:t>6,000 respondents (U.S. adults 18 or older)</w:t>
            </w:r>
          </w:p>
        </w:tc>
        <w:tc>
          <w:tcPr>
            <w:tcW w:w="1519" w:type="pct"/>
          </w:tcPr>
          <w:p w:rsidR="000D25DC" w:rsidRPr="003A0F29" w:rsidP="00D41D5A" w14:paraId="5D8B6AEE" w14:textId="77777777">
            <w:pPr>
              <w:rPr>
                <w:sz w:val="20"/>
                <w:szCs w:val="20"/>
              </w:rPr>
            </w:pPr>
            <w:r w:rsidRPr="003A0F29">
              <w:rPr>
                <w:sz w:val="20"/>
                <w:szCs w:val="20"/>
              </w:rPr>
              <w:t>Study currently in progress; results pending, which will be used to inform a Phase 2 experiment</w:t>
            </w:r>
          </w:p>
        </w:tc>
        <w:tc>
          <w:tcPr>
            <w:tcW w:w="548" w:type="pct"/>
          </w:tcPr>
          <w:p w:rsidR="000D25DC" w:rsidRPr="003A0F29" w:rsidP="00D41D5A" w14:paraId="48921715" w14:textId="77777777">
            <w:pPr>
              <w:jc w:val="right"/>
              <w:rPr>
                <w:sz w:val="20"/>
                <w:szCs w:val="20"/>
              </w:rPr>
            </w:pPr>
          </w:p>
          <w:p w:rsidR="000D25DC" w:rsidRPr="003A0F29" w:rsidP="00D41D5A" w14:paraId="278C6CAD" w14:textId="77777777">
            <w:pPr>
              <w:rPr>
                <w:sz w:val="20"/>
                <w:szCs w:val="20"/>
              </w:rPr>
            </w:pPr>
          </w:p>
          <w:p w:rsidR="000D25DC" w:rsidRPr="003A0F29" w:rsidP="00D41D5A" w14:paraId="5131FFD7" w14:textId="77777777">
            <w:pPr>
              <w:jc w:val="right"/>
              <w:rPr>
                <w:sz w:val="20"/>
                <w:szCs w:val="20"/>
              </w:rPr>
            </w:pPr>
            <w:r w:rsidRPr="003A0F29">
              <w:rPr>
                <w:sz w:val="20"/>
                <w:szCs w:val="20"/>
              </w:rPr>
              <w:t>2,760</w:t>
            </w:r>
          </w:p>
        </w:tc>
      </w:tr>
      <w:tr w14:paraId="1C42A570" w14:textId="77777777" w:rsidTr="00BA4BA0">
        <w:tblPrEx>
          <w:tblW w:w="4929" w:type="pct"/>
          <w:jc w:val="center"/>
          <w:tblInd w:w="0" w:type="dxa"/>
          <w:tblLayout w:type="fixed"/>
          <w:tblLook w:val="01E0"/>
        </w:tblPrEx>
        <w:trPr>
          <w:cantSplit/>
          <w:trHeight w:val="2222"/>
          <w:jc w:val="center"/>
        </w:trPr>
        <w:tc>
          <w:tcPr>
            <w:tcW w:w="1326" w:type="pct"/>
            <w:shd w:val="clear" w:color="auto" w:fill="auto"/>
          </w:tcPr>
          <w:p w:rsidR="000D25DC" w:rsidRPr="003A0F29" w:rsidP="00D41D5A" w14:paraId="14F0E138" w14:textId="77777777">
            <w:pPr>
              <w:keepLines/>
              <w:ind w:right="-17"/>
              <w:rPr>
                <w:rStyle w:val="CommentReference"/>
                <w:sz w:val="20"/>
                <w:szCs w:val="20"/>
              </w:rPr>
            </w:pPr>
            <w:r w:rsidRPr="003A0F29">
              <w:rPr>
                <w:rStyle w:val="CommentReference"/>
                <w:sz w:val="20"/>
                <w:szCs w:val="20"/>
              </w:rPr>
              <w:t>Dosage Form Presentations in Direct-to-Consumer Prescription Drug Television Advertisements: Semi-Structured Consumer Interviews</w:t>
            </w:r>
          </w:p>
        </w:tc>
        <w:tc>
          <w:tcPr>
            <w:tcW w:w="1607" w:type="pct"/>
            <w:shd w:val="clear" w:color="auto" w:fill="auto"/>
          </w:tcPr>
          <w:p w:rsidR="000D25DC" w:rsidRPr="003A0F29" w:rsidP="00D41D5A" w14:paraId="77FCE154" w14:textId="77777777">
            <w:pPr>
              <w:autoSpaceDE w:val="0"/>
              <w:autoSpaceDN w:val="0"/>
              <w:adjustRightInd w:val="0"/>
              <w:rPr>
                <w:sz w:val="20"/>
                <w:szCs w:val="20"/>
              </w:rPr>
            </w:pPr>
            <w:r w:rsidRPr="003A0F29">
              <w:rPr>
                <w:sz w:val="20"/>
                <w:szCs w:val="20"/>
              </w:rPr>
              <w:t xml:space="preserve">30 consumer respondents </w:t>
            </w:r>
          </w:p>
        </w:tc>
        <w:tc>
          <w:tcPr>
            <w:tcW w:w="1519" w:type="pct"/>
          </w:tcPr>
          <w:p w:rsidR="000D25DC" w:rsidRPr="003A0F29" w:rsidP="00D41D5A" w14:paraId="3B5D585D" w14:textId="77777777">
            <w:pPr>
              <w:rPr>
                <w:sz w:val="20"/>
                <w:szCs w:val="20"/>
              </w:rPr>
            </w:pPr>
            <w:r w:rsidRPr="003A0F29">
              <w:rPr>
                <w:sz w:val="20"/>
                <w:szCs w:val="20"/>
              </w:rPr>
              <w:t>Study currently in progress; we will use the results of this IC to better understand how consumers interpret and react to common dosage form presentations in prescription drug television ads, and to inform an experimental phase of the research that will follow.</w:t>
            </w:r>
          </w:p>
        </w:tc>
        <w:tc>
          <w:tcPr>
            <w:tcW w:w="548" w:type="pct"/>
          </w:tcPr>
          <w:p w:rsidR="000D25DC" w:rsidRPr="003A0F29" w:rsidP="00D41D5A" w14:paraId="0713C393" w14:textId="77777777">
            <w:pPr>
              <w:jc w:val="right"/>
              <w:rPr>
                <w:sz w:val="20"/>
                <w:szCs w:val="20"/>
              </w:rPr>
            </w:pPr>
            <w:r w:rsidRPr="003A0F29">
              <w:rPr>
                <w:sz w:val="20"/>
                <w:szCs w:val="20"/>
              </w:rPr>
              <w:t>150</w:t>
            </w:r>
          </w:p>
        </w:tc>
      </w:tr>
      <w:tr w14:paraId="36E5F7CB" w14:textId="77777777" w:rsidTr="00F401D6">
        <w:tblPrEx>
          <w:tblW w:w="4929" w:type="pct"/>
          <w:jc w:val="center"/>
          <w:tblInd w:w="0" w:type="dxa"/>
          <w:tblLayout w:type="fixed"/>
          <w:tblLook w:val="01E0"/>
        </w:tblPrEx>
        <w:trPr>
          <w:cantSplit/>
          <w:trHeight w:val="300"/>
          <w:jc w:val="center"/>
        </w:trPr>
        <w:tc>
          <w:tcPr>
            <w:tcW w:w="1326" w:type="pct"/>
            <w:shd w:val="clear" w:color="auto" w:fill="auto"/>
          </w:tcPr>
          <w:p w:rsidR="000D25DC" w:rsidRPr="003A0F29" w:rsidP="00D41D5A" w14:paraId="43D174A8" w14:textId="77777777">
            <w:pPr>
              <w:keepLines/>
              <w:ind w:right="-17"/>
              <w:rPr>
                <w:rStyle w:val="CommentReference"/>
                <w:sz w:val="20"/>
                <w:szCs w:val="20"/>
              </w:rPr>
            </w:pPr>
            <w:r w:rsidRPr="003A0F29">
              <w:rPr>
                <w:rStyle w:val="CommentReference"/>
                <w:sz w:val="20"/>
                <w:szCs w:val="20"/>
              </w:rPr>
              <w:t>Drug Disposal Message Communications</w:t>
            </w:r>
          </w:p>
        </w:tc>
        <w:tc>
          <w:tcPr>
            <w:tcW w:w="1607" w:type="pct"/>
            <w:shd w:val="clear" w:color="auto" w:fill="auto"/>
          </w:tcPr>
          <w:p w:rsidR="000D25DC" w:rsidRPr="003A0F29" w:rsidP="00D41D5A" w14:paraId="557528FF" w14:textId="77777777">
            <w:pPr>
              <w:autoSpaceDE w:val="0"/>
              <w:autoSpaceDN w:val="0"/>
              <w:adjustRightInd w:val="0"/>
              <w:rPr>
                <w:sz w:val="20"/>
                <w:szCs w:val="20"/>
              </w:rPr>
            </w:pPr>
            <w:r w:rsidRPr="003A0F29">
              <w:rPr>
                <w:sz w:val="20"/>
                <w:szCs w:val="20"/>
              </w:rPr>
              <w:t>20 consumer respondents. Participants were patients (n=10) or caregivers (n=10) who reported that they, or someone they cared for, received a doctor’s prescription for opioids, filled it in the last six months, and had leftover medication.</w:t>
            </w:r>
          </w:p>
          <w:p w:rsidR="000D25DC" w:rsidRPr="003A0F29" w:rsidP="00D41D5A" w14:paraId="0AB2A1EC" w14:textId="77777777">
            <w:pPr>
              <w:autoSpaceDE w:val="0"/>
              <w:autoSpaceDN w:val="0"/>
              <w:adjustRightInd w:val="0"/>
              <w:rPr>
                <w:sz w:val="20"/>
                <w:szCs w:val="20"/>
              </w:rPr>
            </w:pPr>
          </w:p>
        </w:tc>
        <w:tc>
          <w:tcPr>
            <w:tcW w:w="1519" w:type="pct"/>
          </w:tcPr>
          <w:p w:rsidR="000D25DC" w:rsidRPr="003A0F29" w:rsidP="00D41D5A" w14:paraId="01FA81B4" w14:textId="7A52314A">
            <w:pPr>
              <w:rPr>
                <w:sz w:val="20"/>
                <w:szCs w:val="20"/>
              </w:rPr>
            </w:pPr>
            <w:r w:rsidRPr="003A0F29">
              <w:rPr>
                <w:sz w:val="20"/>
                <w:szCs w:val="20"/>
              </w:rPr>
              <w:t xml:space="preserve">Used to inform updates to a Drug Disposal question and answer (Q&amp;A) </w:t>
            </w:r>
            <w:r w:rsidRPr="003A0F29" w:rsidR="002E5DC7">
              <w:rPr>
                <w:sz w:val="20"/>
                <w:szCs w:val="20"/>
              </w:rPr>
              <w:t>webpage.</w:t>
            </w:r>
          </w:p>
          <w:p w:rsidR="000D25DC" w:rsidRPr="003A0F29" w:rsidP="00D41D5A" w14:paraId="024E74E4" w14:textId="77777777">
            <w:pPr>
              <w:rPr>
                <w:sz w:val="20"/>
                <w:szCs w:val="20"/>
              </w:rPr>
            </w:pPr>
          </w:p>
        </w:tc>
        <w:tc>
          <w:tcPr>
            <w:tcW w:w="548" w:type="pct"/>
          </w:tcPr>
          <w:p w:rsidR="000D25DC" w:rsidRPr="003A0F29" w:rsidP="00D41D5A" w14:paraId="16E6FF89" w14:textId="77777777">
            <w:pPr>
              <w:jc w:val="right"/>
              <w:rPr>
                <w:sz w:val="20"/>
                <w:szCs w:val="20"/>
              </w:rPr>
            </w:pPr>
            <w:r w:rsidRPr="003A0F29">
              <w:rPr>
                <w:sz w:val="20"/>
                <w:szCs w:val="20"/>
              </w:rPr>
              <w:t>90</w:t>
            </w:r>
          </w:p>
        </w:tc>
      </w:tr>
      <w:tr w14:paraId="5564C366" w14:textId="77777777" w:rsidTr="00F401D6">
        <w:tblPrEx>
          <w:tblW w:w="4929" w:type="pct"/>
          <w:jc w:val="center"/>
          <w:tblInd w:w="0" w:type="dxa"/>
          <w:tblLayout w:type="fixed"/>
          <w:tblLook w:val="01E0"/>
        </w:tblPrEx>
        <w:trPr>
          <w:cantSplit/>
          <w:trHeight w:val="300"/>
          <w:jc w:val="center"/>
        </w:trPr>
        <w:tc>
          <w:tcPr>
            <w:tcW w:w="1326" w:type="pct"/>
            <w:shd w:val="clear" w:color="auto" w:fill="auto"/>
          </w:tcPr>
          <w:p w:rsidR="000D25DC" w:rsidRPr="003A0F29" w:rsidP="00D41D5A" w14:paraId="2F5FEE79" w14:textId="77777777">
            <w:pPr>
              <w:keepLines/>
              <w:ind w:right="-17"/>
              <w:rPr>
                <w:rStyle w:val="CommentReference"/>
                <w:sz w:val="20"/>
                <w:szCs w:val="20"/>
              </w:rPr>
            </w:pPr>
            <w:r w:rsidRPr="003A0F29">
              <w:rPr>
                <w:rStyle w:val="CommentReference"/>
                <w:sz w:val="20"/>
                <w:szCs w:val="20"/>
              </w:rPr>
              <w:t>Exploring Healthcare Providers' Practices, Perspectives, and Experiences Prescribing and Co-Prescribing Benzodiazepines and Opioid Analgesics</w:t>
            </w:r>
          </w:p>
        </w:tc>
        <w:tc>
          <w:tcPr>
            <w:tcW w:w="1607" w:type="pct"/>
            <w:shd w:val="clear" w:color="auto" w:fill="auto"/>
          </w:tcPr>
          <w:p w:rsidR="000D25DC" w:rsidRPr="003A0F29" w:rsidP="00D41D5A" w14:paraId="0E4C636A" w14:textId="77777777">
            <w:pPr>
              <w:autoSpaceDE w:val="0"/>
              <w:autoSpaceDN w:val="0"/>
              <w:adjustRightInd w:val="0"/>
              <w:rPr>
                <w:sz w:val="20"/>
                <w:szCs w:val="20"/>
              </w:rPr>
            </w:pPr>
            <w:r w:rsidRPr="003A0F29">
              <w:rPr>
                <w:sz w:val="20"/>
                <w:szCs w:val="20"/>
              </w:rPr>
              <w:t>1,985 respondents screened (estimated), with n=24 (3 focus groups) with specialty healthcare providers (physicians, nurse practitioners, and physician assistants) practicing in mental health, neurology, or emergency medicine and who prescribed benzodiazepines either alone or in conjunction with opioids in the past 90 days.</w:t>
            </w:r>
          </w:p>
        </w:tc>
        <w:tc>
          <w:tcPr>
            <w:tcW w:w="1519" w:type="pct"/>
          </w:tcPr>
          <w:p w:rsidR="000D25DC" w:rsidRPr="003A0F29" w:rsidP="00D41D5A" w14:paraId="238E899D" w14:textId="77777777">
            <w:pPr>
              <w:rPr>
                <w:sz w:val="20"/>
                <w:szCs w:val="20"/>
              </w:rPr>
            </w:pPr>
            <w:r w:rsidRPr="003A0F29">
              <w:rPr>
                <w:sz w:val="20"/>
                <w:szCs w:val="20"/>
              </w:rPr>
              <w:t xml:space="preserve">The data from these remaining set of focus group were combined with the data from the other 13 focus groups that were part of this phase of the study (see 2 rows down) and the combined focus group findings were used to inform the Phase 2 interviews (see next row) </w:t>
            </w:r>
          </w:p>
          <w:p w:rsidR="000D25DC" w:rsidRPr="003A0F29" w:rsidP="00D41D5A" w14:paraId="2E42170A" w14:textId="77777777">
            <w:pPr>
              <w:rPr>
                <w:sz w:val="20"/>
                <w:szCs w:val="20"/>
              </w:rPr>
            </w:pPr>
          </w:p>
        </w:tc>
        <w:tc>
          <w:tcPr>
            <w:tcW w:w="548" w:type="pct"/>
          </w:tcPr>
          <w:p w:rsidR="000D25DC" w:rsidRPr="003A0F29" w:rsidP="00D41D5A" w14:paraId="387AADA7" w14:textId="77777777">
            <w:pPr>
              <w:jc w:val="right"/>
              <w:rPr>
                <w:sz w:val="20"/>
                <w:szCs w:val="20"/>
              </w:rPr>
            </w:pPr>
            <w:r w:rsidRPr="003A0F29">
              <w:rPr>
                <w:sz w:val="20"/>
                <w:szCs w:val="20"/>
              </w:rPr>
              <w:t>366.5</w:t>
            </w:r>
          </w:p>
        </w:tc>
      </w:tr>
      <w:tr w14:paraId="3787ACEC" w14:textId="77777777" w:rsidTr="00F401D6">
        <w:tblPrEx>
          <w:tblW w:w="4929" w:type="pct"/>
          <w:jc w:val="center"/>
          <w:tblInd w:w="0" w:type="dxa"/>
          <w:tblLayout w:type="fixed"/>
          <w:tblLook w:val="01E0"/>
        </w:tblPrEx>
        <w:trPr>
          <w:cantSplit/>
          <w:trHeight w:val="2267"/>
          <w:jc w:val="center"/>
        </w:trPr>
        <w:tc>
          <w:tcPr>
            <w:tcW w:w="1326" w:type="pct"/>
            <w:tcBorders>
              <w:top w:val="single" w:sz="4" w:space="0" w:color="auto"/>
              <w:left w:val="single" w:sz="4" w:space="0" w:color="auto"/>
              <w:bottom w:val="single" w:sz="4" w:space="0" w:color="auto"/>
              <w:right w:val="single" w:sz="4" w:space="0" w:color="auto"/>
            </w:tcBorders>
            <w:shd w:val="clear" w:color="auto" w:fill="auto"/>
          </w:tcPr>
          <w:p w:rsidR="000D25DC" w:rsidRPr="003A0F29" w:rsidP="00D41D5A" w14:paraId="15A8F0D5" w14:textId="77777777">
            <w:pPr>
              <w:keepLines/>
              <w:ind w:right="-17"/>
              <w:rPr>
                <w:rStyle w:val="CommentReference"/>
                <w:sz w:val="20"/>
                <w:szCs w:val="20"/>
              </w:rPr>
            </w:pPr>
            <w:r w:rsidRPr="003A0F29">
              <w:rPr>
                <w:rStyle w:val="CommentReference"/>
                <w:sz w:val="20"/>
                <w:szCs w:val="20"/>
              </w:rPr>
              <w:t>Exploring Healthcare Providers' Practices, Perspectives, and Experiences Prescribing and Co-Prescribing Benzodiazepines and Opioid Analgesics: Individual In-Depth Interviews</w:t>
            </w:r>
          </w:p>
        </w:tc>
        <w:tc>
          <w:tcPr>
            <w:tcW w:w="1607" w:type="pct"/>
            <w:tcBorders>
              <w:top w:val="single" w:sz="4" w:space="0" w:color="auto"/>
              <w:left w:val="single" w:sz="4" w:space="0" w:color="auto"/>
              <w:bottom w:val="single" w:sz="4" w:space="0" w:color="auto"/>
              <w:right w:val="single" w:sz="4" w:space="0" w:color="auto"/>
            </w:tcBorders>
            <w:shd w:val="clear" w:color="auto" w:fill="auto"/>
          </w:tcPr>
          <w:p w:rsidR="000D25DC" w:rsidRPr="003A0F29" w:rsidP="00D41D5A" w14:paraId="0D2BC784" w14:textId="77777777">
            <w:pPr>
              <w:autoSpaceDE w:val="0"/>
              <w:autoSpaceDN w:val="0"/>
              <w:adjustRightInd w:val="0"/>
              <w:rPr>
                <w:sz w:val="20"/>
                <w:szCs w:val="20"/>
              </w:rPr>
            </w:pPr>
            <w:r w:rsidRPr="003A0F29">
              <w:rPr>
                <w:sz w:val="20"/>
                <w:szCs w:val="20"/>
              </w:rPr>
              <w:t>450 respondents screened (estimated), with n=30 (individual interviews) with healthcare providers</w:t>
            </w:r>
            <w:r w:rsidRPr="003A0F29">
              <w:rPr>
                <w:sz w:val="20"/>
                <w:szCs w:val="20"/>
                <w:shd w:val="clear" w:color="auto" w:fill="E6E6E6"/>
              </w:rPr>
              <w:t xml:space="preserve"> </w:t>
            </w:r>
            <w:r w:rsidRPr="003A0F29">
              <w:rPr>
                <w:sz w:val="20"/>
                <w:szCs w:val="20"/>
              </w:rPr>
              <w:t>(physicians, nurse practitioners, and physician assistants) who have prescribed benzodiazepines either alone or in conjunction with opioids in the past 90 days.</w:t>
            </w:r>
          </w:p>
        </w:tc>
        <w:tc>
          <w:tcPr>
            <w:tcW w:w="1519" w:type="pct"/>
            <w:tcBorders>
              <w:top w:val="single" w:sz="4" w:space="0" w:color="auto"/>
              <w:left w:val="single" w:sz="4" w:space="0" w:color="auto"/>
              <w:bottom w:val="single" w:sz="4" w:space="0" w:color="auto"/>
              <w:right w:val="single" w:sz="4" w:space="0" w:color="auto"/>
            </w:tcBorders>
          </w:tcPr>
          <w:p w:rsidR="000D25DC" w:rsidRPr="003A0F29" w:rsidP="00D41D5A" w14:paraId="6391C5E7" w14:textId="59C0C6FD">
            <w:pPr>
              <w:rPr>
                <w:sz w:val="20"/>
                <w:szCs w:val="20"/>
              </w:rPr>
            </w:pPr>
            <w:r w:rsidRPr="003A0F29">
              <w:rPr>
                <w:sz w:val="20"/>
                <w:szCs w:val="20"/>
              </w:rPr>
              <w:t xml:space="preserve">Study currently in progress; results pending and to be shared with relevant CDER staff to help inform center discussions and </w:t>
            </w:r>
            <w:r w:rsidRPr="003A0F29" w:rsidR="002E5DC7">
              <w:rPr>
                <w:sz w:val="20"/>
                <w:szCs w:val="20"/>
              </w:rPr>
              <w:t>communications.</w:t>
            </w:r>
            <w:r w:rsidRPr="003A0F29">
              <w:rPr>
                <w:sz w:val="20"/>
                <w:szCs w:val="20"/>
              </w:rPr>
              <w:t xml:space="preserve">  </w:t>
            </w:r>
          </w:p>
          <w:p w:rsidR="000D25DC" w:rsidRPr="003A0F29" w:rsidP="00D41D5A" w14:paraId="6A621C89" w14:textId="77777777">
            <w:pPr>
              <w:rPr>
                <w:sz w:val="20"/>
                <w:szCs w:val="20"/>
              </w:rPr>
            </w:pPr>
          </w:p>
          <w:p w:rsidR="000D25DC" w:rsidRPr="003A0F29" w:rsidP="00D41D5A" w14:paraId="50EDAA01" w14:textId="77777777">
            <w:pPr>
              <w:rPr>
                <w:sz w:val="20"/>
                <w:szCs w:val="20"/>
              </w:rPr>
            </w:pPr>
          </w:p>
        </w:tc>
        <w:tc>
          <w:tcPr>
            <w:tcW w:w="548" w:type="pct"/>
            <w:tcBorders>
              <w:top w:val="single" w:sz="4" w:space="0" w:color="auto"/>
              <w:left w:val="single" w:sz="4" w:space="0" w:color="auto"/>
              <w:bottom w:val="single" w:sz="4" w:space="0" w:color="auto"/>
              <w:right w:val="single" w:sz="4" w:space="0" w:color="auto"/>
            </w:tcBorders>
          </w:tcPr>
          <w:p w:rsidR="000D25DC" w:rsidRPr="003A0F29" w:rsidP="00D41D5A" w14:paraId="489FDA54" w14:textId="77777777">
            <w:pPr>
              <w:jc w:val="right"/>
              <w:rPr>
                <w:sz w:val="20"/>
                <w:szCs w:val="20"/>
              </w:rPr>
            </w:pPr>
            <w:r w:rsidRPr="003A0F29">
              <w:rPr>
                <w:sz w:val="20"/>
                <w:szCs w:val="20"/>
              </w:rPr>
              <w:t>105</w:t>
            </w:r>
          </w:p>
        </w:tc>
      </w:tr>
      <w:tr w14:paraId="688E80C4" w14:textId="77777777" w:rsidTr="00F401D6">
        <w:tblPrEx>
          <w:tblW w:w="4929" w:type="pct"/>
          <w:jc w:val="center"/>
          <w:tblInd w:w="0" w:type="dxa"/>
          <w:tblLayout w:type="fixed"/>
          <w:tblLook w:val="01E0"/>
        </w:tblPrEx>
        <w:trPr>
          <w:cantSplit/>
          <w:trHeight w:val="300"/>
          <w:jc w:val="center"/>
        </w:trPr>
        <w:tc>
          <w:tcPr>
            <w:tcW w:w="1326" w:type="pct"/>
            <w:shd w:val="clear" w:color="auto" w:fill="auto"/>
          </w:tcPr>
          <w:p w:rsidR="000D25DC" w:rsidRPr="003A0F29" w:rsidP="00D41D5A" w14:paraId="6B019C7E" w14:textId="77777777">
            <w:pPr>
              <w:keepLines/>
              <w:ind w:right="-17"/>
              <w:rPr>
                <w:rStyle w:val="CommentReference"/>
                <w:sz w:val="20"/>
                <w:szCs w:val="20"/>
              </w:rPr>
            </w:pPr>
            <w:r w:rsidRPr="003A0F29">
              <w:rPr>
                <w:rStyle w:val="CommentReference"/>
                <w:sz w:val="20"/>
                <w:szCs w:val="20"/>
              </w:rPr>
              <w:t>Exploring Healthcare Providers' Practices, Perspectives, and Experiences Prescribing and Co-Prescribing Benzodiazepines and Opioids (CDER)</w:t>
            </w:r>
          </w:p>
        </w:tc>
        <w:tc>
          <w:tcPr>
            <w:tcW w:w="1607" w:type="pct"/>
            <w:shd w:val="clear" w:color="auto" w:fill="auto"/>
          </w:tcPr>
          <w:p w:rsidR="000D25DC" w:rsidRPr="003A0F29" w:rsidP="00D41D5A" w14:paraId="37DD87E8" w14:textId="77777777">
            <w:pPr>
              <w:autoSpaceDE w:val="0"/>
              <w:autoSpaceDN w:val="0"/>
              <w:adjustRightInd w:val="0"/>
              <w:rPr>
                <w:sz w:val="20"/>
                <w:szCs w:val="20"/>
              </w:rPr>
            </w:pPr>
            <w:r w:rsidRPr="003A0F29">
              <w:rPr>
                <w:sz w:val="20"/>
                <w:szCs w:val="20"/>
              </w:rPr>
              <w:t>911 respondents screened (4.7 % response rate), with n=117 (13 focus groups) with healthcare providers</w:t>
            </w:r>
            <w:r w:rsidRPr="003A0F29">
              <w:rPr>
                <w:sz w:val="20"/>
                <w:szCs w:val="20"/>
                <w:shd w:val="clear" w:color="auto" w:fill="E6E6E6"/>
              </w:rPr>
              <w:t xml:space="preserve"> </w:t>
            </w:r>
            <w:r w:rsidRPr="003A0F29">
              <w:rPr>
                <w:sz w:val="20"/>
                <w:szCs w:val="20"/>
              </w:rPr>
              <w:t>(physicians, PAs, NPs) who have prescribed benzodiazepines either alone or in conjunction with opioids in the past 90 days, mainly consisting of primary care HCPs.</w:t>
            </w:r>
          </w:p>
        </w:tc>
        <w:tc>
          <w:tcPr>
            <w:tcW w:w="1519" w:type="pct"/>
          </w:tcPr>
          <w:p w:rsidR="000D25DC" w:rsidRPr="003A0F29" w:rsidP="00D41D5A" w14:paraId="48B3AC1E" w14:textId="77777777">
            <w:pPr>
              <w:rPr>
                <w:sz w:val="20"/>
                <w:szCs w:val="20"/>
              </w:rPr>
            </w:pPr>
            <w:r w:rsidRPr="003A0F29">
              <w:rPr>
                <w:sz w:val="20"/>
                <w:szCs w:val="20"/>
              </w:rPr>
              <w:t xml:space="preserve">The data from this set of focus group were combined with the data from the other 3 focus groups that were part of this phase of the study (see 2 rows above) and the combined focus group findings were used to inform the Phase 2 interviews (see row immediately above) </w:t>
            </w:r>
          </w:p>
          <w:p w:rsidR="000D25DC" w:rsidRPr="003A0F29" w:rsidP="00D41D5A" w14:paraId="2FDED6C3" w14:textId="77777777">
            <w:pPr>
              <w:rPr>
                <w:sz w:val="20"/>
                <w:szCs w:val="20"/>
              </w:rPr>
            </w:pPr>
          </w:p>
        </w:tc>
        <w:tc>
          <w:tcPr>
            <w:tcW w:w="548" w:type="pct"/>
          </w:tcPr>
          <w:p w:rsidR="000D25DC" w:rsidRPr="003A0F29" w:rsidP="00D41D5A" w14:paraId="12E1C4D8" w14:textId="77777777">
            <w:pPr>
              <w:jc w:val="right"/>
              <w:rPr>
                <w:sz w:val="20"/>
                <w:szCs w:val="20"/>
              </w:rPr>
            </w:pPr>
            <w:r w:rsidRPr="003A0F29">
              <w:rPr>
                <w:sz w:val="20"/>
                <w:szCs w:val="20"/>
              </w:rPr>
              <w:t>327</w:t>
            </w:r>
          </w:p>
          <w:p w:rsidR="000D25DC" w:rsidRPr="003A0F29" w:rsidP="00D41D5A" w14:paraId="7A494950" w14:textId="77777777">
            <w:pPr>
              <w:jc w:val="right"/>
              <w:rPr>
                <w:sz w:val="20"/>
                <w:szCs w:val="20"/>
              </w:rPr>
            </w:pPr>
          </w:p>
        </w:tc>
      </w:tr>
      <w:tr w14:paraId="7DD01B32" w14:textId="77777777" w:rsidTr="00F401D6">
        <w:tblPrEx>
          <w:tblW w:w="4929" w:type="pct"/>
          <w:jc w:val="center"/>
          <w:tblInd w:w="0" w:type="dxa"/>
          <w:tblLayout w:type="fixed"/>
          <w:tblLook w:val="01E0"/>
        </w:tblPrEx>
        <w:trPr>
          <w:cantSplit/>
          <w:trHeight w:val="300"/>
          <w:jc w:val="center"/>
        </w:trPr>
        <w:tc>
          <w:tcPr>
            <w:tcW w:w="1326" w:type="pct"/>
            <w:shd w:val="clear" w:color="auto" w:fill="auto"/>
          </w:tcPr>
          <w:p w:rsidR="000D25DC" w:rsidRPr="003A0F29" w:rsidP="00D41D5A" w14:paraId="3DEEBF09" w14:textId="77777777">
            <w:pPr>
              <w:keepLines/>
              <w:ind w:right="-17"/>
              <w:rPr>
                <w:rStyle w:val="CommentReference"/>
                <w:sz w:val="20"/>
                <w:szCs w:val="20"/>
              </w:rPr>
            </w:pPr>
            <w:r w:rsidRPr="003A0F29">
              <w:rPr>
                <w:rStyle w:val="CommentReference"/>
                <w:sz w:val="20"/>
                <w:szCs w:val="20"/>
              </w:rPr>
              <w:t>Focus Groups: Adherence Potential and Patient Preference in Prescription Drug Promotion (CDER)</w:t>
            </w:r>
          </w:p>
        </w:tc>
        <w:tc>
          <w:tcPr>
            <w:tcW w:w="1607" w:type="pct"/>
            <w:shd w:val="clear" w:color="auto" w:fill="auto"/>
          </w:tcPr>
          <w:p w:rsidR="000D25DC" w:rsidRPr="003A0F29" w:rsidP="00D41D5A" w14:paraId="0B23A253" w14:textId="77777777">
            <w:pPr>
              <w:rPr>
                <w:sz w:val="20"/>
                <w:szCs w:val="20"/>
              </w:rPr>
            </w:pPr>
            <w:r w:rsidRPr="003A0F29">
              <w:rPr>
                <w:sz w:val="20"/>
                <w:szCs w:val="20"/>
              </w:rPr>
              <w:t>35 respondents, including 18 primary care physicians and 17 general population consumers.</w:t>
            </w:r>
          </w:p>
        </w:tc>
        <w:tc>
          <w:tcPr>
            <w:tcW w:w="1519" w:type="pct"/>
          </w:tcPr>
          <w:p w:rsidR="000D25DC" w:rsidRPr="003A0F29" w:rsidP="00D41D5A" w14:paraId="71170CC3" w14:textId="77777777">
            <w:pPr>
              <w:rPr>
                <w:sz w:val="20"/>
                <w:szCs w:val="20"/>
              </w:rPr>
            </w:pPr>
            <w:r w:rsidRPr="003A0F29">
              <w:rPr>
                <w:sz w:val="20"/>
                <w:szCs w:val="20"/>
              </w:rPr>
              <w:t>Data used to refine measurement instruments for follow-on survey.</w:t>
            </w:r>
          </w:p>
        </w:tc>
        <w:tc>
          <w:tcPr>
            <w:tcW w:w="548" w:type="pct"/>
          </w:tcPr>
          <w:p w:rsidR="000D25DC" w:rsidRPr="003A0F29" w:rsidP="00D41D5A" w14:paraId="1C51810A" w14:textId="77777777">
            <w:pPr>
              <w:jc w:val="right"/>
              <w:rPr>
                <w:sz w:val="20"/>
                <w:szCs w:val="20"/>
              </w:rPr>
            </w:pPr>
            <w:r w:rsidRPr="003A0F29">
              <w:rPr>
                <w:sz w:val="20"/>
                <w:szCs w:val="20"/>
              </w:rPr>
              <w:t>157</w:t>
            </w:r>
          </w:p>
        </w:tc>
      </w:tr>
      <w:tr w14:paraId="138EBD7D" w14:textId="77777777" w:rsidTr="00F401D6">
        <w:tblPrEx>
          <w:tblW w:w="4929" w:type="pct"/>
          <w:jc w:val="center"/>
          <w:tblInd w:w="0" w:type="dxa"/>
          <w:tblLayout w:type="fixed"/>
          <w:tblLook w:val="01E0"/>
        </w:tblPrEx>
        <w:trPr>
          <w:cantSplit/>
          <w:trHeight w:val="300"/>
          <w:jc w:val="center"/>
        </w:trPr>
        <w:tc>
          <w:tcPr>
            <w:tcW w:w="1326" w:type="pct"/>
            <w:shd w:val="clear" w:color="auto" w:fill="auto"/>
          </w:tcPr>
          <w:p w:rsidR="000D25DC" w:rsidRPr="003A0F29" w:rsidP="00D41D5A" w14:paraId="33B040B4" w14:textId="77777777">
            <w:pPr>
              <w:keepLines/>
              <w:ind w:right="-17"/>
              <w:rPr>
                <w:rStyle w:val="CommentReference"/>
                <w:sz w:val="20"/>
                <w:szCs w:val="20"/>
              </w:rPr>
            </w:pPr>
            <w:r w:rsidRPr="003A0F29">
              <w:rPr>
                <w:rStyle w:val="CommentReference"/>
                <w:sz w:val="20"/>
                <w:szCs w:val="20"/>
              </w:rPr>
              <w:t>Formative Research Study to Understand the Impact of Generic Substitutes for Various Patient and Caregiver Populations</w:t>
            </w:r>
          </w:p>
        </w:tc>
        <w:tc>
          <w:tcPr>
            <w:tcW w:w="1607" w:type="pct"/>
            <w:shd w:val="clear" w:color="auto" w:fill="auto"/>
          </w:tcPr>
          <w:p w:rsidR="000D25DC" w:rsidRPr="003A0F29" w:rsidP="00D41D5A" w14:paraId="0BAF16D4" w14:textId="77777777">
            <w:pPr>
              <w:rPr>
                <w:sz w:val="20"/>
                <w:szCs w:val="20"/>
              </w:rPr>
            </w:pPr>
            <w:r w:rsidRPr="003A0F29">
              <w:rPr>
                <w:sz w:val="20"/>
                <w:szCs w:val="20"/>
              </w:rPr>
              <w:t>182 respondents including autoinjector and dry powder inhaler patients and caregivers to patients who used these products.</w:t>
            </w:r>
          </w:p>
        </w:tc>
        <w:tc>
          <w:tcPr>
            <w:tcW w:w="1519" w:type="pct"/>
          </w:tcPr>
          <w:p w:rsidR="000D25DC" w:rsidRPr="003A0F29" w:rsidP="00D41D5A" w14:paraId="570B89E6" w14:textId="77777777">
            <w:pPr>
              <w:rPr>
                <w:sz w:val="20"/>
                <w:szCs w:val="20"/>
              </w:rPr>
            </w:pPr>
            <w:r w:rsidRPr="003A0F29">
              <w:rPr>
                <w:rFonts w:eastAsia="Calibri"/>
                <w:sz w:val="20"/>
                <w:szCs w:val="20"/>
              </w:rPr>
              <w:t>Information was used to understand patient perceptions of substituting generic drugs and resulted in 2 manuscript publications</w:t>
            </w:r>
          </w:p>
        </w:tc>
        <w:tc>
          <w:tcPr>
            <w:tcW w:w="548" w:type="pct"/>
          </w:tcPr>
          <w:p w:rsidR="000D25DC" w:rsidRPr="003A0F29" w:rsidP="00D41D5A" w14:paraId="70B60FF2" w14:textId="77777777">
            <w:pPr>
              <w:jc w:val="right"/>
              <w:rPr>
                <w:sz w:val="20"/>
                <w:szCs w:val="20"/>
              </w:rPr>
            </w:pPr>
            <w:r w:rsidRPr="003A0F29">
              <w:rPr>
                <w:sz w:val="20"/>
                <w:szCs w:val="20"/>
              </w:rPr>
              <w:t>48</w:t>
            </w:r>
          </w:p>
        </w:tc>
      </w:tr>
      <w:tr w14:paraId="654DBAD3" w14:textId="77777777" w:rsidTr="00F401D6">
        <w:tblPrEx>
          <w:tblW w:w="4929" w:type="pct"/>
          <w:jc w:val="center"/>
          <w:tblInd w:w="0" w:type="dxa"/>
          <w:tblLayout w:type="fixed"/>
          <w:tblLook w:val="01E0"/>
        </w:tblPrEx>
        <w:trPr>
          <w:cantSplit/>
          <w:trHeight w:val="300"/>
          <w:jc w:val="center"/>
        </w:trPr>
        <w:tc>
          <w:tcPr>
            <w:tcW w:w="1326" w:type="pct"/>
            <w:shd w:val="clear" w:color="auto" w:fill="auto"/>
          </w:tcPr>
          <w:p w:rsidR="000D25DC" w:rsidRPr="003A0F29" w:rsidP="00D41D5A" w14:paraId="66082093" w14:textId="77777777">
            <w:pPr>
              <w:keepLines/>
              <w:ind w:right="-17"/>
              <w:rPr>
                <w:rStyle w:val="CommentReference"/>
                <w:sz w:val="20"/>
                <w:szCs w:val="20"/>
              </w:rPr>
            </w:pPr>
            <w:r w:rsidRPr="003A0F29">
              <w:rPr>
                <w:rStyle w:val="CommentReference"/>
                <w:sz w:val="20"/>
                <w:szCs w:val="20"/>
              </w:rPr>
              <w:t>One-On-One Interviews: Examination of Implied Claims in Direct-To-Consumer Prescription Drug Promotion</w:t>
            </w:r>
          </w:p>
        </w:tc>
        <w:tc>
          <w:tcPr>
            <w:tcW w:w="1607" w:type="pct"/>
            <w:shd w:val="clear" w:color="auto" w:fill="auto"/>
          </w:tcPr>
          <w:p w:rsidR="000D25DC" w:rsidRPr="003A0F29" w:rsidP="00D41D5A" w14:paraId="60D6A222" w14:textId="77777777">
            <w:pPr>
              <w:rPr>
                <w:sz w:val="20"/>
                <w:szCs w:val="20"/>
              </w:rPr>
            </w:pPr>
            <w:r w:rsidRPr="003A0F29">
              <w:rPr>
                <w:sz w:val="20"/>
                <w:szCs w:val="20"/>
              </w:rPr>
              <w:t>70 respondents, including 35 general population consumers and 35 cancer survivors.</w:t>
            </w:r>
          </w:p>
        </w:tc>
        <w:tc>
          <w:tcPr>
            <w:tcW w:w="1519" w:type="pct"/>
          </w:tcPr>
          <w:p w:rsidR="000D25DC" w:rsidRPr="003A0F29" w:rsidP="00D41D5A" w14:paraId="2516E06C" w14:textId="77777777">
            <w:pPr>
              <w:rPr>
                <w:color w:val="000000" w:themeColor="text1"/>
                <w:sz w:val="20"/>
                <w:szCs w:val="20"/>
              </w:rPr>
            </w:pPr>
            <w:r w:rsidRPr="003A0F29">
              <w:rPr>
                <w:color w:val="000000" w:themeColor="text1"/>
                <w:sz w:val="20"/>
                <w:szCs w:val="20"/>
              </w:rPr>
              <w:t xml:space="preserve">Data was used to inform development of stimuli and measurement instruments for follow-on survey. </w:t>
            </w:r>
          </w:p>
        </w:tc>
        <w:tc>
          <w:tcPr>
            <w:tcW w:w="548" w:type="pct"/>
          </w:tcPr>
          <w:p w:rsidR="000D25DC" w:rsidRPr="003A0F29" w:rsidP="00D41D5A" w14:paraId="79AC628D" w14:textId="77777777">
            <w:pPr>
              <w:jc w:val="right"/>
              <w:rPr>
                <w:sz w:val="20"/>
                <w:szCs w:val="20"/>
              </w:rPr>
            </w:pPr>
            <w:r w:rsidRPr="003A0F29">
              <w:rPr>
                <w:sz w:val="20"/>
                <w:szCs w:val="20"/>
              </w:rPr>
              <w:t>150</w:t>
            </w:r>
          </w:p>
        </w:tc>
      </w:tr>
      <w:tr w14:paraId="6AB287B5" w14:textId="77777777" w:rsidTr="00F401D6">
        <w:tblPrEx>
          <w:tblW w:w="4929" w:type="pct"/>
          <w:jc w:val="center"/>
          <w:tblInd w:w="0" w:type="dxa"/>
          <w:tblLayout w:type="fixed"/>
          <w:tblLook w:val="01E0"/>
        </w:tblPrEx>
        <w:trPr>
          <w:cantSplit/>
          <w:trHeight w:val="300"/>
          <w:jc w:val="center"/>
        </w:trPr>
        <w:tc>
          <w:tcPr>
            <w:tcW w:w="1326" w:type="pct"/>
            <w:shd w:val="clear" w:color="auto" w:fill="auto"/>
          </w:tcPr>
          <w:p w:rsidR="000D25DC" w:rsidRPr="003A0F29" w:rsidP="00D41D5A" w14:paraId="72051760" w14:textId="77777777">
            <w:pPr>
              <w:keepLines/>
              <w:ind w:right="-17"/>
              <w:rPr>
                <w:rStyle w:val="CommentReference"/>
                <w:sz w:val="20"/>
                <w:szCs w:val="20"/>
              </w:rPr>
            </w:pPr>
            <w:r w:rsidRPr="003A0F29">
              <w:rPr>
                <w:rStyle w:val="CommentReference"/>
                <w:sz w:val="20"/>
                <w:szCs w:val="20"/>
              </w:rPr>
              <w:t>One-on-One Interviews: Tradeoff Analysis of Risk, Benefit, and Adherence Claims in Direct to Consumer and HCP Promotion (CDER)</w:t>
            </w:r>
          </w:p>
        </w:tc>
        <w:tc>
          <w:tcPr>
            <w:tcW w:w="1607" w:type="pct"/>
            <w:shd w:val="clear" w:color="auto" w:fill="auto"/>
          </w:tcPr>
          <w:p w:rsidR="000D25DC" w:rsidRPr="003A0F29" w:rsidP="00D41D5A" w14:paraId="485EBF33" w14:textId="77777777">
            <w:pPr>
              <w:rPr>
                <w:sz w:val="20"/>
                <w:szCs w:val="20"/>
              </w:rPr>
            </w:pPr>
            <w:r w:rsidRPr="003A0F29">
              <w:rPr>
                <w:sz w:val="20"/>
                <w:szCs w:val="20"/>
              </w:rPr>
              <w:t>35 physicians who spent at least 50% of their time in direct patient care of patients with type 2 diabetes and/or psoriasis and 70 consumers who self-identified as having been diagnosed with type 2 diabetes or psoriasis.</w:t>
            </w:r>
          </w:p>
        </w:tc>
        <w:tc>
          <w:tcPr>
            <w:tcW w:w="1519" w:type="pct"/>
          </w:tcPr>
          <w:p w:rsidR="000D25DC" w:rsidRPr="003A0F29" w:rsidP="00D41D5A" w14:paraId="75D9F525" w14:textId="77777777">
            <w:pPr>
              <w:rPr>
                <w:color w:val="000000" w:themeColor="text1"/>
                <w:sz w:val="20"/>
                <w:szCs w:val="20"/>
              </w:rPr>
            </w:pPr>
            <w:r w:rsidRPr="003A0F29">
              <w:rPr>
                <w:color w:val="000000" w:themeColor="text1"/>
                <w:sz w:val="20"/>
                <w:szCs w:val="20"/>
              </w:rPr>
              <w:t xml:space="preserve">Data was used to inform development of stimuli and measurement instruments for follow-on survey. </w:t>
            </w:r>
          </w:p>
          <w:p w:rsidR="000D25DC" w:rsidRPr="003A0F29" w:rsidP="00D41D5A" w14:paraId="459E82AE" w14:textId="77777777">
            <w:pPr>
              <w:rPr>
                <w:rFonts w:eastAsia="Calibri"/>
                <w:sz w:val="20"/>
                <w:szCs w:val="20"/>
              </w:rPr>
            </w:pPr>
          </w:p>
        </w:tc>
        <w:tc>
          <w:tcPr>
            <w:tcW w:w="548" w:type="pct"/>
          </w:tcPr>
          <w:p w:rsidR="000D25DC" w:rsidRPr="003A0F29" w:rsidP="00D41D5A" w14:paraId="6D0818F6" w14:textId="77777777">
            <w:pPr>
              <w:jc w:val="right"/>
              <w:rPr>
                <w:sz w:val="20"/>
                <w:szCs w:val="20"/>
              </w:rPr>
            </w:pPr>
            <w:r w:rsidRPr="003A0F29">
              <w:rPr>
                <w:sz w:val="20"/>
                <w:szCs w:val="20"/>
              </w:rPr>
              <w:t>126</w:t>
            </w:r>
          </w:p>
        </w:tc>
      </w:tr>
      <w:tr w14:paraId="5C71ECD1" w14:textId="77777777" w:rsidTr="00F401D6">
        <w:tblPrEx>
          <w:tblW w:w="4929" w:type="pct"/>
          <w:jc w:val="center"/>
          <w:tblInd w:w="0" w:type="dxa"/>
          <w:tblLayout w:type="fixed"/>
          <w:tblLook w:val="01E0"/>
        </w:tblPrEx>
        <w:trPr>
          <w:cantSplit/>
          <w:trHeight w:val="300"/>
          <w:jc w:val="center"/>
        </w:trPr>
        <w:tc>
          <w:tcPr>
            <w:tcW w:w="1326" w:type="pct"/>
            <w:shd w:val="clear" w:color="auto" w:fill="auto"/>
          </w:tcPr>
          <w:p w:rsidR="000D25DC" w:rsidRPr="003A0F29" w:rsidP="00D41D5A" w14:paraId="5E0D0BC9" w14:textId="77777777">
            <w:pPr>
              <w:rPr>
                <w:rStyle w:val="CommentReference"/>
                <w:sz w:val="20"/>
                <w:szCs w:val="20"/>
              </w:rPr>
            </w:pPr>
            <w:r w:rsidRPr="003A0F29">
              <w:rPr>
                <w:sz w:val="20"/>
                <w:szCs w:val="20"/>
              </w:rPr>
              <w:t>Prescription Drug Promotional Landscape Interviews</w:t>
            </w:r>
          </w:p>
        </w:tc>
        <w:tc>
          <w:tcPr>
            <w:tcW w:w="1607" w:type="pct"/>
            <w:shd w:val="clear" w:color="auto" w:fill="auto"/>
          </w:tcPr>
          <w:p w:rsidR="000D25DC" w:rsidRPr="003A0F29" w:rsidP="00D41D5A" w14:paraId="358A007A" w14:textId="77777777">
            <w:pPr>
              <w:autoSpaceDE w:val="0"/>
              <w:autoSpaceDN w:val="0"/>
              <w:adjustRightInd w:val="0"/>
              <w:rPr>
                <w:sz w:val="20"/>
                <w:szCs w:val="20"/>
              </w:rPr>
            </w:pPr>
            <w:r w:rsidRPr="003A0F29">
              <w:rPr>
                <w:sz w:val="20"/>
                <w:szCs w:val="20"/>
              </w:rPr>
              <w:t>58 respondents including consumers and healthcare providers</w:t>
            </w:r>
          </w:p>
        </w:tc>
        <w:tc>
          <w:tcPr>
            <w:tcW w:w="1519" w:type="pct"/>
          </w:tcPr>
          <w:p w:rsidR="000D25DC" w:rsidRPr="003A0F29" w:rsidP="00D41D5A" w14:paraId="0A4115BA" w14:textId="26C13D6F">
            <w:pPr>
              <w:rPr>
                <w:sz w:val="20"/>
                <w:szCs w:val="20"/>
              </w:rPr>
            </w:pPr>
            <w:r w:rsidRPr="003A0F29">
              <w:rPr>
                <w:sz w:val="20"/>
                <w:szCs w:val="20"/>
              </w:rPr>
              <w:t xml:space="preserve">Data collection has not yet </w:t>
            </w:r>
            <w:r w:rsidRPr="003A0F29" w:rsidR="0091697D">
              <w:rPr>
                <w:sz w:val="20"/>
                <w:szCs w:val="20"/>
              </w:rPr>
              <w:t>begun.</w:t>
            </w:r>
          </w:p>
          <w:p w:rsidR="000D25DC" w:rsidRPr="003A0F29" w:rsidP="00D41D5A" w14:paraId="7DEB2608" w14:textId="77777777">
            <w:pPr>
              <w:rPr>
                <w:sz w:val="20"/>
                <w:szCs w:val="20"/>
              </w:rPr>
            </w:pPr>
          </w:p>
        </w:tc>
        <w:tc>
          <w:tcPr>
            <w:tcW w:w="548" w:type="pct"/>
          </w:tcPr>
          <w:p w:rsidR="000D25DC" w:rsidRPr="003A0F29" w:rsidP="00D41D5A" w14:paraId="411EFA37" w14:textId="77777777">
            <w:pPr>
              <w:jc w:val="right"/>
              <w:rPr>
                <w:sz w:val="20"/>
                <w:szCs w:val="20"/>
              </w:rPr>
            </w:pPr>
            <w:r w:rsidRPr="003A0F29">
              <w:rPr>
                <w:sz w:val="20"/>
                <w:szCs w:val="20"/>
              </w:rPr>
              <w:t>0</w:t>
            </w:r>
          </w:p>
        </w:tc>
      </w:tr>
      <w:tr w14:paraId="4E4583EE" w14:textId="77777777" w:rsidTr="00F401D6">
        <w:tblPrEx>
          <w:tblW w:w="4929" w:type="pct"/>
          <w:jc w:val="center"/>
          <w:tblInd w:w="0" w:type="dxa"/>
          <w:tblLayout w:type="fixed"/>
          <w:tblLook w:val="01E0"/>
        </w:tblPrEx>
        <w:trPr>
          <w:cantSplit/>
          <w:trHeight w:val="300"/>
          <w:jc w:val="center"/>
        </w:trPr>
        <w:tc>
          <w:tcPr>
            <w:tcW w:w="1326" w:type="pct"/>
            <w:shd w:val="clear" w:color="auto" w:fill="auto"/>
          </w:tcPr>
          <w:p w:rsidR="000D25DC" w:rsidRPr="003A0F29" w:rsidP="00D41D5A" w14:paraId="1996E9CA" w14:textId="77777777">
            <w:pPr>
              <w:rPr>
                <w:sz w:val="20"/>
                <w:szCs w:val="20"/>
              </w:rPr>
            </w:pPr>
            <w:r w:rsidRPr="003A0F29">
              <w:rPr>
                <w:sz w:val="20"/>
                <w:szCs w:val="20"/>
              </w:rPr>
              <w:t>Prescription Drug Use Related Software Study (CDER)</w:t>
            </w:r>
          </w:p>
        </w:tc>
        <w:tc>
          <w:tcPr>
            <w:tcW w:w="1607" w:type="pct"/>
            <w:shd w:val="clear" w:color="auto" w:fill="auto"/>
          </w:tcPr>
          <w:p w:rsidR="000D25DC" w:rsidRPr="003A0F29" w:rsidP="00D41D5A" w14:paraId="4D93B862" w14:textId="77777777">
            <w:pPr>
              <w:rPr>
                <w:sz w:val="20"/>
                <w:szCs w:val="20"/>
              </w:rPr>
            </w:pPr>
            <w:r w:rsidRPr="003A0F29">
              <w:rPr>
                <w:sz w:val="20"/>
                <w:szCs w:val="20"/>
              </w:rPr>
              <w:t>36 respondents including consumers who had been diagnosed with and were receiving treatment for diabetes; and primary care physicians who treated diabetes.</w:t>
            </w:r>
          </w:p>
        </w:tc>
        <w:tc>
          <w:tcPr>
            <w:tcW w:w="1519" w:type="pct"/>
          </w:tcPr>
          <w:p w:rsidR="000D25DC" w:rsidRPr="003A0F29" w:rsidP="00D41D5A" w14:paraId="371564D0" w14:textId="77777777">
            <w:pPr>
              <w:rPr>
                <w:sz w:val="20"/>
                <w:szCs w:val="20"/>
              </w:rPr>
            </w:pPr>
            <w:r w:rsidRPr="003A0F29">
              <w:rPr>
                <w:sz w:val="20"/>
                <w:szCs w:val="20"/>
              </w:rPr>
              <w:t>Data used to refine measurement instruments for follow-on survey.</w:t>
            </w:r>
          </w:p>
          <w:p w:rsidR="000D25DC" w:rsidRPr="003A0F29" w:rsidP="00D41D5A" w14:paraId="4AC957E7" w14:textId="77777777">
            <w:pPr>
              <w:rPr>
                <w:sz w:val="20"/>
                <w:szCs w:val="20"/>
              </w:rPr>
            </w:pPr>
          </w:p>
        </w:tc>
        <w:tc>
          <w:tcPr>
            <w:tcW w:w="548" w:type="pct"/>
          </w:tcPr>
          <w:p w:rsidR="000D25DC" w:rsidRPr="003A0F29" w:rsidP="00D41D5A" w14:paraId="293E18AE" w14:textId="77777777">
            <w:pPr>
              <w:jc w:val="right"/>
              <w:rPr>
                <w:sz w:val="20"/>
                <w:szCs w:val="20"/>
              </w:rPr>
            </w:pPr>
            <w:r w:rsidRPr="003A0F29">
              <w:rPr>
                <w:sz w:val="20"/>
                <w:szCs w:val="20"/>
              </w:rPr>
              <w:t>54</w:t>
            </w:r>
          </w:p>
        </w:tc>
      </w:tr>
      <w:tr w14:paraId="7451C964" w14:textId="77777777" w:rsidTr="00F401D6">
        <w:tblPrEx>
          <w:tblW w:w="4929" w:type="pct"/>
          <w:jc w:val="center"/>
          <w:tblInd w:w="0" w:type="dxa"/>
          <w:tblLayout w:type="fixed"/>
          <w:tblLook w:val="01E0"/>
        </w:tblPrEx>
        <w:trPr>
          <w:cantSplit/>
          <w:trHeight w:val="300"/>
          <w:jc w:val="center"/>
        </w:trPr>
        <w:tc>
          <w:tcPr>
            <w:tcW w:w="1326" w:type="pct"/>
            <w:shd w:val="clear" w:color="auto" w:fill="auto"/>
          </w:tcPr>
          <w:p w:rsidR="000D25DC" w:rsidRPr="003A0F29" w:rsidP="00D41D5A" w14:paraId="5BE32E8E" w14:textId="77777777">
            <w:pPr>
              <w:rPr>
                <w:sz w:val="20"/>
                <w:szCs w:val="20"/>
              </w:rPr>
            </w:pPr>
            <w:r w:rsidRPr="003A0F29">
              <w:rPr>
                <w:sz w:val="20"/>
                <w:szCs w:val="20"/>
              </w:rPr>
              <w:t>Rapid Message Testing with Consumer Panel - Additional Testing of Drug Safety Communications About Misuse and Abuse of Over-the-Counter Medications (CDER)</w:t>
            </w:r>
          </w:p>
        </w:tc>
        <w:tc>
          <w:tcPr>
            <w:tcW w:w="1607" w:type="pct"/>
            <w:shd w:val="clear" w:color="auto" w:fill="auto"/>
          </w:tcPr>
          <w:p w:rsidR="000D25DC" w:rsidRPr="003A0F29" w:rsidP="00D41D5A" w14:paraId="357DE969" w14:textId="77777777">
            <w:pPr>
              <w:autoSpaceDE w:val="0"/>
              <w:autoSpaceDN w:val="0"/>
              <w:adjustRightInd w:val="0"/>
              <w:rPr>
                <w:sz w:val="20"/>
                <w:szCs w:val="20"/>
              </w:rPr>
            </w:pPr>
            <w:r w:rsidRPr="003A0F29">
              <w:rPr>
                <w:sz w:val="20"/>
                <w:szCs w:val="20"/>
              </w:rPr>
              <w:t>18 respondents ages 18 – 28 who had used a prescription or over-the-counter (OTC) medicine in the past for non-medical or recreational purposes, consisting equally of those who had and hadn’t done so.</w:t>
            </w:r>
          </w:p>
        </w:tc>
        <w:tc>
          <w:tcPr>
            <w:tcW w:w="1519" w:type="pct"/>
          </w:tcPr>
          <w:p w:rsidR="000D25DC" w:rsidRPr="003A0F29" w:rsidP="00D41D5A" w14:paraId="3A70233B" w14:textId="77777777">
            <w:pPr>
              <w:rPr>
                <w:sz w:val="20"/>
                <w:szCs w:val="20"/>
              </w:rPr>
            </w:pPr>
            <w:r w:rsidRPr="003A0F29">
              <w:rPr>
                <w:sz w:val="20"/>
                <w:szCs w:val="20"/>
              </w:rPr>
              <w:t>Used to inform communications warning about the dangers of misuse and abuse of easily obtainable OTC medicines.</w:t>
            </w:r>
          </w:p>
        </w:tc>
        <w:tc>
          <w:tcPr>
            <w:tcW w:w="548" w:type="pct"/>
          </w:tcPr>
          <w:p w:rsidR="000D25DC" w:rsidRPr="003A0F29" w:rsidP="00D41D5A" w14:paraId="7B047036" w14:textId="77777777">
            <w:pPr>
              <w:jc w:val="right"/>
              <w:rPr>
                <w:sz w:val="20"/>
                <w:szCs w:val="20"/>
              </w:rPr>
            </w:pPr>
            <w:r w:rsidRPr="003A0F29">
              <w:rPr>
                <w:sz w:val="20"/>
                <w:szCs w:val="20"/>
              </w:rPr>
              <w:t>45</w:t>
            </w:r>
          </w:p>
        </w:tc>
      </w:tr>
      <w:tr w14:paraId="33F3C3DF" w14:textId="77777777" w:rsidTr="00F401D6">
        <w:tblPrEx>
          <w:tblW w:w="4929" w:type="pct"/>
          <w:jc w:val="center"/>
          <w:tblInd w:w="0" w:type="dxa"/>
          <w:tblLayout w:type="fixed"/>
          <w:tblLook w:val="01E0"/>
        </w:tblPrEx>
        <w:trPr>
          <w:cantSplit/>
          <w:trHeight w:val="300"/>
          <w:jc w:val="center"/>
        </w:trPr>
        <w:tc>
          <w:tcPr>
            <w:tcW w:w="1326" w:type="pct"/>
            <w:shd w:val="clear" w:color="auto" w:fill="auto"/>
          </w:tcPr>
          <w:p w:rsidR="000D25DC" w:rsidRPr="003A0F29" w:rsidP="00D41D5A" w14:paraId="00A7F240" w14:textId="77777777">
            <w:pPr>
              <w:tabs>
                <w:tab w:val="center" w:pos="945"/>
              </w:tabs>
              <w:rPr>
                <w:sz w:val="20"/>
                <w:szCs w:val="20"/>
              </w:rPr>
            </w:pPr>
            <w:r w:rsidRPr="003A0F29">
              <w:rPr>
                <w:sz w:val="20"/>
                <w:szCs w:val="20"/>
              </w:rPr>
              <w:t>Rapid Message Testing with Consumer Panel - Drug Safety Communication Landing Page and Format (CDER)</w:t>
            </w:r>
          </w:p>
        </w:tc>
        <w:tc>
          <w:tcPr>
            <w:tcW w:w="1607" w:type="pct"/>
            <w:shd w:val="clear" w:color="auto" w:fill="auto"/>
          </w:tcPr>
          <w:p w:rsidR="000D25DC" w:rsidRPr="003A0F29" w:rsidP="00D41D5A" w14:paraId="46052A89" w14:textId="77777777">
            <w:pPr>
              <w:autoSpaceDE w:val="0"/>
              <w:autoSpaceDN w:val="0"/>
              <w:adjustRightInd w:val="0"/>
              <w:rPr>
                <w:sz w:val="20"/>
                <w:szCs w:val="20"/>
              </w:rPr>
            </w:pPr>
            <w:r w:rsidRPr="003A0F29">
              <w:rPr>
                <w:sz w:val="20"/>
                <w:szCs w:val="20"/>
              </w:rPr>
              <w:t xml:space="preserve">20 respondents (U.S. </w:t>
            </w:r>
            <w:r w:rsidRPr="003A0F29">
              <w:rPr>
                <w:rFonts w:eastAsia="Corbel"/>
                <w:sz w:val="20"/>
                <w:szCs w:val="20"/>
              </w:rPr>
              <w:t>adults) who had taken a prescription medicine in the past 30 days</w:t>
            </w:r>
            <w:r w:rsidRPr="003A0F29">
              <w:rPr>
                <w:sz w:val="20"/>
                <w:szCs w:val="20"/>
              </w:rPr>
              <w:t xml:space="preserve"> </w:t>
            </w:r>
          </w:p>
        </w:tc>
        <w:tc>
          <w:tcPr>
            <w:tcW w:w="1519" w:type="pct"/>
          </w:tcPr>
          <w:p w:rsidR="000D25DC" w:rsidRPr="003A0F29" w:rsidP="00D41D5A" w14:paraId="4F3DA6D5" w14:textId="77777777">
            <w:pPr>
              <w:rPr>
                <w:sz w:val="20"/>
                <w:szCs w:val="20"/>
              </w:rPr>
            </w:pPr>
            <w:r w:rsidRPr="003A0F29">
              <w:rPr>
                <w:sz w:val="20"/>
                <w:szCs w:val="20"/>
              </w:rPr>
              <w:t xml:space="preserve">Used to inform updates to FDA’s Drug Safety Communications website </w:t>
            </w:r>
          </w:p>
        </w:tc>
        <w:tc>
          <w:tcPr>
            <w:tcW w:w="548" w:type="pct"/>
          </w:tcPr>
          <w:p w:rsidR="000D25DC" w:rsidRPr="003A0F29" w:rsidP="00D41D5A" w14:paraId="0B360F40" w14:textId="77777777">
            <w:pPr>
              <w:jc w:val="right"/>
              <w:rPr>
                <w:sz w:val="20"/>
                <w:szCs w:val="20"/>
              </w:rPr>
            </w:pPr>
            <w:r w:rsidRPr="003A0F29">
              <w:rPr>
                <w:sz w:val="20"/>
                <w:szCs w:val="20"/>
              </w:rPr>
              <w:t>90</w:t>
            </w:r>
          </w:p>
        </w:tc>
      </w:tr>
      <w:tr w14:paraId="7F121BF1" w14:textId="77777777" w:rsidTr="00F401D6">
        <w:tblPrEx>
          <w:tblW w:w="4929" w:type="pct"/>
          <w:jc w:val="center"/>
          <w:tblInd w:w="0" w:type="dxa"/>
          <w:tblLayout w:type="fixed"/>
          <w:tblLook w:val="01E0"/>
        </w:tblPrEx>
        <w:trPr>
          <w:cantSplit/>
          <w:trHeight w:val="300"/>
          <w:jc w:val="center"/>
        </w:trPr>
        <w:tc>
          <w:tcPr>
            <w:tcW w:w="1326" w:type="pct"/>
            <w:shd w:val="clear" w:color="auto" w:fill="auto"/>
          </w:tcPr>
          <w:p w:rsidR="000D25DC" w:rsidRPr="003A0F29" w:rsidP="00D41D5A" w14:paraId="29AE0FA4" w14:textId="77777777">
            <w:pPr>
              <w:tabs>
                <w:tab w:val="center" w:pos="945"/>
              </w:tabs>
              <w:rPr>
                <w:rStyle w:val="CommentReference"/>
                <w:sz w:val="20"/>
                <w:szCs w:val="20"/>
              </w:rPr>
            </w:pPr>
            <w:r w:rsidRPr="003A0F29">
              <w:rPr>
                <w:rStyle w:val="CommentReference"/>
                <w:sz w:val="20"/>
                <w:szCs w:val="20"/>
              </w:rPr>
              <w:t>Rapid Message Testing with Consumers - Interchangeable Biosimilars Information</w:t>
            </w:r>
          </w:p>
        </w:tc>
        <w:tc>
          <w:tcPr>
            <w:tcW w:w="1607" w:type="pct"/>
            <w:shd w:val="clear" w:color="auto" w:fill="auto"/>
          </w:tcPr>
          <w:p w:rsidR="000D25DC" w:rsidRPr="003A0F29" w:rsidP="00D41D5A" w14:paraId="159AC0F3" w14:textId="77777777">
            <w:pPr>
              <w:autoSpaceDE w:val="0"/>
              <w:autoSpaceDN w:val="0"/>
              <w:adjustRightInd w:val="0"/>
              <w:rPr>
                <w:sz w:val="20"/>
                <w:szCs w:val="20"/>
              </w:rPr>
            </w:pPr>
            <w:r w:rsidRPr="003A0F29">
              <w:rPr>
                <w:sz w:val="20"/>
                <w:szCs w:val="20"/>
              </w:rPr>
              <w:t>15 respondents (U.S. adults) diagnosed with conditions in one of following categories: arthritis, gastrointestinal, and/or skin.</w:t>
            </w:r>
          </w:p>
        </w:tc>
        <w:tc>
          <w:tcPr>
            <w:tcW w:w="1519" w:type="pct"/>
          </w:tcPr>
          <w:p w:rsidR="000D25DC" w:rsidRPr="003A0F29" w:rsidP="00D41D5A" w14:paraId="6CE8F0DB" w14:textId="77777777">
            <w:pPr>
              <w:rPr>
                <w:sz w:val="20"/>
                <w:szCs w:val="20"/>
              </w:rPr>
            </w:pPr>
            <w:r w:rsidRPr="003A0F29">
              <w:rPr>
                <w:sz w:val="20"/>
                <w:szCs w:val="20"/>
              </w:rPr>
              <w:t>Used to inform updates to an educational factsheet developed by FDA about biosimilars and interchangeable biosimilars.</w:t>
            </w:r>
          </w:p>
          <w:p w:rsidR="000D25DC" w:rsidRPr="003A0F29" w:rsidP="00D41D5A" w14:paraId="3F6D05CF" w14:textId="77777777">
            <w:pPr>
              <w:rPr>
                <w:sz w:val="20"/>
                <w:szCs w:val="20"/>
              </w:rPr>
            </w:pPr>
          </w:p>
        </w:tc>
        <w:tc>
          <w:tcPr>
            <w:tcW w:w="548" w:type="pct"/>
          </w:tcPr>
          <w:p w:rsidR="000D25DC" w:rsidRPr="003A0F29" w:rsidP="00D41D5A" w14:paraId="5484A09A" w14:textId="77777777">
            <w:pPr>
              <w:jc w:val="right"/>
              <w:rPr>
                <w:sz w:val="20"/>
                <w:szCs w:val="20"/>
              </w:rPr>
            </w:pPr>
            <w:r w:rsidRPr="003A0F29">
              <w:rPr>
                <w:sz w:val="20"/>
                <w:szCs w:val="20"/>
              </w:rPr>
              <w:t>27</w:t>
            </w:r>
          </w:p>
        </w:tc>
      </w:tr>
      <w:tr w14:paraId="0FE27380" w14:textId="77777777" w:rsidTr="00F401D6">
        <w:tblPrEx>
          <w:tblW w:w="4929" w:type="pct"/>
          <w:jc w:val="center"/>
          <w:tblInd w:w="0" w:type="dxa"/>
          <w:tblLayout w:type="fixed"/>
          <w:tblLook w:val="01E0"/>
        </w:tblPrEx>
        <w:trPr>
          <w:cantSplit/>
          <w:trHeight w:val="300"/>
          <w:jc w:val="center"/>
        </w:trPr>
        <w:tc>
          <w:tcPr>
            <w:tcW w:w="1326" w:type="pct"/>
            <w:shd w:val="clear" w:color="auto" w:fill="auto"/>
          </w:tcPr>
          <w:p w:rsidR="000D25DC" w:rsidRPr="003A0F29" w:rsidP="00D41D5A" w14:paraId="74C6F13F" w14:textId="77777777">
            <w:pPr>
              <w:tabs>
                <w:tab w:val="center" w:pos="945"/>
              </w:tabs>
              <w:rPr>
                <w:rStyle w:val="CommentReference"/>
                <w:sz w:val="20"/>
                <w:szCs w:val="20"/>
              </w:rPr>
            </w:pPr>
            <w:r w:rsidRPr="003A0F29">
              <w:rPr>
                <w:sz w:val="20"/>
                <w:szCs w:val="20"/>
              </w:rPr>
              <w:t>Rapid Message Testing with Consumers - Paxlovid Information</w:t>
            </w:r>
          </w:p>
        </w:tc>
        <w:tc>
          <w:tcPr>
            <w:tcW w:w="1607" w:type="pct"/>
            <w:shd w:val="clear" w:color="auto" w:fill="auto"/>
          </w:tcPr>
          <w:p w:rsidR="000D25DC" w:rsidRPr="003A0F29" w:rsidP="00D41D5A" w14:paraId="0F21F21B" w14:textId="77777777">
            <w:pPr>
              <w:autoSpaceDE w:val="0"/>
              <w:autoSpaceDN w:val="0"/>
              <w:adjustRightInd w:val="0"/>
              <w:rPr>
                <w:sz w:val="20"/>
                <w:szCs w:val="20"/>
              </w:rPr>
            </w:pPr>
            <w:r w:rsidRPr="003A0F29">
              <w:rPr>
                <w:sz w:val="20"/>
                <w:szCs w:val="20"/>
              </w:rPr>
              <w:t>30 respondents (U.S. adults) consisting of HCP, specifically: primary care providers physician assistants, nurse practitioners and pharmacists.</w:t>
            </w:r>
          </w:p>
        </w:tc>
        <w:tc>
          <w:tcPr>
            <w:tcW w:w="1519" w:type="pct"/>
          </w:tcPr>
          <w:p w:rsidR="000D25DC" w:rsidRPr="003A0F29" w:rsidP="00D41D5A" w14:paraId="24519ECC" w14:textId="77777777">
            <w:pPr>
              <w:rPr>
                <w:sz w:val="20"/>
                <w:szCs w:val="20"/>
              </w:rPr>
            </w:pPr>
            <w:r w:rsidRPr="003A0F29">
              <w:rPr>
                <w:sz w:val="20"/>
                <w:szCs w:val="20"/>
              </w:rPr>
              <w:t>Used to inform updates to two question and answer (Q&amp;A) documents and one screening checklist about Paxlovid</w:t>
            </w:r>
          </w:p>
        </w:tc>
        <w:tc>
          <w:tcPr>
            <w:tcW w:w="548" w:type="pct"/>
          </w:tcPr>
          <w:p w:rsidR="000D25DC" w:rsidRPr="003A0F29" w:rsidP="00D41D5A" w14:paraId="6A45B94B" w14:textId="77777777">
            <w:pPr>
              <w:jc w:val="right"/>
              <w:rPr>
                <w:sz w:val="20"/>
                <w:szCs w:val="20"/>
              </w:rPr>
            </w:pPr>
            <w:r w:rsidRPr="003A0F29">
              <w:rPr>
                <w:sz w:val="20"/>
                <w:szCs w:val="20"/>
              </w:rPr>
              <w:t>29</w:t>
            </w:r>
          </w:p>
        </w:tc>
      </w:tr>
      <w:tr w14:paraId="2B5E2DEA" w14:textId="77777777" w:rsidTr="00F401D6">
        <w:tblPrEx>
          <w:tblW w:w="4929" w:type="pct"/>
          <w:jc w:val="center"/>
          <w:tblInd w:w="0" w:type="dxa"/>
          <w:tblLayout w:type="fixed"/>
          <w:tblLook w:val="01E0"/>
        </w:tblPrEx>
        <w:trPr>
          <w:cantSplit/>
          <w:trHeight w:val="300"/>
          <w:jc w:val="center"/>
        </w:trPr>
        <w:tc>
          <w:tcPr>
            <w:tcW w:w="1326" w:type="pct"/>
            <w:shd w:val="clear" w:color="auto" w:fill="auto"/>
          </w:tcPr>
          <w:p w:rsidR="000D25DC" w:rsidRPr="003A0F29" w:rsidP="00D41D5A" w14:paraId="7D75B5A3" w14:textId="77777777">
            <w:pPr>
              <w:tabs>
                <w:tab w:val="center" w:pos="945"/>
              </w:tabs>
              <w:rPr>
                <w:sz w:val="20"/>
                <w:szCs w:val="20"/>
              </w:rPr>
            </w:pPr>
            <w:r w:rsidRPr="003A0F29">
              <w:rPr>
                <w:sz w:val="20"/>
                <w:szCs w:val="20"/>
              </w:rPr>
              <w:t>Rapid Message Testing with Consumers - Terminology Routinely Used in CDER Communications</w:t>
            </w:r>
          </w:p>
        </w:tc>
        <w:tc>
          <w:tcPr>
            <w:tcW w:w="1607" w:type="pct"/>
            <w:shd w:val="clear" w:color="auto" w:fill="auto"/>
          </w:tcPr>
          <w:p w:rsidR="000D25DC" w:rsidRPr="003A0F29" w:rsidP="00D41D5A" w14:paraId="27C61AA3" w14:textId="77777777">
            <w:pPr>
              <w:autoSpaceDE w:val="0"/>
              <w:autoSpaceDN w:val="0"/>
              <w:adjustRightInd w:val="0"/>
              <w:rPr>
                <w:sz w:val="20"/>
                <w:szCs w:val="20"/>
              </w:rPr>
            </w:pPr>
            <w:r w:rsidRPr="003A0F29">
              <w:rPr>
                <w:sz w:val="20"/>
                <w:szCs w:val="20"/>
              </w:rPr>
              <w:t>30 respondents (U.S. adults), half of whom had used a prescription medicine in the past 30 days and half who had not.</w:t>
            </w:r>
          </w:p>
          <w:p w:rsidR="000D25DC" w:rsidRPr="003A0F29" w:rsidP="00D41D5A" w14:paraId="75F8B2C2" w14:textId="77777777">
            <w:pPr>
              <w:autoSpaceDE w:val="0"/>
              <w:autoSpaceDN w:val="0"/>
              <w:adjustRightInd w:val="0"/>
              <w:rPr>
                <w:sz w:val="20"/>
                <w:szCs w:val="20"/>
              </w:rPr>
            </w:pPr>
          </w:p>
        </w:tc>
        <w:tc>
          <w:tcPr>
            <w:tcW w:w="1519" w:type="pct"/>
          </w:tcPr>
          <w:p w:rsidR="000D25DC" w:rsidRPr="003A0F29" w:rsidP="00D41D5A" w14:paraId="60EEAA9F" w14:textId="490DFE10">
            <w:pPr>
              <w:rPr>
                <w:sz w:val="20"/>
                <w:szCs w:val="20"/>
              </w:rPr>
            </w:pPr>
            <w:r w:rsidRPr="003A0F29">
              <w:rPr>
                <w:sz w:val="20"/>
                <w:szCs w:val="20"/>
              </w:rPr>
              <w:t xml:space="preserve">Used to test 20 commonly used technical regulatory terms and their plain language alternatives for understanding by general health </w:t>
            </w:r>
            <w:r w:rsidRPr="003A0F29" w:rsidR="0091697D">
              <w:rPr>
                <w:sz w:val="20"/>
                <w:szCs w:val="20"/>
              </w:rPr>
              <w:t>consumers.</w:t>
            </w:r>
          </w:p>
          <w:p w:rsidR="000D25DC" w:rsidRPr="003A0F29" w:rsidP="00D41D5A" w14:paraId="3F147033" w14:textId="77777777">
            <w:pPr>
              <w:rPr>
                <w:sz w:val="20"/>
                <w:szCs w:val="20"/>
              </w:rPr>
            </w:pPr>
          </w:p>
        </w:tc>
        <w:tc>
          <w:tcPr>
            <w:tcW w:w="548" w:type="pct"/>
          </w:tcPr>
          <w:p w:rsidR="000D25DC" w:rsidRPr="003A0F29" w:rsidP="00D41D5A" w14:paraId="0E213796" w14:textId="77777777">
            <w:pPr>
              <w:jc w:val="right"/>
              <w:rPr>
                <w:sz w:val="20"/>
                <w:szCs w:val="20"/>
              </w:rPr>
            </w:pPr>
            <w:r w:rsidRPr="003A0F29">
              <w:rPr>
                <w:sz w:val="20"/>
                <w:szCs w:val="20"/>
              </w:rPr>
              <w:t>98</w:t>
            </w:r>
          </w:p>
        </w:tc>
      </w:tr>
      <w:tr w14:paraId="0D82F29C" w14:textId="77777777" w:rsidTr="00F401D6">
        <w:tblPrEx>
          <w:tblW w:w="4929" w:type="pct"/>
          <w:jc w:val="center"/>
          <w:tblInd w:w="0" w:type="dxa"/>
          <w:tblLayout w:type="fixed"/>
          <w:tblLook w:val="01E0"/>
        </w:tblPrEx>
        <w:trPr>
          <w:cantSplit/>
          <w:trHeight w:val="300"/>
          <w:jc w:val="center"/>
        </w:trPr>
        <w:tc>
          <w:tcPr>
            <w:tcW w:w="1326" w:type="pct"/>
            <w:shd w:val="clear" w:color="auto" w:fill="auto"/>
          </w:tcPr>
          <w:p w:rsidR="000D25DC" w:rsidRPr="003A0F29" w:rsidP="00D41D5A" w14:paraId="57143B3B" w14:textId="77777777">
            <w:pPr>
              <w:tabs>
                <w:tab w:val="center" w:pos="945"/>
              </w:tabs>
              <w:rPr>
                <w:sz w:val="20"/>
                <w:szCs w:val="20"/>
              </w:rPr>
            </w:pPr>
            <w:r w:rsidRPr="003A0F29">
              <w:rPr>
                <w:sz w:val="20"/>
                <w:szCs w:val="20"/>
              </w:rPr>
              <w:t xml:space="preserve">Rapid Message Testing with Consumers </w:t>
            </w:r>
            <w:r w:rsidRPr="003A0F29">
              <w:rPr>
                <w:sz w:val="20"/>
                <w:szCs w:val="20"/>
              </w:rPr>
              <w:t>-</w:t>
            </w:r>
            <w:r w:rsidRPr="003A0F29">
              <w:rPr>
                <w:sz w:val="20"/>
                <w:szCs w:val="20"/>
              </w:rPr>
              <w:t xml:space="preserve"> </w:t>
            </w:r>
            <w:r w:rsidRPr="003A0F29">
              <w:rPr>
                <w:sz w:val="20"/>
                <w:szCs w:val="20"/>
              </w:rPr>
              <w:t>Terminology Routinely Used in CDER Communications (COVID-19 Message Testing)</w:t>
            </w:r>
          </w:p>
        </w:tc>
        <w:tc>
          <w:tcPr>
            <w:tcW w:w="1607" w:type="pct"/>
            <w:shd w:val="clear" w:color="auto" w:fill="auto"/>
          </w:tcPr>
          <w:p w:rsidR="000D25DC" w:rsidRPr="003A0F29" w:rsidP="00D41D5A" w14:paraId="3E311C60" w14:textId="0AC3D68B">
            <w:pPr>
              <w:autoSpaceDE w:val="0"/>
              <w:autoSpaceDN w:val="0"/>
              <w:adjustRightInd w:val="0"/>
              <w:rPr>
                <w:sz w:val="20"/>
                <w:szCs w:val="20"/>
              </w:rPr>
            </w:pPr>
            <w:r w:rsidRPr="003A0F29">
              <w:rPr>
                <w:sz w:val="20"/>
                <w:szCs w:val="20"/>
              </w:rPr>
              <w:t xml:space="preserve">30 respondents (U.S. adults), including parents and caregivers of children </w:t>
            </w:r>
            <w:r w:rsidRPr="003A0F29" w:rsidR="0091697D">
              <w:rPr>
                <w:sz w:val="20"/>
                <w:szCs w:val="20"/>
              </w:rPr>
              <w:t>aged</w:t>
            </w:r>
            <w:r w:rsidRPr="003A0F29">
              <w:rPr>
                <w:sz w:val="20"/>
                <w:szCs w:val="20"/>
              </w:rPr>
              <w:t xml:space="preserve"> 5-9 (n=12), parents and caregivers of children </w:t>
            </w:r>
            <w:r w:rsidRPr="003A0F29" w:rsidR="0091697D">
              <w:rPr>
                <w:sz w:val="20"/>
                <w:szCs w:val="20"/>
              </w:rPr>
              <w:t>aged</w:t>
            </w:r>
            <w:r w:rsidRPr="003A0F29">
              <w:rPr>
                <w:sz w:val="20"/>
                <w:szCs w:val="20"/>
              </w:rPr>
              <w:t xml:space="preserve"> 12-15 (n=8) and adults (n=10)</w:t>
            </w:r>
          </w:p>
        </w:tc>
        <w:tc>
          <w:tcPr>
            <w:tcW w:w="1519" w:type="pct"/>
          </w:tcPr>
          <w:p w:rsidR="000D25DC" w:rsidRPr="003A0F29" w:rsidP="00D41D5A" w14:paraId="7D1A75D3" w14:textId="768631F7">
            <w:pPr>
              <w:rPr>
                <w:sz w:val="20"/>
                <w:szCs w:val="20"/>
              </w:rPr>
            </w:pPr>
            <w:r w:rsidRPr="003A0F29">
              <w:rPr>
                <w:sz w:val="20"/>
                <w:szCs w:val="20"/>
              </w:rPr>
              <w:t xml:space="preserve">Used to inform updates to three question and answer (Q&amp;A) documents about COVID </w:t>
            </w:r>
            <w:r w:rsidRPr="003A0F29" w:rsidR="0091697D">
              <w:rPr>
                <w:sz w:val="20"/>
                <w:szCs w:val="20"/>
              </w:rPr>
              <w:t>vaccines.</w:t>
            </w:r>
          </w:p>
          <w:p w:rsidR="000D25DC" w:rsidRPr="003A0F29" w:rsidP="00D41D5A" w14:paraId="7B270F84" w14:textId="77777777">
            <w:pPr>
              <w:rPr>
                <w:sz w:val="20"/>
                <w:szCs w:val="20"/>
              </w:rPr>
            </w:pPr>
          </w:p>
        </w:tc>
        <w:tc>
          <w:tcPr>
            <w:tcW w:w="548" w:type="pct"/>
          </w:tcPr>
          <w:p w:rsidR="000D25DC" w:rsidRPr="003A0F29" w:rsidP="00D41D5A" w14:paraId="248B4280" w14:textId="77777777">
            <w:pPr>
              <w:jc w:val="right"/>
              <w:rPr>
                <w:sz w:val="20"/>
                <w:szCs w:val="20"/>
              </w:rPr>
            </w:pPr>
            <w:r w:rsidRPr="003A0F29">
              <w:rPr>
                <w:sz w:val="20"/>
                <w:szCs w:val="20"/>
              </w:rPr>
              <w:t>98</w:t>
            </w:r>
          </w:p>
        </w:tc>
      </w:tr>
      <w:tr w14:paraId="06FEA283" w14:textId="77777777" w:rsidTr="00F401D6">
        <w:tblPrEx>
          <w:tblW w:w="4929" w:type="pct"/>
          <w:jc w:val="center"/>
          <w:tblInd w:w="0" w:type="dxa"/>
          <w:tblLayout w:type="fixed"/>
          <w:tblLook w:val="01E0"/>
        </w:tblPrEx>
        <w:trPr>
          <w:cantSplit/>
          <w:trHeight w:val="300"/>
          <w:jc w:val="center"/>
        </w:trPr>
        <w:tc>
          <w:tcPr>
            <w:tcW w:w="1326" w:type="pct"/>
            <w:shd w:val="clear" w:color="auto" w:fill="auto"/>
          </w:tcPr>
          <w:p w:rsidR="000D25DC" w:rsidRPr="003A0F29" w:rsidP="00D41D5A" w14:paraId="73A1F06F" w14:textId="77777777">
            <w:pPr>
              <w:tabs>
                <w:tab w:val="center" w:pos="945"/>
              </w:tabs>
              <w:rPr>
                <w:sz w:val="20"/>
                <w:szCs w:val="20"/>
              </w:rPr>
            </w:pPr>
            <w:r w:rsidRPr="003A0F29">
              <w:rPr>
                <w:sz w:val="20"/>
                <w:szCs w:val="20"/>
              </w:rPr>
              <w:t>Rapid Message Testing with Consumers Cannabis Consumer Update</w:t>
            </w:r>
          </w:p>
        </w:tc>
        <w:tc>
          <w:tcPr>
            <w:tcW w:w="1607" w:type="pct"/>
            <w:shd w:val="clear" w:color="auto" w:fill="auto"/>
          </w:tcPr>
          <w:p w:rsidR="000D25DC" w:rsidRPr="003A0F29" w:rsidP="00D41D5A" w14:paraId="2691C125" w14:textId="77777777">
            <w:pPr>
              <w:autoSpaceDE w:val="0"/>
              <w:autoSpaceDN w:val="0"/>
              <w:adjustRightInd w:val="0"/>
              <w:rPr>
                <w:sz w:val="20"/>
                <w:szCs w:val="20"/>
              </w:rPr>
            </w:pPr>
            <w:r w:rsidRPr="003A0F29">
              <w:rPr>
                <w:sz w:val="20"/>
                <w:szCs w:val="20"/>
              </w:rPr>
              <w:t>20 consumer respondents who have screened in as current (past 30 day) users of delta-8, delta-10, HHC, or another hemp-derived cannabidiol.</w:t>
            </w:r>
          </w:p>
          <w:p w:rsidR="000D25DC" w:rsidRPr="003A0F29" w:rsidP="00D41D5A" w14:paraId="40AB74CB" w14:textId="77777777">
            <w:pPr>
              <w:autoSpaceDE w:val="0"/>
              <w:autoSpaceDN w:val="0"/>
              <w:adjustRightInd w:val="0"/>
              <w:rPr>
                <w:sz w:val="20"/>
                <w:szCs w:val="20"/>
              </w:rPr>
            </w:pPr>
          </w:p>
        </w:tc>
        <w:tc>
          <w:tcPr>
            <w:tcW w:w="1519" w:type="pct"/>
          </w:tcPr>
          <w:p w:rsidR="000D25DC" w:rsidRPr="003A0F29" w:rsidP="00D41D5A" w14:paraId="0CAC6D1C" w14:textId="77777777">
            <w:pPr>
              <w:rPr>
                <w:sz w:val="20"/>
                <w:szCs w:val="20"/>
              </w:rPr>
            </w:pPr>
            <w:r w:rsidRPr="003A0F29">
              <w:rPr>
                <w:sz w:val="20"/>
                <w:szCs w:val="20"/>
              </w:rPr>
              <w:t xml:space="preserve">Study currently in progress.  Results will be shared with CDER Division of Health Communication to update consumer update website on potential effects of cannabis products. </w:t>
            </w:r>
          </w:p>
        </w:tc>
        <w:tc>
          <w:tcPr>
            <w:tcW w:w="548" w:type="pct"/>
          </w:tcPr>
          <w:p w:rsidR="000D25DC" w:rsidRPr="003A0F29" w:rsidP="00D41D5A" w14:paraId="4DE28B16" w14:textId="77777777">
            <w:pPr>
              <w:jc w:val="right"/>
              <w:rPr>
                <w:sz w:val="20"/>
                <w:szCs w:val="20"/>
              </w:rPr>
            </w:pPr>
            <w:r w:rsidRPr="003A0F29">
              <w:rPr>
                <w:sz w:val="20"/>
                <w:szCs w:val="20"/>
              </w:rPr>
              <w:t>90</w:t>
            </w:r>
          </w:p>
        </w:tc>
      </w:tr>
      <w:tr w14:paraId="0E17B3E2" w14:textId="77777777" w:rsidTr="00F401D6">
        <w:tblPrEx>
          <w:tblW w:w="4929" w:type="pct"/>
          <w:jc w:val="center"/>
          <w:tblInd w:w="0" w:type="dxa"/>
          <w:tblLayout w:type="fixed"/>
          <w:tblLook w:val="01E0"/>
        </w:tblPrEx>
        <w:trPr>
          <w:cantSplit/>
          <w:trHeight w:val="300"/>
          <w:jc w:val="center"/>
        </w:trPr>
        <w:tc>
          <w:tcPr>
            <w:tcW w:w="1326" w:type="pct"/>
            <w:shd w:val="clear" w:color="auto" w:fill="auto"/>
          </w:tcPr>
          <w:p w:rsidR="000D25DC" w:rsidRPr="003A0F29" w:rsidP="00D41D5A" w14:paraId="71AD350F" w14:textId="77777777">
            <w:pPr>
              <w:tabs>
                <w:tab w:val="center" w:pos="945"/>
              </w:tabs>
              <w:rPr>
                <w:sz w:val="20"/>
                <w:szCs w:val="20"/>
              </w:rPr>
            </w:pPr>
            <w:r w:rsidRPr="003A0F29">
              <w:rPr>
                <w:sz w:val="20"/>
                <w:szCs w:val="20"/>
              </w:rPr>
              <w:t>Rapid Message Testing with Consumers Drug Shortage Infographic</w:t>
            </w:r>
          </w:p>
        </w:tc>
        <w:tc>
          <w:tcPr>
            <w:tcW w:w="1607" w:type="pct"/>
            <w:shd w:val="clear" w:color="auto" w:fill="auto"/>
          </w:tcPr>
          <w:p w:rsidR="000D25DC" w:rsidRPr="003A0F29" w:rsidP="00D41D5A" w14:paraId="1CD96681" w14:textId="77777777">
            <w:pPr>
              <w:autoSpaceDE w:val="0"/>
              <w:autoSpaceDN w:val="0"/>
              <w:adjustRightInd w:val="0"/>
              <w:rPr>
                <w:sz w:val="20"/>
                <w:szCs w:val="20"/>
              </w:rPr>
            </w:pPr>
            <w:r w:rsidRPr="003A0F29">
              <w:rPr>
                <w:sz w:val="20"/>
                <w:szCs w:val="20"/>
              </w:rPr>
              <w:t>16 respondents (U.S. adults) with personal experiences related to drug shortages.</w:t>
            </w:r>
          </w:p>
        </w:tc>
        <w:tc>
          <w:tcPr>
            <w:tcW w:w="1519" w:type="pct"/>
          </w:tcPr>
          <w:p w:rsidR="000D25DC" w:rsidRPr="003A0F29" w:rsidP="00D41D5A" w14:paraId="5B3E25A0" w14:textId="77777777">
            <w:pPr>
              <w:rPr>
                <w:sz w:val="20"/>
                <w:szCs w:val="20"/>
              </w:rPr>
            </w:pPr>
            <w:r w:rsidRPr="003A0F29">
              <w:rPr>
                <w:sz w:val="20"/>
                <w:szCs w:val="20"/>
              </w:rPr>
              <w:t>Used to inform updates to an FDA drug shortage infographic.</w:t>
            </w:r>
          </w:p>
        </w:tc>
        <w:tc>
          <w:tcPr>
            <w:tcW w:w="548" w:type="pct"/>
          </w:tcPr>
          <w:p w:rsidR="000D25DC" w:rsidRPr="003A0F29" w:rsidP="00D41D5A" w14:paraId="7A363EE4" w14:textId="77777777">
            <w:pPr>
              <w:jc w:val="right"/>
              <w:rPr>
                <w:sz w:val="20"/>
                <w:szCs w:val="20"/>
              </w:rPr>
            </w:pPr>
            <w:r w:rsidRPr="003A0F29">
              <w:rPr>
                <w:sz w:val="20"/>
                <w:szCs w:val="20"/>
              </w:rPr>
              <w:t>87</w:t>
            </w:r>
          </w:p>
        </w:tc>
      </w:tr>
      <w:tr w14:paraId="708E5F18" w14:textId="77777777" w:rsidTr="00F401D6">
        <w:tblPrEx>
          <w:tblW w:w="4929" w:type="pct"/>
          <w:jc w:val="center"/>
          <w:tblInd w:w="0" w:type="dxa"/>
          <w:tblLayout w:type="fixed"/>
          <w:tblLook w:val="01E0"/>
        </w:tblPrEx>
        <w:trPr>
          <w:cantSplit/>
          <w:trHeight w:val="300"/>
          <w:jc w:val="center"/>
        </w:trPr>
        <w:tc>
          <w:tcPr>
            <w:tcW w:w="1326" w:type="pct"/>
            <w:shd w:val="clear" w:color="auto" w:fill="auto"/>
          </w:tcPr>
          <w:p w:rsidR="000D25DC" w:rsidRPr="003A0F29" w:rsidP="00D41D5A" w14:paraId="3E5C8CBD" w14:textId="77777777">
            <w:pPr>
              <w:tabs>
                <w:tab w:val="center" w:pos="945"/>
              </w:tabs>
              <w:rPr>
                <w:sz w:val="20"/>
                <w:szCs w:val="20"/>
              </w:rPr>
            </w:pPr>
            <w:r w:rsidRPr="003A0F29">
              <w:rPr>
                <w:sz w:val="20"/>
                <w:szCs w:val="20"/>
              </w:rPr>
              <w:t>Rapid Message Testing with Consumers and Healthcare Professionals - Children's Cough and Cold Consumer Update (CDER)</w:t>
            </w:r>
          </w:p>
        </w:tc>
        <w:tc>
          <w:tcPr>
            <w:tcW w:w="1607" w:type="pct"/>
            <w:shd w:val="clear" w:color="auto" w:fill="auto"/>
          </w:tcPr>
          <w:p w:rsidR="000D25DC" w:rsidRPr="003A0F29" w:rsidP="00D41D5A" w14:paraId="7F900BDE" w14:textId="77777777">
            <w:pPr>
              <w:autoSpaceDE w:val="0"/>
              <w:autoSpaceDN w:val="0"/>
              <w:adjustRightInd w:val="0"/>
              <w:rPr>
                <w:sz w:val="20"/>
                <w:szCs w:val="20"/>
              </w:rPr>
            </w:pPr>
            <w:r w:rsidRPr="003A0F29">
              <w:rPr>
                <w:sz w:val="20"/>
                <w:szCs w:val="20"/>
              </w:rPr>
              <w:t>24 respondents (U.S. adults), including parents and caregivers of children younger than 18</w:t>
            </w:r>
          </w:p>
        </w:tc>
        <w:tc>
          <w:tcPr>
            <w:tcW w:w="1519" w:type="pct"/>
          </w:tcPr>
          <w:p w:rsidR="000D25DC" w:rsidRPr="003A0F29" w:rsidP="00D41D5A" w14:paraId="5424425A" w14:textId="77777777">
            <w:pPr>
              <w:rPr>
                <w:sz w:val="20"/>
                <w:szCs w:val="20"/>
              </w:rPr>
            </w:pPr>
            <w:r w:rsidRPr="003A0F29">
              <w:rPr>
                <w:sz w:val="20"/>
                <w:szCs w:val="20"/>
              </w:rPr>
              <w:t>Used to assess a draft FDA Consumer Update article about children’s cough and cold products</w:t>
            </w:r>
          </w:p>
        </w:tc>
        <w:tc>
          <w:tcPr>
            <w:tcW w:w="548" w:type="pct"/>
          </w:tcPr>
          <w:p w:rsidR="000D25DC" w:rsidRPr="003A0F29" w:rsidP="00D41D5A" w14:paraId="0E125688" w14:textId="77777777">
            <w:pPr>
              <w:jc w:val="right"/>
              <w:rPr>
                <w:sz w:val="20"/>
                <w:szCs w:val="20"/>
              </w:rPr>
            </w:pPr>
            <w:r w:rsidRPr="003A0F29">
              <w:rPr>
                <w:sz w:val="20"/>
                <w:szCs w:val="20"/>
              </w:rPr>
              <w:t>97</w:t>
            </w:r>
          </w:p>
        </w:tc>
      </w:tr>
      <w:tr w14:paraId="3797D50F" w14:textId="77777777" w:rsidTr="00F401D6">
        <w:tblPrEx>
          <w:tblW w:w="4929" w:type="pct"/>
          <w:jc w:val="center"/>
          <w:tblInd w:w="0" w:type="dxa"/>
          <w:tblLayout w:type="fixed"/>
          <w:tblLook w:val="01E0"/>
        </w:tblPrEx>
        <w:trPr>
          <w:cantSplit/>
          <w:trHeight w:val="300"/>
          <w:jc w:val="center"/>
        </w:trPr>
        <w:tc>
          <w:tcPr>
            <w:tcW w:w="1326" w:type="pct"/>
            <w:shd w:val="clear" w:color="auto" w:fill="auto"/>
          </w:tcPr>
          <w:p w:rsidR="000D25DC" w:rsidRPr="003A0F29" w:rsidP="00D41D5A" w14:paraId="20E304B2" w14:textId="77777777">
            <w:pPr>
              <w:tabs>
                <w:tab w:val="center" w:pos="945"/>
              </w:tabs>
              <w:rPr>
                <w:sz w:val="20"/>
                <w:szCs w:val="20"/>
              </w:rPr>
            </w:pPr>
            <w:r w:rsidRPr="003A0F29">
              <w:rPr>
                <w:sz w:val="20"/>
                <w:szCs w:val="20"/>
              </w:rPr>
              <w:t>Studies to Enhance FDA Communications Addressing Biosimilar Drug Products: Patient and Caregiver Interviews (CDER)</w:t>
            </w:r>
          </w:p>
        </w:tc>
        <w:tc>
          <w:tcPr>
            <w:tcW w:w="1607" w:type="pct"/>
            <w:shd w:val="clear" w:color="auto" w:fill="auto"/>
          </w:tcPr>
          <w:p w:rsidR="000D25DC" w:rsidRPr="003A0F29" w:rsidP="00D41D5A" w14:paraId="4037E693" w14:textId="77777777">
            <w:pPr>
              <w:autoSpaceDE w:val="0"/>
              <w:autoSpaceDN w:val="0"/>
              <w:adjustRightInd w:val="0"/>
              <w:rPr>
                <w:sz w:val="20"/>
                <w:szCs w:val="20"/>
              </w:rPr>
            </w:pPr>
            <w:r w:rsidRPr="003A0F29">
              <w:rPr>
                <w:sz w:val="20"/>
                <w:szCs w:val="20"/>
              </w:rPr>
              <w:t>30 respondents including patients with inflammatory arthritis (n=3); cancer (n=2); inflammatory bowel disease (n=3); skin conditions (n=2); diabetes (n=2) and caregivers of children with diabetes (n=2).</w:t>
            </w:r>
          </w:p>
        </w:tc>
        <w:tc>
          <w:tcPr>
            <w:tcW w:w="1519" w:type="pct"/>
          </w:tcPr>
          <w:p w:rsidR="000D25DC" w:rsidRPr="003A0F29" w:rsidP="00D41D5A" w14:paraId="3B955AF0" w14:textId="77777777">
            <w:pPr>
              <w:rPr>
                <w:sz w:val="20"/>
                <w:szCs w:val="20"/>
              </w:rPr>
            </w:pPr>
            <w:r w:rsidRPr="003A0F29">
              <w:rPr>
                <w:sz w:val="20"/>
                <w:szCs w:val="20"/>
              </w:rPr>
              <w:t xml:space="preserve">Used to inform updates a one-page infographic, a 3-page fact sheet, and a single video about biosimilars. </w:t>
            </w:r>
          </w:p>
          <w:p w:rsidR="000D25DC" w:rsidRPr="003A0F29" w:rsidP="00D41D5A" w14:paraId="6BCE723E" w14:textId="77777777">
            <w:pPr>
              <w:rPr>
                <w:sz w:val="20"/>
                <w:szCs w:val="20"/>
              </w:rPr>
            </w:pPr>
          </w:p>
          <w:p w:rsidR="000D25DC" w:rsidRPr="003A0F29" w:rsidP="00D41D5A" w14:paraId="6A01922E" w14:textId="77777777">
            <w:pPr>
              <w:rPr>
                <w:sz w:val="20"/>
                <w:szCs w:val="20"/>
              </w:rPr>
            </w:pPr>
          </w:p>
        </w:tc>
        <w:tc>
          <w:tcPr>
            <w:tcW w:w="548" w:type="pct"/>
          </w:tcPr>
          <w:p w:rsidR="000D25DC" w:rsidRPr="003A0F29" w:rsidP="00D41D5A" w14:paraId="5951F103" w14:textId="77777777">
            <w:pPr>
              <w:jc w:val="right"/>
              <w:rPr>
                <w:sz w:val="20"/>
                <w:szCs w:val="20"/>
              </w:rPr>
            </w:pPr>
            <w:r w:rsidRPr="003A0F29">
              <w:rPr>
                <w:sz w:val="20"/>
                <w:szCs w:val="20"/>
              </w:rPr>
              <w:t>65</w:t>
            </w:r>
          </w:p>
        </w:tc>
      </w:tr>
      <w:tr w14:paraId="04C88193" w14:textId="77777777" w:rsidTr="00F401D6">
        <w:tblPrEx>
          <w:tblW w:w="4929" w:type="pct"/>
          <w:jc w:val="center"/>
          <w:tblInd w:w="0" w:type="dxa"/>
          <w:tblLayout w:type="fixed"/>
          <w:tblLook w:val="01E0"/>
        </w:tblPrEx>
        <w:trPr>
          <w:cantSplit/>
          <w:trHeight w:val="300"/>
          <w:jc w:val="center"/>
        </w:trPr>
        <w:tc>
          <w:tcPr>
            <w:tcW w:w="1326" w:type="pct"/>
            <w:shd w:val="clear" w:color="auto" w:fill="auto"/>
          </w:tcPr>
          <w:p w:rsidR="000D25DC" w:rsidRPr="003A0F29" w:rsidP="00D41D5A" w14:paraId="56D5798A" w14:textId="77777777">
            <w:pPr>
              <w:tabs>
                <w:tab w:val="center" w:pos="945"/>
              </w:tabs>
              <w:rPr>
                <w:sz w:val="20"/>
                <w:szCs w:val="20"/>
              </w:rPr>
            </w:pPr>
            <w:r w:rsidRPr="003A0F29">
              <w:rPr>
                <w:sz w:val="20"/>
                <w:szCs w:val="20"/>
              </w:rPr>
              <w:t>TOTAL</w:t>
            </w:r>
          </w:p>
        </w:tc>
        <w:tc>
          <w:tcPr>
            <w:tcW w:w="1607" w:type="pct"/>
            <w:shd w:val="clear" w:color="auto" w:fill="auto"/>
          </w:tcPr>
          <w:p w:rsidR="000D25DC" w:rsidRPr="003A0F29" w:rsidP="00D41D5A" w14:paraId="56A47BD9" w14:textId="77777777">
            <w:pPr>
              <w:autoSpaceDE w:val="0"/>
              <w:autoSpaceDN w:val="0"/>
              <w:adjustRightInd w:val="0"/>
              <w:rPr>
                <w:sz w:val="20"/>
                <w:szCs w:val="20"/>
              </w:rPr>
            </w:pPr>
          </w:p>
        </w:tc>
        <w:tc>
          <w:tcPr>
            <w:tcW w:w="1519" w:type="pct"/>
          </w:tcPr>
          <w:p w:rsidR="000D25DC" w:rsidRPr="003A0F29" w:rsidP="00D41D5A" w14:paraId="7F301011" w14:textId="77777777">
            <w:pPr>
              <w:rPr>
                <w:sz w:val="20"/>
                <w:szCs w:val="20"/>
              </w:rPr>
            </w:pPr>
          </w:p>
        </w:tc>
        <w:tc>
          <w:tcPr>
            <w:tcW w:w="548" w:type="pct"/>
          </w:tcPr>
          <w:p w:rsidR="000D25DC" w:rsidRPr="003A0F29" w:rsidP="00D41D5A" w14:paraId="71E54D04" w14:textId="77777777">
            <w:pPr>
              <w:jc w:val="right"/>
              <w:rPr>
                <w:sz w:val="20"/>
                <w:szCs w:val="20"/>
              </w:rPr>
            </w:pPr>
            <w:r w:rsidRPr="003A0F29">
              <w:rPr>
                <w:sz w:val="20"/>
                <w:szCs w:val="20"/>
              </w:rPr>
              <w:t>5,157.50</w:t>
            </w:r>
          </w:p>
        </w:tc>
      </w:tr>
    </w:tbl>
    <w:p w:rsidR="00F77033" w:rsidRPr="00397E50" w:rsidP="00D41D5A" w14:paraId="10FF1E90" w14:textId="77777777">
      <w:pPr>
        <w:spacing w:after="200"/>
        <w:rPr>
          <w:rFonts w:eastAsia="Calibri"/>
        </w:rPr>
      </w:pPr>
    </w:p>
    <w:p w:rsidR="00357C8A" w:rsidRPr="00397E50" w:rsidP="00D41D5A" w14:paraId="4E277EFA" w14:textId="77777777">
      <w:pPr>
        <w:numPr>
          <w:ilvl w:val="0"/>
          <w:numId w:val="6"/>
        </w:numPr>
        <w:spacing w:after="200"/>
        <w:rPr>
          <w:rFonts w:eastAsia="Calibri"/>
          <w:u w:val="single"/>
        </w:rPr>
      </w:pPr>
      <w:r w:rsidRPr="00397E50">
        <w:rPr>
          <w:rFonts w:eastAsia="Calibri"/>
          <w:u w:val="single"/>
        </w:rPr>
        <w:t>Use of Improved Information Technology and Burden Reduction</w:t>
      </w:r>
    </w:p>
    <w:p w:rsidR="00DF4C7E" w:rsidRPr="00397E50" w:rsidP="00D41D5A" w14:paraId="5C3F2977" w14:textId="3AC03784">
      <w:pPr>
        <w:rPr>
          <w:rFonts w:eastAsia="Calibri"/>
        </w:rPr>
      </w:pPr>
      <w:r w:rsidRPr="00397E50">
        <w:rPr>
          <w:rFonts w:eastAsia="Calibri"/>
        </w:rPr>
        <w:t>The information will be collected through one-on-one telephone</w:t>
      </w:r>
      <w:r w:rsidRPr="00397E50" w:rsidR="76F7ED7B">
        <w:rPr>
          <w:rFonts w:eastAsia="Calibri"/>
        </w:rPr>
        <w:t>, online</w:t>
      </w:r>
      <w:r w:rsidRPr="00397E50">
        <w:rPr>
          <w:rFonts w:eastAsia="Calibri"/>
        </w:rPr>
        <w:t xml:space="preserve"> or in-person interviews, focus groups, or self-administered surveys, depending upon the target audience being questioned, expectations about whether the information will be evaluated in an individual or group context, </w:t>
      </w:r>
      <w:bookmarkStart w:id="1" w:name="_Hlk51093187"/>
      <w:r w:rsidRPr="00397E50">
        <w:rPr>
          <w:rFonts w:eastAsia="Calibri"/>
        </w:rPr>
        <w:t xml:space="preserve">and the need to present visual stimuli (e.g., graphic displays of negative health outcomes).  As computer </w:t>
      </w:r>
      <w:r w:rsidRPr="00397E50">
        <w:rPr>
          <w:rFonts w:eastAsia="Calibri"/>
        </w:rPr>
        <w:t xml:space="preserve">technology has continued to improve and become more widespread, opportunities </w:t>
      </w:r>
      <w:r w:rsidRPr="00397E50" w:rsidR="72F404B6">
        <w:rPr>
          <w:rFonts w:eastAsia="Calibri"/>
        </w:rPr>
        <w:t xml:space="preserve">have increased </w:t>
      </w:r>
      <w:r w:rsidRPr="00397E50">
        <w:rPr>
          <w:rFonts w:eastAsia="Calibri"/>
        </w:rPr>
        <w:t xml:space="preserve">to </w:t>
      </w:r>
      <w:r w:rsidRPr="00397E50" w:rsidR="72F404B6">
        <w:rPr>
          <w:rFonts w:eastAsia="Calibri"/>
        </w:rPr>
        <w:t xml:space="preserve">conduct communication studies </w:t>
      </w:r>
      <w:r w:rsidRPr="00397E50">
        <w:rPr>
          <w:rFonts w:eastAsia="Calibri"/>
        </w:rPr>
        <w:t xml:space="preserve"> </w:t>
      </w:r>
      <w:r w:rsidRPr="00397E50" w:rsidR="4B1439E8">
        <w:rPr>
          <w:rFonts w:eastAsia="Calibri"/>
        </w:rPr>
        <w:t xml:space="preserve">through </w:t>
      </w:r>
      <w:r w:rsidRPr="00397E50" w:rsidR="72F404B6">
        <w:rPr>
          <w:rFonts w:eastAsia="Calibri"/>
        </w:rPr>
        <w:t>web-based platforms</w:t>
      </w:r>
      <w:r w:rsidRPr="00397E50">
        <w:rPr>
          <w:rFonts w:eastAsia="Calibri"/>
        </w:rPr>
        <w:t xml:space="preserve">. </w:t>
      </w:r>
      <w:bookmarkEnd w:id="1"/>
      <w:r w:rsidRPr="00397E50">
        <w:rPr>
          <w:rFonts w:eastAsia="Calibri"/>
        </w:rPr>
        <w:t xml:space="preserve">Using computer-assisted technology to transmit data collection instruments and/or collect responses will continue to reduce the burden on respondents. </w:t>
      </w:r>
      <w:r w:rsidRPr="00397E50" w:rsidR="00FD2B57">
        <w:rPr>
          <w:rFonts w:eastAsia="Calibri"/>
        </w:rPr>
        <w:t xml:space="preserve"> </w:t>
      </w:r>
      <w:r w:rsidRPr="00397E50">
        <w:rPr>
          <w:rFonts w:eastAsia="Calibri"/>
        </w:rPr>
        <w:t xml:space="preserve">For example, respondents can access and respond to data collection requests </w:t>
      </w:r>
      <w:r w:rsidRPr="00397E50" w:rsidR="28796A2B">
        <w:rPr>
          <w:rFonts w:eastAsia="Calibri"/>
        </w:rPr>
        <w:t xml:space="preserve">from </w:t>
      </w:r>
      <w:r w:rsidRPr="00397E50">
        <w:rPr>
          <w:rFonts w:eastAsia="Calibri"/>
        </w:rPr>
        <w:t>place</w:t>
      </w:r>
      <w:r w:rsidRPr="00397E50" w:rsidR="66357466">
        <w:rPr>
          <w:rFonts w:eastAsia="Calibri"/>
        </w:rPr>
        <w:t>s</w:t>
      </w:r>
      <w:r w:rsidRPr="00397E50">
        <w:rPr>
          <w:rFonts w:eastAsia="Calibri"/>
        </w:rPr>
        <w:t xml:space="preserve"> </w:t>
      </w:r>
      <w:r w:rsidRPr="00397E50" w:rsidR="66357466">
        <w:rPr>
          <w:rFonts w:eastAsia="Calibri"/>
        </w:rPr>
        <w:t xml:space="preserve">and often times </w:t>
      </w:r>
      <w:r w:rsidRPr="00397E50">
        <w:rPr>
          <w:rFonts w:eastAsia="Calibri"/>
        </w:rPr>
        <w:t xml:space="preserve">that </w:t>
      </w:r>
      <w:r w:rsidRPr="00397E50" w:rsidR="66357466">
        <w:rPr>
          <w:rFonts w:eastAsia="Calibri"/>
        </w:rPr>
        <w:t>are</w:t>
      </w:r>
      <w:r w:rsidRPr="00397E50">
        <w:rPr>
          <w:rFonts w:eastAsia="Calibri"/>
        </w:rPr>
        <w:t xml:space="preserve"> convenient to them, eliminating the need to travel for in-person </w:t>
      </w:r>
      <w:r w:rsidRPr="00397E50" w:rsidR="28796A2B">
        <w:rPr>
          <w:rFonts w:eastAsia="Calibri"/>
        </w:rPr>
        <w:t xml:space="preserve">interviews </w:t>
      </w:r>
      <w:r w:rsidRPr="00397E50">
        <w:rPr>
          <w:rFonts w:eastAsia="Calibri"/>
        </w:rPr>
        <w:t xml:space="preserve">or </w:t>
      </w:r>
      <w:r w:rsidRPr="00397E50" w:rsidR="28796A2B">
        <w:rPr>
          <w:rFonts w:eastAsia="Calibri"/>
        </w:rPr>
        <w:t xml:space="preserve">focus </w:t>
      </w:r>
      <w:r w:rsidRPr="00397E50">
        <w:rPr>
          <w:rFonts w:eastAsia="Calibri"/>
        </w:rPr>
        <w:t>group</w:t>
      </w:r>
      <w:r w:rsidRPr="00397E50" w:rsidR="28796A2B">
        <w:rPr>
          <w:rFonts w:eastAsia="Calibri"/>
        </w:rPr>
        <w:t>s</w:t>
      </w:r>
      <w:r w:rsidRPr="00397E50">
        <w:rPr>
          <w:rFonts w:eastAsia="Calibri"/>
        </w:rPr>
        <w:t>.</w:t>
      </w:r>
    </w:p>
    <w:p w:rsidR="00FD2B57" w:rsidRPr="00397E50" w:rsidP="00D41D5A" w14:paraId="7E26A29A" w14:textId="77777777">
      <w:pPr>
        <w:rPr>
          <w:rFonts w:eastAsia="Calibri"/>
        </w:rPr>
      </w:pPr>
    </w:p>
    <w:p w:rsidR="00DF4C7E" w:rsidRPr="00397E50" w:rsidP="00D41D5A" w14:paraId="423A57CC" w14:textId="04A1BF46">
      <w:pPr>
        <w:rPr>
          <w:rFonts w:eastAsia="Calibri"/>
        </w:rPr>
      </w:pPr>
      <w:r w:rsidRPr="00397E50">
        <w:rPr>
          <w:rFonts w:eastAsia="Calibri"/>
        </w:rPr>
        <w:t xml:space="preserve">Wherever possible, FDA will make use of </w:t>
      </w:r>
      <w:r w:rsidR="00FD16F3">
        <w:rPr>
          <w:rFonts w:eastAsia="Calibri"/>
        </w:rPr>
        <w:t>w</w:t>
      </w:r>
      <w:r w:rsidRPr="00397E50">
        <w:rPr>
          <w:rFonts w:eastAsia="Calibri"/>
        </w:rPr>
        <w:t>eb-based data collection methods.</w:t>
      </w:r>
      <w:r w:rsidRPr="00397E50" w:rsidR="00A61A91">
        <w:rPr>
          <w:rFonts w:eastAsia="Calibri"/>
        </w:rPr>
        <w:t xml:space="preserve">  </w:t>
      </w:r>
      <w:r w:rsidRPr="00397E50">
        <w:rPr>
          <w:rFonts w:eastAsia="Calibri"/>
        </w:rPr>
        <w:t xml:space="preserve">Possible information technologies for testing </w:t>
      </w:r>
      <w:r w:rsidRPr="00397E50" w:rsidR="00B41840">
        <w:rPr>
          <w:rFonts w:eastAsia="Calibri"/>
        </w:rPr>
        <w:t>includes</w:t>
      </w:r>
      <w:r w:rsidRPr="00397E50">
        <w:rPr>
          <w:rFonts w:eastAsia="Calibri"/>
        </w:rPr>
        <w:t xml:space="preserve"> the following.</w:t>
      </w:r>
    </w:p>
    <w:p w:rsidR="00FD2B57" w:rsidRPr="00397E50" w:rsidP="00D41D5A" w14:paraId="5346F74A" w14:textId="77777777">
      <w:pPr>
        <w:rPr>
          <w:rFonts w:eastAsia="Calibri"/>
        </w:rPr>
      </w:pPr>
    </w:p>
    <w:p w:rsidR="00DF4C7E" w:rsidRPr="00053F83" w:rsidP="00D41D5A" w14:paraId="60F9BBF7" w14:textId="7E324D95">
      <w:pPr>
        <w:ind w:left="360"/>
        <w:rPr>
          <w:rFonts w:eastAsia="Calibri"/>
          <w:i/>
          <w:u w:val="single"/>
        </w:rPr>
      </w:pPr>
      <w:r w:rsidRPr="00397E50">
        <w:rPr>
          <w:rFonts w:eastAsia="Calibri"/>
          <w:i/>
          <w:u w:val="single"/>
        </w:rPr>
        <w:t>Computer-Assisted Telephone Interviewing (CATI)</w:t>
      </w:r>
      <w:r w:rsidR="00053F83">
        <w:rPr>
          <w:rFonts w:eastAsia="Calibri"/>
          <w:iCs/>
        </w:rPr>
        <w:t xml:space="preserve"> - </w:t>
      </w:r>
      <w:r w:rsidRPr="00397E50">
        <w:rPr>
          <w:rFonts w:eastAsia="Calibri"/>
        </w:rPr>
        <w:t>Surveys conducted by telephone are well suited to the use of computer-assisted telephone interviewing technology. CATI’s technological capabilities include automated dialing, scheduling unanswered calls or interrupted interviews for efficient callbacks, random selection of respondents, automated skip patterns, instantaneous out-of-range checks, insertion of information from one question to guide a subsequent question, and the automated generation of databases for subsequent analysis. When telephone interviews are used, CATI will be employed whenever possible.</w:t>
      </w:r>
    </w:p>
    <w:p w:rsidR="00182E8E" w:rsidRPr="00397E50" w:rsidP="00D41D5A" w14:paraId="6C30D75D" w14:textId="77777777">
      <w:pPr>
        <w:ind w:left="360"/>
        <w:rPr>
          <w:rFonts w:eastAsia="Calibri"/>
          <w:u w:val="single"/>
        </w:rPr>
      </w:pPr>
    </w:p>
    <w:p w:rsidR="00DF4C7E" w:rsidP="00D41D5A" w14:paraId="47B645B2" w14:textId="74D9A67E">
      <w:pPr>
        <w:ind w:left="360"/>
        <w:rPr>
          <w:rFonts w:eastAsia="Calibri"/>
        </w:rPr>
      </w:pPr>
      <w:r w:rsidRPr="00397E50">
        <w:rPr>
          <w:rFonts w:eastAsia="Calibri"/>
          <w:u w:val="single"/>
        </w:rPr>
        <w:t>Computer-Assisted Personal Interviewing (CAPI)</w:t>
      </w:r>
      <w:r w:rsidR="00053F83">
        <w:rPr>
          <w:rFonts w:eastAsia="Calibri"/>
        </w:rPr>
        <w:t xml:space="preserve"> - </w:t>
      </w:r>
      <w:r w:rsidRPr="00397E50">
        <w:rPr>
          <w:rFonts w:eastAsia="Calibri"/>
        </w:rPr>
        <w:t>CAPI technology allows interviewers to ask questions of a respondent using a computer to enter data. Some primary advantages of CAPI include:</w:t>
      </w:r>
    </w:p>
    <w:p w:rsidR="009051CD" w:rsidRPr="00053F83" w:rsidP="00D41D5A" w14:paraId="5CD5287B" w14:textId="77777777">
      <w:pPr>
        <w:ind w:left="360"/>
        <w:rPr>
          <w:rFonts w:eastAsia="Calibri"/>
          <w:u w:val="single"/>
        </w:rPr>
      </w:pPr>
    </w:p>
    <w:p w:rsidR="00DF4C7E" w:rsidRPr="001941D5" w:rsidP="001941D5" w14:paraId="369C8F69" w14:textId="1F3FFDD6">
      <w:pPr>
        <w:pStyle w:val="ListParagraph"/>
        <w:numPr>
          <w:ilvl w:val="0"/>
          <w:numId w:val="21"/>
        </w:numPr>
        <w:rPr>
          <w:rFonts w:eastAsia="Calibri"/>
        </w:rPr>
      </w:pPr>
      <w:r w:rsidRPr="001941D5">
        <w:rPr>
          <w:rFonts w:eastAsia="Calibri"/>
        </w:rPr>
        <w:t>The elimination of routing and looping problems within a paper-and-pencil questionnaire.</w:t>
      </w:r>
    </w:p>
    <w:p w:rsidR="00DF4C7E" w:rsidRPr="001941D5" w:rsidP="001941D5" w14:paraId="2F368F81" w14:textId="5776B9D4">
      <w:pPr>
        <w:pStyle w:val="ListParagraph"/>
        <w:numPr>
          <w:ilvl w:val="0"/>
          <w:numId w:val="21"/>
        </w:numPr>
        <w:rPr>
          <w:rFonts w:eastAsia="Calibri"/>
        </w:rPr>
      </w:pPr>
      <w:r w:rsidRPr="001941D5">
        <w:rPr>
          <w:rFonts w:eastAsia="Calibri"/>
        </w:rPr>
        <w:t>Respondents and interviewers cannot accidentally skip questions.</w:t>
      </w:r>
    </w:p>
    <w:p w:rsidR="00DF4C7E" w:rsidRPr="001941D5" w:rsidP="001941D5" w14:paraId="5B2C11F7" w14:textId="3B4658A9">
      <w:pPr>
        <w:pStyle w:val="ListParagraph"/>
        <w:numPr>
          <w:ilvl w:val="0"/>
          <w:numId w:val="21"/>
        </w:numPr>
        <w:rPr>
          <w:rFonts w:eastAsia="Calibri"/>
        </w:rPr>
      </w:pPr>
      <w:r w:rsidRPr="001941D5">
        <w:rPr>
          <w:rFonts w:eastAsia="Calibri"/>
        </w:rPr>
        <w:t>Interview questions are customized to account for personal information provided by the</w:t>
      </w:r>
      <w:r w:rsidRPr="001941D5" w:rsidR="00B64F89">
        <w:rPr>
          <w:rFonts w:eastAsia="Calibri"/>
        </w:rPr>
        <w:t xml:space="preserve"> </w:t>
      </w:r>
      <w:r w:rsidRPr="001941D5">
        <w:rPr>
          <w:rFonts w:eastAsia="Calibri"/>
        </w:rPr>
        <w:t>respondent (e.g., respondent’s age, information from previous questions).</w:t>
      </w:r>
    </w:p>
    <w:p w:rsidR="00DF4C7E" w:rsidRPr="001941D5" w:rsidP="001941D5" w14:paraId="44BA2339" w14:textId="55E7E3BE">
      <w:pPr>
        <w:pStyle w:val="ListParagraph"/>
        <w:numPr>
          <w:ilvl w:val="0"/>
          <w:numId w:val="21"/>
        </w:numPr>
        <w:rPr>
          <w:rFonts w:eastAsia="Calibri"/>
        </w:rPr>
      </w:pPr>
      <w:r w:rsidRPr="001941D5">
        <w:rPr>
          <w:rFonts w:eastAsia="Calibri"/>
        </w:rPr>
        <w:t>CAPI software can automatically perform mathematical calculations and tabulations.</w:t>
      </w:r>
    </w:p>
    <w:p w:rsidR="00DF4C7E" w:rsidRPr="001941D5" w:rsidP="001941D5" w14:paraId="33E60A2A" w14:textId="759AA127">
      <w:pPr>
        <w:pStyle w:val="ListParagraph"/>
        <w:numPr>
          <w:ilvl w:val="0"/>
          <w:numId w:val="21"/>
        </w:numPr>
        <w:rPr>
          <w:rFonts w:eastAsia="Calibri"/>
        </w:rPr>
      </w:pPr>
      <w:r w:rsidRPr="001941D5">
        <w:rPr>
          <w:rFonts w:eastAsia="Calibri"/>
        </w:rPr>
        <w:t>CAPI software checks for inadmissible or inconsistent responses.</w:t>
      </w:r>
    </w:p>
    <w:p w:rsidR="00DF4C7E" w:rsidRPr="001941D5" w:rsidP="001941D5" w14:paraId="1B20B98A" w14:textId="63ACC5EE">
      <w:pPr>
        <w:pStyle w:val="ListParagraph"/>
        <w:numPr>
          <w:ilvl w:val="0"/>
          <w:numId w:val="21"/>
        </w:numPr>
        <w:rPr>
          <w:rFonts w:eastAsia="Calibri"/>
        </w:rPr>
      </w:pPr>
      <w:r w:rsidRPr="001941D5">
        <w:rPr>
          <w:rFonts w:eastAsia="Calibri"/>
        </w:rPr>
        <w:t>CAPI allows interviewers to administer surveys to geographically isolated groups, respondents</w:t>
      </w:r>
      <w:r w:rsidRPr="001941D5" w:rsidR="00B64F89">
        <w:rPr>
          <w:rFonts w:eastAsia="Calibri"/>
        </w:rPr>
        <w:t xml:space="preserve"> </w:t>
      </w:r>
      <w:r w:rsidRPr="001941D5">
        <w:rPr>
          <w:rFonts w:eastAsia="Calibri"/>
        </w:rPr>
        <w:t>without telephones or Internet access, or other difficult-to-reach populations.</w:t>
      </w:r>
    </w:p>
    <w:p w:rsidR="00DF4C7E" w:rsidRPr="001941D5" w:rsidP="001941D5" w14:paraId="517A9329" w14:textId="352C80D5">
      <w:pPr>
        <w:pStyle w:val="ListParagraph"/>
        <w:numPr>
          <w:ilvl w:val="0"/>
          <w:numId w:val="21"/>
        </w:numPr>
        <w:rPr>
          <w:rFonts w:eastAsia="Calibri"/>
        </w:rPr>
      </w:pPr>
      <w:r w:rsidRPr="001941D5">
        <w:rPr>
          <w:rFonts w:eastAsia="Calibri"/>
        </w:rPr>
        <w:t>CAPI eliminates errors that arise from separate data entry.</w:t>
      </w:r>
    </w:p>
    <w:p w:rsidR="00DF4C7E" w:rsidRPr="00397E50" w:rsidP="00D41D5A" w14:paraId="666C764A" w14:textId="77777777">
      <w:pPr>
        <w:ind w:left="360"/>
        <w:rPr>
          <w:rFonts w:eastAsia="Calibri"/>
        </w:rPr>
      </w:pPr>
    </w:p>
    <w:p w:rsidR="00DF4C7E" w:rsidRPr="00B267F9" w:rsidP="00D41D5A" w14:paraId="0E19A353" w14:textId="2E51B168">
      <w:pPr>
        <w:spacing w:after="200"/>
        <w:ind w:left="360"/>
        <w:rPr>
          <w:rFonts w:eastAsia="Calibri"/>
          <w:u w:val="single"/>
        </w:rPr>
      </w:pPr>
      <w:r w:rsidRPr="00397E50">
        <w:rPr>
          <w:rFonts w:eastAsia="Calibri"/>
          <w:u w:val="single"/>
        </w:rPr>
        <w:t>Audio and Computer-Assisted Self-Interviewing (ACASI)</w:t>
      </w:r>
      <w:r w:rsidR="00B267F9">
        <w:rPr>
          <w:rFonts w:eastAsia="Calibri"/>
        </w:rPr>
        <w:t xml:space="preserve"> - </w:t>
      </w:r>
      <w:r w:rsidRPr="00397E50">
        <w:rPr>
          <w:rFonts w:eastAsia="Calibri"/>
        </w:rPr>
        <w:t>ACASI software technology offers many advantages of CAPI technology</w:t>
      </w:r>
      <w:r w:rsidRPr="00397E50" w:rsidR="00FD2B57">
        <w:rPr>
          <w:rFonts w:eastAsia="Calibri"/>
        </w:rPr>
        <w:t xml:space="preserve"> </w:t>
      </w:r>
      <w:r w:rsidRPr="00397E50">
        <w:rPr>
          <w:rFonts w:eastAsia="Calibri"/>
        </w:rPr>
        <w:t>but removes the need to have a person administer an interview; instead, survey questions are pre-recorded and played back through the sound system of a computer, which the respondent can listen to privately by using headphones. Respondents select an answer by pressing a key that corresponds to one choice shown on the screen, after which answers are fed directly into a computer database. ACASI surveys can also be administered over a telephone by entering the response on the telephone keypad. ACASI technology is particularly useful in administering surveys to low- literacy populations or when addressing sensitive topics that respondents may not feel comfortable discussing in the presence of someone else.</w:t>
      </w:r>
    </w:p>
    <w:p w:rsidR="00DF4C7E" w:rsidRPr="00FE7409" w:rsidP="00D41D5A" w14:paraId="4A1BEDBB" w14:textId="061BB3B1">
      <w:pPr>
        <w:spacing w:after="200"/>
        <w:ind w:left="360"/>
        <w:rPr>
          <w:rFonts w:eastAsia="Calibri"/>
          <w:u w:val="single"/>
        </w:rPr>
      </w:pPr>
      <w:r w:rsidRPr="006513EE">
        <w:rPr>
          <w:rFonts w:eastAsia="Calibri"/>
          <w:u w:val="single"/>
        </w:rPr>
        <w:t>Web-based Surveys</w:t>
      </w:r>
      <w:r w:rsidR="00FE7409">
        <w:rPr>
          <w:rFonts w:eastAsia="Calibri"/>
        </w:rPr>
        <w:t xml:space="preserve"> - </w:t>
      </w:r>
      <w:r w:rsidRPr="00FE7409">
        <w:rPr>
          <w:rFonts w:eastAsia="Calibri"/>
        </w:rPr>
        <w:t>Web</w:t>
      </w:r>
      <w:r w:rsidRPr="00397E50">
        <w:rPr>
          <w:rFonts w:eastAsia="Calibri"/>
        </w:rPr>
        <w:t xml:space="preserve">-based surveys, including those </w:t>
      </w:r>
      <w:r w:rsidRPr="00397E50" w:rsidR="00ED27B5">
        <w:rPr>
          <w:rFonts w:eastAsia="Calibri"/>
        </w:rPr>
        <w:t xml:space="preserve">that include </w:t>
      </w:r>
      <w:r w:rsidRPr="00397E50">
        <w:rPr>
          <w:rFonts w:eastAsia="Calibri"/>
        </w:rPr>
        <w:t xml:space="preserve">experimental </w:t>
      </w:r>
      <w:r w:rsidRPr="00397E50" w:rsidR="00892DE0">
        <w:rPr>
          <w:rFonts w:eastAsia="Calibri"/>
        </w:rPr>
        <w:t>components</w:t>
      </w:r>
      <w:r w:rsidRPr="00397E50">
        <w:rPr>
          <w:rFonts w:eastAsia="Calibri"/>
        </w:rPr>
        <w:t xml:space="preserve">, are an </w:t>
      </w:r>
      <w:r w:rsidRPr="00397E50" w:rsidR="00954CD0">
        <w:rPr>
          <w:rFonts w:eastAsia="Calibri"/>
        </w:rPr>
        <w:t xml:space="preserve">effective way to gather data from large numbers of respondents that can </w:t>
      </w:r>
      <w:r w:rsidRPr="00397E50" w:rsidR="001A0F92">
        <w:rPr>
          <w:rFonts w:eastAsia="Calibri"/>
        </w:rPr>
        <w:t>provide more representative findings</w:t>
      </w:r>
      <w:r w:rsidRPr="00397E50">
        <w:rPr>
          <w:rFonts w:eastAsia="Calibri"/>
        </w:rPr>
        <w:t>.</w:t>
      </w:r>
      <w:r w:rsidR="006513EE">
        <w:rPr>
          <w:rFonts w:eastAsia="Calibri"/>
        </w:rPr>
        <w:t xml:space="preserve">  </w:t>
      </w:r>
      <w:r w:rsidRPr="00397E50">
        <w:rPr>
          <w:rFonts w:eastAsia="Calibri"/>
        </w:rPr>
        <w:t xml:space="preserve">With </w:t>
      </w:r>
      <w:r w:rsidR="006513EE">
        <w:rPr>
          <w:rFonts w:eastAsia="Calibri"/>
        </w:rPr>
        <w:t>w</w:t>
      </w:r>
      <w:r w:rsidRPr="00397E50">
        <w:rPr>
          <w:rFonts w:eastAsia="Calibri"/>
        </w:rPr>
        <w:t xml:space="preserve">eb-based surveys, </w:t>
      </w:r>
      <w:r w:rsidRPr="00397E50" w:rsidR="00C32743">
        <w:rPr>
          <w:rFonts w:eastAsia="Calibri"/>
        </w:rPr>
        <w:t>after provid</w:t>
      </w:r>
      <w:r w:rsidRPr="00397E50" w:rsidR="465949D9">
        <w:rPr>
          <w:rFonts w:eastAsia="Calibri"/>
        </w:rPr>
        <w:t>ing</w:t>
      </w:r>
      <w:r w:rsidRPr="00397E50" w:rsidR="00C32743">
        <w:rPr>
          <w:rFonts w:eastAsia="Calibri"/>
        </w:rPr>
        <w:t xml:space="preserve"> consent to participate, </w:t>
      </w:r>
      <w:r w:rsidRPr="00397E50">
        <w:rPr>
          <w:rFonts w:eastAsia="Calibri"/>
        </w:rPr>
        <w:t xml:space="preserve">respondents </w:t>
      </w:r>
      <w:r w:rsidRPr="00397E50" w:rsidR="000B5320">
        <w:rPr>
          <w:rFonts w:eastAsia="Calibri"/>
        </w:rPr>
        <w:t xml:space="preserve">are </w:t>
      </w:r>
      <w:r w:rsidRPr="00397E50" w:rsidR="00973744">
        <w:rPr>
          <w:rFonts w:eastAsia="Calibri"/>
        </w:rPr>
        <w:t xml:space="preserve">shown </w:t>
      </w:r>
      <w:r w:rsidRPr="00397E50" w:rsidR="000B5320">
        <w:rPr>
          <w:rFonts w:eastAsia="Calibri"/>
        </w:rPr>
        <w:t xml:space="preserve">questions </w:t>
      </w:r>
      <w:r w:rsidRPr="00397E50" w:rsidR="00BD5A04">
        <w:rPr>
          <w:rFonts w:eastAsia="Calibri"/>
        </w:rPr>
        <w:t xml:space="preserve">and </w:t>
      </w:r>
      <w:r w:rsidRPr="00397E50" w:rsidR="00C32743">
        <w:rPr>
          <w:rFonts w:eastAsia="Calibri"/>
        </w:rPr>
        <w:t xml:space="preserve">related </w:t>
      </w:r>
      <w:r w:rsidRPr="00397E50" w:rsidR="00BD5A04">
        <w:rPr>
          <w:rFonts w:eastAsia="Calibri"/>
        </w:rPr>
        <w:t xml:space="preserve">possible answers </w:t>
      </w:r>
      <w:r w:rsidRPr="00397E50" w:rsidR="00973744">
        <w:rPr>
          <w:rFonts w:eastAsia="Calibri"/>
        </w:rPr>
        <w:t xml:space="preserve">on a computer screen </w:t>
      </w:r>
      <w:r w:rsidRPr="00397E50" w:rsidR="000B5320">
        <w:rPr>
          <w:rFonts w:eastAsia="Calibri"/>
        </w:rPr>
        <w:t xml:space="preserve">through </w:t>
      </w:r>
      <w:r w:rsidRPr="00397E50">
        <w:rPr>
          <w:rFonts w:eastAsia="Calibri"/>
        </w:rPr>
        <w:t xml:space="preserve">an online </w:t>
      </w:r>
      <w:r w:rsidRPr="00397E50" w:rsidR="000E1A15">
        <w:rPr>
          <w:rFonts w:eastAsia="Calibri"/>
        </w:rPr>
        <w:t>platform</w:t>
      </w:r>
      <w:r w:rsidRPr="00397E50" w:rsidR="008859B4">
        <w:rPr>
          <w:rFonts w:eastAsia="Calibri"/>
        </w:rPr>
        <w:t xml:space="preserve">, </w:t>
      </w:r>
      <w:r w:rsidRPr="00397E50" w:rsidR="00C32743">
        <w:rPr>
          <w:rFonts w:eastAsia="Calibri"/>
        </w:rPr>
        <w:t xml:space="preserve">and </w:t>
      </w:r>
      <w:r w:rsidRPr="00397E50" w:rsidR="008859B4">
        <w:rPr>
          <w:rFonts w:eastAsia="Calibri"/>
        </w:rPr>
        <w:t xml:space="preserve">their selected answers </w:t>
      </w:r>
      <w:r w:rsidRPr="00397E50" w:rsidR="00C32743">
        <w:rPr>
          <w:rFonts w:eastAsia="Calibri"/>
        </w:rPr>
        <w:t xml:space="preserve">are then </w:t>
      </w:r>
      <w:r w:rsidRPr="00397E50">
        <w:rPr>
          <w:rFonts w:eastAsia="Calibri"/>
        </w:rPr>
        <w:t>submit</w:t>
      </w:r>
      <w:r w:rsidRPr="00397E50" w:rsidR="008859B4">
        <w:rPr>
          <w:rFonts w:eastAsia="Calibri"/>
        </w:rPr>
        <w:t>ted automatically</w:t>
      </w:r>
      <w:r w:rsidRPr="00397E50">
        <w:rPr>
          <w:rFonts w:eastAsia="Calibri"/>
        </w:rPr>
        <w:t xml:space="preserve"> over the Internet.</w:t>
      </w:r>
      <w:r w:rsidR="006513EE">
        <w:rPr>
          <w:rFonts w:eastAsia="Calibri"/>
        </w:rPr>
        <w:t xml:space="preserve">  </w:t>
      </w:r>
      <w:r w:rsidRPr="00397E50" w:rsidR="000D7F97">
        <w:rPr>
          <w:rFonts w:eastAsia="Calibri"/>
        </w:rPr>
        <w:t>The platform collects and collates these answers, which are provided</w:t>
      </w:r>
      <w:r w:rsidRPr="00397E50" w:rsidR="00C32743">
        <w:rPr>
          <w:rFonts w:eastAsia="Calibri"/>
        </w:rPr>
        <w:t xml:space="preserve"> to FDA with</w:t>
      </w:r>
      <w:r w:rsidRPr="00397E50" w:rsidR="00975F72">
        <w:rPr>
          <w:rFonts w:eastAsia="Calibri"/>
        </w:rPr>
        <w:t xml:space="preserve"> no PII. </w:t>
      </w:r>
      <w:r w:rsidRPr="00397E50">
        <w:rPr>
          <w:rFonts w:eastAsia="Calibri"/>
        </w:rPr>
        <w:t>Closed-ended questions (e.g., multiple-choice items, Likert scales</w:t>
      </w:r>
      <w:r w:rsidRPr="00397E50" w:rsidR="00975F72">
        <w:rPr>
          <w:rFonts w:eastAsia="Calibri"/>
        </w:rPr>
        <w:t xml:space="preserve">, </w:t>
      </w:r>
      <w:r w:rsidRPr="00397E50" w:rsidR="00771CB0">
        <w:rPr>
          <w:rFonts w:eastAsia="Calibri"/>
        </w:rPr>
        <w:t>true/false</w:t>
      </w:r>
      <w:r w:rsidRPr="00397E50">
        <w:rPr>
          <w:rFonts w:eastAsia="Calibri"/>
        </w:rPr>
        <w:t xml:space="preserve">) will be employed whenever possible. </w:t>
      </w:r>
    </w:p>
    <w:p w:rsidR="00DF4C7E" w:rsidRPr="00FE7409" w:rsidP="00D41D5A" w14:paraId="2AA799BE" w14:textId="79040A38">
      <w:pPr>
        <w:spacing w:after="200"/>
        <w:ind w:left="360"/>
        <w:rPr>
          <w:rFonts w:eastAsia="Calibri"/>
          <w:u w:val="single"/>
        </w:rPr>
      </w:pPr>
      <w:r w:rsidRPr="00FE7409">
        <w:rPr>
          <w:rFonts w:eastAsia="Calibri"/>
          <w:u w:val="single"/>
        </w:rPr>
        <w:t>Videoconferencing</w:t>
      </w:r>
      <w:r w:rsidR="00FE7409">
        <w:rPr>
          <w:rFonts w:eastAsia="Calibri"/>
        </w:rPr>
        <w:t xml:space="preserve"> - </w:t>
      </w:r>
      <w:r w:rsidRPr="00FE7409">
        <w:rPr>
          <w:rFonts w:eastAsia="Calibri"/>
        </w:rPr>
        <w:t>Videoconferencing</w:t>
      </w:r>
      <w:r w:rsidRPr="00397E50">
        <w:rPr>
          <w:rFonts w:eastAsia="Calibri"/>
        </w:rPr>
        <w:t xml:space="preserve"> uses </w:t>
      </w:r>
      <w:r w:rsidRPr="00397E50" w:rsidR="00B354ED">
        <w:rPr>
          <w:rFonts w:eastAsia="Calibri"/>
        </w:rPr>
        <w:t xml:space="preserve">audio and </w:t>
      </w:r>
      <w:r w:rsidRPr="00397E50">
        <w:rPr>
          <w:rFonts w:eastAsia="Calibri"/>
        </w:rPr>
        <w:t xml:space="preserve">video and satellite technology to allow a group of focus group participants </w:t>
      </w:r>
      <w:r w:rsidRPr="00397E50" w:rsidR="00991A97">
        <w:rPr>
          <w:rFonts w:eastAsia="Calibri"/>
        </w:rPr>
        <w:t xml:space="preserve">and/or a moderator and </w:t>
      </w:r>
      <w:r w:rsidRPr="00397E50" w:rsidR="005F7580">
        <w:rPr>
          <w:rFonts w:eastAsia="Calibri"/>
        </w:rPr>
        <w:t xml:space="preserve">an </w:t>
      </w:r>
      <w:r w:rsidRPr="00397E50" w:rsidR="00991A97">
        <w:rPr>
          <w:rFonts w:eastAsia="Calibri"/>
        </w:rPr>
        <w:t xml:space="preserve">individual interviewee </w:t>
      </w:r>
      <w:r w:rsidRPr="00397E50">
        <w:rPr>
          <w:rFonts w:eastAsia="Calibri"/>
        </w:rPr>
        <w:t>located in multiple geographic locations to interact with one another both visually and aurally.</w:t>
      </w:r>
      <w:r w:rsidR="006513EE">
        <w:rPr>
          <w:rFonts w:eastAsia="Calibri"/>
        </w:rPr>
        <w:t xml:space="preserve">  </w:t>
      </w:r>
      <w:r w:rsidRPr="00397E50">
        <w:rPr>
          <w:rFonts w:eastAsia="Calibri"/>
        </w:rPr>
        <w:t>A facilitator and a technical team located in a hub site maintain the video and audio connections among participating sites.</w:t>
      </w:r>
      <w:r w:rsidRPr="00397E50" w:rsidR="00DA515A">
        <w:rPr>
          <w:rFonts w:eastAsia="Calibri"/>
        </w:rPr>
        <w:t xml:space="preserve"> </w:t>
      </w:r>
      <w:r w:rsidR="006513EE">
        <w:rPr>
          <w:rFonts w:eastAsia="Calibri"/>
        </w:rPr>
        <w:t xml:space="preserve"> </w:t>
      </w:r>
      <w:r w:rsidRPr="00397E50" w:rsidR="00576A6C">
        <w:rPr>
          <w:rFonts w:eastAsia="Calibri"/>
        </w:rPr>
        <w:t>Vi</w:t>
      </w:r>
      <w:r w:rsidRPr="00397E50" w:rsidR="002C39B4">
        <w:rPr>
          <w:rFonts w:eastAsia="Calibri"/>
        </w:rPr>
        <w:t xml:space="preserve">deoconferencing </w:t>
      </w:r>
      <w:r w:rsidRPr="00397E50" w:rsidR="00576A6C">
        <w:rPr>
          <w:rFonts w:eastAsia="Calibri"/>
        </w:rPr>
        <w:t>platforms</w:t>
      </w:r>
      <w:r w:rsidRPr="00397E50" w:rsidR="00A40A21">
        <w:rPr>
          <w:rFonts w:eastAsia="Calibri"/>
        </w:rPr>
        <w:t xml:space="preserve"> </w:t>
      </w:r>
      <w:r w:rsidRPr="00397E50" w:rsidR="00576A6C">
        <w:rPr>
          <w:rFonts w:eastAsia="Calibri"/>
        </w:rPr>
        <w:t>are able to provide audio</w:t>
      </w:r>
      <w:r w:rsidRPr="00397E50" w:rsidR="008F59AA">
        <w:rPr>
          <w:rFonts w:eastAsia="Calibri"/>
        </w:rPr>
        <w:t xml:space="preserve"> and </w:t>
      </w:r>
      <w:r w:rsidRPr="00397E50" w:rsidR="00A40A21">
        <w:rPr>
          <w:rFonts w:eastAsia="Calibri"/>
        </w:rPr>
        <w:t>video</w:t>
      </w:r>
      <w:r w:rsidRPr="00397E50" w:rsidR="008F59AA">
        <w:rPr>
          <w:rFonts w:eastAsia="Calibri"/>
        </w:rPr>
        <w:t xml:space="preserve"> recordings</w:t>
      </w:r>
      <w:r w:rsidRPr="00397E50" w:rsidR="00A40A21">
        <w:rPr>
          <w:rFonts w:eastAsia="Calibri"/>
        </w:rPr>
        <w:t xml:space="preserve"> and transcript</w:t>
      </w:r>
      <w:r w:rsidRPr="00397E50" w:rsidR="008F59AA">
        <w:rPr>
          <w:rFonts w:eastAsia="Calibri"/>
        </w:rPr>
        <w:t xml:space="preserve">s </w:t>
      </w:r>
      <w:r w:rsidRPr="00397E50" w:rsidR="0068363F">
        <w:rPr>
          <w:rFonts w:eastAsia="Calibri"/>
        </w:rPr>
        <w:t xml:space="preserve">of </w:t>
      </w:r>
      <w:r w:rsidRPr="00397E50" w:rsidR="00F45DB7">
        <w:rPr>
          <w:rFonts w:eastAsia="Calibri"/>
        </w:rPr>
        <w:t>each</w:t>
      </w:r>
      <w:r w:rsidRPr="00397E50" w:rsidR="0068363F">
        <w:rPr>
          <w:rFonts w:eastAsia="Calibri"/>
        </w:rPr>
        <w:t xml:space="preserve"> discussion</w:t>
      </w:r>
      <w:r w:rsidRPr="00397E50" w:rsidR="00A40A21">
        <w:rPr>
          <w:rFonts w:eastAsia="Calibri"/>
        </w:rPr>
        <w:t xml:space="preserve"> to </w:t>
      </w:r>
      <w:r w:rsidRPr="00397E50" w:rsidR="00152867">
        <w:rPr>
          <w:rFonts w:eastAsia="Calibri"/>
        </w:rPr>
        <w:t>FDA research</w:t>
      </w:r>
      <w:r w:rsidRPr="00397E50" w:rsidR="0068363F">
        <w:rPr>
          <w:rFonts w:eastAsia="Calibri"/>
        </w:rPr>
        <w:t xml:space="preserve">ers </w:t>
      </w:r>
      <w:r w:rsidRPr="00397E50" w:rsidR="00152867">
        <w:rPr>
          <w:rFonts w:eastAsia="Calibri"/>
        </w:rPr>
        <w:t xml:space="preserve">to ensure </w:t>
      </w:r>
      <w:r w:rsidRPr="00397E50" w:rsidR="00EC4736">
        <w:rPr>
          <w:rFonts w:eastAsia="Calibri"/>
        </w:rPr>
        <w:t>accuracy of data analysis and reporting.</w:t>
      </w:r>
      <w:r w:rsidRPr="00397E50" w:rsidR="00A40A21">
        <w:rPr>
          <w:rFonts w:eastAsia="Calibri"/>
        </w:rPr>
        <w:t xml:space="preserve"> </w:t>
      </w:r>
      <w:r w:rsidRPr="00397E50" w:rsidR="002C39B4">
        <w:rPr>
          <w:rFonts w:eastAsia="Calibri"/>
        </w:rPr>
        <w:t xml:space="preserve">  </w:t>
      </w:r>
    </w:p>
    <w:p w:rsidR="00DF4C7E" w:rsidRPr="00FE7409" w:rsidP="00D41D5A" w14:paraId="789BC0FA" w14:textId="27453C23">
      <w:pPr>
        <w:spacing w:after="200"/>
        <w:ind w:left="360"/>
        <w:rPr>
          <w:rFonts w:eastAsia="Calibri"/>
          <w:u w:val="single"/>
        </w:rPr>
      </w:pPr>
      <w:r w:rsidRPr="00FE7409">
        <w:rPr>
          <w:rFonts w:eastAsia="Calibri"/>
          <w:u w:val="single"/>
        </w:rPr>
        <w:t xml:space="preserve">Web </w:t>
      </w:r>
      <w:r w:rsidRPr="00FE7409">
        <w:rPr>
          <w:rFonts w:eastAsia="Calibri"/>
          <w:u w:val="single"/>
        </w:rPr>
        <w:t>conferencing</w:t>
      </w:r>
      <w:r w:rsidR="00FE7409">
        <w:rPr>
          <w:rFonts w:eastAsia="Calibri"/>
        </w:rPr>
        <w:t xml:space="preserve"> - </w:t>
      </w:r>
      <w:r w:rsidRPr="00FE7409">
        <w:rPr>
          <w:rFonts w:eastAsia="Calibri"/>
        </w:rPr>
        <w:t>Web</w:t>
      </w:r>
      <w:r w:rsidRPr="00397E50">
        <w:rPr>
          <w:rFonts w:eastAsia="Calibri"/>
        </w:rPr>
        <w:t xml:space="preserve"> </w:t>
      </w:r>
      <w:r w:rsidRPr="00397E50">
        <w:rPr>
          <w:rFonts w:eastAsia="Calibri"/>
        </w:rPr>
        <w:t xml:space="preserve">conferencing is especially useful for discussions with specific individuals or international participants.  This format functions as a sort of “chat room” in which a moderator intercepts and distributes e-mail transmissions from participants who have logged onto a specially designated </w:t>
      </w:r>
      <w:r w:rsidR="006513EE">
        <w:rPr>
          <w:rFonts w:eastAsia="Calibri"/>
        </w:rPr>
        <w:t>web</w:t>
      </w:r>
      <w:r w:rsidRPr="00397E50">
        <w:rPr>
          <w:rFonts w:eastAsia="Calibri"/>
        </w:rPr>
        <w:t>site.</w:t>
      </w:r>
    </w:p>
    <w:p w:rsidR="00DF4C7E" w:rsidRPr="00FE7409" w:rsidP="00D41D5A" w14:paraId="669E4F60" w14:textId="4FA95D7C">
      <w:pPr>
        <w:spacing w:after="200"/>
        <w:ind w:left="360"/>
        <w:rPr>
          <w:rFonts w:eastAsia="Calibri"/>
          <w:u w:val="single"/>
        </w:rPr>
      </w:pPr>
      <w:r w:rsidRPr="00053F83">
        <w:rPr>
          <w:rFonts w:eastAsia="Calibri"/>
          <w:u w:val="single"/>
        </w:rPr>
        <w:t>Teleconferencing</w:t>
      </w:r>
      <w:r w:rsidR="00FE7409">
        <w:rPr>
          <w:rFonts w:eastAsia="Calibri"/>
        </w:rPr>
        <w:t xml:space="preserve"> - </w:t>
      </w:r>
      <w:r w:rsidR="00053F83">
        <w:rPr>
          <w:rFonts w:eastAsia="Calibri"/>
        </w:rPr>
        <w:t xml:space="preserve"> </w:t>
      </w:r>
      <w:r w:rsidRPr="00FE7409">
        <w:rPr>
          <w:rFonts w:eastAsia="Calibri"/>
        </w:rPr>
        <w:t>Teleconferencing</w:t>
      </w:r>
      <w:r w:rsidRPr="00397E50">
        <w:rPr>
          <w:rFonts w:eastAsia="Calibri"/>
        </w:rPr>
        <w:t xml:space="preserve"> uses telephone technology to facilitate an exchange among participants located in multiple geographic locations</w:t>
      </w:r>
      <w:r w:rsidRPr="00397E50" w:rsidR="00DA515A">
        <w:rPr>
          <w:rFonts w:eastAsia="Calibri"/>
        </w:rPr>
        <w:t xml:space="preserve"> and </w:t>
      </w:r>
      <w:r w:rsidRPr="00397E50" w:rsidR="00F45DB7">
        <w:rPr>
          <w:rFonts w:eastAsia="Calibri"/>
        </w:rPr>
        <w:t xml:space="preserve">are able to </w:t>
      </w:r>
      <w:r w:rsidRPr="00397E50" w:rsidR="00DA515A">
        <w:rPr>
          <w:rFonts w:eastAsia="Calibri"/>
        </w:rPr>
        <w:t xml:space="preserve">provide audio-only </w:t>
      </w:r>
      <w:r w:rsidRPr="00397E50" w:rsidR="00F45DB7">
        <w:rPr>
          <w:rFonts w:eastAsia="Calibri"/>
        </w:rPr>
        <w:t>recordings of discussions</w:t>
      </w:r>
      <w:r w:rsidRPr="00397E50">
        <w:rPr>
          <w:rFonts w:eastAsia="Calibri"/>
        </w:rPr>
        <w:t>.  Participants dial into a specially designated phone number or “bridge line” that is moderated by a focus group facilitator.</w:t>
      </w:r>
    </w:p>
    <w:p w:rsidR="00357C8A" w:rsidRPr="00397E50" w:rsidP="00D41D5A" w14:paraId="62580E82" w14:textId="77777777">
      <w:pPr>
        <w:numPr>
          <w:ilvl w:val="0"/>
          <w:numId w:val="6"/>
        </w:numPr>
        <w:spacing w:after="200"/>
        <w:rPr>
          <w:rFonts w:eastAsia="Calibri"/>
        </w:rPr>
      </w:pPr>
      <w:r w:rsidRPr="00397E50">
        <w:rPr>
          <w:rFonts w:eastAsia="Calibri"/>
          <w:u w:val="single"/>
        </w:rPr>
        <w:t xml:space="preserve">Efforts to Identify Duplication and Use of Similar Information </w:t>
      </w:r>
    </w:p>
    <w:p w:rsidR="000C1260" w:rsidRPr="00397E50" w:rsidP="00D41D5A" w14:paraId="67317BFF" w14:textId="3894BB2D">
      <w:pPr>
        <w:spacing w:after="200"/>
        <w:rPr>
          <w:rFonts w:eastAsia="Calibri"/>
        </w:rPr>
      </w:pPr>
      <w:r w:rsidRPr="00397E50">
        <w:t xml:space="preserve">We are unaware of </w:t>
      </w:r>
      <w:r w:rsidRPr="00397E50" w:rsidR="00C60E4D">
        <w:t xml:space="preserve">any </w:t>
      </w:r>
      <w:r w:rsidR="006A063B">
        <w:t xml:space="preserve">duplicative information </w:t>
      </w:r>
      <w:r w:rsidRPr="00397E50">
        <w:t>collection.</w:t>
      </w:r>
    </w:p>
    <w:p w:rsidR="00357C8A" w:rsidRPr="00397E50" w:rsidP="00D41D5A" w14:paraId="706EDF9E" w14:textId="77777777">
      <w:pPr>
        <w:numPr>
          <w:ilvl w:val="0"/>
          <w:numId w:val="6"/>
        </w:numPr>
        <w:spacing w:after="200"/>
        <w:rPr>
          <w:rFonts w:eastAsia="Calibri"/>
        </w:rPr>
      </w:pPr>
      <w:r w:rsidRPr="00397E50">
        <w:rPr>
          <w:rFonts w:eastAsia="Calibri"/>
          <w:u w:val="single"/>
        </w:rPr>
        <w:t>Impact on Small Businesses or Other Small Entities</w:t>
      </w:r>
    </w:p>
    <w:p w:rsidR="00357C8A" w:rsidRPr="00397E50" w:rsidP="00D41D5A" w14:paraId="6885A582" w14:textId="6249424F">
      <w:pPr>
        <w:spacing w:after="200"/>
        <w:rPr>
          <w:rFonts w:eastAsia="Calibri"/>
        </w:rPr>
      </w:pPr>
      <w:r w:rsidRPr="00397E50">
        <w:rPr>
          <w:rFonts w:eastAsia="Calibri"/>
        </w:rPr>
        <w:t xml:space="preserve">These proposed data collection activities will focus primarily on </w:t>
      </w:r>
      <w:r w:rsidRPr="00397E50" w:rsidR="008B5129">
        <w:rPr>
          <w:rFonts w:eastAsia="Calibri"/>
        </w:rPr>
        <w:t xml:space="preserve">individuals </w:t>
      </w:r>
      <w:r w:rsidRPr="00397E50">
        <w:rPr>
          <w:rFonts w:eastAsia="Calibri"/>
        </w:rPr>
        <w:t xml:space="preserve">in their roles as </w:t>
      </w:r>
      <w:r w:rsidRPr="00397E50" w:rsidR="008B5129">
        <w:rPr>
          <w:rFonts w:eastAsia="Calibri"/>
        </w:rPr>
        <w:t>health consumers, patients, and health professionals</w:t>
      </w:r>
      <w:r w:rsidRPr="00397E50" w:rsidR="00851A20">
        <w:rPr>
          <w:rFonts w:eastAsia="Calibri"/>
        </w:rPr>
        <w:t xml:space="preserve">, including </w:t>
      </w:r>
      <w:r w:rsidRPr="00397E50" w:rsidR="008F658A">
        <w:rPr>
          <w:rFonts w:eastAsia="Calibri"/>
        </w:rPr>
        <w:t>staff in</w:t>
      </w:r>
      <w:r w:rsidRPr="00397E50">
        <w:rPr>
          <w:rFonts w:eastAsia="Calibri"/>
        </w:rPr>
        <w:t xml:space="preserve"> hospital</w:t>
      </w:r>
      <w:r w:rsidRPr="00397E50" w:rsidR="008F658A">
        <w:rPr>
          <w:rFonts w:eastAsia="Calibri"/>
        </w:rPr>
        <w:t>s</w:t>
      </w:r>
      <w:r w:rsidRPr="00397E50">
        <w:rPr>
          <w:rFonts w:eastAsia="Calibri"/>
        </w:rPr>
        <w:t xml:space="preserve"> or other healthcare facilities.</w:t>
      </w:r>
      <w:r w:rsidR="00BA7AD9">
        <w:rPr>
          <w:rFonts w:eastAsia="Calibri"/>
        </w:rPr>
        <w:t xml:space="preserve">  </w:t>
      </w:r>
      <w:r w:rsidRPr="00397E50">
        <w:rPr>
          <w:rFonts w:eastAsia="Calibri"/>
        </w:rPr>
        <w:t>In most cases, such facilities are very unlikely to include small businesses, and we will strive to avoid including small businesses unless they are a targeted audience</w:t>
      </w:r>
      <w:r w:rsidRPr="00397E50" w:rsidR="00B77C7F">
        <w:rPr>
          <w:rFonts w:eastAsia="Calibri"/>
        </w:rPr>
        <w:t xml:space="preserve"> to decrease the burden such collections might place on them</w:t>
      </w:r>
      <w:r w:rsidRPr="00397E50">
        <w:rPr>
          <w:rFonts w:eastAsia="Calibri"/>
        </w:rPr>
        <w:t>.</w:t>
      </w:r>
      <w:r w:rsidR="00BA7AD9">
        <w:rPr>
          <w:rFonts w:eastAsia="Calibri"/>
        </w:rPr>
        <w:t xml:space="preserve">  </w:t>
      </w:r>
      <w:r w:rsidRPr="00397E50">
        <w:rPr>
          <w:rFonts w:eastAsia="Calibri"/>
        </w:rPr>
        <w:t xml:space="preserve">If we believe that employees of small businesses should be </w:t>
      </w:r>
      <w:r w:rsidRPr="00397E50" w:rsidR="00E319F3">
        <w:rPr>
          <w:rFonts w:eastAsia="Calibri"/>
        </w:rPr>
        <w:t>included</w:t>
      </w:r>
      <w:r w:rsidRPr="00397E50">
        <w:rPr>
          <w:rFonts w:eastAsia="Calibri"/>
        </w:rPr>
        <w:t>, we will ensure understanding that the information collection is completely voluntary.</w:t>
      </w:r>
      <w:r w:rsidR="00BA7AD9">
        <w:rPr>
          <w:rFonts w:eastAsia="Calibri"/>
        </w:rPr>
        <w:t xml:space="preserve">  </w:t>
      </w:r>
      <w:r w:rsidRPr="00397E50">
        <w:rPr>
          <w:rFonts w:eastAsia="Calibri"/>
        </w:rPr>
        <w:t xml:space="preserve">We anticipate the burden on small businesses or other small entities as no more than </w:t>
      </w:r>
      <w:r w:rsidRPr="00397E50" w:rsidR="00497EA5">
        <w:rPr>
          <w:rFonts w:eastAsia="Calibri"/>
        </w:rPr>
        <w:t>one</w:t>
      </w:r>
      <w:r w:rsidRPr="00397E50">
        <w:rPr>
          <w:rFonts w:eastAsia="Calibri"/>
        </w:rPr>
        <w:t xml:space="preserve"> hour per respondent.</w:t>
      </w:r>
    </w:p>
    <w:p w:rsidR="00357C8A" w:rsidRPr="00397E50" w:rsidP="00D41D5A" w14:paraId="6A2B68D4" w14:textId="77777777">
      <w:pPr>
        <w:numPr>
          <w:ilvl w:val="0"/>
          <w:numId w:val="6"/>
        </w:numPr>
        <w:spacing w:after="200"/>
        <w:rPr>
          <w:rFonts w:eastAsia="Calibri"/>
          <w:u w:val="single"/>
        </w:rPr>
      </w:pPr>
      <w:r w:rsidRPr="00397E50">
        <w:rPr>
          <w:rFonts w:eastAsia="Calibri"/>
          <w:u w:val="single"/>
        </w:rPr>
        <w:t>Consequences of Collecting the Information Less Frequently</w:t>
      </w:r>
    </w:p>
    <w:p w:rsidR="00FE69B5" w:rsidRPr="00397E50" w:rsidP="00D41D5A" w14:paraId="34E5600E" w14:textId="5DB5074B">
      <w:pPr>
        <w:spacing w:after="200"/>
        <w:rPr>
          <w:rFonts w:eastAsia="Calibri"/>
        </w:rPr>
      </w:pPr>
      <w:r w:rsidRPr="005B2384">
        <w:t xml:space="preserve">The timeliness of </w:t>
      </w:r>
      <w:r w:rsidRPr="005B2384" w:rsidR="00BC16EC">
        <w:t>the information</w:t>
      </w:r>
      <w:r w:rsidRPr="005B2384">
        <w:t xml:space="preserve"> requires a high frequency of collection.</w:t>
      </w:r>
      <w:r w:rsidRPr="005B2384" w:rsidR="0018583F">
        <w:t xml:space="preserve">  </w:t>
      </w:r>
      <w:r w:rsidRPr="005B2384" w:rsidR="001466DA">
        <w:t xml:space="preserve">There is a reasonable expectation of significant </w:t>
      </w:r>
      <w:r w:rsidRPr="005B2384" w:rsidR="0018583F">
        <w:t xml:space="preserve">developments </w:t>
      </w:r>
      <w:r w:rsidRPr="005B2384" w:rsidR="001466DA">
        <w:t>between collections</w:t>
      </w:r>
      <w:r w:rsidRPr="005B2384" w:rsidR="00603C28">
        <w:t xml:space="preserve"> as it</w:t>
      </w:r>
      <w:r w:rsidRPr="005B2384" w:rsidR="0018583F">
        <w:t xml:space="preserve"> pertain</w:t>
      </w:r>
      <w:r w:rsidRPr="005B2384" w:rsidR="00603C28">
        <w:t>s</w:t>
      </w:r>
      <w:r w:rsidRPr="005B2384" w:rsidR="0018583F">
        <w:t xml:space="preserve"> to the approval of new products, </w:t>
      </w:r>
      <w:r w:rsidRPr="005B2384" w:rsidR="008548D6">
        <w:t>as well as continued monitoring of products already on the market.</w:t>
      </w:r>
      <w:r w:rsidRPr="005B2384" w:rsidR="00603C28">
        <w:t xml:space="preserve">  In some </w:t>
      </w:r>
      <w:r w:rsidRPr="005B2384" w:rsidR="008E3399">
        <w:t>cases, reducing the frequency of collec</w:t>
      </w:r>
      <w:r w:rsidRPr="005B2384" w:rsidR="004A78A1">
        <w:t>tion could undermine efforts to</w:t>
      </w:r>
      <w:r w:rsidRPr="005B2384" w:rsidR="00273A8C">
        <w:t xml:space="preserve"> timely</w:t>
      </w:r>
      <w:r w:rsidRPr="005B2384" w:rsidR="00885A31">
        <w:t xml:space="preserve"> deliver</w:t>
      </w:r>
      <w:r w:rsidRPr="005B2384" w:rsidR="004A78A1">
        <w:t xml:space="preserve"> important drug product communications</w:t>
      </w:r>
      <w:r w:rsidRPr="005B2384" w:rsidR="00273A8C">
        <w:t xml:space="preserve"> </w:t>
      </w:r>
      <w:r w:rsidRPr="005B2384" w:rsidR="00885A31">
        <w:t>to vulnerable populations</w:t>
      </w:r>
      <w:r w:rsidRPr="005B2384" w:rsidR="002E5DC7">
        <w:rPr>
          <w:rFonts w:eastAsia="Calibri"/>
        </w:rPr>
        <w:t>.</w:t>
      </w:r>
    </w:p>
    <w:p w:rsidR="005B2384" w14:paraId="5D3A691A" w14:textId="77777777">
      <w:pPr>
        <w:rPr>
          <w:rFonts w:eastAsia="Calibri"/>
          <w:u w:val="single"/>
        </w:rPr>
      </w:pPr>
      <w:r>
        <w:rPr>
          <w:rFonts w:eastAsia="Calibri"/>
          <w:u w:val="single"/>
        </w:rPr>
        <w:br w:type="page"/>
      </w:r>
    </w:p>
    <w:p w:rsidR="00357C8A" w:rsidRPr="00397E50" w:rsidP="00D41D5A" w14:paraId="1FD80A7E" w14:textId="4CCC85EB">
      <w:pPr>
        <w:numPr>
          <w:ilvl w:val="0"/>
          <w:numId w:val="6"/>
        </w:numPr>
        <w:spacing w:after="200"/>
        <w:rPr>
          <w:rFonts w:eastAsia="Calibri"/>
        </w:rPr>
      </w:pPr>
      <w:r w:rsidRPr="00397E50">
        <w:rPr>
          <w:rFonts w:eastAsia="Calibri"/>
          <w:u w:val="single"/>
        </w:rPr>
        <w:t>Special Circumstances Relating to the Guidelines of 5 CFR 1320.5</w:t>
      </w:r>
    </w:p>
    <w:p w:rsidR="00357C8A" w:rsidRPr="00397E50" w:rsidP="00D41D5A" w14:paraId="3E174004" w14:textId="0DA50F41">
      <w:pPr>
        <w:spacing w:after="200"/>
        <w:rPr>
          <w:rFonts w:eastAsia="Calibri"/>
        </w:rPr>
      </w:pPr>
      <w:r w:rsidRPr="00397E50">
        <w:rPr>
          <w:rFonts w:eastAsia="Calibri"/>
        </w:rPr>
        <w:t>There are no special circumstances for this collection of information.</w:t>
      </w:r>
    </w:p>
    <w:p w:rsidR="00357C8A" w:rsidRPr="00397E50" w:rsidP="00D41D5A" w14:paraId="1CFFB4CB" w14:textId="5EC612C4">
      <w:pPr>
        <w:numPr>
          <w:ilvl w:val="0"/>
          <w:numId w:val="6"/>
        </w:numPr>
        <w:spacing w:after="200"/>
        <w:rPr>
          <w:rFonts w:eastAsia="Calibri"/>
        </w:rPr>
      </w:pPr>
      <w:r w:rsidRPr="00397E50">
        <w:rPr>
          <w:rFonts w:eastAsia="Calibri"/>
          <w:u w:val="single"/>
        </w:rPr>
        <w:t>Comments in Response to the Federal Register Notice and Efforts to Consult Outside the</w:t>
      </w:r>
      <w:r w:rsidR="00593DD0">
        <w:rPr>
          <w:rFonts w:eastAsia="Calibri"/>
          <w:u w:val="single"/>
        </w:rPr>
        <w:t xml:space="preserve"> </w:t>
      </w:r>
      <w:r w:rsidR="00B267F9">
        <w:rPr>
          <w:rFonts w:eastAsia="Calibri"/>
          <w:u w:val="single"/>
        </w:rPr>
        <w:t>agency.</w:t>
      </w:r>
    </w:p>
    <w:p w:rsidR="008327C3" w:rsidRPr="008327C3" w:rsidP="00D41D5A" w14:paraId="22FAD0A6" w14:textId="3607763A">
      <w:pPr>
        <w:spacing w:after="200"/>
        <w:rPr>
          <w:rFonts w:eastAsia="Calibri"/>
        </w:rPr>
      </w:pPr>
      <w:r>
        <w:rPr>
          <w:rFonts w:eastAsia="Calibri"/>
        </w:rPr>
        <w:t xml:space="preserve">We </w:t>
      </w:r>
      <w:r w:rsidRPr="00397E50" w:rsidR="00E67D4B">
        <w:rPr>
          <w:rFonts w:eastAsia="Calibri"/>
        </w:rPr>
        <w:t xml:space="preserve">published a 60-day notice for public comment in the </w:t>
      </w:r>
      <w:r w:rsidRPr="00546305" w:rsidR="00E67D4B">
        <w:rPr>
          <w:rFonts w:eastAsia="Calibri"/>
          <w:u w:val="single"/>
        </w:rPr>
        <w:t>Federal Register</w:t>
      </w:r>
      <w:r w:rsidRPr="00397E50" w:rsidR="00E67D4B">
        <w:rPr>
          <w:rFonts w:eastAsia="Calibri"/>
        </w:rPr>
        <w:t xml:space="preserve"> of </w:t>
      </w:r>
      <w:r w:rsidR="001C7A70">
        <w:t>September 29, 2023</w:t>
      </w:r>
      <w:r w:rsidRPr="005F30C2" w:rsidR="001C7A70">
        <w:t xml:space="preserve"> (</w:t>
      </w:r>
      <w:r w:rsidRPr="008834C6" w:rsidR="001C7A70">
        <w:t>88 FR 67311</w:t>
      </w:r>
      <w:r w:rsidRPr="005F30C2" w:rsidR="001C7A70">
        <w:t>)</w:t>
      </w:r>
      <w:r w:rsidRPr="00397E50" w:rsidR="00E67D4B">
        <w:rPr>
          <w:rFonts w:eastAsia="Calibri"/>
        </w:rPr>
        <w:t>.</w:t>
      </w:r>
      <w:r w:rsidR="002E5DC7">
        <w:rPr>
          <w:rFonts w:eastAsia="Calibri"/>
        </w:rPr>
        <w:t xml:space="preserve">  </w:t>
      </w:r>
      <w:r w:rsidRPr="005F30C2">
        <w:t>No comments were received</w:t>
      </w:r>
      <w:r>
        <w:t>.</w:t>
      </w:r>
    </w:p>
    <w:p w:rsidR="00357C8A" w:rsidRPr="00397E50" w:rsidP="00D41D5A" w14:paraId="3B6BF793" w14:textId="77777777">
      <w:pPr>
        <w:numPr>
          <w:ilvl w:val="0"/>
          <w:numId w:val="6"/>
        </w:numPr>
        <w:spacing w:after="200"/>
        <w:rPr>
          <w:rFonts w:eastAsia="Calibri"/>
        </w:rPr>
      </w:pPr>
      <w:r w:rsidRPr="00397E50">
        <w:rPr>
          <w:rFonts w:eastAsia="Calibri"/>
          <w:u w:val="single"/>
        </w:rPr>
        <w:t>Explanation of Any Payment or Gift to Respondents</w:t>
      </w:r>
    </w:p>
    <w:p w:rsidR="007B3563" w:rsidRPr="00D41D5A" w:rsidP="00D41D5A" w14:paraId="272F7414" w14:textId="5AF10E53">
      <w:pPr>
        <w:spacing w:after="200"/>
        <w:rPr>
          <w:rFonts w:eastAsia="Calibri"/>
        </w:rPr>
      </w:pPr>
      <w:r>
        <w:rPr>
          <w:rFonts w:eastAsia="Calibri"/>
        </w:rPr>
        <w:t xml:space="preserve">While it </w:t>
      </w:r>
      <w:r w:rsidRPr="00397E50" w:rsidR="00663374">
        <w:rPr>
          <w:rFonts w:eastAsia="Calibri"/>
        </w:rPr>
        <w:t xml:space="preserve">is </w:t>
      </w:r>
      <w:r w:rsidRPr="00647F7B">
        <w:rPr>
          <w:rFonts w:eastAsia="Calibri"/>
          <w:highlight w:val="lightGray"/>
        </w:rPr>
        <w:t>common</w:t>
      </w:r>
      <w:r>
        <w:rPr>
          <w:rFonts w:eastAsia="Calibri"/>
        </w:rPr>
        <w:t xml:space="preserve"> </w:t>
      </w:r>
      <w:r w:rsidRPr="00397E50" w:rsidR="00663374">
        <w:rPr>
          <w:rFonts w:eastAsia="Calibri"/>
        </w:rPr>
        <w:t xml:space="preserve">practice in </w:t>
      </w:r>
      <w:r w:rsidRPr="00397E50" w:rsidR="000F3C86">
        <w:rPr>
          <w:rFonts w:eastAsia="Calibri"/>
        </w:rPr>
        <w:t>social science</w:t>
      </w:r>
      <w:r w:rsidRPr="00397E50" w:rsidR="00663374">
        <w:rPr>
          <w:rFonts w:eastAsia="Calibri"/>
        </w:rPr>
        <w:t xml:space="preserve"> research to offer recruited </w:t>
      </w:r>
      <w:r w:rsidRPr="00397E50" w:rsidR="00EC1E25">
        <w:rPr>
          <w:rFonts w:eastAsia="Calibri"/>
        </w:rPr>
        <w:t>participants</w:t>
      </w:r>
      <w:r w:rsidRPr="00397E50" w:rsidR="00663374">
        <w:rPr>
          <w:rFonts w:eastAsia="Calibri"/>
        </w:rPr>
        <w:t xml:space="preserve"> </w:t>
      </w:r>
      <w:r w:rsidRPr="00397E50" w:rsidR="5FECEB5D">
        <w:rPr>
          <w:rFonts w:eastAsia="Calibri"/>
        </w:rPr>
        <w:t xml:space="preserve">a token of appreciation </w:t>
      </w:r>
      <w:r w:rsidR="00272946">
        <w:rPr>
          <w:rFonts w:eastAsia="Calibri"/>
        </w:rPr>
        <w:t xml:space="preserve">for </w:t>
      </w:r>
      <w:r w:rsidRPr="00397E50" w:rsidR="00663374">
        <w:rPr>
          <w:rFonts w:eastAsia="Calibri"/>
        </w:rPr>
        <w:t>time spen</w:t>
      </w:r>
      <w:r w:rsidR="00272946">
        <w:rPr>
          <w:rFonts w:eastAsia="Calibri"/>
        </w:rPr>
        <w:t>t</w:t>
      </w:r>
      <w:r w:rsidRPr="00397E50" w:rsidR="00663374">
        <w:rPr>
          <w:rFonts w:eastAsia="Calibri"/>
        </w:rPr>
        <w:t xml:space="preserve"> engaged in personal interview activit</w:t>
      </w:r>
      <w:r w:rsidR="00272946">
        <w:rPr>
          <w:rFonts w:eastAsia="Calibri"/>
        </w:rPr>
        <w:t>ies</w:t>
      </w:r>
      <w:r>
        <w:rPr>
          <w:rFonts w:eastAsia="Calibri"/>
        </w:rPr>
        <w:t xml:space="preserve">, </w:t>
      </w:r>
      <w:r w:rsidR="009C2D6A">
        <w:rPr>
          <w:rFonts w:eastAsia="Calibri"/>
        </w:rPr>
        <w:t xml:space="preserve">we will consider </w:t>
      </w:r>
      <w:r w:rsidRPr="00397E50" w:rsidR="00663374">
        <w:rPr>
          <w:rFonts w:eastAsia="Calibri"/>
        </w:rPr>
        <w:t>offering incentive</w:t>
      </w:r>
      <w:r w:rsidR="009C2D6A">
        <w:rPr>
          <w:rFonts w:eastAsia="Calibri"/>
        </w:rPr>
        <w:t>s</w:t>
      </w:r>
      <w:r w:rsidRPr="00397E50" w:rsidR="00663374">
        <w:rPr>
          <w:rFonts w:eastAsia="Calibri"/>
        </w:rPr>
        <w:t xml:space="preserve"> on a case-by-case basis</w:t>
      </w:r>
      <w:r w:rsidR="009C2D6A">
        <w:rPr>
          <w:rFonts w:eastAsia="Calibri"/>
        </w:rPr>
        <w:t xml:space="preserve">, </w:t>
      </w:r>
      <w:r w:rsidRPr="00397E50" w:rsidR="00663374">
        <w:rPr>
          <w:rFonts w:eastAsia="Calibri"/>
        </w:rPr>
        <w:t xml:space="preserve">depending </w:t>
      </w:r>
      <w:r w:rsidR="00C905E4">
        <w:rPr>
          <w:rFonts w:eastAsia="Calibri"/>
        </w:rPr>
        <w:t>up</w:t>
      </w:r>
      <w:r w:rsidRPr="00397E50" w:rsidR="00663374">
        <w:rPr>
          <w:rFonts w:eastAsia="Calibri"/>
        </w:rPr>
        <w:t xml:space="preserve">on the </w:t>
      </w:r>
      <w:r w:rsidRPr="00397E50" w:rsidR="00642718">
        <w:rPr>
          <w:rFonts w:eastAsia="Calibri"/>
        </w:rPr>
        <w:t>topic</w:t>
      </w:r>
      <w:r w:rsidRPr="00397E50" w:rsidR="00DF6E3E">
        <w:rPr>
          <w:rFonts w:eastAsia="Calibri"/>
        </w:rPr>
        <w:t>,</w:t>
      </w:r>
      <w:r w:rsidRPr="00397E50" w:rsidR="00642718">
        <w:rPr>
          <w:rFonts w:eastAsia="Calibri"/>
        </w:rPr>
        <w:t xml:space="preserve"> </w:t>
      </w:r>
      <w:r w:rsidRPr="00397E50" w:rsidR="00DF6E3E">
        <w:rPr>
          <w:rFonts w:eastAsia="Calibri"/>
        </w:rPr>
        <w:t xml:space="preserve">target audience, </w:t>
      </w:r>
      <w:r w:rsidRPr="00397E50" w:rsidR="00C345B7">
        <w:rPr>
          <w:rFonts w:eastAsia="Calibri"/>
        </w:rPr>
        <w:t xml:space="preserve">length of participation, and the </w:t>
      </w:r>
      <w:r w:rsidRPr="00397E50" w:rsidR="00663374">
        <w:rPr>
          <w:rFonts w:eastAsia="Calibri"/>
        </w:rPr>
        <w:t xml:space="preserve">particular information collection design.  </w:t>
      </w:r>
      <w:r w:rsidR="00B24834">
        <w:rPr>
          <w:rFonts w:eastAsia="Calibri"/>
        </w:rPr>
        <w:t xml:space="preserve">In cases where </w:t>
      </w:r>
      <w:r w:rsidRPr="00397E50" w:rsidR="00663374">
        <w:rPr>
          <w:rFonts w:eastAsia="Calibri"/>
        </w:rPr>
        <w:t xml:space="preserve">money </w:t>
      </w:r>
      <w:r w:rsidR="00B24834">
        <w:rPr>
          <w:rFonts w:eastAsia="Calibri"/>
        </w:rPr>
        <w:t xml:space="preserve">is </w:t>
      </w:r>
      <w:r w:rsidRPr="00397E50" w:rsidR="00663374">
        <w:rPr>
          <w:rFonts w:eastAsia="Calibri"/>
        </w:rPr>
        <w:t>offered as an incentive for participation in in-person interviews</w:t>
      </w:r>
      <w:r w:rsidR="00B72AFD">
        <w:rPr>
          <w:rFonts w:eastAsia="Calibri"/>
        </w:rPr>
        <w:t xml:space="preserve">, we will </w:t>
      </w:r>
      <w:r w:rsidRPr="00397E50" w:rsidR="00663374">
        <w:rPr>
          <w:rFonts w:eastAsia="Calibri"/>
        </w:rPr>
        <w:t xml:space="preserve">provide a rationale in </w:t>
      </w:r>
      <w:r w:rsidR="00B72AFD">
        <w:rPr>
          <w:rFonts w:eastAsia="Calibri"/>
        </w:rPr>
        <w:t xml:space="preserve">our </w:t>
      </w:r>
      <w:r w:rsidRPr="00397E50" w:rsidR="00663374">
        <w:rPr>
          <w:rFonts w:eastAsia="Calibri"/>
        </w:rPr>
        <w:t xml:space="preserve">justification memo for any studies that propose to offer </w:t>
      </w:r>
      <w:r w:rsidRPr="00B2275C" w:rsidR="00663374">
        <w:rPr>
          <w:rFonts w:eastAsia="Calibri"/>
        </w:rPr>
        <w:t>rates beyond this range.</w:t>
      </w:r>
      <w:r w:rsidRPr="00D41D5A" w:rsidR="00FD2B57">
        <w:rPr>
          <w:rFonts w:eastAsia="Calibri"/>
        </w:rPr>
        <w:t xml:space="preserve"> </w:t>
      </w:r>
      <w:r w:rsidRPr="00D41D5A" w:rsidR="00A57879">
        <w:rPr>
          <w:rFonts w:eastAsia="Calibri"/>
        </w:rPr>
        <w:t xml:space="preserve"> </w:t>
      </w:r>
      <w:r w:rsidRPr="00D41D5A" w:rsidR="00663374">
        <w:rPr>
          <w:rFonts w:eastAsia="Calibri"/>
        </w:rPr>
        <w:t>Incentives for difficult-to-recruit populations may be offered at a higher rate</w:t>
      </w:r>
      <w:r w:rsidRPr="00D41D5A" w:rsidR="4A8724B6">
        <w:rPr>
          <w:rFonts w:eastAsia="Calibri"/>
        </w:rPr>
        <w:t>.</w:t>
      </w:r>
      <w:r w:rsidR="005B0FF6">
        <w:rPr>
          <w:rFonts w:eastAsia="Calibri"/>
        </w:rPr>
        <w:t xml:space="preserve">  </w:t>
      </w:r>
      <w:r w:rsidRPr="005B2384" w:rsidR="003209DC">
        <w:rPr>
          <w:rFonts w:eastAsia="Calibri"/>
        </w:rPr>
        <w:t xml:space="preserve">As discussed previously, </w:t>
      </w:r>
      <w:r w:rsidRPr="005B2384" w:rsidR="007D791B">
        <w:rPr>
          <w:rFonts w:eastAsia="Calibri"/>
        </w:rPr>
        <w:t>FDA p</w:t>
      </w:r>
      <w:r w:rsidRPr="005B2384" w:rsidR="00D428E8">
        <w:rPr>
          <w:rFonts w:eastAsia="Calibri"/>
        </w:rPr>
        <w:t xml:space="preserve">roduct communications are </w:t>
      </w:r>
      <w:r w:rsidRPr="005B2384" w:rsidR="008D69D0">
        <w:rPr>
          <w:rFonts w:eastAsia="Calibri"/>
        </w:rPr>
        <w:t xml:space="preserve">often </w:t>
      </w:r>
      <w:r w:rsidRPr="005B2384" w:rsidR="00D428E8">
        <w:rPr>
          <w:rFonts w:eastAsia="Calibri"/>
        </w:rPr>
        <w:t xml:space="preserve">intended to reach </w:t>
      </w:r>
      <w:r w:rsidRPr="005B2384" w:rsidR="008D69D0">
        <w:rPr>
          <w:rFonts w:eastAsia="Calibri"/>
        </w:rPr>
        <w:t xml:space="preserve">a </w:t>
      </w:r>
      <w:r w:rsidRPr="005B2384" w:rsidR="00D428E8">
        <w:rPr>
          <w:rFonts w:eastAsia="Calibri"/>
        </w:rPr>
        <w:t>target audience</w:t>
      </w:r>
      <w:r w:rsidRPr="005B2384" w:rsidR="00EA5B27">
        <w:rPr>
          <w:rFonts w:eastAsia="Calibri"/>
        </w:rPr>
        <w:t>.  Although we</w:t>
      </w:r>
      <w:r w:rsidRPr="005B2384" w:rsidR="00E225B1">
        <w:rPr>
          <w:rFonts w:eastAsia="Calibri"/>
        </w:rPr>
        <w:t xml:space="preserve"> may</w:t>
      </w:r>
      <w:r w:rsidRPr="005B2384" w:rsidR="00EA5B27">
        <w:rPr>
          <w:rFonts w:eastAsia="Calibri"/>
        </w:rPr>
        <w:t xml:space="preserve"> offer what </w:t>
      </w:r>
      <w:r w:rsidRPr="005B2384" w:rsidR="003A0E18">
        <w:rPr>
          <w:rFonts w:eastAsia="Calibri"/>
        </w:rPr>
        <w:t>we</w:t>
      </w:r>
      <w:r w:rsidRPr="005B2384" w:rsidR="006B4DF3">
        <w:rPr>
          <w:rFonts w:eastAsia="Calibri"/>
        </w:rPr>
        <w:t xml:space="preserve"> believe is </w:t>
      </w:r>
      <w:r w:rsidRPr="005B2384" w:rsidR="00EA5B27">
        <w:rPr>
          <w:rFonts w:eastAsia="Calibri"/>
        </w:rPr>
        <w:t>a nominal incentive</w:t>
      </w:r>
      <w:r w:rsidRPr="005B2384" w:rsidR="006B6443">
        <w:rPr>
          <w:rFonts w:eastAsia="Calibri"/>
        </w:rPr>
        <w:t xml:space="preserve"> to gather feedback</w:t>
      </w:r>
      <w:r w:rsidRPr="005B2384" w:rsidR="008F58F9">
        <w:rPr>
          <w:rFonts w:eastAsia="Calibri"/>
        </w:rPr>
        <w:t xml:space="preserve">, </w:t>
      </w:r>
      <w:r w:rsidRPr="005B2384" w:rsidR="00ED0A49">
        <w:rPr>
          <w:rFonts w:eastAsia="Calibri"/>
        </w:rPr>
        <w:t>w</w:t>
      </w:r>
      <w:r w:rsidRPr="005B2384" w:rsidR="0003218D">
        <w:rPr>
          <w:rFonts w:eastAsia="Calibri"/>
        </w:rPr>
        <w:t xml:space="preserve">e </w:t>
      </w:r>
      <w:r w:rsidRPr="005B2384" w:rsidR="004106A1">
        <w:rPr>
          <w:rFonts w:eastAsia="Calibri"/>
        </w:rPr>
        <w:t>also believe</w:t>
      </w:r>
      <w:r w:rsidRPr="005B2384" w:rsidR="006B4DF3">
        <w:rPr>
          <w:rFonts w:eastAsia="Calibri"/>
        </w:rPr>
        <w:t xml:space="preserve"> </w:t>
      </w:r>
      <w:r w:rsidRPr="005B2384" w:rsidR="0003218D">
        <w:rPr>
          <w:rFonts w:eastAsia="Calibri"/>
        </w:rPr>
        <w:t>th</w:t>
      </w:r>
      <w:r w:rsidRPr="005B2384" w:rsidR="00D40977">
        <w:rPr>
          <w:rFonts w:eastAsia="Calibri"/>
        </w:rPr>
        <w:t>at</w:t>
      </w:r>
      <w:r w:rsidRPr="005B2384" w:rsidR="009F539C">
        <w:rPr>
          <w:rFonts w:eastAsia="Calibri"/>
        </w:rPr>
        <w:t>, in some cases, those respondents</w:t>
      </w:r>
      <w:r w:rsidRPr="005B2384" w:rsidR="00683060">
        <w:rPr>
          <w:rFonts w:eastAsia="Calibri"/>
        </w:rPr>
        <w:t xml:space="preserve"> targeted</w:t>
      </w:r>
      <w:r w:rsidRPr="005B2384" w:rsidR="00B77197">
        <w:rPr>
          <w:rFonts w:eastAsia="Calibri"/>
        </w:rPr>
        <w:t xml:space="preserve"> are </w:t>
      </w:r>
      <w:r w:rsidRPr="005B2384" w:rsidR="00312B9F">
        <w:rPr>
          <w:rFonts w:eastAsia="Calibri"/>
        </w:rPr>
        <w:t xml:space="preserve">uniquely </w:t>
      </w:r>
      <w:r w:rsidRPr="005B2384" w:rsidR="00B77197">
        <w:rPr>
          <w:rFonts w:eastAsia="Calibri"/>
        </w:rPr>
        <w:t xml:space="preserve">able to provide the </w:t>
      </w:r>
      <w:r w:rsidRPr="005B2384" w:rsidR="00312B9F">
        <w:rPr>
          <w:rFonts w:eastAsia="Calibri"/>
        </w:rPr>
        <w:t>information we seek</w:t>
      </w:r>
      <w:r w:rsidRPr="005B2384" w:rsidR="001E3BF9">
        <w:rPr>
          <w:rFonts w:eastAsia="Calibri"/>
        </w:rPr>
        <w:t xml:space="preserve"> and best represent those to whom product communications are intended to reach</w:t>
      </w:r>
      <w:r w:rsidRPr="005B2384" w:rsidR="005B0FF6">
        <w:rPr>
          <w:rFonts w:eastAsia="Calibri"/>
        </w:rPr>
        <w:t>.</w:t>
      </w:r>
      <w:r w:rsidRPr="00D41D5A" w:rsidR="00D20132">
        <w:rPr>
          <w:rFonts w:eastAsia="Calibri"/>
        </w:rPr>
        <w:t xml:space="preserve"> </w:t>
      </w:r>
    </w:p>
    <w:p w:rsidR="00A04811" w:rsidRPr="00397E50" w:rsidP="00D41D5A" w14:paraId="49A9AF4F" w14:textId="77777777">
      <w:pPr>
        <w:numPr>
          <w:ilvl w:val="0"/>
          <w:numId w:val="6"/>
        </w:numPr>
        <w:spacing w:after="200"/>
        <w:rPr>
          <w:rFonts w:eastAsia="Calibri"/>
        </w:rPr>
      </w:pPr>
      <w:r w:rsidRPr="00397E50">
        <w:rPr>
          <w:rFonts w:eastAsia="Calibri"/>
          <w:u w:val="single"/>
        </w:rPr>
        <w:t>Assurance of Confidentiality Provided to Respondents</w:t>
      </w:r>
    </w:p>
    <w:p w:rsidR="002974AA" w:rsidRPr="00D77CDA" w:rsidP="00D41D5A" w14:paraId="2F5BEEAB" w14:textId="6899BD25">
      <w:pPr>
        <w:rPr>
          <w:color w:val="000000" w:themeColor="text1"/>
        </w:rPr>
      </w:pPr>
      <w:r w:rsidRPr="008608EE">
        <w:rPr>
          <w:b/>
          <w:bCs/>
          <w:color w:val="000000" w:themeColor="text1"/>
        </w:rPr>
        <w:t>Consistent with 5 CFR 1320.5(d)(2)(vii) and agency regulations in 21 CFR § 20.20, data will be kept private to the extent allowed by law</w:t>
      </w:r>
      <w:r w:rsidRPr="00A64C11">
        <w:rPr>
          <w:color w:val="000000" w:themeColor="text1"/>
        </w:rPr>
        <w:t>:</w:t>
      </w:r>
    </w:p>
    <w:p w:rsidR="002974AA" w:rsidP="00D41D5A" w14:paraId="4C9E3234" w14:textId="77777777">
      <w:pPr>
        <w:pStyle w:val="NoSpacing"/>
        <w:rPr>
          <w:rFonts w:ascii="Times New Roman" w:hAnsi="Times New Roman" w:cs="Times New Roman"/>
          <w:sz w:val="24"/>
          <w:szCs w:val="24"/>
        </w:rPr>
      </w:pPr>
    </w:p>
    <w:p w:rsidR="00546305" w:rsidRPr="00546305" w:rsidP="00D41D5A" w14:paraId="5E361CC9" w14:textId="74DFE697">
      <w:pPr>
        <w:pStyle w:val="NoSpacing"/>
        <w:rPr>
          <w:rFonts w:ascii="Times New Roman" w:hAnsi="Times New Roman" w:cs="Times New Roman"/>
          <w:i/>
          <w:iCs/>
          <w:sz w:val="24"/>
          <w:szCs w:val="24"/>
        </w:rPr>
      </w:pPr>
      <w:r w:rsidRPr="00546305">
        <w:rPr>
          <w:rFonts w:ascii="Times New Roman" w:hAnsi="Times New Roman" w:cs="Times New Roman"/>
          <w:i/>
          <w:iCs/>
          <w:sz w:val="24"/>
          <w:szCs w:val="24"/>
        </w:rPr>
        <w:t>The Privacy Act of 1974</w:t>
      </w:r>
    </w:p>
    <w:p w:rsidR="00546305" w:rsidP="00D41D5A" w14:paraId="2A5D169D" w14:textId="77777777">
      <w:pPr>
        <w:pStyle w:val="NoSpacing"/>
        <w:rPr>
          <w:rFonts w:ascii="Times New Roman" w:hAnsi="Times New Roman" w:cs="Times New Roman"/>
          <w:sz w:val="24"/>
          <w:szCs w:val="24"/>
        </w:rPr>
      </w:pPr>
    </w:p>
    <w:p w:rsidR="00F5486E" w:rsidRPr="00397E50" w:rsidP="00D41D5A" w14:paraId="475AC1DC" w14:textId="3C0C50CA">
      <w:pPr>
        <w:pStyle w:val="NoSpacing"/>
        <w:rPr>
          <w:rFonts w:ascii="Times New Roman" w:hAnsi="Times New Roman" w:cs="Times New Roman"/>
          <w:sz w:val="24"/>
          <w:szCs w:val="24"/>
        </w:rPr>
      </w:pPr>
      <w:r w:rsidRPr="00397E50">
        <w:rPr>
          <w:rFonts w:ascii="Times New Roman" w:hAnsi="Times New Roman" w:cs="Times New Roman"/>
          <w:sz w:val="24"/>
          <w:szCs w:val="24"/>
        </w:rPr>
        <w:t xml:space="preserve">In preparing this </w:t>
      </w:r>
      <w:r w:rsidR="004A604B">
        <w:rPr>
          <w:rFonts w:ascii="Times New Roman" w:hAnsi="Times New Roman" w:cs="Times New Roman"/>
          <w:sz w:val="24"/>
          <w:szCs w:val="24"/>
        </w:rPr>
        <w:t>s</w:t>
      </w:r>
      <w:r w:rsidRPr="00397E50">
        <w:rPr>
          <w:rFonts w:ascii="Times New Roman" w:hAnsi="Times New Roman" w:cs="Times New Roman"/>
          <w:sz w:val="24"/>
          <w:szCs w:val="24"/>
        </w:rPr>
        <w:t xml:space="preserve">upporting </w:t>
      </w:r>
      <w:r w:rsidR="004A604B">
        <w:rPr>
          <w:rFonts w:ascii="Times New Roman" w:hAnsi="Times New Roman" w:cs="Times New Roman"/>
          <w:sz w:val="24"/>
          <w:szCs w:val="24"/>
        </w:rPr>
        <w:t>s</w:t>
      </w:r>
      <w:r w:rsidRPr="00397E50">
        <w:rPr>
          <w:rFonts w:ascii="Times New Roman" w:hAnsi="Times New Roman" w:cs="Times New Roman"/>
          <w:sz w:val="24"/>
          <w:szCs w:val="24"/>
        </w:rPr>
        <w:t>tatement, we consulted our Privacy Office to ensure appropriate identification and handling of information collected.</w:t>
      </w:r>
      <w:r w:rsidR="00546305">
        <w:rPr>
          <w:rFonts w:ascii="Times New Roman" w:hAnsi="Times New Roman" w:cs="Times New Roman"/>
          <w:sz w:val="24"/>
          <w:szCs w:val="24"/>
        </w:rPr>
        <w:t xml:space="preserve">  </w:t>
      </w:r>
      <w:r w:rsidRPr="00397E50">
        <w:rPr>
          <w:rFonts w:ascii="Times New Roman" w:hAnsi="Times New Roman" w:cs="Times New Roman"/>
          <w:sz w:val="24"/>
          <w:szCs w:val="24"/>
        </w:rPr>
        <w:t xml:space="preserve">This ICR will collect personally identifiable information (PII). </w:t>
      </w:r>
      <w:r w:rsidR="004A604B">
        <w:rPr>
          <w:rFonts w:ascii="Times New Roman" w:hAnsi="Times New Roman" w:cs="Times New Roman"/>
          <w:sz w:val="24"/>
          <w:szCs w:val="24"/>
        </w:rPr>
        <w:t xml:space="preserve"> </w:t>
      </w:r>
      <w:r w:rsidRPr="00397E50">
        <w:rPr>
          <w:rFonts w:ascii="Times New Roman" w:hAnsi="Times New Roman" w:cs="Times New Roman"/>
          <w:sz w:val="24"/>
          <w:szCs w:val="24"/>
        </w:rPr>
        <w:t>The PII collected typically consists of name, date of birth, age, race, gender, and ethnicity.</w:t>
      </w:r>
      <w:r w:rsidR="002E1F5E">
        <w:rPr>
          <w:rFonts w:ascii="Times New Roman" w:hAnsi="Times New Roman" w:cs="Times New Roman"/>
          <w:sz w:val="24"/>
          <w:szCs w:val="24"/>
        </w:rPr>
        <w:t xml:space="preserve">  </w:t>
      </w:r>
      <w:r w:rsidRPr="00397E50">
        <w:rPr>
          <w:rFonts w:ascii="Times New Roman" w:hAnsi="Times New Roman" w:cs="Times New Roman"/>
          <w:sz w:val="24"/>
          <w:szCs w:val="24"/>
        </w:rPr>
        <w:t xml:space="preserve">A contractor, or sub-contractor will be collecting PII and does so as part of their normal course of business. </w:t>
      </w:r>
      <w:r w:rsidR="004A604B">
        <w:rPr>
          <w:rFonts w:ascii="Times New Roman" w:hAnsi="Times New Roman" w:cs="Times New Roman"/>
          <w:sz w:val="24"/>
          <w:szCs w:val="24"/>
        </w:rPr>
        <w:t xml:space="preserve"> </w:t>
      </w:r>
      <w:r w:rsidRPr="00397E50">
        <w:rPr>
          <w:rFonts w:ascii="Times New Roman" w:hAnsi="Times New Roman" w:cs="Times New Roman"/>
          <w:sz w:val="24"/>
          <w:szCs w:val="24"/>
        </w:rPr>
        <w:t>The PII is not collected on behalf of the FDA since information collection is from an existing participant pool and many agencies or companies benefit from the information collected. Information collected by the contractor, or sub-contractor will be summarized into aggregate form, sent in aggregate to FDA (no PII will be included), and destroyed after the study or interview has been completed.</w:t>
      </w:r>
      <w:r w:rsidR="002E1F5E">
        <w:rPr>
          <w:rFonts w:ascii="Times New Roman" w:hAnsi="Times New Roman" w:cs="Times New Roman"/>
          <w:sz w:val="24"/>
          <w:szCs w:val="24"/>
        </w:rPr>
        <w:t xml:space="preserve">  </w:t>
      </w:r>
      <w:r w:rsidRPr="00397E50">
        <w:rPr>
          <w:rFonts w:ascii="Times New Roman" w:hAnsi="Times New Roman" w:cs="Times New Roman"/>
          <w:sz w:val="24"/>
          <w:szCs w:val="24"/>
        </w:rPr>
        <w:t>The PII provided to FDA in aggregate form will allow FDA to better understand patients’, consumers’, and health care providers’ perceptions, attitudes, behaviors, and patient reported outcomes associated with efficacy, safety, and use of drug products overseen by the</w:t>
      </w:r>
      <w:r w:rsidR="00593DD0">
        <w:rPr>
          <w:rFonts w:ascii="Times New Roman" w:hAnsi="Times New Roman" w:cs="Times New Roman"/>
          <w:sz w:val="24"/>
          <w:szCs w:val="24"/>
        </w:rPr>
        <w:t xml:space="preserve"> agency</w:t>
      </w:r>
      <w:r w:rsidRPr="00397E50">
        <w:rPr>
          <w:rFonts w:ascii="Times New Roman" w:hAnsi="Times New Roman" w:cs="Times New Roman"/>
          <w:sz w:val="24"/>
          <w:szCs w:val="24"/>
        </w:rPr>
        <w:t>.</w:t>
      </w:r>
      <w:r w:rsidR="002E1F5E">
        <w:rPr>
          <w:rFonts w:ascii="Times New Roman" w:hAnsi="Times New Roman" w:cs="Times New Roman"/>
          <w:sz w:val="24"/>
          <w:szCs w:val="24"/>
        </w:rPr>
        <w:t xml:space="preserve">  </w:t>
      </w:r>
      <w:r w:rsidRPr="00397E50">
        <w:rPr>
          <w:rFonts w:ascii="Times New Roman" w:hAnsi="Times New Roman" w:cs="Times New Roman"/>
          <w:sz w:val="24"/>
          <w:szCs w:val="24"/>
        </w:rPr>
        <w:t>All information collected will be kept secure by the contractor.</w:t>
      </w:r>
      <w:r w:rsidR="002E1F5E">
        <w:rPr>
          <w:rFonts w:ascii="Times New Roman" w:hAnsi="Times New Roman" w:cs="Times New Roman"/>
          <w:sz w:val="24"/>
          <w:szCs w:val="24"/>
        </w:rPr>
        <w:t xml:space="preserve">  </w:t>
      </w:r>
      <w:r w:rsidRPr="00397E50">
        <w:rPr>
          <w:rFonts w:ascii="Times New Roman" w:hAnsi="Times New Roman" w:cs="Times New Roman"/>
          <w:sz w:val="24"/>
          <w:szCs w:val="24"/>
        </w:rPr>
        <w:t>The contractor will disclose identifiable information only to the extent authorized by the individual or required by law.</w:t>
      </w:r>
      <w:r w:rsidR="002E1F5E">
        <w:rPr>
          <w:rFonts w:ascii="Times New Roman" w:hAnsi="Times New Roman" w:cs="Times New Roman"/>
          <w:sz w:val="24"/>
          <w:szCs w:val="24"/>
        </w:rPr>
        <w:t xml:space="preserve">  </w:t>
      </w:r>
      <w:r w:rsidRPr="00397E50">
        <w:rPr>
          <w:rFonts w:ascii="Times New Roman" w:hAnsi="Times New Roman" w:cs="Times New Roman"/>
          <w:sz w:val="24"/>
          <w:szCs w:val="24"/>
        </w:rPr>
        <w:t>Contractors maintaining information will destroy it in accordance with applicable records retention and other requirements per contract terms after the aggregate information has been provided to FDA and the study has been completed.</w:t>
      </w:r>
      <w:r w:rsidR="002974AA">
        <w:rPr>
          <w:rFonts w:ascii="Times New Roman" w:hAnsi="Times New Roman" w:cs="Times New Roman"/>
          <w:sz w:val="24"/>
          <w:szCs w:val="24"/>
        </w:rPr>
        <w:t xml:space="preserve">  </w:t>
      </w:r>
      <w:r w:rsidRPr="00397E50">
        <w:rPr>
          <w:rFonts w:ascii="Times New Roman" w:hAnsi="Times New Roman" w:cs="Times New Roman"/>
          <w:sz w:val="24"/>
          <w:szCs w:val="24"/>
        </w:rPr>
        <w:t xml:space="preserve">In keeping with </w:t>
      </w:r>
      <w:r w:rsidRPr="00A02039">
        <w:rPr>
          <w:rFonts w:ascii="Times New Roman" w:hAnsi="Times New Roman" w:cs="Times New Roman"/>
          <w:sz w:val="24"/>
          <w:szCs w:val="24"/>
        </w:rPr>
        <w:t>IRB/Human Subjects Research protocols,</w:t>
      </w:r>
      <w:r w:rsidRPr="00397E50">
        <w:rPr>
          <w:rFonts w:ascii="Times New Roman" w:hAnsi="Times New Roman" w:cs="Times New Roman"/>
          <w:sz w:val="24"/>
          <w:szCs w:val="24"/>
        </w:rPr>
        <w:t xml:space="preserve"> the </w:t>
      </w:r>
      <w:r w:rsidRPr="00397E50">
        <w:rPr>
          <w:rFonts w:ascii="Times New Roman" w:hAnsi="Times New Roman" w:cs="Times New Roman"/>
          <w:sz w:val="24"/>
          <w:szCs w:val="24"/>
        </w:rPr>
        <w:t>FDA clearance process ensures that study data is appropriately secured (e.g., housed on the Contractor’s servers, password protected, separate storage areas for each study, access controlled).</w:t>
      </w:r>
    </w:p>
    <w:p w:rsidR="00F5486E" w:rsidRPr="00397E50" w:rsidP="00D41D5A" w14:paraId="7FCBDDAC" w14:textId="77777777">
      <w:pPr>
        <w:pStyle w:val="NoSpacing"/>
        <w:rPr>
          <w:rFonts w:ascii="Times New Roman" w:hAnsi="Times New Roman" w:cs="Times New Roman"/>
          <w:sz w:val="24"/>
          <w:szCs w:val="24"/>
        </w:rPr>
      </w:pPr>
    </w:p>
    <w:p w:rsidR="00F5486E" w:rsidRPr="00397E50" w:rsidP="00D41D5A" w14:paraId="4B041DFF" w14:textId="72642BAB">
      <w:pPr>
        <w:pStyle w:val="NoSpacing"/>
        <w:rPr>
          <w:rFonts w:ascii="Times New Roman" w:hAnsi="Times New Roman" w:cs="Times New Roman"/>
          <w:sz w:val="24"/>
          <w:szCs w:val="24"/>
        </w:rPr>
      </w:pPr>
      <w:r>
        <w:rPr>
          <w:rFonts w:ascii="Times New Roman" w:hAnsi="Times New Roman" w:cs="Times New Roman"/>
          <w:sz w:val="24"/>
          <w:szCs w:val="24"/>
        </w:rPr>
        <w:t xml:space="preserve">We have </w:t>
      </w:r>
      <w:r w:rsidRPr="00397E50">
        <w:rPr>
          <w:rFonts w:ascii="Times New Roman" w:hAnsi="Times New Roman" w:cs="Times New Roman"/>
          <w:sz w:val="24"/>
          <w:szCs w:val="24"/>
        </w:rPr>
        <w:t xml:space="preserve">determined that although PII is collected it is not subject to the Privacy Act of 1974 and the particular notice and other requirements of the </w:t>
      </w:r>
      <w:r>
        <w:rPr>
          <w:rFonts w:ascii="Times New Roman" w:hAnsi="Times New Roman" w:cs="Times New Roman"/>
          <w:sz w:val="24"/>
          <w:szCs w:val="24"/>
        </w:rPr>
        <w:t xml:space="preserve">Privacy </w:t>
      </w:r>
      <w:r w:rsidRPr="00397E50">
        <w:rPr>
          <w:rFonts w:ascii="Times New Roman" w:hAnsi="Times New Roman" w:cs="Times New Roman"/>
          <w:sz w:val="24"/>
          <w:szCs w:val="24"/>
        </w:rPr>
        <w:t>Act do not apply.</w:t>
      </w:r>
      <w:r>
        <w:rPr>
          <w:rFonts w:ascii="Times New Roman" w:hAnsi="Times New Roman" w:cs="Times New Roman"/>
          <w:sz w:val="24"/>
          <w:szCs w:val="24"/>
        </w:rPr>
        <w:t xml:space="preserve">  </w:t>
      </w:r>
      <w:r w:rsidRPr="00397E50">
        <w:rPr>
          <w:rFonts w:ascii="Times New Roman" w:hAnsi="Times New Roman" w:cs="Times New Roman"/>
          <w:sz w:val="24"/>
          <w:szCs w:val="24"/>
        </w:rPr>
        <w:t xml:space="preserve">Specifically, </w:t>
      </w:r>
      <w:r w:rsidR="00A02039">
        <w:rPr>
          <w:rFonts w:ascii="Times New Roman" w:hAnsi="Times New Roman" w:cs="Times New Roman"/>
          <w:sz w:val="24"/>
          <w:szCs w:val="24"/>
        </w:rPr>
        <w:t xml:space="preserve">FDA </w:t>
      </w:r>
      <w:r w:rsidR="009D2F80">
        <w:rPr>
          <w:rFonts w:ascii="Times New Roman" w:hAnsi="Times New Roman" w:cs="Times New Roman"/>
          <w:sz w:val="24"/>
          <w:szCs w:val="24"/>
        </w:rPr>
        <w:t xml:space="preserve">nor its contractors </w:t>
      </w:r>
      <w:r w:rsidRPr="00397E50">
        <w:rPr>
          <w:rFonts w:ascii="Times New Roman" w:hAnsi="Times New Roman" w:cs="Times New Roman"/>
          <w:sz w:val="24"/>
          <w:szCs w:val="24"/>
        </w:rPr>
        <w:t xml:space="preserve">use </w:t>
      </w:r>
      <w:r w:rsidRPr="00522E5A">
        <w:rPr>
          <w:rFonts w:ascii="Times New Roman" w:hAnsi="Times New Roman" w:cs="Times New Roman"/>
          <w:i/>
          <w:iCs/>
          <w:sz w:val="24"/>
          <w:szCs w:val="24"/>
        </w:rPr>
        <w:t>name</w:t>
      </w:r>
      <w:r w:rsidRPr="00397E50">
        <w:rPr>
          <w:rFonts w:ascii="Times New Roman" w:hAnsi="Times New Roman" w:cs="Times New Roman"/>
          <w:sz w:val="24"/>
          <w:szCs w:val="24"/>
        </w:rPr>
        <w:t xml:space="preserve"> or any other personal identifier to retrieve records from the information collected.</w:t>
      </w:r>
    </w:p>
    <w:p w:rsidR="00F5486E" w:rsidRPr="00397E50" w:rsidP="00D41D5A" w14:paraId="77FFAC0E" w14:textId="77777777">
      <w:pPr>
        <w:pStyle w:val="NoSpacing"/>
        <w:rPr>
          <w:rFonts w:ascii="Times New Roman" w:hAnsi="Times New Roman" w:cs="Times New Roman"/>
          <w:sz w:val="24"/>
          <w:szCs w:val="24"/>
        </w:rPr>
      </w:pPr>
    </w:p>
    <w:p w:rsidR="00546305" w:rsidRPr="002974AA" w:rsidP="00D41D5A" w14:paraId="613F1F15" w14:textId="77777777">
      <w:pPr>
        <w:pStyle w:val="NoSpacing"/>
        <w:rPr>
          <w:rFonts w:ascii="Times New Roman" w:hAnsi="Times New Roman" w:cs="Times New Roman"/>
          <w:i/>
          <w:iCs/>
          <w:sz w:val="24"/>
          <w:szCs w:val="24"/>
        </w:rPr>
      </w:pPr>
      <w:r w:rsidRPr="002974AA">
        <w:rPr>
          <w:rFonts w:ascii="Times New Roman" w:hAnsi="Times New Roman" w:cs="Times New Roman"/>
          <w:i/>
          <w:iCs/>
          <w:sz w:val="24"/>
          <w:szCs w:val="24"/>
        </w:rPr>
        <w:t xml:space="preserve">The Freedom of Information </w:t>
      </w:r>
      <w:r w:rsidRPr="002974AA" w:rsidR="00F5486E">
        <w:rPr>
          <w:rFonts w:ascii="Times New Roman" w:hAnsi="Times New Roman" w:cs="Times New Roman"/>
          <w:i/>
          <w:iCs/>
          <w:sz w:val="24"/>
          <w:szCs w:val="24"/>
        </w:rPr>
        <w:t xml:space="preserve">(FOIA) </w:t>
      </w:r>
    </w:p>
    <w:p w:rsidR="00546305" w:rsidP="00D41D5A" w14:paraId="66B91610" w14:textId="77777777">
      <w:pPr>
        <w:pStyle w:val="NoSpacing"/>
        <w:rPr>
          <w:rFonts w:ascii="Times New Roman" w:hAnsi="Times New Roman" w:cs="Times New Roman"/>
          <w:sz w:val="24"/>
          <w:szCs w:val="24"/>
        </w:rPr>
      </w:pPr>
    </w:p>
    <w:p w:rsidR="00F5486E" w:rsidRPr="00397E50" w:rsidP="00D41D5A" w14:paraId="13B134A9" w14:textId="20A151AF">
      <w:pPr>
        <w:pStyle w:val="NoSpacing"/>
        <w:rPr>
          <w:rFonts w:ascii="Times New Roman" w:hAnsi="Times New Roman" w:cs="Times New Roman"/>
          <w:sz w:val="24"/>
          <w:szCs w:val="24"/>
        </w:rPr>
      </w:pPr>
      <w:r>
        <w:rPr>
          <w:rFonts w:ascii="Times New Roman" w:hAnsi="Times New Roman" w:cs="Times New Roman"/>
          <w:sz w:val="24"/>
          <w:szCs w:val="24"/>
        </w:rPr>
        <w:t>Under FOIA</w:t>
      </w:r>
      <w:r w:rsidR="002E1F5E">
        <w:rPr>
          <w:rFonts w:ascii="Times New Roman" w:hAnsi="Times New Roman" w:cs="Times New Roman"/>
          <w:sz w:val="24"/>
          <w:szCs w:val="24"/>
        </w:rPr>
        <w:t xml:space="preserve"> </w:t>
      </w:r>
      <w:r w:rsidRPr="00397E50">
        <w:rPr>
          <w:rFonts w:ascii="Times New Roman" w:hAnsi="Times New Roman" w:cs="Times New Roman"/>
          <w:sz w:val="24"/>
          <w:szCs w:val="24"/>
        </w:rPr>
        <w:t>(5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6A6587" w:rsidRPr="006A6587" w:rsidP="00D41D5A" w14:paraId="4C4235D3" w14:textId="77777777">
      <w:pPr>
        <w:ind w:left="360"/>
        <w:rPr>
          <w:rFonts w:eastAsia="Calibri"/>
        </w:rPr>
      </w:pPr>
    </w:p>
    <w:p w:rsidR="00357C8A" w:rsidRPr="00397E50" w:rsidP="00D41D5A" w14:paraId="44CE5C46" w14:textId="14B05890">
      <w:pPr>
        <w:numPr>
          <w:ilvl w:val="0"/>
          <w:numId w:val="6"/>
        </w:numPr>
        <w:spacing w:after="200"/>
        <w:rPr>
          <w:rFonts w:eastAsia="Calibri"/>
        </w:rPr>
      </w:pPr>
      <w:r w:rsidRPr="00397E50">
        <w:rPr>
          <w:rFonts w:eastAsia="Calibri"/>
          <w:u w:val="single"/>
        </w:rPr>
        <w:t>Justification for Sensitive Questions</w:t>
      </w:r>
    </w:p>
    <w:p w:rsidR="00663374" w:rsidRPr="00397E50" w:rsidP="00D41D5A" w14:paraId="3BB6B57C" w14:textId="67C771F3">
      <w:pPr>
        <w:rPr>
          <w:rFonts w:eastAsia="Calibri"/>
        </w:rPr>
      </w:pPr>
      <w:r w:rsidRPr="00397E50">
        <w:rPr>
          <w:rFonts w:eastAsia="Calibri"/>
        </w:rPr>
        <w:t>S</w:t>
      </w:r>
      <w:r w:rsidRPr="00397E50">
        <w:rPr>
          <w:rFonts w:eastAsia="Calibri"/>
        </w:rPr>
        <w:t>ome studies require the inclusion of p</w:t>
      </w:r>
      <w:r w:rsidRPr="00397E50" w:rsidR="00203D90">
        <w:rPr>
          <w:rFonts w:eastAsia="Calibri"/>
        </w:rPr>
        <w:t xml:space="preserve">articipants </w:t>
      </w:r>
      <w:r w:rsidRPr="00397E50">
        <w:rPr>
          <w:rFonts w:eastAsia="Calibri"/>
        </w:rPr>
        <w:t xml:space="preserve">who </w:t>
      </w:r>
      <w:r w:rsidRPr="00397E50" w:rsidR="00203D90">
        <w:rPr>
          <w:rFonts w:eastAsia="Calibri"/>
        </w:rPr>
        <w:t>meet</w:t>
      </w:r>
      <w:r w:rsidRPr="00397E50">
        <w:rPr>
          <w:rFonts w:eastAsia="Calibri"/>
        </w:rPr>
        <w:t xml:space="preserve"> characteristics of </w:t>
      </w:r>
      <w:r w:rsidRPr="00397E50" w:rsidR="00203D90">
        <w:rPr>
          <w:rFonts w:eastAsia="Calibri"/>
        </w:rPr>
        <w:t>a</w:t>
      </w:r>
      <w:r w:rsidRPr="00397E50">
        <w:rPr>
          <w:rFonts w:eastAsia="Calibri"/>
        </w:rPr>
        <w:t xml:space="preserve"> target </w:t>
      </w:r>
      <w:r w:rsidRPr="00397E50" w:rsidR="001B520E">
        <w:rPr>
          <w:rFonts w:eastAsia="Calibri"/>
        </w:rPr>
        <w:t>population</w:t>
      </w:r>
      <w:r w:rsidRPr="00397E50">
        <w:rPr>
          <w:rFonts w:eastAsia="Calibri"/>
        </w:rPr>
        <w:t xml:space="preserve"> that FDA is trying to </w:t>
      </w:r>
      <w:r w:rsidRPr="00397E50" w:rsidR="00203D90">
        <w:rPr>
          <w:rFonts w:eastAsia="Calibri"/>
        </w:rPr>
        <w:t xml:space="preserve">better understand or </w:t>
      </w:r>
      <w:r w:rsidRPr="00397E50">
        <w:rPr>
          <w:rFonts w:eastAsia="Calibri"/>
        </w:rPr>
        <w:t>reach. This may require asking question</w:t>
      </w:r>
      <w:r w:rsidRPr="00397E50" w:rsidR="00D065C8">
        <w:rPr>
          <w:rFonts w:eastAsia="Calibri"/>
        </w:rPr>
        <w:t>s</w:t>
      </w:r>
      <w:r w:rsidRPr="00397E50">
        <w:rPr>
          <w:rFonts w:eastAsia="Calibri"/>
        </w:rPr>
        <w:t xml:space="preserve"> </w:t>
      </w:r>
      <w:r w:rsidRPr="00397E50" w:rsidR="00072E57">
        <w:rPr>
          <w:rFonts w:eastAsia="Calibri"/>
        </w:rPr>
        <w:t xml:space="preserve">that are standard in research but may be considered sensitive by some, </w:t>
      </w:r>
      <w:r w:rsidRPr="00397E50" w:rsidR="008725FE">
        <w:rPr>
          <w:rFonts w:eastAsia="Calibri"/>
        </w:rPr>
        <w:t xml:space="preserve">e.g., </w:t>
      </w:r>
      <w:r w:rsidRPr="00397E50">
        <w:rPr>
          <w:rFonts w:eastAsia="Calibri"/>
        </w:rPr>
        <w:t xml:space="preserve">race/ethnicity, income, education and/or health status on the initial screening questionnaire used for recruiting. Potential participants are informed this is being done to make sure that FDA speaks with the kinds of people for whom its messages are intended.  </w:t>
      </w:r>
      <w:r w:rsidRPr="00397E50" w:rsidR="0055135A">
        <w:rPr>
          <w:rFonts w:eastAsia="Calibri"/>
        </w:rPr>
        <w:t>Such questions may also be asked as part of survey studies to enable researchers to determine if there are differences across groups, (e.g., different age groups may have different channels through which prefer to obtain health information).</w:t>
      </w:r>
      <w:r w:rsidR="00522E5A">
        <w:rPr>
          <w:rFonts w:eastAsia="Calibri"/>
        </w:rPr>
        <w:t xml:space="preserve"> </w:t>
      </w:r>
      <w:r w:rsidRPr="00397E50" w:rsidR="0055135A">
        <w:rPr>
          <w:rFonts w:eastAsia="Calibri"/>
        </w:rPr>
        <w:t xml:space="preserve"> </w:t>
      </w:r>
      <w:r w:rsidRPr="004106A1">
        <w:rPr>
          <w:rFonts w:eastAsia="Calibri"/>
        </w:rPr>
        <w:t>All information on race/ethnicity will comply fully with the standards of OMB Statistical Policy Directive No. 15, October 1997 (</w:t>
      </w:r>
      <w:hyperlink r:id="rId8">
        <w:r w:rsidRPr="004106A1" w:rsidR="00DB05AD">
          <w:rPr>
            <w:rStyle w:val="Hyperlink"/>
            <w:color w:val="auto"/>
          </w:rPr>
          <w:t>https://www.whitehouse.gov/wp-content/uploads/2017/11/Revisions-to-the-Standards-for-the-Classification-of-Federal-Data-on-Race-and-Ethnicity-October30-1997.pdf</w:t>
        </w:r>
      </w:hyperlink>
      <w:r w:rsidRPr="004106A1">
        <w:rPr>
          <w:rFonts w:eastAsia="Calibri"/>
        </w:rPr>
        <w:t>).</w:t>
      </w:r>
    </w:p>
    <w:p w:rsidR="00663374" w:rsidRPr="00397E50" w:rsidP="00D41D5A" w14:paraId="6B5D1788" w14:textId="77777777">
      <w:pPr>
        <w:rPr>
          <w:rFonts w:eastAsia="Calibri"/>
        </w:rPr>
      </w:pPr>
    </w:p>
    <w:p w:rsidR="00663374" w:rsidRPr="00397E50" w:rsidP="00D41D5A" w14:paraId="6D5CB32A" w14:textId="16801B47">
      <w:pPr>
        <w:rPr>
          <w:rFonts w:eastAsia="Calibri"/>
        </w:rPr>
      </w:pPr>
      <w:r w:rsidRPr="00397E50">
        <w:rPr>
          <w:rFonts w:eastAsia="Calibri"/>
        </w:rPr>
        <w:t xml:space="preserve">Because FDA communications may be concerned with the prevention of premature mortality, some projects may involve asking questions about (or discussing) how one perceives his/her own personal risk for serious illness. The probability of sensitive questions occurring depends upon the topic </w:t>
      </w:r>
      <w:r w:rsidRPr="00397E50" w:rsidR="007425C3">
        <w:rPr>
          <w:rFonts w:eastAsia="Calibri"/>
        </w:rPr>
        <w:t xml:space="preserve">and method </w:t>
      </w:r>
      <w:r w:rsidRPr="00397E50">
        <w:rPr>
          <w:rFonts w:eastAsia="Calibri"/>
        </w:rPr>
        <w:t>of the communication</w:t>
      </w:r>
      <w:r w:rsidRPr="00397E50" w:rsidR="0055135A">
        <w:rPr>
          <w:rFonts w:eastAsia="Calibri"/>
        </w:rPr>
        <w:t xml:space="preserve"> study</w:t>
      </w:r>
      <w:r w:rsidRPr="00397E50">
        <w:rPr>
          <w:rFonts w:eastAsia="Calibri"/>
        </w:rPr>
        <w:t>. This information is needed to gain a better understanding of the target audience</w:t>
      </w:r>
      <w:r w:rsidRPr="00397E50" w:rsidR="0055135A">
        <w:rPr>
          <w:rFonts w:eastAsia="Calibri"/>
        </w:rPr>
        <w:t>(s)</w:t>
      </w:r>
      <w:r w:rsidRPr="00397E50">
        <w:rPr>
          <w:rFonts w:eastAsia="Calibri"/>
        </w:rPr>
        <w:t xml:space="preserve"> so that messages, strategies, and materials will be appropriate. Questions of this nature, while not as personal as those about sexual behavior or religious beliefs, still require some sensitivity in how they are worded and approached. In data collections, questions of this kind are generally asked later in the interview or group discussion, when respondents are more comfortable with the interview situation and are more at ease with the interviewer/moderator.  As noted in section 10. above, participants are informed prior to actual participation about the nature of the activity and the voluntary nature of their participation.  The </w:t>
      </w:r>
      <w:r w:rsidRPr="00397E50" w:rsidR="009C4E87">
        <w:rPr>
          <w:rFonts w:eastAsia="Calibri"/>
        </w:rPr>
        <w:t xml:space="preserve">informed </w:t>
      </w:r>
      <w:r w:rsidRPr="00397E50" w:rsidR="002D0C84">
        <w:rPr>
          <w:rFonts w:eastAsia="Calibri"/>
        </w:rPr>
        <w:t>consent form</w:t>
      </w:r>
      <w:r w:rsidRPr="00397E50" w:rsidR="009C4E87">
        <w:rPr>
          <w:rFonts w:eastAsia="Calibri"/>
        </w:rPr>
        <w:t xml:space="preserve"> and the </w:t>
      </w:r>
      <w:r w:rsidRPr="00397E50">
        <w:rPr>
          <w:rFonts w:eastAsia="Calibri"/>
        </w:rPr>
        <w:t>interviewer/moderator</w:t>
      </w:r>
      <w:r w:rsidRPr="00397E50" w:rsidR="009C4E87">
        <w:rPr>
          <w:rFonts w:eastAsia="Calibri"/>
        </w:rPr>
        <w:t xml:space="preserve"> </w:t>
      </w:r>
      <w:r w:rsidRPr="00397E50" w:rsidR="009E7E28">
        <w:rPr>
          <w:rFonts w:eastAsia="Calibri"/>
        </w:rPr>
        <w:t xml:space="preserve">for interviews/focus groups </w:t>
      </w:r>
      <w:r w:rsidRPr="00397E50">
        <w:rPr>
          <w:rFonts w:eastAsia="Calibri"/>
        </w:rPr>
        <w:t xml:space="preserve">makes it clear that </w:t>
      </w:r>
      <w:r w:rsidRPr="00397E50" w:rsidR="009E7E28">
        <w:rPr>
          <w:rFonts w:eastAsia="Calibri"/>
        </w:rPr>
        <w:t xml:space="preserve">participants </w:t>
      </w:r>
      <w:r w:rsidRPr="00397E50">
        <w:rPr>
          <w:rFonts w:eastAsia="Calibri"/>
        </w:rPr>
        <w:t>do not have to respond to any question</w:t>
      </w:r>
      <w:r w:rsidRPr="00397E50" w:rsidR="009E7E28">
        <w:rPr>
          <w:rFonts w:eastAsia="Calibri"/>
        </w:rPr>
        <w:t>(s)</w:t>
      </w:r>
      <w:r w:rsidRPr="00397E50">
        <w:rPr>
          <w:rFonts w:eastAsia="Calibri"/>
        </w:rPr>
        <w:t xml:space="preserve"> that makes them uncomfortable</w:t>
      </w:r>
      <w:r w:rsidRPr="00397E50" w:rsidR="00E341A1">
        <w:rPr>
          <w:rFonts w:eastAsia="Calibri"/>
        </w:rPr>
        <w:t>.</w:t>
      </w:r>
    </w:p>
    <w:p w:rsidR="00663374" w:rsidRPr="00397E50" w:rsidP="00D41D5A" w14:paraId="18524EB7" w14:textId="77777777">
      <w:pPr>
        <w:rPr>
          <w:rFonts w:eastAsia="Calibri"/>
        </w:rPr>
      </w:pPr>
    </w:p>
    <w:p w:rsidR="00357C8A" w:rsidRPr="00397E50" w:rsidP="00D41D5A" w14:paraId="28A29115" w14:textId="3E93B3B8">
      <w:pPr>
        <w:rPr>
          <w:rFonts w:eastAsia="Calibri"/>
        </w:rPr>
      </w:pPr>
      <w:r w:rsidRPr="00397E50">
        <w:rPr>
          <w:rFonts w:eastAsia="Calibri"/>
        </w:rPr>
        <w:t xml:space="preserve">Raw data from data collections that </w:t>
      </w:r>
      <w:r w:rsidRPr="00397E50" w:rsidR="00F968D0">
        <w:rPr>
          <w:rFonts w:eastAsia="Calibri"/>
        </w:rPr>
        <w:t xml:space="preserve">may </w:t>
      </w:r>
      <w:r w:rsidRPr="00397E50">
        <w:rPr>
          <w:rFonts w:eastAsia="Calibri"/>
        </w:rPr>
        <w:t xml:space="preserve">include sensitive information (for example, screening questionnaires and audio tapes) </w:t>
      </w:r>
      <w:r w:rsidRPr="00397E50" w:rsidR="00F968D0">
        <w:rPr>
          <w:rFonts w:eastAsia="Calibri"/>
        </w:rPr>
        <w:t xml:space="preserve">will </w:t>
      </w:r>
      <w:r w:rsidRPr="00397E50">
        <w:rPr>
          <w:rFonts w:eastAsia="Calibri"/>
        </w:rPr>
        <w:t>not</w:t>
      </w:r>
      <w:r w:rsidRPr="00397E50" w:rsidR="00F968D0">
        <w:rPr>
          <w:rFonts w:eastAsia="Calibri"/>
        </w:rPr>
        <w:t xml:space="preserve"> be</w:t>
      </w:r>
      <w:r w:rsidRPr="00397E50">
        <w:rPr>
          <w:rFonts w:eastAsia="Calibri"/>
        </w:rPr>
        <w:t xml:space="preserve"> retained once the data have been extracted and </w:t>
      </w:r>
      <w:r w:rsidRPr="00397E50">
        <w:rPr>
          <w:rFonts w:eastAsia="Calibri"/>
        </w:rPr>
        <w:t>aggregated.  The information never</w:t>
      </w:r>
      <w:r w:rsidRPr="00397E50" w:rsidR="00F968D0">
        <w:rPr>
          <w:rFonts w:eastAsia="Calibri"/>
        </w:rPr>
        <w:t xml:space="preserve"> becomes</w:t>
      </w:r>
      <w:r w:rsidRPr="00397E50">
        <w:rPr>
          <w:rFonts w:eastAsia="Calibri"/>
        </w:rPr>
        <w:t xml:space="preserve"> a part of a system of records containing permanent identifiers that can be used for retrieval.</w:t>
      </w:r>
      <w:r w:rsidRPr="00397E50">
        <w:rPr>
          <w:rFonts w:eastAsia="Calibri"/>
        </w:rPr>
        <w:t xml:space="preserve"> </w:t>
      </w:r>
    </w:p>
    <w:p w:rsidR="00663374" w:rsidRPr="00397E50" w:rsidP="00D41D5A" w14:paraId="7FA49ADB" w14:textId="77777777">
      <w:pPr>
        <w:rPr>
          <w:rFonts w:eastAsia="Calibri"/>
        </w:rPr>
      </w:pPr>
    </w:p>
    <w:p w:rsidR="00357C8A" w:rsidRPr="00397E50" w:rsidP="00D41D5A" w14:paraId="68D5C7A8" w14:textId="77777777">
      <w:pPr>
        <w:numPr>
          <w:ilvl w:val="0"/>
          <w:numId w:val="6"/>
        </w:numPr>
        <w:spacing w:after="200"/>
        <w:rPr>
          <w:rFonts w:eastAsia="Calibri"/>
          <w:u w:val="single"/>
        </w:rPr>
      </w:pPr>
      <w:r w:rsidRPr="00397E50">
        <w:rPr>
          <w:rFonts w:eastAsia="Calibri"/>
          <w:u w:val="single"/>
        </w:rPr>
        <w:t>Estimates of Annualized Burden Hours and Cost</w:t>
      </w:r>
    </w:p>
    <w:p w:rsidR="00357C8A" w:rsidRPr="008E411B" w:rsidP="00D41D5A" w14:paraId="6C595ADC" w14:textId="77777777">
      <w:pPr>
        <w:spacing w:after="200"/>
        <w:ind w:left="360"/>
        <w:rPr>
          <w:rFonts w:eastAsia="Calibri"/>
          <w:i/>
          <w:iCs/>
        </w:rPr>
      </w:pPr>
      <w:r w:rsidRPr="008E411B">
        <w:rPr>
          <w:rFonts w:eastAsia="Calibri"/>
          <w:i/>
          <w:iCs/>
        </w:rPr>
        <w:t>12a.  Annualized Hour Burden Estimate</w:t>
      </w:r>
    </w:p>
    <w:p w:rsidR="00CD4F9F" w:rsidRPr="00397E50" w:rsidP="00D41D5A" w14:paraId="12637905" w14:textId="1187DF8A">
      <w:pPr>
        <w:spacing w:after="200"/>
      </w:pPr>
      <w:r w:rsidRPr="00397E50">
        <w:t xml:space="preserve">Table 1 is based on the </w:t>
      </w:r>
      <w:r w:rsidRPr="00397E50">
        <w:rPr>
          <w:spacing w:val="-1"/>
        </w:rPr>
        <w:t>maximum</w:t>
      </w:r>
      <w:r w:rsidRPr="00397E50">
        <w:t xml:space="preserve"> </w:t>
      </w:r>
      <w:r w:rsidRPr="00397E50">
        <w:rPr>
          <w:spacing w:val="-1"/>
        </w:rPr>
        <w:t>number</w:t>
      </w:r>
      <w:r w:rsidRPr="00397E50">
        <w:t xml:space="preserve"> of</w:t>
      </w:r>
      <w:r w:rsidRPr="00397E50">
        <w:rPr>
          <w:spacing w:val="-1"/>
        </w:rPr>
        <w:t xml:space="preserve"> </w:t>
      </w:r>
      <w:r w:rsidRPr="00397E50">
        <w:t>data collections expected on an annual</w:t>
      </w:r>
      <w:r w:rsidRPr="00397E50">
        <w:rPr>
          <w:spacing w:val="29"/>
        </w:rPr>
        <w:t xml:space="preserve"> </w:t>
      </w:r>
      <w:r w:rsidRPr="00397E50">
        <w:t>basis.</w:t>
      </w:r>
      <w:r w:rsidR="004248C9">
        <w:t xml:space="preserve">  </w:t>
      </w:r>
      <w:r w:rsidRPr="00397E50">
        <w:t>It is highly unlikely that</w:t>
      </w:r>
      <w:r w:rsidRPr="00397E50">
        <w:rPr>
          <w:spacing w:val="-1"/>
        </w:rPr>
        <w:t xml:space="preserve"> respondents will be</w:t>
      </w:r>
      <w:r w:rsidRPr="00397E50">
        <w:rPr>
          <w:spacing w:val="1"/>
        </w:rPr>
        <w:t xml:space="preserve"> </w:t>
      </w:r>
      <w:r w:rsidRPr="00397E50">
        <w:t xml:space="preserve">contacted </w:t>
      </w:r>
      <w:r w:rsidRPr="00397E50">
        <w:rPr>
          <w:spacing w:val="-1"/>
        </w:rPr>
        <w:t>more</w:t>
      </w:r>
      <w:r w:rsidRPr="00397E50">
        <w:t xml:space="preserve"> than once per year due to the</w:t>
      </w:r>
      <w:r w:rsidRPr="00397E50">
        <w:rPr>
          <w:spacing w:val="26"/>
        </w:rPr>
        <w:t xml:space="preserve"> </w:t>
      </w:r>
      <w:r w:rsidRPr="00397E50">
        <w:t>variable nature of the medical</w:t>
      </w:r>
      <w:r w:rsidRPr="00397E50">
        <w:rPr>
          <w:spacing w:val="-2"/>
        </w:rPr>
        <w:t xml:space="preserve"> </w:t>
      </w:r>
      <w:r w:rsidRPr="00397E50">
        <w:rPr>
          <w:spacing w:val="-1"/>
        </w:rPr>
        <w:t xml:space="preserve">product issues </w:t>
      </w:r>
      <w:r w:rsidRPr="00397E50">
        <w:t>and</w:t>
      </w:r>
      <w:r w:rsidRPr="00397E50">
        <w:rPr>
          <w:spacing w:val="-2"/>
        </w:rPr>
        <w:t xml:space="preserve"> </w:t>
      </w:r>
      <w:r w:rsidRPr="00397E50">
        <w:t>the</w:t>
      </w:r>
      <w:r w:rsidRPr="00397E50">
        <w:rPr>
          <w:spacing w:val="-1"/>
        </w:rPr>
        <w:t xml:space="preserve"> </w:t>
      </w:r>
      <w:r w:rsidRPr="00397E50">
        <w:t>need</w:t>
      </w:r>
      <w:r w:rsidRPr="00397E50">
        <w:rPr>
          <w:spacing w:val="-1"/>
        </w:rPr>
        <w:t xml:space="preserve"> </w:t>
      </w:r>
      <w:r w:rsidRPr="00397E50">
        <w:t>to</w:t>
      </w:r>
      <w:r w:rsidRPr="00397E50">
        <w:rPr>
          <w:spacing w:val="-1"/>
        </w:rPr>
        <w:t xml:space="preserve"> </w:t>
      </w:r>
      <w:r w:rsidRPr="00397E50">
        <w:t>address</w:t>
      </w:r>
      <w:r w:rsidRPr="00397E50">
        <w:rPr>
          <w:spacing w:val="-1"/>
        </w:rPr>
        <w:t xml:space="preserve"> </w:t>
      </w:r>
      <w:r w:rsidRPr="00397E50">
        <w:t>different</w:t>
      </w:r>
      <w:r w:rsidRPr="00397E50">
        <w:rPr>
          <w:spacing w:val="-1"/>
        </w:rPr>
        <w:t xml:space="preserve"> </w:t>
      </w:r>
      <w:r w:rsidRPr="00397E50">
        <w:t>respondent</w:t>
      </w:r>
      <w:r w:rsidRPr="00397E50">
        <w:rPr>
          <w:spacing w:val="29"/>
        </w:rPr>
        <w:t xml:space="preserve"> </w:t>
      </w:r>
      <w:r w:rsidRPr="00397E50">
        <w:t>groups.</w:t>
      </w:r>
      <w:r w:rsidRPr="00397E50">
        <w:rPr>
          <w:spacing w:val="59"/>
        </w:rPr>
        <w:t xml:space="preserve"> </w:t>
      </w:r>
      <w:r w:rsidRPr="00397E50">
        <w:t>Proposed</w:t>
      </w:r>
      <w:r w:rsidRPr="00397E50">
        <w:rPr>
          <w:spacing w:val="-1"/>
        </w:rPr>
        <w:t xml:space="preserve"> </w:t>
      </w:r>
      <w:r w:rsidRPr="00397E50">
        <w:t>data</w:t>
      </w:r>
      <w:r w:rsidRPr="00397E50">
        <w:rPr>
          <w:spacing w:val="-1"/>
        </w:rPr>
        <w:t xml:space="preserve"> </w:t>
      </w:r>
      <w:r w:rsidRPr="00397E50">
        <w:t>collection</w:t>
      </w:r>
      <w:r w:rsidRPr="00397E50">
        <w:rPr>
          <w:spacing w:val="-1"/>
        </w:rPr>
        <w:t xml:space="preserve"> methodologies </w:t>
      </w:r>
      <w:r w:rsidRPr="00397E50">
        <w:t>are</w:t>
      </w:r>
      <w:r w:rsidRPr="00397E50">
        <w:rPr>
          <w:spacing w:val="-1"/>
        </w:rPr>
        <w:t xml:space="preserve"> </w:t>
      </w:r>
      <w:r w:rsidRPr="00397E50">
        <w:t>described</w:t>
      </w:r>
      <w:r w:rsidRPr="00397E50">
        <w:rPr>
          <w:spacing w:val="-1"/>
        </w:rPr>
        <w:t xml:space="preserve"> </w:t>
      </w:r>
      <w:r w:rsidRPr="00397E50">
        <w:t xml:space="preserve">in </w:t>
      </w:r>
      <w:r w:rsidRPr="00397E50">
        <w:rPr>
          <w:spacing w:val="-1"/>
        </w:rPr>
        <w:t>more</w:t>
      </w:r>
      <w:r w:rsidRPr="00397E50">
        <w:t xml:space="preserve"> detail in </w:t>
      </w:r>
      <w:r w:rsidR="00634CD1">
        <w:t>our supporting statement</w:t>
      </w:r>
      <w:r w:rsidRPr="00634CD1" w:rsidR="00634CD1">
        <w:t xml:space="preserve">, </w:t>
      </w:r>
      <w:r w:rsidRPr="00634CD1" w:rsidR="00F968D0">
        <w:t xml:space="preserve">Part </w:t>
      </w:r>
      <w:r w:rsidRPr="00634CD1">
        <w:t>B.</w:t>
      </w:r>
    </w:p>
    <w:p w:rsidR="00CD4F9F" w:rsidRPr="00397E50" w:rsidP="00D41D5A" w14:paraId="7ACA1AFD" w14:textId="4BA3290A">
      <w:pPr>
        <w:pStyle w:val="BodyText"/>
        <w:spacing w:after="0"/>
        <w:jc w:val="center"/>
        <w:rPr>
          <w:sz w:val="20"/>
          <w:szCs w:val="20"/>
        </w:rPr>
      </w:pPr>
      <w:r w:rsidRPr="00397E50">
        <w:rPr>
          <w:sz w:val="20"/>
          <w:szCs w:val="20"/>
        </w:rPr>
        <w:t>Table 1.--</w:t>
      </w:r>
      <w:r w:rsidRPr="00397E50">
        <w:rPr>
          <w:spacing w:val="-1"/>
          <w:sz w:val="20"/>
          <w:szCs w:val="20"/>
        </w:rPr>
        <w:t>Estimated</w:t>
      </w:r>
      <w:r w:rsidRPr="00397E50">
        <w:rPr>
          <w:sz w:val="20"/>
          <w:szCs w:val="20"/>
        </w:rPr>
        <w:t xml:space="preserve"> Annual Reporting Burden</w:t>
      </w:r>
      <w:r w:rsidRPr="00397E50" w:rsidR="00F968D0">
        <w:rPr>
          <w:sz w:val="20"/>
          <w:szCs w:val="20"/>
          <w:vertAlign w:val="superscript"/>
        </w:rPr>
        <w:t>1</w:t>
      </w:r>
    </w:p>
    <w:tbl>
      <w:tblPr>
        <w:tblW w:w="936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150"/>
        <w:gridCol w:w="1350"/>
        <w:gridCol w:w="1260"/>
        <w:gridCol w:w="1170"/>
        <w:gridCol w:w="1440"/>
        <w:gridCol w:w="990"/>
      </w:tblGrid>
      <w:tr w14:paraId="1566D92A" w14:textId="77777777" w:rsidTr="00B54BD9">
        <w:tblPrEx>
          <w:tblW w:w="936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cantSplit/>
          <w:trHeight w:hRule="exact" w:val="840"/>
          <w:tblHeader/>
        </w:trPr>
        <w:tc>
          <w:tcPr>
            <w:tcW w:w="3150" w:type="dxa"/>
            <w:shd w:val="clear" w:color="auto" w:fill="D9D9D9" w:themeFill="background1" w:themeFillShade="D9"/>
            <w:hideMark/>
          </w:tcPr>
          <w:p w:rsidR="00CD4F9F" w:rsidRPr="00B54BD9" w:rsidP="00D41D5A" w14:paraId="367A6508" w14:textId="53565B60">
            <w:pPr>
              <w:jc w:val="center"/>
              <w:rPr>
                <w:b/>
                <w:bCs/>
                <w:sz w:val="20"/>
                <w:szCs w:val="20"/>
              </w:rPr>
            </w:pPr>
            <w:r w:rsidRPr="00B54BD9">
              <w:rPr>
                <w:b/>
                <w:bCs/>
                <w:sz w:val="20"/>
                <w:szCs w:val="20"/>
              </w:rPr>
              <w:t xml:space="preserve">Information Collection </w:t>
            </w:r>
            <w:r w:rsidRPr="00B54BD9">
              <w:rPr>
                <w:b/>
                <w:bCs/>
                <w:sz w:val="20"/>
                <w:szCs w:val="20"/>
              </w:rPr>
              <w:t>Activity</w:t>
            </w:r>
          </w:p>
        </w:tc>
        <w:tc>
          <w:tcPr>
            <w:tcW w:w="1350" w:type="dxa"/>
            <w:shd w:val="clear" w:color="auto" w:fill="D9D9D9" w:themeFill="background1" w:themeFillShade="D9"/>
            <w:hideMark/>
          </w:tcPr>
          <w:p w:rsidR="00CD4F9F" w:rsidRPr="00B54BD9" w:rsidP="00D41D5A" w14:paraId="1082A6F8" w14:textId="77777777">
            <w:pPr>
              <w:jc w:val="center"/>
              <w:rPr>
                <w:b/>
                <w:bCs/>
                <w:sz w:val="20"/>
                <w:szCs w:val="20"/>
              </w:rPr>
            </w:pPr>
            <w:r w:rsidRPr="00B54BD9">
              <w:rPr>
                <w:b/>
                <w:bCs/>
                <w:sz w:val="20"/>
                <w:szCs w:val="20"/>
              </w:rPr>
              <w:t>No. of Respondents</w:t>
            </w:r>
          </w:p>
        </w:tc>
        <w:tc>
          <w:tcPr>
            <w:tcW w:w="1260" w:type="dxa"/>
            <w:shd w:val="clear" w:color="auto" w:fill="D9D9D9" w:themeFill="background1" w:themeFillShade="D9"/>
            <w:hideMark/>
          </w:tcPr>
          <w:p w:rsidR="00CD4F9F" w:rsidRPr="00B54BD9" w:rsidP="00D41D5A" w14:paraId="7F4C415F" w14:textId="77777777">
            <w:pPr>
              <w:jc w:val="center"/>
              <w:rPr>
                <w:b/>
                <w:bCs/>
                <w:sz w:val="20"/>
                <w:szCs w:val="20"/>
              </w:rPr>
            </w:pPr>
            <w:r w:rsidRPr="00B54BD9">
              <w:rPr>
                <w:b/>
                <w:bCs/>
                <w:sz w:val="20"/>
                <w:szCs w:val="20"/>
              </w:rPr>
              <w:t>No. of Responses per Respondent</w:t>
            </w:r>
          </w:p>
        </w:tc>
        <w:tc>
          <w:tcPr>
            <w:tcW w:w="1170" w:type="dxa"/>
            <w:shd w:val="clear" w:color="auto" w:fill="D9D9D9" w:themeFill="background1" w:themeFillShade="D9"/>
            <w:hideMark/>
          </w:tcPr>
          <w:p w:rsidR="00CD4F9F" w:rsidRPr="00B54BD9" w:rsidP="00D41D5A" w14:paraId="2B74CC14" w14:textId="77777777">
            <w:pPr>
              <w:jc w:val="center"/>
              <w:rPr>
                <w:b/>
                <w:bCs/>
                <w:sz w:val="20"/>
                <w:szCs w:val="20"/>
              </w:rPr>
            </w:pPr>
            <w:r w:rsidRPr="00B54BD9">
              <w:rPr>
                <w:b/>
                <w:bCs/>
                <w:sz w:val="20"/>
                <w:szCs w:val="20"/>
              </w:rPr>
              <w:t>Total Annual Responses</w:t>
            </w:r>
          </w:p>
        </w:tc>
        <w:tc>
          <w:tcPr>
            <w:tcW w:w="1440" w:type="dxa"/>
            <w:shd w:val="clear" w:color="auto" w:fill="D9D9D9" w:themeFill="background1" w:themeFillShade="D9"/>
            <w:hideMark/>
          </w:tcPr>
          <w:p w:rsidR="00CD4F9F" w:rsidRPr="00B54BD9" w:rsidP="00D41D5A" w14:paraId="5FBBAF71" w14:textId="77777777">
            <w:pPr>
              <w:jc w:val="center"/>
              <w:rPr>
                <w:b/>
                <w:bCs/>
                <w:sz w:val="20"/>
                <w:szCs w:val="20"/>
              </w:rPr>
            </w:pPr>
            <w:r w:rsidRPr="00B54BD9">
              <w:rPr>
                <w:b/>
                <w:bCs/>
                <w:sz w:val="20"/>
                <w:szCs w:val="20"/>
              </w:rPr>
              <w:t>Average Burden per Response</w:t>
            </w:r>
          </w:p>
          <w:p w:rsidR="00657905" w:rsidRPr="00B54BD9" w:rsidP="00D41D5A" w14:paraId="3AC5EAC4" w14:textId="1987B848">
            <w:pPr>
              <w:jc w:val="center"/>
              <w:rPr>
                <w:b/>
                <w:bCs/>
                <w:sz w:val="20"/>
                <w:szCs w:val="20"/>
              </w:rPr>
            </w:pPr>
            <w:r w:rsidRPr="00B54BD9">
              <w:rPr>
                <w:b/>
                <w:bCs/>
                <w:sz w:val="20"/>
                <w:szCs w:val="20"/>
              </w:rPr>
              <w:t>(</w:t>
            </w:r>
            <w:r w:rsidRPr="00B54BD9" w:rsidR="00814B51">
              <w:rPr>
                <w:b/>
                <w:bCs/>
                <w:sz w:val="20"/>
                <w:szCs w:val="20"/>
              </w:rPr>
              <w:t>In</w:t>
            </w:r>
            <w:r w:rsidRPr="00B54BD9">
              <w:rPr>
                <w:b/>
                <w:bCs/>
                <w:sz w:val="20"/>
                <w:szCs w:val="20"/>
              </w:rPr>
              <w:t xml:space="preserve"> hours)</w:t>
            </w:r>
          </w:p>
        </w:tc>
        <w:tc>
          <w:tcPr>
            <w:tcW w:w="990" w:type="dxa"/>
            <w:shd w:val="clear" w:color="auto" w:fill="D9D9D9" w:themeFill="background1" w:themeFillShade="D9"/>
            <w:hideMark/>
          </w:tcPr>
          <w:p w:rsidR="00CD4F9F" w:rsidRPr="00B54BD9" w:rsidP="00D41D5A" w14:paraId="55CC3054" w14:textId="77777777">
            <w:pPr>
              <w:jc w:val="center"/>
              <w:rPr>
                <w:b/>
                <w:bCs/>
                <w:sz w:val="20"/>
                <w:szCs w:val="20"/>
              </w:rPr>
            </w:pPr>
            <w:r w:rsidRPr="00B54BD9">
              <w:rPr>
                <w:b/>
                <w:bCs/>
                <w:sz w:val="20"/>
                <w:szCs w:val="20"/>
              </w:rPr>
              <w:t>Total Hours</w:t>
            </w:r>
          </w:p>
        </w:tc>
      </w:tr>
      <w:tr w14:paraId="12D77911" w14:textId="77777777" w:rsidTr="008E411B">
        <w:tblPrEx>
          <w:tblW w:w="9360" w:type="dxa"/>
          <w:tblInd w:w="-15" w:type="dxa"/>
          <w:tblLayout w:type="fixed"/>
          <w:tblCellMar>
            <w:left w:w="0" w:type="dxa"/>
            <w:right w:w="0" w:type="dxa"/>
          </w:tblCellMar>
          <w:tblLook w:val="01E0"/>
        </w:tblPrEx>
        <w:trPr>
          <w:trHeight w:hRule="exact" w:val="572"/>
        </w:trPr>
        <w:tc>
          <w:tcPr>
            <w:tcW w:w="3150" w:type="dxa"/>
            <w:hideMark/>
          </w:tcPr>
          <w:p w:rsidR="00CD4F9F" w:rsidRPr="00397E50" w:rsidP="00D41D5A" w14:paraId="25A5E126" w14:textId="77777777">
            <w:pPr>
              <w:rPr>
                <w:sz w:val="20"/>
                <w:szCs w:val="20"/>
              </w:rPr>
            </w:pPr>
            <w:r w:rsidRPr="00397E50">
              <w:rPr>
                <w:sz w:val="20"/>
                <w:szCs w:val="20"/>
              </w:rPr>
              <w:t>Individual In-Depth Interviews</w:t>
            </w:r>
          </w:p>
        </w:tc>
        <w:tc>
          <w:tcPr>
            <w:tcW w:w="1350" w:type="dxa"/>
            <w:hideMark/>
          </w:tcPr>
          <w:p w:rsidR="00CD4F9F" w:rsidRPr="00397E50" w:rsidP="00D41D5A" w14:paraId="67BB2DD1" w14:textId="77777777">
            <w:pPr>
              <w:jc w:val="right"/>
              <w:rPr>
                <w:sz w:val="20"/>
                <w:szCs w:val="20"/>
              </w:rPr>
            </w:pPr>
            <w:r w:rsidRPr="00397E50">
              <w:rPr>
                <w:sz w:val="20"/>
              </w:rPr>
              <w:t>820</w:t>
            </w:r>
          </w:p>
        </w:tc>
        <w:tc>
          <w:tcPr>
            <w:tcW w:w="1260" w:type="dxa"/>
            <w:hideMark/>
          </w:tcPr>
          <w:p w:rsidR="00CD4F9F" w:rsidRPr="00397E50" w:rsidP="00D41D5A" w14:paraId="12D9A1EA" w14:textId="77777777">
            <w:pPr>
              <w:jc w:val="right"/>
              <w:rPr>
                <w:sz w:val="20"/>
                <w:szCs w:val="20"/>
              </w:rPr>
            </w:pPr>
            <w:r w:rsidRPr="00397E50">
              <w:rPr>
                <w:sz w:val="20"/>
                <w:szCs w:val="20"/>
              </w:rPr>
              <w:t>1</w:t>
            </w:r>
          </w:p>
        </w:tc>
        <w:tc>
          <w:tcPr>
            <w:tcW w:w="1170" w:type="dxa"/>
            <w:hideMark/>
          </w:tcPr>
          <w:p w:rsidR="00CD4F9F" w:rsidRPr="00397E50" w:rsidP="00D41D5A" w14:paraId="42255291" w14:textId="77777777">
            <w:pPr>
              <w:jc w:val="right"/>
              <w:rPr>
                <w:sz w:val="20"/>
                <w:szCs w:val="20"/>
              </w:rPr>
            </w:pPr>
            <w:r w:rsidRPr="00397E50">
              <w:rPr>
                <w:sz w:val="20"/>
                <w:szCs w:val="20"/>
              </w:rPr>
              <w:t>820</w:t>
            </w:r>
          </w:p>
        </w:tc>
        <w:tc>
          <w:tcPr>
            <w:tcW w:w="1440" w:type="dxa"/>
            <w:hideMark/>
          </w:tcPr>
          <w:p w:rsidR="00657905" w:rsidRPr="00397E50" w:rsidP="00D41D5A" w14:paraId="6DF8EF53" w14:textId="77777777">
            <w:pPr>
              <w:jc w:val="right"/>
              <w:rPr>
                <w:sz w:val="20"/>
                <w:szCs w:val="20"/>
              </w:rPr>
            </w:pPr>
            <w:r w:rsidRPr="00397E50">
              <w:rPr>
                <w:sz w:val="20"/>
                <w:szCs w:val="20"/>
              </w:rPr>
              <w:t>0.75</w:t>
            </w:r>
            <w:r w:rsidRPr="00397E50">
              <w:rPr>
                <w:sz w:val="20"/>
                <w:szCs w:val="20"/>
              </w:rPr>
              <w:t xml:space="preserve"> </w:t>
            </w:r>
          </w:p>
          <w:p w:rsidR="00CD4F9F" w:rsidRPr="00397E50" w:rsidP="00D41D5A" w14:paraId="44A7D24E" w14:textId="3D4DD534">
            <w:pPr>
              <w:jc w:val="right"/>
              <w:rPr>
                <w:sz w:val="20"/>
                <w:szCs w:val="20"/>
              </w:rPr>
            </w:pPr>
            <w:r w:rsidRPr="00397E50">
              <w:rPr>
                <w:sz w:val="20"/>
                <w:szCs w:val="20"/>
              </w:rPr>
              <w:t>(45 min</w:t>
            </w:r>
            <w:r w:rsidRPr="00397E50" w:rsidR="00657905">
              <w:rPr>
                <w:sz w:val="20"/>
                <w:szCs w:val="20"/>
              </w:rPr>
              <w:t>utes</w:t>
            </w:r>
            <w:r w:rsidRPr="00397E50">
              <w:rPr>
                <w:sz w:val="20"/>
                <w:szCs w:val="20"/>
              </w:rPr>
              <w:t>)</w:t>
            </w:r>
          </w:p>
        </w:tc>
        <w:tc>
          <w:tcPr>
            <w:tcW w:w="990" w:type="dxa"/>
            <w:hideMark/>
          </w:tcPr>
          <w:p w:rsidR="00CD4F9F" w:rsidRPr="00397E50" w:rsidP="00D41D5A" w14:paraId="753BD140" w14:textId="77777777">
            <w:pPr>
              <w:jc w:val="right"/>
              <w:rPr>
                <w:sz w:val="20"/>
                <w:szCs w:val="20"/>
              </w:rPr>
            </w:pPr>
            <w:r w:rsidRPr="00397E50">
              <w:rPr>
                <w:sz w:val="20"/>
                <w:szCs w:val="20"/>
              </w:rPr>
              <w:t>615</w:t>
            </w:r>
          </w:p>
        </w:tc>
      </w:tr>
      <w:tr w14:paraId="0AA7FC9C" w14:textId="77777777" w:rsidTr="008E411B">
        <w:tblPrEx>
          <w:tblW w:w="9360" w:type="dxa"/>
          <w:tblInd w:w="-15" w:type="dxa"/>
          <w:tblLayout w:type="fixed"/>
          <w:tblCellMar>
            <w:left w:w="0" w:type="dxa"/>
            <w:right w:w="0" w:type="dxa"/>
          </w:tblCellMar>
          <w:tblLook w:val="01E0"/>
        </w:tblPrEx>
        <w:trPr>
          <w:trHeight w:hRule="exact" w:val="572"/>
        </w:trPr>
        <w:tc>
          <w:tcPr>
            <w:tcW w:w="3150" w:type="dxa"/>
            <w:hideMark/>
          </w:tcPr>
          <w:p w:rsidR="00CD4F9F" w:rsidRPr="00397E50" w:rsidP="00D41D5A" w14:paraId="6F4C3B8B" w14:textId="77777777">
            <w:pPr>
              <w:rPr>
                <w:sz w:val="20"/>
                <w:szCs w:val="20"/>
              </w:rPr>
            </w:pPr>
            <w:r w:rsidRPr="00397E50">
              <w:rPr>
                <w:sz w:val="20"/>
                <w:szCs w:val="20"/>
              </w:rPr>
              <w:t>General Public Focus Group Interviews</w:t>
            </w:r>
          </w:p>
        </w:tc>
        <w:tc>
          <w:tcPr>
            <w:tcW w:w="1350" w:type="dxa"/>
            <w:hideMark/>
          </w:tcPr>
          <w:p w:rsidR="00CD4F9F" w:rsidRPr="00397E50" w:rsidP="00D41D5A" w14:paraId="5A953071" w14:textId="1A0997EF">
            <w:pPr>
              <w:jc w:val="right"/>
              <w:rPr>
                <w:sz w:val="20"/>
                <w:szCs w:val="20"/>
              </w:rPr>
            </w:pPr>
            <w:r w:rsidRPr="00397E50">
              <w:rPr>
                <w:sz w:val="20"/>
                <w:szCs w:val="20"/>
              </w:rPr>
              <w:t>1500</w:t>
            </w:r>
          </w:p>
        </w:tc>
        <w:tc>
          <w:tcPr>
            <w:tcW w:w="1260" w:type="dxa"/>
            <w:hideMark/>
          </w:tcPr>
          <w:p w:rsidR="00CD4F9F" w:rsidRPr="00397E50" w:rsidP="00D41D5A" w14:paraId="28703D16" w14:textId="77777777">
            <w:pPr>
              <w:jc w:val="right"/>
              <w:rPr>
                <w:sz w:val="20"/>
                <w:szCs w:val="20"/>
              </w:rPr>
            </w:pPr>
            <w:r w:rsidRPr="00397E50">
              <w:rPr>
                <w:sz w:val="20"/>
                <w:szCs w:val="20"/>
              </w:rPr>
              <w:t>1</w:t>
            </w:r>
          </w:p>
        </w:tc>
        <w:tc>
          <w:tcPr>
            <w:tcW w:w="1170" w:type="dxa"/>
            <w:hideMark/>
          </w:tcPr>
          <w:p w:rsidR="00CD4F9F" w:rsidRPr="00397E50" w:rsidP="00D41D5A" w14:paraId="74E44D41" w14:textId="7D167B65">
            <w:pPr>
              <w:jc w:val="right"/>
              <w:rPr>
                <w:sz w:val="20"/>
                <w:szCs w:val="20"/>
              </w:rPr>
            </w:pPr>
            <w:r w:rsidRPr="00397E50">
              <w:rPr>
                <w:sz w:val="20"/>
                <w:szCs w:val="20"/>
              </w:rPr>
              <w:t>1500</w:t>
            </w:r>
          </w:p>
        </w:tc>
        <w:tc>
          <w:tcPr>
            <w:tcW w:w="1440" w:type="dxa"/>
            <w:hideMark/>
          </w:tcPr>
          <w:p w:rsidR="00657905" w:rsidRPr="00397E50" w:rsidP="00D41D5A" w14:paraId="2F9CFE0B" w14:textId="77777777">
            <w:pPr>
              <w:jc w:val="right"/>
              <w:rPr>
                <w:sz w:val="20"/>
                <w:szCs w:val="20"/>
              </w:rPr>
            </w:pPr>
            <w:r w:rsidRPr="00397E50">
              <w:rPr>
                <w:sz w:val="20"/>
                <w:szCs w:val="20"/>
              </w:rPr>
              <w:t>1.50</w:t>
            </w:r>
            <w:r w:rsidRPr="00397E50">
              <w:rPr>
                <w:sz w:val="20"/>
                <w:szCs w:val="20"/>
              </w:rPr>
              <w:t xml:space="preserve"> </w:t>
            </w:r>
          </w:p>
          <w:p w:rsidR="00CD4F9F" w:rsidRPr="00397E50" w:rsidP="00D41D5A" w14:paraId="196E037C" w14:textId="0E856C6B">
            <w:pPr>
              <w:jc w:val="right"/>
              <w:rPr>
                <w:sz w:val="20"/>
                <w:szCs w:val="20"/>
              </w:rPr>
            </w:pPr>
            <w:r w:rsidRPr="00397E50">
              <w:rPr>
                <w:sz w:val="20"/>
                <w:szCs w:val="20"/>
              </w:rPr>
              <w:t>(90 min</w:t>
            </w:r>
            <w:r w:rsidRPr="00397E50" w:rsidR="00657905">
              <w:rPr>
                <w:sz w:val="20"/>
                <w:szCs w:val="20"/>
              </w:rPr>
              <w:t>utes</w:t>
            </w:r>
            <w:r w:rsidRPr="00397E50">
              <w:rPr>
                <w:sz w:val="20"/>
                <w:szCs w:val="20"/>
              </w:rPr>
              <w:t>)</w:t>
            </w:r>
          </w:p>
        </w:tc>
        <w:tc>
          <w:tcPr>
            <w:tcW w:w="990" w:type="dxa"/>
            <w:hideMark/>
          </w:tcPr>
          <w:p w:rsidR="00CD4F9F" w:rsidRPr="00397E50" w:rsidP="00D41D5A" w14:paraId="2C887973" w14:textId="6288CE25">
            <w:pPr>
              <w:jc w:val="right"/>
              <w:rPr>
                <w:sz w:val="20"/>
                <w:szCs w:val="20"/>
              </w:rPr>
            </w:pPr>
            <w:r w:rsidRPr="00397E50">
              <w:rPr>
                <w:sz w:val="20"/>
                <w:szCs w:val="20"/>
              </w:rPr>
              <w:t>2,250</w:t>
            </w:r>
          </w:p>
        </w:tc>
      </w:tr>
      <w:tr w14:paraId="5775AB1A" w14:textId="77777777" w:rsidTr="008E411B">
        <w:tblPrEx>
          <w:tblW w:w="9360" w:type="dxa"/>
          <w:tblInd w:w="-15" w:type="dxa"/>
          <w:tblLayout w:type="fixed"/>
          <w:tblCellMar>
            <w:left w:w="0" w:type="dxa"/>
            <w:right w:w="0" w:type="dxa"/>
          </w:tblCellMar>
          <w:tblLook w:val="01E0"/>
        </w:tblPrEx>
        <w:trPr>
          <w:trHeight w:hRule="exact" w:val="572"/>
        </w:trPr>
        <w:tc>
          <w:tcPr>
            <w:tcW w:w="3150" w:type="dxa"/>
            <w:hideMark/>
          </w:tcPr>
          <w:p w:rsidR="00CD4F9F" w:rsidRPr="00397E50" w:rsidP="00D41D5A" w14:paraId="1034F6ED" w14:textId="77777777">
            <w:pPr>
              <w:rPr>
                <w:sz w:val="20"/>
                <w:szCs w:val="20"/>
              </w:rPr>
            </w:pPr>
            <w:r w:rsidRPr="00397E50">
              <w:rPr>
                <w:sz w:val="20"/>
                <w:szCs w:val="20"/>
              </w:rPr>
              <w:t>Intercept Interviews: Telephone</w:t>
            </w:r>
          </w:p>
        </w:tc>
        <w:tc>
          <w:tcPr>
            <w:tcW w:w="1350" w:type="dxa"/>
            <w:hideMark/>
          </w:tcPr>
          <w:p w:rsidR="00CD4F9F" w:rsidRPr="00397E50" w:rsidP="00D41D5A" w14:paraId="5AF19B91" w14:textId="77777777">
            <w:pPr>
              <w:jc w:val="right"/>
              <w:rPr>
                <w:sz w:val="20"/>
                <w:szCs w:val="20"/>
              </w:rPr>
            </w:pPr>
            <w:r w:rsidRPr="00397E50">
              <w:rPr>
                <w:sz w:val="20"/>
                <w:szCs w:val="20"/>
              </w:rPr>
              <w:t>15,900</w:t>
            </w:r>
          </w:p>
        </w:tc>
        <w:tc>
          <w:tcPr>
            <w:tcW w:w="1260" w:type="dxa"/>
            <w:hideMark/>
          </w:tcPr>
          <w:p w:rsidR="00CD4F9F" w:rsidRPr="00397E50" w:rsidP="00D41D5A" w14:paraId="01E9EFBB" w14:textId="77777777">
            <w:pPr>
              <w:jc w:val="right"/>
              <w:rPr>
                <w:sz w:val="20"/>
                <w:szCs w:val="20"/>
              </w:rPr>
            </w:pPr>
            <w:r w:rsidRPr="00397E50">
              <w:rPr>
                <w:sz w:val="20"/>
                <w:szCs w:val="20"/>
              </w:rPr>
              <w:t>1</w:t>
            </w:r>
          </w:p>
        </w:tc>
        <w:tc>
          <w:tcPr>
            <w:tcW w:w="1170" w:type="dxa"/>
            <w:hideMark/>
          </w:tcPr>
          <w:p w:rsidR="00CD4F9F" w:rsidRPr="00397E50" w:rsidP="00D41D5A" w14:paraId="069E9B8C" w14:textId="77777777">
            <w:pPr>
              <w:jc w:val="right"/>
              <w:rPr>
                <w:sz w:val="20"/>
                <w:szCs w:val="20"/>
              </w:rPr>
            </w:pPr>
            <w:r w:rsidRPr="00397E50">
              <w:rPr>
                <w:sz w:val="20"/>
                <w:szCs w:val="20"/>
              </w:rPr>
              <w:t>15,900</w:t>
            </w:r>
          </w:p>
        </w:tc>
        <w:tc>
          <w:tcPr>
            <w:tcW w:w="1440" w:type="dxa"/>
            <w:hideMark/>
          </w:tcPr>
          <w:p w:rsidR="00657905" w:rsidRPr="00397E50" w:rsidP="00D41D5A" w14:paraId="2E015F90" w14:textId="77777777">
            <w:pPr>
              <w:jc w:val="right"/>
              <w:rPr>
                <w:sz w:val="20"/>
                <w:szCs w:val="20"/>
              </w:rPr>
            </w:pPr>
            <w:r w:rsidRPr="00397E50">
              <w:rPr>
                <w:sz w:val="20"/>
                <w:szCs w:val="20"/>
              </w:rPr>
              <w:t>0.08</w:t>
            </w:r>
            <w:r w:rsidRPr="00397E50">
              <w:rPr>
                <w:sz w:val="20"/>
                <w:szCs w:val="20"/>
              </w:rPr>
              <w:t xml:space="preserve"> </w:t>
            </w:r>
          </w:p>
          <w:p w:rsidR="00CD4F9F" w:rsidRPr="00397E50" w:rsidP="00D41D5A" w14:paraId="68E0F538" w14:textId="4AAA1139">
            <w:pPr>
              <w:jc w:val="right"/>
              <w:rPr>
                <w:sz w:val="20"/>
                <w:szCs w:val="20"/>
              </w:rPr>
            </w:pPr>
            <w:r w:rsidRPr="00397E50">
              <w:rPr>
                <w:sz w:val="20"/>
                <w:szCs w:val="20"/>
              </w:rPr>
              <w:t>(5 min</w:t>
            </w:r>
            <w:r w:rsidRPr="00397E50" w:rsidR="00657905">
              <w:rPr>
                <w:sz w:val="20"/>
                <w:szCs w:val="20"/>
              </w:rPr>
              <w:t>utes</w:t>
            </w:r>
            <w:r w:rsidRPr="00397E50">
              <w:rPr>
                <w:sz w:val="20"/>
                <w:szCs w:val="20"/>
              </w:rPr>
              <w:t>)</w:t>
            </w:r>
          </w:p>
        </w:tc>
        <w:tc>
          <w:tcPr>
            <w:tcW w:w="990" w:type="dxa"/>
            <w:hideMark/>
          </w:tcPr>
          <w:p w:rsidR="00CD4F9F" w:rsidRPr="00397E50" w:rsidP="00D41D5A" w14:paraId="192C66EF" w14:textId="2E829AE5">
            <w:pPr>
              <w:jc w:val="right"/>
              <w:rPr>
                <w:sz w:val="20"/>
                <w:szCs w:val="20"/>
              </w:rPr>
            </w:pPr>
            <w:r w:rsidRPr="00397E50">
              <w:rPr>
                <w:sz w:val="20"/>
                <w:szCs w:val="20"/>
              </w:rPr>
              <w:t>1,27</w:t>
            </w:r>
            <w:r w:rsidR="002D287A">
              <w:rPr>
                <w:sz w:val="20"/>
                <w:szCs w:val="20"/>
              </w:rPr>
              <w:t>2</w:t>
            </w:r>
          </w:p>
        </w:tc>
      </w:tr>
      <w:tr w14:paraId="524EDDEE" w14:textId="77777777" w:rsidTr="008E411B">
        <w:tblPrEx>
          <w:tblW w:w="9360" w:type="dxa"/>
          <w:tblInd w:w="-15" w:type="dxa"/>
          <w:tblLayout w:type="fixed"/>
          <w:tblCellMar>
            <w:left w:w="0" w:type="dxa"/>
            <w:right w:w="0" w:type="dxa"/>
          </w:tblCellMar>
          <w:tblLook w:val="01E0"/>
        </w:tblPrEx>
        <w:trPr>
          <w:trHeight w:hRule="exact" w:val="572"/>
        </w:trPr>
        <w:tc>
          <w:tcPr>
            <w:tcW w:w="3150" w:type="dxa"/>
            <w:hideMark/>
          </w:tcPr>
          <w:p w:rsidR="00CD4F9F" w:rsidRPr="00397E50" w:rsidP="00D41D5A" w14:paraId="5831DAD6" w14:textId="77777777">
            <w:pPr>
              <w:rPr>
                <w:sz w:val="20"/>
              </w:rPr>
            </w:pPr>
            <w:r w:rsidRPr="00397E50">
              <w:rPr>
                <w:sz w:val="20"/>
              </w:rPr>
              <w:t>Self-Administered Surveys</w:t>
            </w:r>
          </w:p>
        </w:tc>
        <w:tc>
          <w:tcPr>
            <w:tcW w:w="1350" w:type="dxa"/>
            <w:hideMark/>
          </w:tcPr>
          <w:p w:rsidR="00CD4F9F" w:rsidRPr="00397E50" w:rsidP="00D41D5A" w14:paraId="0BA52E25" w14:textId="3421990D">
            <w:pPr>
              <w:jc w:val="right"/>
              <w:rPr>
                <w:sz w:val="20"/>
              </w:rPr>
            </w:pPr>
            <w:r w:rsidRPr="00397E50">
              <w:rPr>
                <w:sz w:val="20"/>
                <w:szCs w:val="20"/>
              </w:rPr>
              <w:t>22,300</w:t>
            </w:r>
          </w:p>
        </w:tc>
        <w:tc>
          <w:tcPr>
            <w:tcW w:w="1260" w:type="dxa"/>
            <w:hideMark/>
          </w:tcPr>
          <w:p w:rsidR="00CD4F9F" w:rsidRPr="00397E50" w:rsidP="00D41D5A" w14:paraId="5AE7F238" w14:textId="77777777">
            <w:pPr>
              <w:jc w:val="right"/>
              <w:rPr>
                <w:sz w:val="20"/>
              </w:rPr>
            </w:pPr>
            <w:r w:rsidRPr="00397E50">
              <w:rPr>
                <w:sz w:val="20"/>
              </w:rPr>
              <w:t>1</w:t>
            </w:r>
          </w:p>
        </w:tc>
        <w:tc>
          <w:tcPr>
            <w:tcW w:w="1170" w:type="dxa"/>
            <w:hideMark/>
          </w:tcPr>
          <w:p w:rsidR="00CD4F9F" w:rsidRPr="00397E50" w:rsidP="00D41D5A" w14:paraId="0F4431B4" w14:textId="07F95188">
            <w:pPr>
              <w:jc w:val="right"/>
              <w:rPr>
                <w:sz w:val="20"/>
              </w:rPr>
            </w:pPr>
            <w:r w:rsidRPr="00397E50">
              <w:rPr>
                <w:sz w:val="20"/>
                <w:szCs w:val="20"/>
              </w:rPr>
              <w:t>22,300</w:t>
            </w:r>
          </w:p>
        </w:tc>
        <w:tc>
          <w:tcPr>
            <w:tcW w:w="1440" w:type="dxa"/>
            <w:hideMark/>
          </w:tcPr>
          <w:p w:rsidR="00657905" w:rsidRPr="00397E50" w:rsidP="00D41D5A" w14:paraId="6DD793D9" w14:textId="77777777">
            <w:pPr>
              <w:jc w:val="right"/>
              <w:rPr>
                <w:sz w:val="20"/>
                <w:szCs w:val="20"/>
              </w:rPr>
            </w:pPr>
            <w:r w:rsidRPr="00397E50">
              <w:rPr>
                <w:sz w:val="20"/>
              </w:rPr>
              <w:t>0.</w:t>
            </w:r>
            <w:r w:rsidRPr="00397E50" w:rsidR="008C6C10">
              <w:rPr>
                <w:sz w:val="20"/>
                <w:szCs w:val="20"/>
              </w:rPr>
              <w:t>33</w:t>
            </w:r>
            <w:r w:rsidRPr="00397E50">
              <w:rPr>
                <w:sz w:val="20"/>
                <w:szCs w:val="20"/>
              </w:rPr>
              <w:t xml:space="preserve"> </w:t>
            </w:r>
          </w:p>
          <w:p w:rsidR="00CD4F9F" w:rsidRPr="00397E50" w:rsidP="00D41D5A" w14:paraId="3F0254E4" w14:textId="209E23FE">
            <w:pPr>
              <w:jc w:val="right"/>
              <w:rPr>
                <w:sz w:val="20"/>
              </w:rPr>
            </w:pPr>
            <w:r w:rsidRPr="00397E50">
              <w:rPr>
                <w:sz w:val="20"/>
              </w:rPr>
              <w:t>(</w:t>
            </w:r>
            <w:r w:rsidRPr="00397E50" w:rsidR="00D85D64">
              <w:rPr>
                <w:sz w:val="20"/>
                <w:szCs w:val="20"/>
              </w:rPr>
              <w:t>20</w:t>
            </w:r>
            <w:r w:rsidRPr="00397E50">
              <w:rPr>
                <w:sz w:val="20"/>
              </w:rPr>
              <w:t xml:space="preserve"> min</w:t>
            </w:r>
            <w:r w:rsidRPr="00397E50" w:rsidR="00657905">
              <w:rPr>
                <w:sz w:val="20"/>
              </w:rPr>
              <w:t>utes</w:t>
            </w:r>
            <w:r w:rsidRPr="00397E50">
              <w:rPr>
                <w:sz w:val="20"/>
              </w:rPr>
              <w:t>)</w:t>
            </w:r>
          </w:p>
        </w:tc>
        <w:tc>
          <w:tcPr>
            <w:tcW w:w="990" w:type="dxa"/>
            <w:hideMark/>
          </w:tcPr>
          <w:p w:rsidR="00CD4F9F" w:rsidRPr="00397E50" w:rsidP="00D41D5A" w14:paraId="577F8645" w14:textId="3A299806">
            <w:pPr>
              <w:jc w:val="right"/>
              <w:rPr>
                <w:sz w:val="20"/>
              </w:rPr>
            </w:pPr>
            <w:r w:rsidRPr="00397E50">
              <w:rPr>
                <w:sz w:val="20"/>
                <w:szCs w:val="20"/>
              </w:rPr>
              <w:t>7,359</w:t>
            </w:r>
          </w:p>
        </w:tc>
      </w:tr>
      <w:tr w14:paraId="21963088" w14:textId="77777777" w:rsidTr="008E411B">
        <w:tblPrEx>
          <w:tblW w:w="9360" w:type="dxa"/>
          <w:tblInd w:w="-15" w:type="dxa"/>
          <w:tblLayout w:type="fixed"/>
          <w:tblCellMar>
            <w:left w:w="0" w:type="dxa"/>
            <w:right w:w="0" w:type="dxa"/>
          </w:tblCellMar>
          <w:tblLook w:val="01E0"/>
        </w:tblPrEx>
        <w:trPr>
          <w:trHeight w:hRule="exact" w:val="571"/>
        </w:trPr>
        <w:tc>
          <w:tcPr>
            <w:tcW w:w="3150" w:type="dxa"/>
            <w:hideMark/>
          </w:tcPr>
          <w:p w:rsidR="00CD4F9F" w:rsidRPr="00397E50" w:rsidP="00D41D5A" w14:paraId="36A4DDA3" w14:textId="77777777">
            <w:pPr>
              <w:rPr>
                <w:sz w:val="20"/>
                <w:szCs w:val="20"/>
              </w:rPr>
            </w:pPr>
            <w:r w:rsidRPr="00397E50">
              <w:rPr>
                <w:sz w:val="20"/>
                <w:szCs w:val="20"/>
              </w:rPr>
              <w:t>Gatekeeper Reviews</w:t>
            </w:r>
          </w:p>
        </w:tc>
        <w:tc>
          <w:tcPr>
            <w:tcW w:w="1350" w:type="dxa"/>
            <w:hideMark/>
          </w:tcPr>
          <w:p w:rsidR="00CD4F9F" w:rsidRPr="00397E50" w:rsidP="00D41D5A" w14:paraId="6DD77873" w14:textId="77777777">
            <w:pPr>
              <w:jc w:val="right"/>
              <w:rPr>
                <w:sz w:val="20"/>
                <w:szCs w:val="20"/>
              </w:rPr>
            </w:pPr>
            <w:r w:rsidRPr="00397E50">
              <w:rPr>
                <w:sz w:val="20"/>
                <w:szCs w:val="20"/>
              </w:rPr>
              <w:t>1,000</w:t>
            </w:r>
          </w:p>
        </w:tc>
        <w:tc>
          <w:tcPr>
            <w:tcW w:w="1260" w:type="dxa"/>
            <w:hideMark/>
          </w:tcPr>
          <w:p w:rsidR="00CD4F9F" w:rsidRPr="00397E50" w:rsidP="00D41D5A" w14:paraId="7E34C37E" w14:textId="77777777">
            <w:pPr>
              <w:jc w:val="right"/>
              <w:rPr>
                <w:sz w:val="20"/>
                <w:szCs w:val="20"/>
              </w:rPr>
            </w:pPr>
            <w:r w:rsidRPr="00397E50">
              <w:rPr>
                <w:sz w:val="20"/>
                <w:szCs w:val="20"/>
              </w:rPr>
              <w:t>1</w:t>
            </w:r>
          </w:p>
        </w:tc>
        <w:tc>
          <w:tcPr>
            <w:tcW w:w="1170" w:type="dxa"/>
            <w:hideMark/>
          </w:tcPr>
          <w:p w:rsidR="00CD4F9F" w:rsidRPr="00397E50" w:rsidP="00D41D5A" w14:paraId="493CB262" w14:textId="77777777">
            <w:pPr>
              <w:jc w:val="right"/>
              <w:rPr>
                <w:sz w:val="20"/>
                <w:szCs w:val="20"/>
              </w:rPr>
            </w:pPr>
            <w:r w:rsidRPr="00397E50">
              <w:rPr>
                <w:sz w:val="20"/>
                <w:szCs w:val="20"/>
              </w:rPr>
              <w:t>1,000</w:t>
            </w:r>
          </w:p>
        </w:tc>
        <w:tc>
          <w:tcPr>
            <w:tcW w:w="1440" w:type="dxa"/>
            <w:hideMark/>
          </w:tcPr>
          <w:p w:rsidR="00657905" w:rsidRPr="00397E50" w:rsidP="00D41D5A" w14:paraId="61C9C109" w14:textId="77777777">
            <w:pPr>
              <w:jc w:val="right"/>
              <w:rPr>
                <w:sz w:val="20"/>
                <w:szCs w:val="20"/>
              </w:rPr>
            </w:pPr>
            <w:r w:rsidRPr="00397E50">
              <w:rPr>
                <w:sz w:val="20"/>
                <w:szCs w:val="20"/>
              </w:rPr>
              <w:t>0.50</w:t>
            </w:r>
            <w:r w:rsidRPr="00397E50">
              <w:rPr>
                <w:sz w:val="20"/>
                <w:szCs w:val="20"/>
              </w:rPr>
              <w:t xml:space="preserve"> </w:t>
            </w:r>
          </w:p>
          <w:p w:rsidR="00CD4F9F" w:rsidRPr="00397E50" w:rsidP="00D41D5A" w14:paraId="2766D4A8" w14:textId="7158077F">
            <w:pPr>
              <w:jc w:val="right"/>
              <w:rPr>
                <w:sz w:val="20"/>
                <w:szCs w:val="20"/>
              </w:rPr>
            </w:pPr>
            <w:r w:rsidRPr="00397E50">
              <w:rPr>
                <w:sz w:val="20"/>
                <w:szCs w:val="20"/>
              </w:rPr>
              <w:t>(30 min</w:t>
            </w:r>
            <w:r w:rsidRPr="00397E50" w:rsidR="00657905">
              <w:rPr>
                <w:sz w:val="20"/>
                <w:szCs w:val="20"/>
              </w:rPr>
              <w:t>utes</w:t>
            </w:r>
            <w:r w:rsidRPr="00397E50">
              <w:rPr>
                <w:sz w:val="20"/>
                <w:szCs w:val="20"/>
              </w:rPr>
              <w:t>)</w:t>
            </w:r>
          </w:p>
        </w:tc>
        <w:tc>
          <w:tcPr>
            <w:tcW w:w="990" w:type="dxa"/>
            <w:hideMark/>
          </w:tcPr>
          <w:p w:rsidR="00CD4F9F" w:rsidRPr="00397E50" w:rsidP="00D41D5A" w14:paraId="2EF90088" w14:textId="77777777">
            <w:pPr>
              <w:jc w:val="right"/>
              <w:rPr>
                <w:sz w:val="20"/>
                <w:szCs w:val="20"/>
              </w:rPr>
            </w:pPr>
            <w:r w:rsidRPr="00397E50">
              <w:rPr>
                <w:sz w:val="20"/>
                <w:szCs w:val="20"/>
              </w:rPr>
              <w:t>500</w:t>
            </w:r>
          </w:p>
        </w:tc>
      </w:tr>
      <w:tr w14:paraId="7426A952" w14:textId="77777777" w:rsidTr="00822E99">
        <w:tblPrEx>
          <w:tblW w:w="9360" w:type="dxa"/>
          <w:tblInd w:w="-15" w:type="dxa"/>
          <w:tblLayout w:type="fixed"/>
          <w:tblCellMar>
            <w:left w:w="0" w:type="dxa"/>
            <w:right w:w="0" w:type="dxa"/>
          </w:tblCellMar>
          <w:tblLook w:val="01E0"/>
        </w:tblPrEx>
        <w:trPr>
          <w:trHeight w:hRule="exact" w:val="572"/>
        </w:trPr>
        <w:tc>
          <w:tcPr>
            <w:tcW w:w="3150" w:type="dxa"/>
            <w:hideMark/>
          </w:tcPr>
          <w:p w:rsidR="00CD4F9F" w:rsidRPr="00397E50" w:rsidP="00D41D5A" w14:paraId="19D0A40E" w14:textId="77777777">
            <w:pPr>
              <w:rPr>
                <w:sz w:val="20"/>
                <w:szCs w:val="20"/>
              </w:rPr>
            </w:pPr>
            <w:r w:rsidRPr="00397E50">
              <w:rPr>
                <w:sz w:val="20"/>
                <w:szCs w:val="20"/>
              </w:rPr>
              <w:t>Omnibus Surveys</w:t>
            </w:r>
          </w:p>
        </w:tc>
        <w:tc>
          <w:tcPr>
            <w:tcW w:w="1350" w:type="dxa"/>
            <w:hideMark/>
          </w:tcPr>
          <w:p w:rsidR="00CD4F9F" w:rsidRPr="00397E50" w:rsidP="00D41D5A" w14:paraId="74326DF9" w14:textId="77777777">
            <w:pPr>
              <w:jc w:val="right"/>
              <w:rPr>
                <w:sz w:val="20"/>
                <w:szCs w:val="20"/>
              </w:rPr>
            </w:pPr>
            <w:r w:rsidRPr="00397E50">
              <w:rPr>
                <w:sz w:val="20"/>
                <w:szCs w:val="20"/>
              </w:rPr>
              <w:t>3,100</w:t>
            </w:r>
          </w:p>
        </w:tc>
        <w:tc>
          <w:tcPr>
            <w:tcW w:w="1260" w:type="dxa"/>
            <w:hideMark/>
          </w:tcPr>
          <w:p w:rsidR="00CD4F9F" w:rsidRPr="00397E50" w:rsidP="00D41D5A" w14:paraId="4DB1CED6" w14:textId="77777777">
            <w:pPr>
              <w:jc w:val="right"/>
              <w:rPr>
                <w:sz w:val="20"/>
                <w:szCs w:val="20"/>
              </w:rPr>
            </w:pPr>
            <w:r w:rsidRPr="00397E50">
              <w:rPr>
                <w:sz w:val="20"/>
                <w:szCs w:val="20"/>
              </w:rPr>
              <w:t>1</w:t>
            </w:r>
          </w:p>
        </w:tc>
        <w:tc>
          <w:tcPr>
            <w:tcW w:w="1170" w:type="dxa"/>
            <w:hideMark/>
          </w:tcPr>
          <w:p w:rsidR="00CD4F9F" w:rsidRPr="00397E50" w:rsidP="00D41D5A" w14:paraId="3958B871" w14:textId="77777777">
            <w:pPr>
              <w:jc w:val="right"/>
              <w:rPr>
                <w:sz w:val="20"/>
                <w:szCs w:val="20"/>
              </w:rPr>
            </w:pPr>
            <w:r w:rsidRPr="00397E50">
              <w:rPr>
                <w:sz w:val="20"/>
                <w:szCs w:val="20"/>
              </w:rPr>
              <w:t>3,100</w:t>
            </w:r>
          </w:p>
        </w:tc>
        <w:tc>
          <w:tcPr>
            <w:tcW w:w="1440" w:type="dxa"/>
          </w:tcPr>
          <w:p w:rsidR="00CD4F9F" w:rsidP="00D41D5A" w14:paraId="34D2661D" w14:textId="3C9CBAB2">
            <w:pPr>
              <w:jc w:val="right"/>
              <w:rPr>
                <w:sz w:val="20"/>
                <w:szCs w:val="20"/>
              </w:rPr>
            </w:pPr>
            <w:r>
              <w:rPr>
                <w:sz w:val="20"/>
                <w:szCs w:val="20"/>
              </w:rPr>
              <w:t>~</w:t>
            </w:r>
            <w:r w:rsidR="00822E99">
              <w:rPr>
                <w:sz w:val="20"/>
                <w:szCs w:val="20"/>
              </w:rPr>
              <w:t>0.</w:t>
            </w:r>
            <w:r w:rsidR="00A24D2E">
              <w:rPr>
                <w:sz w:val="20"/>
                <w:szCs w:val="20"/>
              </w:rPr>
              <w:t>38</w:t>
            </w:r>
          </w:p>
          <w:p w:rsidR="00A5279F" w:rsidRPr="00397E50" w:rsidP="00D41D5A" w14:paraId="2D0C1534" w14:textId="4864B365">
            <w:pPr>
              <w:jc w:val="right"/>
              <w:rPr>
                <w:sz w:val="20"/>
                <w:szCs w:val="20"/>
              </w:rPr>
            </w:pPr>
            <w:r>
              <w:rPr>
                <w:sz w:val="20"/>
                <w:szCs w:val="20"/>
              </w:rPr>
              <w:t>(23 minutes)</w:t>
            </w:r>
          </w:p>
        </w:tc>
        <w:tc>
          <w:tcPr>
            <w:tcW w:w="990" w:type="dxa"/>
          </w:tcPr>
          <w:p w:rsidR="00CD4F9F" w:rsidRPr="00397E50" w:rsidP="00D41D5A" w14:paraId="439632C6" w14:textId="0FABE978">
            <w:pPr>
              <w:jc w:val="right"/>
              <w:rPr>
                <w:sz w:val="20"/>
                <w:szCs w:val="20"/>
              </w:rPr>
            </w:pPr>
            <w:r>
              <w:rPr>
                <w:sz w:val="20"/>
                <w:szCs w:val="20"/>
              </w:rPr>
              <w:t>1,184</w:t>
            </w:r>
          </w:p>
        </w:tc>
      </w:tr>
      <w:tr w14:paraId="09964C42" w14:textId="77777777" w:rsidTr="008E411B">
        <w:tblPrEx>
          <w:tblW w:w="9360" w:type="dxa"/>
          <w:tblInd w:w="-15" w:type="dxa"/>
          <w:tblLayout w:type="fixed"/>
          <w:tblCellMar>
            <w:left w:w="0" w:type="dxa"/>
            <w:right w:w="0" w:type="dxa"/>
          </w:tblCellMar>
          <w:tblLook w:val="01E0"/>
        </w:tblPrEx>
        <w:trPr>
          <w:trHeight w:hRule="exact" w:val="316"/>
        </w:trPr>
        <w:tc>
          <w:tcPr>
            <w:tcW w:w="3150" w:type="dxa"/>
            <w:shd w:val="clear" w:color="auto" w:fill="auto"/>
            <w:hideMark/>
          </w:tcPr>
          <w:p w:rsidR="00CD4F9F" w:rsidRPr="00397E50" w:rsidP="00D41D5A" w14:paraId="0A3AB55D" w14:textId="77777777">
            <w:pPr>
              <w:rPr>
                <w:sz w:val="20"/>
                <w:szCs w:val="20"/>
              </w:rPr>
            </w:pPr>
            <w:r w:rsidRPr="00397E50">
              <w:rPr>
                <w:sz w:val="20"/>
                <w:szCs w:val="20"/>
              </w:rPr>
              <w:t>Total (General Public)</w:t>
            </w:r>
          </w:p>
        </w:tc>
        <w:tc>
          <w:tcPr>
            <w:tcW w:w="1350" w:type="dxa"/>
            <w:shd w:val="clear" w:color="auto" w:fill="auto"/>
          </w:tcPr>
          <w:p w:rsidR="00CD4F9F" w:rsidRPr="00397E50" w:rsidP="00D41D5A" w14:paraId="094C6CF5" w14:textId="529C8BD9">
            <w:pPr>
              <w:jc w:val="right"/>
              <w:rPr>
                <w:sz w:val="20"/>
                <w:szCs w:val="20"/>
              </w:rPr>
            </w:pPr>
          </w:p>
        </w:tc>
        <w:tc>
          <w:tcPr>
            <w:tcW w:w="1260" w:type="dxa"/>
            <w:shd w:val="clear" w:color="auto" w:fill="auto"/>
          </w:tcPr>
          <w:p w:rsidR="00CD4F9F" w:rsidRPr="00397E50" w:rsidP="00D41D5A" w14:paraId="53FCA102" w14:textId="77777777">
            <w:pPr>
              <w:jc w:val="right"/>
              <w:rPr>
                <w:sz w:val="20"/>
                <w:szCs w:val="20"/>
              </w:rPr>
            </w:pPr>
          </w:p>
        </w:tc>
        <w:tc>
          <w:tcPr>
            <w:tcW w:w="1170" w:type="dxa"/>
            <w:shd w:val="clear" w:color="auto" w:fill="auto"/>
            <w:hideMark/>
          </w:tcPr>
          <w:p w:rsidR="00CD4F9F" w:rsidRPr="00397E50" w:rsidP="00D41D5A" w14:paraId="1DB9B7CC" w14:textId="50CA98B0">
            <w:pPr>
              <w:jc w:val="right"/>
              <w:rPr>
                <w:sz w:val="20"/>
                <w:szCs w:val="20"/>
              </w:rPr>
            </w:pPr>
            <w:r>
              <w:rPr>
                <w:sz w:val="20"/>
                <w:szCs w:val="20"/>
              </w:rPr>
              <w:t>44,620</w:t>
            </w:r>
          </w:p>
        </w:tc>
        <w:tc>
          <w:tcPr>
            <w:tcW w:w="1440" w:type="dxa"/>
            <w:shd w:val="clear" w:color="auto" w:fill="auto"/>
          </w:tcPr>
          <w:p w:rsidR="00CD4F9F" w:rsidRPr="00397E50" w:rsidP="00D41D5A" w14:paraId="78CCE06D" w14:textId="505CFA77">
            <w:pPr>
              <w:jc w:val="right"/>
              <w:rPr>
                <w:sz w:val="20"/>
                <w:szCs w:val="20"/>
              </w:rPr>
            </w:pPr>
          </w:p>
        </w:tc>
        <w:tc>
          <w:tcPr>
            <w:tcW w:w="990" w:type="dxa"/>
            <w:shd w:val="clear" w:color="auto" w:fill="auto"/>
            <w:hideMark/>
          </w:tcPr>
          <w:p w:rsidR="00CD4F9F" w:rsidRPr="00397E50" w:rsidP="00D41D5A" w14:paraId="66CAB533" w14:textId="7CBDAAA6">
            <w:pPr>
              <w:jc w:val="right"/>
              <w:rPr>
                <w:sz w:val="20"/>
                <w:szCs w:val="20"/>
              </w:rPr>
            </w:pPr>
            <w:r>
              <w:rPr>
                <w:sz w:val="20"/>
                <w:szCs w:val="20"/>
              </w:rPr>
              <w:t>13,180</w:t>
            </w:r>
          </w:p>
        </w:tc>
      </w:tr>
      <w:tr w14:paraId="031853C6" w14:textId="77777777" w:rsidTr="008E411B">
        <w:tblPrEx>
          <w:tblW w:w="9360" w:type="dxa"/>
          <w:tblInd w:w="-15" w:type="dxa"/>
          <w:tblLayout w:type="fixed"/>
          <w:tblCellMar>
            <w:left w:w="0" w:type="dxa"/>
            <w:right w:w="0" w:type="dxa"/>
          </w:tblCellMar>
          <w:tblLook w:val="01E0"/>
        </w:tblPrEx>
        <w:trPr>
          <w:trHeight w:hRule="exact" w:val="592"/>
        </w:trPr>
        <w:tc>
          <w:tcPr>
            <w:tcW w:w="3150" w:type="dxa"/>
            <w:shd w:val="clear" w:color="auto" w:fill="auto"/>
            <w:hideMark/>
          </w:tcPr>
          <w:p w:rsidR="00CD4F9F" w:rsidRPr="00397E50" w:rsidP="00D41D5A" w14:paraId="65F83493" w14:textId="40B791A3">
            <w:pPr>
              <w:rPr>
                <w:sz w:val="20"/>
                <w:szCs w:val="20"/>
              </w:rPr>
            </w:pPr>
            <w:r w:rsidRPr="00397E50">
              <w:rPr>
                <w:sz w:val="20"/>
                <w:szCs w:val="20"/>
              </w:rPr>
              <w:t>Healthcare Professional</w:t>
            </w:r>
            <w:r w:rsidRPr="00397E50">
              <w:rPr>
                <w:sz w:val="20"/>
                <w:szCs w:val="20"/>
              </w:rPr>
              <w:t xml:space="preserve"> Focus Group Interviews</w:t>
            </w:r>
          </w:p>
        </w:tc>
        <w:tc>
          <w:tcPr>
            <w:tcW w:w="1350" w:type="dxa"/>
            <w:shd w:val="clear" w:color="auto" w:fill="auto"/>
            <w:hideMark/>
          </w:tcPr>
          <w:p w:rsidR="00CD4F9F" w:rsidRPr="00397E50" w:rsidP="00D41D5A" w14:paraId="7E05D8DE" w14:textId="77777777">
            <w:pPr>
              <w:jc w:val="right"/>
              <w:rPr>
                <w:sz w:val="20"/>
                <w:szCs w:val="20"/>
              </w:rPr>
            </w:pPr>
            <w:r w:rsidRPr="00397E50">
              <w:rPr>
                <w:sz w:val="20"/>
                <w:szCs w:val="20"/>
              </w:rPr>
              <w:t>380</w:t>
            </w:r>
          </w:p>
        </w:tc>
        <w:tc>
          <w:tcPr>
            <w:tcW w:w="1260" w:type="dxa"/>
            <w:shd w:val="clear" w:color="auto" w:fill="auto"/>
            <w:hideMark/>
          </w:tcPr>
          <w:p w:rsidR="00CD4F9F" w:rsidRPr="00397E50" w:rsidP="00D41D5A" w14:paraId="415DCB50" w14:textId="77777777">
            <w:pPr>
              <w:jc w:val="right"/>
              <w:rPr>
                <w:sz w:val="20"/>
                <w:szCs w:val="20"/>
              </w:rPr>
            </w:pPr>
            <w:r w:rsidRPr="00397E50">
              <w:rPr>
                <w:sz w:val="20"/>
                <w:szCs w:val="20"/>
              </w:rPr>
              <w:t>1</w:t>
            </w:r>
          </w:p>
        </w:tc>
        <w:tc>
          <w:tcPr>
            <w:tcW w:w="1170" w:type="dxa"/>
            <w:shd w:val="clear" w:color="auto" w:fill="auto"/>
            <w:hideMark/>
          </w:tcPr>
          <w:p w:rsidR="00CD4F9F" w:rsidRPr="00397E50" w:rsidP="00D41D5A" w14:paraId="464D8FE8" w14:textId="77777777">
            <w:pPr>
              <w:jc w:val="right"/>
              <w:rPr>
                <w:sz w:val="20"/>
                <w:szCs w:val="20"/>
              </w:rPr>
            </w:pPr>
            <w:r w:rsidRPr="00397E50">
              <w:rPr>
                <w:sz w:val="20"/>
                <w:szCs w:val="20"/>
              </w:rPr>
              <w:t>380</w:t>
            </w:r>
          </w:p>
        </w:tc>
        <w:tc>
          <w:tcPr>
            <w:tcW w:w="1440" w:type="dxa"/>
            <w:shd w:val="clear" w:color="auto" w:fill="auto"/>
            <w:hideMark/>
          </w:tcPr>
          <w:p w:rsidR="00657905" w:rsidRPr="00397E50" w:rsidP="00D41D5A" w14:paraId="68A02018" w14:textId="77777777">
            <w:pPr>
              <w:jc w:val="right"/>
              <w:rPr>
                <w:sz w:val="20"/>
                <w:szCs w:val="20"/>
              </w:rPr>
            </w:pPr>
            <w:r w:rsidRPr="00397E50">
              <w:rPr>
                <w:sz w:val="20"/>
                <w:szCs w:val="20"/>
              </w:rPr>
              <w:t>1.50</w:t>
            </w:r>
            <w:r w:rsidRPr="00397E50">
              <w:rPr>
                <w:sz w:val="20"/>
                <w:szCs w:val="20"/>
              </w:rPr>
              <w:t xml:space="preserve"> </w:t>
            </w:r>
          </w:p>
          <w:p w:rsidR="00CD4F9F" w:rsidRPr="00397E50" w:rsidP="00D41D5A" w14:paraId="34C2B2FE" w14:textId="049D0995">
            <w:pPr>
              <w:jc w:val="right"/>
              <w:rPr>
                <w:sz w:val="20"/>
                <w:szCs w:val="20"/>
              </w:rPr>
            </w:pPr>
            <w:r w:rsidRPr="00397E50">
              <w:rPr>
                <w:sz w:val="20"/>
                <w:szCs w:val="20"/>
              </w:rPr>
              <w:t>(90 min</w:t>
            </w:r>
            <w:r w:rsidRPr="00397E50" w:rsidR="00CA3C76">
              <w:rPr>
                <w:sz w:val="20"/>
                <w:szCs w:val="20"/>
              </w:rPr>
              <w:t>utes</w:t>
            </w:r>
            <w:r w:rsidRPr="00397E50">
              <w:rPr>
                <w:sz w:val="20"/>
                <w:szCs w:val="20"/>
              </w:rPr>
              <w:t>)</w:t>
            </w:r>
          </w:p>
        </w:tc>
        <w:tc>
          <w:tcPr>
            <w:tcW w:w="990" w:type="dxa"/>
            <w:shd w:val="clear" w:color="auto" w:fill="auto"/>
            <w:hideMark/>
          </w:tcPr>
          <w:p w:rsidR="00CD4F9F" w:rsidRPr="00397E50" w:rsidP="00D41D5A" w14:paraId="2C5990E4" w14:textId="77777777">
            <w:pPr>
              <w:jc w:val="right"/>
              <w:rPr>
                <w:sz w:val="20"/>
                <w:szCs w:val="20"/>
              </w:rPr>
            </w:pPr>
            <w:r w:rsidRPr="00397E50">
              <w:rPr>
                <w:sz w:val="20"/>
                <w:szCs w:val="20"/>
              </w:rPr>
              <w:t>570</w:t>
            </w:r>
          </w:p>
        </w:tc>
      </w:tr>
      <w:tr w14:paraId="43B60FA3" w14:textId="77777777" w:rsidTr="008E411B">
        <w:tblPrEx>
          <w:tblW w:w="9360" w:type="dxa"/>
          <w:tblInd w:w="-15" w:type="dxa"/>
          <w:tblLayout w:type="fixed"/>
          <w:tblCellMar>
            <w:left w:w="0" w:type="dxa"/>
            <w:right w:w="0" w:type="dxa"/>
          </w:tblCellMar>
          <w:tblLook w:val="01E0"/>
        </w:tblPrEx>
        <w:trPr>
          <w:trHeight w:hRule="exact" w:val="334"/>
        </w:trPr>
        <w:tc>
          <w:tcPr>
            <w:tcW w:w="3150" w:type="dxa"/>
            <w:shd w:val="clear" w:color="auto" w:fill="auto"/>
            <w:hideMark/>
          </w:tcPr>
          <w:p w:rsidR="00CD4F9F" w:rsidRPr="00397E50" w:rsidP="00D41D5A" w14:paraId="57527758" w14:textId="77777777">
            <w:pPr>
              <w:rPr>
                <w:sz w:val="20"/>
                <w:szCs w:val="20"/>
              </w:rPr>
            </w:pPr>
            <w:r w:rsidRPr="00397E50">
              <w:rPr>
                <w:sz w:val="20"/>
                <w:szCs w:val="20"/>
              </w:rPr>
              <w:t>Total (Overall)</w:t>
            </w:r>
          </w:p>
        </w:tc>
        <w:tc>
          <w:tcPr>
            <w:tcW w:w="1350" w:type="dxa"/>
            <w:shd w:val="clear" w:color="auto" w:fill="auto"/>
          </w:tcPr>
          <w:p w:rsidR="00CD4F9F" w:rsidRPr="00397E50" w:rsidP="00D41D5A" w14:paraId="11B94F74" w14:textId="77777777">
            <w:pPr>
              <w:jc w:val="right"/>
              <w:rPr>
                <w:sz w:val="20"/>
                <w:szCs w:val="20"/>
              </w:rPr>
            </w:pPr>
          </w:p>
        </w:tc>
        <w:tc>
          <w:tcPr>
            <w:tcW w:w="1260" w:type="dxa"/>
            <w:shd w:val="clear" w:color="auto" w:fill="auto"/>
          </w:tcPr>
          <w:p w:rsidR="00CD4F9F" w:rsidRPr="00397E50" w:rsidP="00D41D5A" w14:paraId="0D29CF83" w14:textId="77777777">
            <w:pPr>
              <w:jc w:val="right"/>
              <w:rPr>
                <w:sz w:val="20"/>
                <w:szCs w:val="20"/>
              </w:rPr>
            </w:pPr>
          </w:p>
        </w:tc>
        <w:tc>
          <w:tcPr>
            <w:tcW w:w="1170" w:type="dxa"/>
            <w:shd w:val="clear" w:color="auto" w:fill="auto"/>
            <w:hideMark/>
          </w:tcPr>
          <w:p w:rsidR="00CD4F9F" w:rsidRPr="00397E50" w:rsidP="00D41D5A" w14:paraId="180A9B2D" w14:textId="2F6BB8C8">
            <w:pPr>
              <w:jc w:val="right"/>
              <w:rPr>
                <w:sz w:val="20"/>
                <w:szCs w:val="20"/>
              </w:rPr>
            </w:pPr>
            <w:r w:rsidRPr="00397E50">
              <w:rPr>
                <w:sz w:val="20"/>
                <w:szCs w:val="20"/>
              </w:rPr>
              <w:t>4</w:t>
            </w:r>
            <w:r w:rsidR="00181179">
              <w:rPr>
                <w:sz w:val="20"/>
                <w:szCs w:val="20"/>
              </w:rPr>
              <w:t>5,000</w:t>
            </w:r>
          </w:p>
        </w:tc>
        <w:tc>
          <w:tcPr>
            <w:tcW w:w="1440" w:type="dxa"/>
            <w:shd w:val="clear" w:color="auto" w:fill="auto"/>
          </w:tcPr>
          <w:p w:rsidR="00CD4F9F" w:rsidRPr="00397E50" w:rsidP="00D41D5A" w14:paraId="69EFC4DE" w14:textId="77777777">
            <w:pPr>
              <w:jc w:val="right"/>
              <w:rPr>
                <w:sz w:val="20"/>
                <w:szCs w:val="20"/>
              </w:rPr>
            </w:pPr>
          </w:p>
        </w:tc>
        <w:tc>
          <w:tcPr>
            <w:tcW w:w="990" w:type="dxa"/>
            <w:shd w:val="clear" w:color="auto" w:fill="auto"/>
            <w:hideMark/>
          </w:tcPr>
          <w:p w:rsidR="00CD4F9F" w:rsidRPr="00397E50" w:rsidP="00D41D5A" w14:paraId="2E606958" w14:textId="00CA7CD5">
            <w:pPr>
              <w:jc w:val="right"/>
              <w:rPr>
                <w:sz w:val="20"/>
                <w:szCs w:val="20"/>
              </w:rPr>
            </w:pPr>
            <w:r>
              <w:rPr>
                <w:sz w:val="20"/>
                <w:szCs w:val="20"/>
              </w:rPr>
              <w:t>13,</w:t>
            </w:r>
            <w:r w:rsidR="00B51380">
              <w:rPr>
                <w:sz w:val="20"/>
                <w:szCs w:val="20"/>
              </w:rPr>
              <w:t>750</w:t>
            </w:r>
          </w:p>
        </w:tc>
      </w:tr>
    </w:tbl>
    <w:p w:rsidR="00591976" w:rsidRPr="00397E50" w:rsidP="00D41D5A" w14:paraId="3A82C2AC" w14:textId="60F59D52">
      <w:pPr>
        <w:ind w:left="144"/>
        <w:rPr>
          <w:rFonts w:eastAsia="Calibri"/>
          <w:sz w:val="20"/>
          <w:szCs w:val="20"/>
        </w:rPr>
      </w:pPr>
      <w:r w:rsidRPr="00397E50">
        <w:rPr>
          <w:rFonts w:eastAsia="Calibri"/>
          <w:sz w:val="20"/>
          <w:szCs w:val="20"/>
          <w:vertAlign w:val="superscript"/>
        </w:rPr>
        <w:t>1</w:t>
      </w:r>
      <w:r w:rsidRPr="00397E50">
        <w:rPr>
          <w:rFonts w:eastAsia="Calibri"/>
          <w:sz w:val="20"/>
          <w:szCs w:val="20"/>
        </w:rPr>
        <w:t xml:space="preserve">There are no capital costs or operating and maintenance costs associated with this collection of information. </w:t>
      </w:r>
    </w:p>
    <w:p w:rsidR="00F968D0" w:rsidRPr="00397E50" w:rsidP="00D41D5A" w14:paraId="07DB2E34" w14:textId="77777777">
      <w:pPr>
        <w:ind w:left="360"/>
        <w:rPr>
          <w:rFonts w:eastAsia="Calibri"/>
        </w:rPr>
      </w:pPr>
    </w:p>
    <w:p w:rsidR="00357C8A" w:rsidRPr="008E411B" w:rsidP="00D41D5A" w14:paraId="45730DE3" w14:textId="77777777">
      <w:pPr>
        <w:spacing w:after="200"/>
        <w:ind w:left="360"/>
        <w:rPr>
          <w:rFonts w:eastAsia="Calibri"/>
          <w:i/>
          <w:iCs/>
        </w:rPr>
      </w:pPr>
      <w:r w:rsidRPr="008E411B">
        <w:rPr>
          <w:rFonts w:eastAsia="Calibri"/>
          <w:i/>
          <w:iCs/>
        </w:rPr>
        <w:t>12b.  Annualized Cost Burden Estimate</w:t>
      </w:r>
    </w:p>
    <w:p w:rsidR="00CD4F9F" w:rsidRPr="00397E50" w:rsidP="00D41D5A" w14:paraId="69E8894A" w14:textId="2E1FC49C">
      <w:pPr>
        <w:spacing w:after="200"/>
        <w:rPr>
          <w:rFonts w:eastAsia="Calibri"/>
        </w:rPr>
      </w:pPr>
      <w:r w:rsidRPr="00397E50">
        <w:rPr>
          <w:rFonts w:eastAsia="Calibri"/>
        </w:rPr>
        <w:t xml:space="preserve">The general public will complete the majority of data collections. </w:t>
      </w:r>
      <w:r w:rsidR="00807C39">
        <w:rPr>
          <w:rFonts w:eastAsia="Calibri"/>
        </w:rPr>
        <w:t xml:space="preserve"> </w:t>
      </w:r>
      <w:r w:rsidRPr="00397E50">
        <w:rPr>
          <w:rFonts w:eastAsia="Calibri"/>
        </w:rPr>
        <w:t>The average salary for</w:t>
      </w:r>
      <w:r w:rsidRPr="00397E50" w:rsidR="00FF16EC">
        <w:rPr>
          <w:rFonts w:eastAsia="Calibri"/>
        </w:rPr>
        <w:t xml:space="preserve"> </w:t>
      </w:r>
      <w:r w:rsidRPr="00397E50">
        <w:rPr>
          <w:rFonts w:eastAsia="Calibri"/>
        </w:rPr>
        <w:t>this group</w:t>
      </w:r>
      <w:r w:rsidRPr="00397E50" w:rsidR="003A7CDE">
        <w:rPr>
          <w:rFonts w:eastAsia="Calibri"/>
        </w:rPr>
        <w:t>, Business Operations Specialists,</w:t>
      </w:r>
      <w:r w:rsidRPr="00397E50">
        <w:rPr>
          <w:rFonts w:eastAsia="Calibri"/>
        </w:rPr>
        <w:t xml:space="preserve"> is $</w:t>
      </w:r>
      <w:r w:rsidRPr="00397E50" w:rsidR="00B96C4B">
        <w:rPr>
          <w:rFonts w:eastAsia="Calibri"/>
        </w:rPr>
        <w:t>40.04</w:t>
      </w:r>
      <w:r w:rsidRPr="00397E50">
        <w:rPr>
          <w:rFonts w:eastAsia="Calibri"/>
        </w:rPr>
        <w:t>.</w:t>
      </w:r>
      <w:bookmarkStart w:id="2" w:name="_Ref141084423"/>
      <w:r>
        <w:rPr>
          <w:rStyle w:val="FootnoteReference"/>
          <w:rFonts w:eastAsia="Calibri"/>
        </w:rPr>
        <w:footnoteReference w:id="6"/>
      </w:r>
      <w:bookmarkEnd w:id="2"/>
      <w:r w:rsidRPr="00397E50">
        <w:rPr>
          <w:rFonts w:eastAsia="Calibri"/>
        </w:rPr>
        <w:t xml:space="preserve">  The estimated annualized annual cost for the general public in this information collection for </w:t>
      </w:r>
      <w:r w:rsidR="00DB2902">
        <w:rPr>
          <w:rFonts w:eastAsia="Calibri"/>
        </w:rPr>
        <w:t>12,52</w:t>
      </w:r>
      <w:r w:rsidR="002C6AF3">
        <w:rPr>
          <w:rFonts w:eastAsia="Calibri"/>
        </w:rPr>
        <w:t>3</w:t>
      </w:r>
      <w:r w:rsidRPr="00397E50">
        <w:rPr>
          <w:rFonts w:eastAsia="Calibri"/>
        </w:rPr>
        <w:t xml:space="preserve"> hours of reporting time is $</w:t>
      </w:r>
      <w:r w:rsidR="00BD2714">
        <w:rPr>
          <w:rFonts w:eastAsia="Calibri"/>
        </w:rPr>
        <w:t>501,</w:t>
      </w:r>
      <w:r w:rsidR="002C6AF3">
        <w:rPr>
          <w:rFonts w:eastAsia="Calibri"/>
        </w:rPr>
        <w:t>420.92</w:t>
      </w:r>
      <w:r w:rsidRPr="00397E50">
        <w:rPr>
          <w:rFonts w:eastAsia="Calibri"/>
        </w:rPr>
        <w:t>.  Other labor groups include primary care physicians and medical specialists, whose average salary, respectively, is estimated as $1</w:t>
      </w:r>
      <w:r w:rsidRPr="00397E50" w:rsidR="00D74F21">
        <w:rPr>
          <w:rFonts w:eastAsia="Calibri"/>
        </w:rPr>
        <w:t>21.15</w:t>
      </w:r>
      <w:r w:rsidRPr="00397E50" w:rsidR="00BE4FDF">
        <w:rPr>
          <w:rFonts w:eastAsia="Calibri"/>
        </w:rPr>
        <w:fldChar w:fldCharType="begin"/>
      </w:r>
      <w:r w:rsidRPr="00397E50" w:rsidR="00BE4FDF">
        <w:rPr>
          <w:rFonts w:eastAsia="Calibri"/>
        </w:rPr>
        <w:instrText xml:space="preserve"> NOTEREF _Ref141084423 \f \h </w:instrText>
      </w:r>
      <w:r w:rsidRPr="00397E50" w:rsidR="00657905">
        <w:rPr>
          <w:rFonts w:eastAsia="Calibri"/>
        </w:rPr>
        <w:instrText xml:space="preserve"> \* MERGEFORMAT </w:instrText>
      </w:r>
      <w:r w:rsidRPr="00397E50" w:rsidR="00BE4FDF">
        <w:rPr>
          <w:rFonts w:eastAsia="Calibri"/>
        </w:rPr>
        <w:fldChar w:fldCharType="separate"/>
      </w:r>
      <w:r w:rsidRPr="00397E50" w:rsidR="00BE4FDF">
        <w:rPr>
          <w:rStyle w:val="FootnoteReference"/>
          <w:rFonts w:eastAsia="Calibri"/>
        </w:rPr>
        <w:t>7</w:t>
      </w:r>
      <w:r w:rsidRPr="00397E50" w:rsidR="00BE4FDF">
        <w:rPr>
          <w:rFonts w:eastAsia="Calibri"/>
        </w:rPr>
        <w:fldChar w:fldCharType="end"/>
      </w:r>
      <w:r w:rsidRPr="00397E50">
        <w:rPr>
          <w:rFonts w:eastAsia="Calibri"/>
        </w:rPr>
        <w:t xml:space="preserve"> and $1</w:t>
      </w:r>
      <w:r w:rsidRPr="00397E50" w:rsidR="003A566E">
        <w:rPr>
          <w:rFonts w:eastAsia="Calibri"/>
        </w:rPr>
        <w:t>46.50</w:t>
      </w:r>
      <w:r w:rsidRPr="00397E50" w:rsidR="00BE4FDF">
        <w:rPr>
          <w:rFonts w:eastAsia="Calibri"/>
        </w:rPr>
        <w:fldChar w:fldCharType="begin"/>
      </w:r>
      <w:r w:rsidRPr="00397E50" w:rsidR="00BE4FDF">
        <w:rPr>
          <w:rFonts w:eastAsia="Calibri"/>
        </w:rPr>
        <w:instrText xml:space="preserve"> NOTEREF _Ref141084423 \f \h </w:instrText>
      </w:r>
      <w:r w:rsidRPr="00397E50" w:rsidR="00657905">
        <w:rPr>
          <w:rFonts w:eastAsia="Calibri"/>
        </w:rPr>
        <w:instrText xml:space="preserve"> \* MERGEFORMAT </w:instrText>
      </w:r>
      <w:r w:rsidRPr="00397E50" w:rsidR="00BE4FDF">
        <w:rPr>
          <w:rFonts w:eastAsia="Calibri"/>
        </w:rPr>
        <w:fldChar w:fldCharType="separate"/>
      </w:r>
      <w:r w:rsidRPr="00397E50" w:rsidR="00BE4FDF">
        <w:rPr>
          <w:rStyle w:val="FootnoteReference"/>
          <w:rFonts w:eastAsia="Calibri"/>
        </w:rPr>
        <w:t>7</w:t>
      </w:r>
      <w:r w:rsidRPr="00397E50" w:rsidR="00BE4FDF">
        <w:rPr>
          <w:rFonts w:eastAsia="Calibri"/>
        </w:rPr>
        <w:fldChar w:fldCharType="end"/>
      </w:r>
      <w:r w:rsidRPr="00397E50">
        <w:rPr>
          <w:rFonts w:eastAsia="Calibri"/>
        </w:rPr>
        <w:t xml:space="preserve">.  The estimated annualized annual cost for </w:t>
      </w:r>
      <w:r w:rsidR="00F63A27">
        <w:rPr>
          <w:rFonts w:eastAsia="Calibri"/>
        </w:rPr>
        <w:t>healthcare professional</w:t>
      </w:r>
      <w:r w:rsidRPr="00397E50">
        <w:rPr>
          <w:rFonts w:eastAsia="Calibri"/>
        </w:rPr>
        <w:t xml:space="preserve">s in this </w:t>
      </w:r>
      <w:r w:rsidRPr="00231D5B">
        <w:rPr>
          <w:rFonts w:eastAsia="Calibri"/>
        </w:rPr>
        <w:t>information collection for 57</w:t>
      </w:r>
      <w:r w:rsidRPr="00231D5B" w:rsidR="002C4420">
        <w:rPr>
          <w:rFonts w:eastAsia="Calibri"/>
        </w:rPr>
        <w:t>0</w:t>
      </w:r>
      <w:r w:rsidRPr="00231D5B">
        <w:rPr>
          <w:rFonts w:eastAsia="Calibri"/>
        </w:rPr>
        <w:t xml:space="preserve"> hours of reporting time is $</w:t>
      </w:r>
      <w:r w:rsidR="004049CB">
        <w:rPr>
          <w:rFonts w:eastAsia="Calibri"/>
        </w:rPr>
        <w:t>152,560.50</w:t>
      </w:r>
      <w:r w:rsidRPr="00231D5B" w:rsidR="00E46056">
        <w:rPr>
          <w:rFonts w:eastAsia="Calibri"/>
        </w:rPr>
        <w:t xml:space="preserve"> </w:t>
      </w:r>
      <w:r w:rsidRPr="00231D5B" w:rsidR="00B00919">
        <w:rPr>
          <w:rFonts w:eastAsia="Calibri"/>
        </w:rPr>
        <w:t>($121.15</w:t>
      </w:r>
      <w:r w:rsidR="00FD613F">
        <w:rPr>
          <w:rFonts w:eastAsia="Calibri"/>
        </w:rPr>
        <w:t xml:space="preserve"> x 570 hours = </w:t>
      </w:r>
      <w:r w:rsidR="004049CB">
        <w:rPr>
          <w:rFonts w:eastAsia="Calibri"/>
        </w:rPr>
        <w:t>$</w:t>
      </w:r>
      <w:r w:rsidR="007C26FD">
        <w:rPr>
          <w:rFonts w:eastAsia="Calibri"/>
        </w:rPr>
        <w:t>69,055.5</w:t>
      </w:r>
      <w:r w:rsidR="00C502A1">
        <w:rPr>
          <w:rFonts w:eastAsia="Calibri"/>
        </w:rPr>
        <w:t>0 and</w:t>
      </w:r>
      <w:r w:rsidR="007C26FD">
        <w:rPr>
          <w:rFonts w:eastAsia="Calibri"/>
        </w:rPr>
        <w:t xml:space="preserve"> </w:t>
      </w:r>
      <w:r w:rsidRPr="00231D5B" w:rsidR="00B00919">
        <w:rPr>
          <w:rFonts w:eastAsia="Calibri"/>
        </w:rPr>
        <w:t>$146.50</w:t>
      </w:r>
      <w:r w:rsidR="00B76BFC">
        <w:rPr>
          <w:rFonts w:eastAsia="Calibri"/>
        </w:rPr>
        <w:t xml:space="preserve"> x </w:t>
      </w:r>
      <w:r w:rsidRPr="00231D5B" w:rsidR="00E46056">
        <w:rPr>
          <w:rFonts w:eastAsia="Calibri"/>
        </w:rPr>
        <w:t>57</w:t>
      </w:r>
      <w:r w:rsidRPr="00231D5B" w:rsidR="004C7126">
        <w:rPr>
          <w:rFonts w:eastAsia="Calibri"/>
        </w:rPr>
        <w:t>0</w:t>
      </w:r>
      <w:r w:rsidRPr="00231D5B" w:rsidR="00E46056">
        <w:rPr>
          <w:rFonts w:eastAsia="Calibri"/>
        </w:rPr>
        <w:t xml:space="preserve"> hours</w:t>
      </w:r>
      <w:r w:rsidR="00B76BFC">
        <w:rPr>
          <w:rFonts w:eastAsia="Calibri"/>
        </w:rPr>
        <w:t xml:space="preserve"> = $83,505</w:t>
      </w:r>
      <w:r w:rsidRPr="00231D5B" w:rsidR="00E46056">
        <w:rPr>
          <w:rFonts w:eastAsia="Calibri"/>
        </w:rPr>
        <w:t>)</w:t>
      </w:r>
      <w:r w:rsidRPr="00231D5B">
        <w:rPr>
          <w:rFonts w:eastAsia="Calibri"/>
        </w:rPr>
        <w:t xml:space="preserve">. </w:t>
      </w:r>
      <w:r w:rsidR="00807C39">
        <w:rPr>
          <w:rFonts w:eastAsia="Calibri"/>
        </w:rPr>
        <w:t xml:space="preserve"> </w:t>
      </w:r>
      <w:r w:rsidRPr="00231D5B">
        <w:rPr>
          <w:rFonts w:eastAsia="Calibri"/>
        </w:rPr>
        <w:t>The estimated</w:t>
      </w:r>
      <w:r w:rsidRPr="00397E50">
        <w:rPr>
          <w:rFonts w:eastAsia="Calibri"/>
        </w:rPr>
        <w:t xml:space="preserve"> annualized annual cost</w:t>
      </w:r>
      <w:r w:rsidRPr="00397E50" w:rsidR="00AD6F59">
        <w:rPr>
          <w:rFonts w:eastAsia="Calibri"/>
        </w:rPr>
        <w:t xml:space="preserve"> for </w:t>
      </w:r>
      <w:r w:rsidR="00231D5B">
        <w:rPr>
          <w:rFonts w:eastAsia="Calibri"/>
        </w:rPr>
        <w:t>13,09</w:t>
      </w:r>
      <w:r w:rsidR="007A04B1">
        <w:rPr>
          <w:rFonts w:eastAsia="Calibri"/>
        </w:rPr>
        <w:t>3</w:t>
      </w:r>
      <w:r w:rsidRPr="00397E50">
        <w:rPr>
          <w:rFonts w:eastAsia="Calibri"/>
        </w:rPr>
        <w:t xml:space="preserve"> hours of reporting time is $</w:t>
      </w:r>
      <w:r w:rsidR="00C502A1">
        <w:rPr>
          <w:rFonts w:eastAsia="Calibri"/>
        </w:rPr>
        <w:t>653,9</w:t>
      </w:r>
      <w:r w:rsidR="00CA7138">
        <w:rPr>
          <w:rFonts w:eastAsia="Calibri"/>
        </w:rPr>
        <w:t>8</w:t>
      </w:r>
      <w:r w:rsidR="00C502A1">
        <w:rPr>
          <w:rFonts w:eastAsia="Calibri"/>
        </w:rPr>
        <w:t>1.</w:t>
      </w:r>
      <w:r w:rsidR="00CA7138">
        <w:rPr>
          <w:rFonts w:eastAsia="Calibri"/>
        </w:rPr>
        <w:t>42</w:t>
      </w:r>
      <w:r w:rsidRPr="00397E50">
        <w:rPr>
          <w:rFonts w:eastAsia="Calibri"/>
        </w:rPr>
        <w:t xml:space="preserve">.  The number of respondents and length of response was determined on the basis of FDA prior experience with communications testing and an </w:t>
      </w:r>
      <w:r w:rsidRPr="00397E50">
        <w:rPr>
          <w:rFonts w:eastAsia="Calibri"/>
        </w:rPr>
        <w:t>estimate of the communication needs of the Center for Devices and Radiological Health.  The actual numbers will vary depending upon the topic of interest.</w:t>
      </w:r>
    </w:p>
    <w:p w:rsidR="00357C8A" w:rsidRPr="00397E50" w:rsidP="00D41D5A" w14:paraId="18E7D532" w14:textId="29D2728E">
      <w:pPr>
        <w:numPr>
          <w:ilvl w:val="0"/>
          <w:numId w:val="6"/>
        </w:numPr>
        <w:spacing w:after="200"/>
        <w:rPr>
          <w:rFonts w:eastAsia="Calibri"/>
        </w:rPr>
      </w:pPr>
      <w:r w:rsidRPr="00397E50">
        <w:rPr>
          <w:rFonts w:eastAsia="Calibri"/>
          <w:u w:val="single"/>
        </w:rPr>
        <w:t xml:space="preserve">Estimates of Other Total Annual Costs </w:t>
      </w:r>
      <w:r w:rsidRPr="00397E50" w:rsidR="00590E90">
        <w:rPr>
          <w:rFonts w:eastAsia="Calibri"/>
          <w:u w:val="single"/>
        </w:rPr>
        <w:t xml:space="preserve">to Respondents/Recordkeepers or </w:t>
      </w:r>
      <w:r w:rsidRPr="00397E50">
        <w:rPr>
          <w:rFonts w:eastAsia="Calibri"/>
          <w:u w:val="single"/>
        </w:rPr>
        <w:t xml:space="preserve">Capital Costs </w:t>
      </w:r>
    </w:p>
    <w:p w:rsidR="00DF66AA" w:rsidRPr="00397E50" w:rsidP="00D41D5A" w14:paraId="10EA9591" w14:textId="03088AB1">
      <w:pPr>
        <w:pStyle w:val="BodyText"/>
        <w:spacing w:after="0"/>
        <w:rPr>
          <w:spacing w:val="-1"/>
        </w:rPr>
      </w:pPr>
      <w:r w:rsidRPr="00397E50">
        <w:t xml:space="preserve">There are no capital, start-up, operating or </w:t>
      </w:r>
      <w:r w:rsidRPr="00397E50">
        <w:rPr>
          <w:spacing w:val="-1"/>
        </w:rPr>
        <w:t xml:space="preserve">maintenance </w:t>
      </w:r>
      <w:r w:rsidRPr="00397E50">
        <w:t>costs</w:t>
      </w:r>
      <w:r w:rsidRPr="00397E50">
        <w:rPr>
          <w:spacing w:val="-1"/>
        </w:rPr>
        <w:t xml:space="preserve"> </w:t>
      </w:r>
      <w:r w:rsidRPr="00397E50">
        <w:t>associated</w:t>
      </w:r>
      <w:r w:rsidRPr="00397E50">
        <w:rPr>
          <w:spacing w:val="-1"/>
        </w:rPr>
        <w:t xml:space="preserve"> with</w:t>
      </w:r>
      <w:r w:rsidR="009E3E07">
        <w:rPr>
          <w:spacing w:val="-1"/>
        </w:rPr>
        <w:t xml:space="preserve"> this information c</w:t>
      </w:r>
      <w:r w:rsidRPr="00397E50">
        <w:rPr>
          <w:spacing w:val="-1"/>
        </w:rPr>
        <w:t>ollection.</w:t>
      </w:r>
    </w:p>
    <w:p w:rsidR="00FD2B57" w:rsidRPr="00397E50" w:rsidP="00D41D5A" w14:paraId="107EDEEE" w14:textId="77777777">
      <w:pPr>
        <w:pStyle w:val="BodyText"/>
        <w:spacing w:after="0"/>
      </w:pPr>
    </w:p>
    <w:p w:rsidR="00357C8A" w:rsidRPr="00397E50" w:rsidP="00D41D5A" w14:paraId="355AE560" w14:textId="77777777">
      <w:pPr>
        <w:numPr>
          <w:ilvl w:val="0"/>
          <w:numId w:val="6"/>
        </w:numPr>
        <w:spacing w:after="200"/>
        <w:rPr>
          <w:rFonts w:eastAsia="Calibri"/>
          <w:u w:val="single"/>
        </w:rPr>
      </w:pPr>
      <w:r w:rsidRPr="00397E50">
        <w:rPr>
          <w:rFonts w:eastAsia="Calibri"/>
          <w:u w:val="single"/>
        </w:rPr>
        <w:t>Annualized Cost to the Federal Government</w:t>
      </w:r>
    </w:p>
    <w:p w:rsidR="00BE5C4A" w:rsidRPr="00397E50" w:rsidP="00D41D5A" w14:paraId="5E30ED68" w14:textId="77777777">
      <w:pPr>
        <w:spacing w:after="200"/>
        <w:rPr>
          <w:rFonts w:eastAsia="Calibri"/>
        </w:rPr>
      </w:pPr>
      <w:r w:rsidRPr="00397E50">
        <w:rPr>
          <w:rFonts w:eastAsia="Calibri"/>
        </w:rPr>
        <w:t xml:space="preserve">Costs will include contractor expenses for designing and conducting information collection activities, specifically, drawing samples, training interviewers, collecting and analyzing information, and reporting on findings.  Because this request for generic clearance includes various procedures for the collection of information, contractor expenses may vary from an estimated $20,000 for a small focus group study to an estimated $150,000 for an in-depth interview study.  The maximum estimated annualized expense for contractor expenses in this data collection is $2,180,000.  </w:t>
      </w:r>
    </w:p>
    <w:p w:rsidR="00BE5C4A" w:rsidRPr="00397E50" w:rsidP="00D41D5A" w14:paraId="1FC27F94" w14:textId="6CD7F692">
      <w:pPr>
        <w:spacing w:after="200"/>
        <w:rPr>
          <w:rFonts w:eastAsia="Calibri"/>
        </w:rPr>
      </w:pPr>
      <w:r w:rsidRPr="00397E50">
        <w:rPr>
          <w:rFonts w:eastAsia="Calibri"/>
        </w:rPr>
        <w:t xml:space="preserve">In addition, government staff costs may be incurred for monitoring by the government Project Officer, projected to be about 25% of </w:t>
      </w:r>
      <w:r w:rsidRPr="00397E50" w:rsidR="0083279E">
        <w:rPr>
          <w:rFonts w:eastAsia="Calibri"/>
        </w:rPr>
        <w:t>a</w:t>
      </w:r>
      <w:r w:rsidRPr="00397E50">
        <w:rPr>
          <w:rFonts w:eastAsia="Calibri"/>
        </w:rPr>
        <w:t xml:space="preserve"> </w:t>
      </w:r>
      <w:r w:rsidRPr="00397E50" w:rsidR="00B37881">
        <w:rPr>
          <w:rFonts w:eastAsia="Calibri"/>
        </w:rPr>
        <w:t>full-time</w:t>
      </w:r>
      <w:r w:rsidRPr="00397E50" w:rsidR="00C74CE7">
        <w:rPr>
          <w:rFonts w:eastAsia="Calibri"/>
        </w:rPr>
        <w:t xml:space="preserve"> </w:t>
      </w:r>
      <w:r w:rsidRPr="00397E50" w:rsidR="00BE17D9">
        <w:rPr>
          <w:rFonts w:eastAsia="Calibri"/>
        </w:rPr>
        <w:t>equivalents</w:t>
      </w:r>
      <w:r w:rsidRPr="00397E50" w:rsidR="00C74CE7">
        <w:rPr>
          <w:rFonts w:eastAsia="Calibri"/>
        </w:rPr>
        <w:t xml:space="preserve"> (</w:t>
      </w:r>
      <w:r w:rsidRPr="00397E50">
        <w:rPr>
          <w:rFonts w:eastAsia="Calibri"/>
        </w:rPr>
        <w:t>FTE</w:t>
      </w:r>
      <w:r w:rsidRPr="00397E50" w:rsidR="00C74CE7">
        <w:rPr>
          <w:rFonts w:eastAsia="Calibri"/>
        </w:rPr>
        <w:t>)</w:t>
      </w:r>
      <w:r w:rsidRPr="00397E50">
        <w:rPr>
          <w:rFonts w:eastAsia="Calibri"/>
        </w:rPr>
        <w:t xml:space="preserve"> per year (52</w:t>
      </w:r>
      <w:r w:rsidRPr="00397E50" w:rsidR="00BE17D9">
        <w:rPr>
          <w:rFonts w:eastAsia="Calibri"/>
        </w:rPr>
        <w:t>0</w:t>
      </w:r>
      <w:r w:rsidRPr="00397E50">
        <w:rPr>
          <w:rFonts w:eastAsia="Calibri"/>
        </w:rPr>
        <w:t xml:space="preserve"> hours). </w:t>
      </w:r>
      <w:r w:rsidRPr="00397E50" w:rsidR="00F00837">
        <w:rPr>
          <w:rFonts w:eastAsia="Calibri"/>
        </w:rPr>
        <w:t>Assuming a cost of $321,053 per one FTE</w:t>
      </w:r>
      <w:r w:rsidRPr="00397E50" w:rsidR="00AF6F4E">
        <w:rPr>
          <w:rFonts w:eastAsia="Calibri"/>
        </w:rPr>
        <w:t xml:space="preserve"> (salary plus overhead, full-time </w:t>
      </w:r>
      <w:r w:rsidRPr="00397E50" w:rsidR="00DA64D6">
        <w:rPr>
          <w:rFonts w:eastAsia="Calibri"/>
        </w:rPr>
        <w:t>40-hour</w:t>
      </w:r>
      <w:r w:rsidRPr="00397E50" w:rsidR="00AF6F4E">
        <w:rPr>
          <w:rFonts w:eastAsia="Calibri"/>
        </w:rPr>
        <w:t xml:space="preserve"> week)</w:t>
      </w:r>
      <w:r w:rsidRPr="00397E50" w:rsidR="00D73194">
        <w:rPr>
          <w:rFonts w:eastAsia="Calibri"/>
        </w:rPr>
        <w:t xml:space="preserve"> divided by the total number</w:t>
      </w:r>
      <w:r w:rsidRPr="00397E50" w:rsidR="00DA64D6">
        <w:rPr>
          <w:rFonts w:eastAsia="Calibri"/>
        </w:rPr>
        <w:t xml:space="preserve"> of hours worked (2</w:t>
      </w:r>
      <w:r w:rsidR="00111965">
        <w:rPr>
          <w:rFonts w:eastAsia="Calibri"/>
        </w:rPr>
        <w:t>,</w:t>
      </w:r>
      <w:r w:rsidRPr="00397E50" w:rsidR="00DA64D6">
        <w:rPr>
          <w:rFonts w:eastAsia="Calibri"/>
        </w:rPr>
        <w:t xml:space="preserve">080 hours) per year, the fully loaded wage rate is $156 </w:t>
      </w:r>
      <w:r w:rsidRPr="00397E50">
        <w:rPr>
          <w:rFonts w:eastAsia="Calibri"/>
        </w:rPr>
        <w:t>per hour</w:t>
      </w:r>
      <w:r w:rsidRPr="00397E50" w:rsidR="00721D38">
        <w:rPr>
          <w:rFonts w:eastAsia="Calibri"/>
        </w:rPr>
        <w:t xml:space="preserve">.  </w:t>
      </w:r>
      <w:r w:rsidRPr="00397E50" w:rsidR="009B625C">
        <w:rPr>
          <w:rFonts w:eastAsia="Calibri"/>
        </w:rPr>
        <w:t xml:space="preserve">We calculate the annualized cost to the Federal Government is </w:t>
      </w:r>
      <w:r w:rsidRPr="00397E50">
        <w:rPr>
          <w:rFonts w:eastAsia="Calibri"/>
        </w:rPr>
        <w:t>$</w:t>
      </w:r>
      <w:r w:rsidRPr="00397E50" w:rsidR="00075238">
        <w:rPr>
          <w:rFonts w:eastAsia="Calibri"/>
        </w:rPr>
        <w:t>81,120 ($156</w:t>
      </w:r>
      <w:r w:rsidRPr="00397E50" w:rsidR="008C2C9B">
        <w:rPr>
          <w:rFonts w:eastAsia="Calibri"/>
        </w:rPr>
        <w:t>/hour</w:t>
      </w:r>
      <w:r w:rsidRPr="00397E50" w:rsidR="00075238">
        <w:rPr>
          <w:rFonts w:eastAsia="Calibri"/>
        </w:rPr>
        <w:t xml:space="preserve"> x 520 hou</w:t>
      </w:r>
      <w:r w:rsidRPr="00397E50" w:rsidR="008C2C9B">
        <w:rPr>
          <w:rFonts w:eastAsia="Calibri"/>
        </w:rPr>
        <w:t>rs)</w:t>
      </w:r>
      <w:r w:rsidRPr="00397E50" w:rsidR="00075238">
        <w:rPr>
          <w:rFonts w:eastAsia="Calibri"/>
        </w:rPr>
        <w:t>.</w:t>
      </w:r>
      <w:r w:rsidRPr="00397E50">
        <w:rPr>
          <w:rFonts w:eastAsia="Calibri"/>
        </w:rPr>
        <w:t xml:space="preserve"> </w:t>
      </w:r>
    </w:p>
    <w:p w:rsidR="00357C8A" w:rsidRPr="00397E50" w:rsidP="00D41D5A" w14:paraId="7B1E70B5" w14:textId="071FE3FC">
      <w:pPr>
        <w:spacing w:after="200"/>
        <w:rPr>
          <w:rFonts w:eastAsia="Calibri"/>
        </w:rPr>
      </w:pPr>
      <w:r w:rsidRPr="00397E50">
        <w:rPr>
          <w:rFonts w:eastAsia="Calibri"/>
        </w:rPr>
        <w:t>T</w:t>
      </w:r>
      <w:r w:rsidRPr="00397E50" w:rsidR="00DF66AA">
        <w:rPr>
          <w:rFonts w:eastAsia="Calibri"/>
        </w:rPr>
        <w:t>he total estimated annual cost to the government for this collection of information is $2,2</w:t>
      </w:r>
      <w:r w:rsidRPr="00397E50" w:rsidR="00977596">
        <w:rPr>
          <w:rFonts w:eastAsia="Calibri"/>
        </w:rPr>
        <w:t>61,120</w:t>
      </w:r>
      <w:r w:rsidRPr="00397E50" w:rsidR="00DF66AA">
        <w:rPr>
          <w:rFonts w:eastAsia="Calibri"/>
        </w:rPr>
        <w:t>.  This is equal to the total of contractor expenses ($2,180,000) plus FDA government staff salary cost ($</w:t>
      </w:r>
      <w:r w:rsidRPr="00397E50" w:rsidR="008C2C9B">
        <w:rPr>
          <w:rFonts w:eastAsia="Calibri"/>
        </w:rPr>
        <w:t>81,120</w:t>
      </w:r>
      <w:r w:rsidRPr="00397E50" w:rsidR="00DF66AA">
        <w:rPr>
          <w:rFonts w:eastAsia="Calibri"/>
        </w:rPr>
        <w:t>).</w:t>
      </w:r>
      <w:r w:rsidRPr="00397E50">
        <w:rPr>
          <w:rFonts w:eastAsia="Calibri"/>
        </w:rPr>
        <w:t xml:space="preserve"> </w:t>
      </w:r>
    </w:p>
    <w:p w:rsidR="00357C8A" w:rsidRPr="00397E50" w:rsidP="00D41D5A" w14:paraId="59D6D1FA" w14:textId="77777777">
      <w:pPr>
        <w:numPr>
          <w:ilvl w:val="0"/>
          <w:numId w:val="6"/>
        </w:numPr>
        <w:spacing w:after="200"/>
        <w:rPr>
          <w:rFonts w:eastAsia="Calibri"/>
          <w:u w:val="single"/>
        </w:rPr>
      </w:pPr>
      <w:r w:rsidRPr="00397E50">
        <w:rPr>
          <w:rFonts w:eastAsia="Calibri"/>
          <w:u w:val="single"/>
        </w:rPr>
        <w:t>Explanation for Program Changes or Adjustments*</w:t>
      </w:r>
    </w:p>
    <w:p w:rsidR="004E3270" w:rsidRPr="00397E50" w:rsidP="00D41D5A" w14:paraId="04656E78" w14:textId="31B5553F">
      <w:pPr>
        <w:spacing w:after="200"/>
        <w:rPr>
          <w:rFonts w:eastAsia="Calibri"/>
        </w:rPr>
      </w:pPr>
      <w:r w:rsidRPr="00D077C6">
        <w:t>We have increased our burden estimate since last review of the information collection</w:t>
      </w:r>
      <w:r w:rsidRPr="00D077C6" w:rsidR="00581F12">
        <w:t xml:space="preserve"> to allow for additional individual requests under the approved generic clearance.</w:t>
      </w:r>
      <w:r w:rsidR="00D03463">
        <w:t xml:space="preserve">  We also note an inadvertent publication error </w:t>
      </w:r>
      <w:r w:rsidR="00DC2C70">
        <w:t xml:space="preserve">in our </w:t>
      </w:r>
      <w:r w:rsidRPr="00614CD8" w:rsidR="00DC2C70">
        <w:rPr>
          <w:i/>
          <w:iCs/>
        </w:rPr>
        <w:t>Federal Register</w:t>
      </w:r>
      <w:r w:rsidR="00DC2C70">
        <w:t xml:space="preserve"> notice of March 6, 2024 (89 FR 1</w:t>
      </w:r>
      <w:r w:rsidR="00614CD8">
        <w:t xml:space="preserve">6002) reflecting a total of </w:t>
      </w:r>
      <w:r w:rsidRPr="00B97481" w:rsidR="00614CD8">
        <w:rPr>
          <w:b/>
          <w:bCs/>
          <w:u w:val="single"/>
        </w:rPr>
        <w:t>3</w:t>
      </w:r>
      <w:r w:rsidR="00614CD8">
        <w:t xml:space="preserve">3,750 burden hours, but have clarified in this supporting statement our request for </w:t>
      </w:r>
      <w:r w:rsidRPr="00B97481" w:rsidR="00614CD8">
        <w:rPr>
          <w:b/>
          <w:bCs/>
          <w:u w:val="single"/>
        </w:rPr>
        <w:t>1</w:t>
      </w:r>
      <w:r w:rsidR="00614CD8">
        <w:t>3,750</w:t>
      </w:r>
      <w:r w:rsidR="00B97481">
        <w:t xml:space="preserve"> burden hours, and 45,000 responses.</w:t>
      </w:r>
      <w:r w:rsidR="000815EA">
        <w:t xml:space="preserve">  Lastly, while we have made no </w:t>
      </w:r>
      <w:r w:rsidR="0038365B">
        <w:t>program changes, we have included additional details regarding the</w:t>
      </w:r>
      <w:r w:rsidR="009D412D">
        <w:t xml:space="preserve"> scope of collection in Q-1 of the supporting statement.</w:t>
      </w:r>
    </w:p>
    <w:p w:rsidR="00357C8A" w:rsidRPr="00397E50" w:rsidP="00D41D5A" w14:paraId="0943A008" w14:textId="23055BC7">
      <w:pPr>
        <w:numPr>
          <w:ilvl w:val="0"/>
          <w:numId w:val="6"/>
        </w:numPr>
        <w:spacing w:after="200"/>
        <w:rPr>
          <w:rFonts w:eastAsia="Calibri"/>
          <w:u w:val="single"/>
        </w:rPr>
      </w:pPr>
      <w:r w:rsidRPr="00397E50">
        <w:rPr>
          <w:rFonts w:eastAsia="Calibri"/>
          <w:u w:val="single"/>
        </w:rPr>
        <w:t>Plans for Tabulation and Publication and Project Time Schedule</w:t>
      </w:r>
    </w:p>
    <w:p w:rsidR="00DF66AA" w:rsidRPr="00397E50" w:rsidP="00D41D5A" w14:paraId="025EFCA5" w14:textId="6867973B">
      <w:pPr>
        <w:pStyle w:val="BodyText"/>
        <w:spacing w:after="0"/>
        <w:ind w:right="106"/>
      </w:pPr>
      <w:r w:rsidRPr="00397E50">
        <w:t>The</w:t>
      </w:r>
      <w:r w:rsidRPr="00397E50">
        <w:rPr>
          <w:spacing w:val="-1"/>
        </w:rPr>
        <w:t xml:space="preserve"> </w:t>
      </w:r>
      <w:r w:rsidRPr="00397E50">
        <w:t>process</w:t>
      </w:r>
      <w:r w:rsidRPr="00397E50">
        <w:rPr>
          <w:spacing w:val="-1"/>
        </w:rPr>
        <w:t xml:space="preserve"> </w:t>
      </w:r>
      <w:r w:rsidRPr="00397E50">
        <w:t>for</w:t>
      </w:r>
      <w:r w:rsidRPr="00397E50">
        <w:rPr>
          <w:spacing w:val="-1"/>
        </w:rPr>
        <w:t xml:space="preserve"> </w:t>
      </w:r>
      <w:r w:rsidRPr="00397E50">
        <w:t>developing</w:t>
      </w:r>
      <w:r w:rsidRPr="00397E50">
        <w:rPr>
          <w:spacing w:val="-1"/>
        </w:rPr>
        <w:t xml:space="preserve"> </w:t>
      </w:r>
      <w:r w:rsidRPr="00397E50">
        <w:t>the</w:t>
      </w:r>
      <w:r w:rsidRPr="00397E50">
        <w:rPr>
          <w:spacing w:val="-1"/>
        </w:rPr>
        <w:t xml:space="preserve"> </w:t>
      </w:r>
      <w:r w:rsidRPr="00397E50">
        <w:t>analytical</w:t>
      </w:r>
      <w:r w:rsidRPr="00397E50">
        <w:rPr>
          <w:spacing w:val="-1"/>
        </w:rPr>
        <w:t xml:space="preserve"> </w:t>
      </w:r>
      <w:r w:rsidRPr="00397E50">
        <w:t>plan</w:t>
      </w:r>
      <w:r w:rsidRPr="00397E50">
        <w:rPr>
          <w:spacing w:val="-1"/>
        </w:rPr>
        <w:t xml:space="preserve"> </w:t>
      </w:r>
      <w:r w:rsidRPr="00397E50">
        <w:t>for</w:t>
      </w:r>
      <w:r w:rsidRPr="00397E50">
        <w:rPr>
          <w:spacing w:val="-2"/>
        </w:rPr>
        <w:t xml:space="preserve"> </w:t>
      </w:r>
      <w:r w:rsidRPr="00397E50">
        <w:t>communications</w:t>
      </w:r>
      <w:r w:rsidRPr="00397E50" w:rsidR="003663A7">
        <w:t xml:space="preserve"> studies are</w:t>
      </w:r>
      <w:r w:rsidRPr="00397E50">
        <w:rPr>
          <w:spacing w:val="-1"/>
        </w:rPr>
        <w:t xml:space="preserve"> similar </w:t>
      </w:r>
      <w:r w:rsidRPr="00397E50">
        <w:t>to</w:t>
      </w:r>
      <w:r w:rsidRPr="00397E50">
        <w:rPr>
          <w:spacing w:val="-1"/>
        </w:rPr>
        <w:t xml:space="preserve"> </w:t>
      </w:r>
      <w:r w:rsidRPr="00397E50">
        <w:t>that</w:t>
      </w:r>
      <w:r w:rsidRPr="00397E50">
        <w:rPr>
          <w:spacing w:val="-1"/>
        </w:rPr>
        <w:t xml:space="preserve"> used</w:t>
      </w:r>
      <w:r w:rsidRPr="00397E50">
        <w:rPr>
          <w:spacing w:val="28"/>
        </w:rPr>
        <w:t xml:space="preserve"> </w:t>
      </w:r>
      <w:r w:rsidRPr="00397E50">
        <w:t xml:space="preserve">in any </w:t>
      </w:r>
      <w:r w:rsidRPr="00397E50">
        <w:rPr>
          <w:spacing w:val="-1"/>
        </w:rPr>
        <w:t>formal</w:t>
      </w:r>
      <w:r w:rsidRPr="00397E50">
        <w:t xml:space="preserve"> </w:t>
      </w:r>
      <w:r w:rsidRPr="00397E50">
        <w:rPr>
          <w:spacing w:val="-1"/>
        </w:rPr>
        <w:t>evaluation.</w:t>
      </w:r>
      <w:r w:rsidR="00594503">
        <w:rPr>
          <w:spacing w:val="58"/>
        </w:rPr>
        <w:t xml:space="preserve">  </w:t>
      </w:r>
      <w:r w:rsidRPr="00397E50">
        <w:t xml:space="preserve">The </w:t>
      </w:r>
      <w:r w:rsidRPr="00397E50">
        <w:rPr>
          <w:spacing w:val="-1"/>
        </w:rPr>
        <w:t xml:space="preserve">staff </w:t>
      </w:r>
      <w:r w:rsidRPr="00397E50">
        <w:t xml:space="preserve">will review </w:t>
      </w:r>
      <w:r w:rsidRPr="00397E50">
        <w:rPr>
          <w:spacing w:val="-1"/>
        </w:rPr>
        <w:t>the</w:t>
      </w:r>
      <w:r w:rsidRPr="00397E50">
        <w:t xml:space="preserve"> </w:t>
      </w:r>
      <w:r w:rsidRPr="00397E50">
        <w:rPr>
          <w:spacing w:val="-1"/>
        </w:rPr>
        <w:t>material</w:t>
      </w:r>
      <w:r w:rsidRPr="00397E50">
        <w:t xml:space="preserve"> to</w:t>
      </w:r>
      <w:r w:rsidRPr="00397E50">
        <w:rPr>
          <w:spacing w:val="-2"/>
        </w:rPr>
        <w:t xml:space="preserve"> </w:t>
      </w:r>
      <w:r w:rsidRPr="00397E50">
        <w:t xml:space="preserve">be </w:t>
      </w:r>
      <w:r w:rsidRPr="00397E50">
        <w:rPr>
          <w:spacing w:val="-1"/>
        </w:rPr>
        <w:t>tested,</w:t>
      </w:r>
      <w:r w:rsidRPr="00397E50">
        <w:t xml:space="preserve"> discuss the </w:t>
      </w:r>
      <w:r w:rsidRPr="00397E50">
        <w:rPr>
          <w:spacing w:val="-1"/>
        </w:rPr>
        <w:t>objectives</w:t>
      </w:r>
      <w:r w:rsidRPr="00397E50">
        <w:rPr>
          <w:spacing w:val="73"/>
        </w:rPr>
        <w:t xml:space="preserve"> </w:t>
      </w:r>
      <w:r w:rsidRPr="00397E50">
        <w:t>with</w:t>
      </w:r>
      <w:r w:rsidRPr="00397E50">
        <w:rPr>
          <w:spacing w:val="-1"/>
        </w:rPr>
        <w:t xml:space="preserve"> </w:t>
      </w:r>
      <w:r w:rsidRPr="00397E50">
        <w:t>the</w:t>
      </w:r>
      <w:r w:rsidRPr="00397E50">
        <w:rPr>
          <w:spacing w:val="-1"/>
        </w:rPr>
        <w:t xml:space="preserve"> </w:t>
      </w:r>
      <w:r w:rsidRPr="00397E50">
        <w:t>individuals</w:t>
      </w:r>
      <w:r w:rsidRPr="00397E50">
        <w:rPr>
          <w:spacing w:val="-1"/>
        </w:rPr>
        <w:t xml:space="preserve"> </w:t>
      </w:r>
      <w:r w:rsidRPr="00397E50">
        <w:t xml:space="preserve">responsible </w:t>
      </w:r>
      <w:r w:rsidRPr="00397E50">
        <w:rPr>
          <w:spacing w:val="-1"/>
        </w:rPr>
        <w:t xml:space="preserve">for developing the materials, determine the analytic questions </w:t>
      </w:r>
      <w:r w:rsidRPr="00397E50">
        <w:t>to</w:t>
      </w:r>
      <w:r w:rsidRPr="00397E50">
        <w:rPr>
          <w:spacing w:val="81"/>
        </w:rPr>
        <w:t xml:space="preserve"> </w:t>
      </w:r>
      <w:r w:rsidRPr="00397E50">
        <w:t>be</w:t>
      </w:r>
      <w:r w:rsidRPr="00397E50">
        <w:rPr>
          <w:spacing w:val="-1"/>
        </w:rPr>
        <w:t xml:space="preserve"> </w:t>
      </w:r>
      <w:r w:rsidRPr="00397E50">
        <w:t>addressed,</w:t>
      </w:r>
      <w:r w:rsidRPr="00397E50">
        <w:rPr>
          <w:spacing w:val="-1"/>
        </w:rPr>
        <w:t xml:space="preserve"> </w:t>
      </w:r>
      <w:r w:rsidRPr="00397E50">
        <w:t>and</w:t>
      </w:r>
      <w:r w:rsidRPr="00397E50">
        <w:rPr>
          <w:spacing w:val="-1"/>
        </w:rPr>
        <w:t xml:space="preserve"> </w:t>
      </w:r>
      <w:r w:rsidRPr="00397E50">
        <w:t>then</w:t>
      </w:r>
      <w:r w:rsidRPr="00397E50">
        <w:rPr>
          <w:spacing w:val="-1"/>
        </w:rPr>
        <w:t xml:space="preserve"> </w:t>
      </w:r>
      <w:r w:rsidRPr="00397E50">
        <w:t>prepare</w:t>
      </w:r>
      <w:r w:rsidRPr="00397E50">
        <w:rPr>
          <w:spacing w:val="-1"/>
        </w:rPr>
        <w:t xml:space="preserve"> </w:t>
      </w:r>
      <w:r w:rsidRPr="00397E50">
        <w:t>the</w:t>
      </w:r>
      <w:r w:rsidRPr="00397E50">
        <w:rPr>
          <w:spacing w:val="-1"/>
        </w:rPr>
        <w:t xml:space="preserve"> </w:t>
      </w:r>
      <w:r w:rsidRPr="00397E50">
        <w:t>procedures,</w:t>
      </w:r>
      <w:r w:rsidRPr="00397E50">
        <w:rPr>
          <w:spacing w:val="-1"/>
        </w:rPr>
        <w:t xml:space="preserve"> instruments, </w:t>
      </w:r>
      <w:r w:rsidRPr="00397E50">
        <w:t>and</w:t>
      </w:r>
      <w:r w:rsidRPr="00397E50">
        <w:rPr>
          <w:spacing w:val="-1"/>
        </w:rPr>
        <w:t xml:space="preserve"> </w:t>
      </w:r>
      <w:r w:rsidRPr="00397E50">
        <w:t>data</w:t>
      </w:r>
      <w:r w:rsidRPr="00397E50">
        <w:rPr>
          <w:spacing w:val="-1"/>
        </w:rPr>
        <w:t xml:space="preserve"> analysis plan.</w:t>
      </w:r>
      <w:r w:rsidR="00594503">
        <w:rPr>
          <w:spacing w:val="59"/>
        </w:rPr>
        <w:t xml:space="preserve">  </w:t>
      </w:r>
      <w:r w:rsidRPr="00397E50">
        <w:t>The</w:t>
      </w:r>
      <w:r w:rsidRPr="00397E50">
        <w:rPr>
          <w:spacing w:val="-1"/>
        </w:rPr>
        <w:t xml:space="preserve"> </w:t>
      </w:r>
      <w:r w:rsidRPr="00397E50">
        <w:t>analyses</w:t>
      </w:r>
      <w:r w:rsidRPr="00397E50">
        <w:rPr>
          <w:spacing w:val="39"/>
        </w:rPr>
        <w:t xml:space="preserve"> </w:t>
      </w:r>
      <w:r w:rsidRPr="00397E50">
        <w:t xml:space="preserve">conducted </w:t>
      </w:r>
      <w:r w:rsidRPr="00397E50">
        <w:rPr>
          <w:spacing w:val="-1"/>
        </w:rPr>
        <w:t>for</w:t>
      </w:r>
      <w:r w:rsidRPr="00397E50">
        <w:t xml:space="preserve"> each </w:t>
      </w:r>
      <w:r w:rsidRPr="00397E50">
        <w:rPr>
          <w:spacing w:val="-1"/>
        </w:rPr>
        <w:t>project</w:t>
      </w:r>
      <w:r w:rsidRPr="00397E50">
        <w:t xml:space="preserve"> will be </w:t>
      </w:r>
      <w:r w:rsidRPr="00397E50">
        <w:rPr>
          <w:spacing w:val="-1"/>
        </w:rPr>
        <w:t xml:space="preserve">determined </w:t>
      </w:r>
      <w:r w:rsidRPr="00397E50">
        <w:t>by</w:t>
      </w:r>
      <w:r w:rsidRPr="00397E50">
        <w:rPr>
          <w:spacing w:val="-1"/>
        </w:rPr>
        <w:t xml:space="preserve"> </w:t>
      </w:r>
      <w:r w:rsidRPr="00397E50">
        <w:t>the</w:t>
      </w:r>
      <w:r w:rsidRPr="00397E50">
        <w:rPr>
          <w:spacing w:val="-1"/>
        </w:rPr>
        <w:t xml:space="preserve"> </w:t>
      </w:r>
      <w:r w:rsidRPr="00397E50">
        <w:t>communication</w:t>
      </w:r>
      <w:r w:rsidRPr="00397E50">
        <w:rPr>
          <w:spacing w:val="-1"/>
        </w:rPr>
        <w:t xml:space="preserve"> </w:t>
      </w:r>
      <w:r w:rsidRPr="00397E50" w:rsidR="00E76A26">
        <w:rPr>
          <w:spacing w:val="-1"/>
        </w:rPr>
        <w:t xml:space="preserve">study </w:t>
      </w:r>
      <w:r w:rsidRPr="00397E50">
        <w:rPr>
          <w:spacing w:val="-1"/>
        </w:rPr>
        <w:t xml:space="preserve">objectives, </w:t>
      </w:r>
      <w:r w:rsidRPr="00397E50">
        <w:t>the</w:t>
      </w:r>
      <w:r w:rsidRPr="00397E50">
        <w:rPr>
          <w:spacing w:val="-1"/>
        </w:rPr>
        <w:t xml:space="preserve"> </w:t>
      </w:r>
      <w:r w:rsidRPr="00397E50" w:rsidR="00E76A26">
        <w:rPr>
          <w:spacing w:val="-1"/>
        </w:rPr>
        <w:t>topic of</w:t>
      </w:r>
      <w:r w:rsidRPr="00397E50">
        <w:rPr>
          <w:spacing w:val="-1"/>
        </w:rPr>
        <w:t>,</w:t>
      </w:r>
      <w:r w:rsidRPr="00397E50">
        <w:t xml:space="preserve"> </w:t>
      </w:r>
      <w:r w:rsidRPr="00397E50">
        <w:rPr>
          <w:spacing w:val="-1"/>
        </w:rPr>
        <w:t>the</w:t>
      </w:r>
      <w:r w:rsidRPr="00397E50">
        <w:t xml:space="preserve"> </w:t>
      </w:r>
      <w:r w:rsidRPr="00397E50">
        <w:rPr>
          <w:spacing w:val="-1"/>
        </w:rPr>
        <w:t>audience</w:t>
      </w:r>
      <w:r w:rsidRPr="00397E50" w:rsidR="00997923">
        <w:rPr>
          <w:spacing w:val="-1"/>
        </w:rPr>
        <w:t>(s)</w:t>
      </w:r>
      <w:r w:rsidRPr="00397E50" w:rsidR="00A97143">
        <w:rPr>
          <w:spacing w:val="-1"/>
        </w:rPr>
        <w:t xml:space="preserve">, research questions, and </w:t>
      </w:r>
      <w:r w:rsidRPr="00397E50" w:rsidR="00FA29F1">
        <w:rPr>
          <w:spacing w:val="-1"/>
        </w:rPr>
        <w:t>data collection method (e.g., interviews, surveys)</w:t>
      </w:r>
      <w:r w:rsidRPr="00397E50">
        <w:rPr>
          <w:spacing w:val="-1"/>
        </w:rPr>
        <w:t>.</w:t>
      </w:r>
      <w:r w:rsidRPr="00397E50">
        <w:t xml:space="preserve">  Specifics</w:t>
      </w:r>
      <w:r w:rsidRPr="00397E50">
        <w:rPr>
          <w:spacing w:val="-1"/>
        </w:rPr>
        <w:t xml:space="preserve"> </w:t>
      </w:r>
      <w:r w:rsidRPr="00397E50">
        <w:t>of</w:t>
      </w:r>
      <w:r w:rsidRPr="00397E50">
        <w:rPr>
          <w:spacing w:val="-1"/>
        </w:rPr>
        <w:t xml:space="preserve"> </w:t>
      </w:r>
      <w:r w:rsidRPr="00397E50">
        <w:t>the</w:t>
      </w:r>
      <w:r w:rsidRPr="00397E50">
        <w:rPr>
          <w:spacing w:val="-1"/>
        </w:rPr>
        <w:t xml:space="preserve"> </w:t>
      </w:r>
      <w:r w:rsidRPr="00397E50">
        <w:t>analyses</w:t>
      </w:r>
      <w:r w:rsidRPr="00397E50">
        <w:rPr>
          <w:spacing w:val="-1"/>
        </w:rPr>
        <w:t xml:space="preserve"> </w:t>
      </w:r>
      <w:r w:rsidRPr="00397E50">
        <w:t>cannot</w:t>
      </w:r>
      <w:r w:rsidRPr="00397E50">
        <w:rPr>
          <w:spacing w:val="-1"/>
        </w:rPr>
        <w:t xml:space="preserve"> </w:t>
      </w:r>
      <w:r w:rsidRPr="00397E50">
        <w:t>be</w:t>
      </w:r>
      <w:r w:rsidRPr="00397E50">
        <w:rPr>
          <w:spacing w:val="-1"/>
        </w:rPr>
        <w:t xml:space="preserve"> determined</w:t>
      </w:r>
      <w:r w:rsidRPr="00397E50">
        <w:rPr>
          <w:spacing w:val="33"/>
        </w:rPr>
        <w:t xml:space="preserve"> </w:t>
      </w:r>
      <w:r w:rsidRPr="00397E50">
        <w:t>until</w:t>
      </w:r>
      <w:r w:rsidRPr="00397E50">
        <w:rPr>
          <w:spacing w:val="-1"/>
        </w:rPr>
        <w:t xml:space="preserve"> </w:t>
      </w:r>
      <w:r w:rsidRPr="00397E50">
        <w:t>the</w:t>
      </w:r>
      <w:r w:rsidRPr="00397E50">
        <w:rPr>
          <w:spacing w:val="-1"/>
        </w:rPr>
        <w:t xml:space="preserve"> </w:t>
      </w:r>
      <w:r w:rsidRPr="00397E50" w:rsidR="00FA29F1">
        <w:rPr>
          <w:spacing w:val="-1"/>
        </w:rPr>
        <w:t xml:space="preserve">study materials </w:t>
      </w:r>
      <w:r w:rsidRPr="00397E50">
        <w:t>are</w:t>
      </w:r>
      <w:r w:rsidRPr="00397E50">
        <w:rPr>
          <w:spacing w:val="-1"/>
        </w:rPr>
        <w:t xml:space="preserve"> prepared.</w:t>
      </w:r>
    </w:p>
    <w:p w:rsidR="00DF66AA" w:rsidRPr="00397E50" w:rsidP="00D41D5A" w14:paraId="110F0017" w14:textId="77777777"/>
    <w:p w:rsidR="00DF66AA" w:rsidRPr="00397E50" w:rsidP="00D41D5A" w14:paraId="0783240A" w14:textId="762D09F8">
      <w:pPr>
        <w:pStyle w:val="BodyText"/>
        <w:spacing w:after="0"/>
        <w:ind w:right="106"/>
      </w:pPr>
      <w:r w:rsidRPr="00397E50">
        <w:t>Techniques</w:t>
      </w:r>
      <w:r w:rsidRPr="00397E50">
        <w:rPr>
          <w:spacing w:val="-1"/>
        </w:rPr>
        <w:t xml:space="preserve"> </w:t>
      </w:r>
      <w:r w:rsidRPr="00397E50">
        <w:t>include</w:t>
      </w:r>
      <w:r w:rsidRPr="00397E50">
        <w:rPr>
          <w:spacing w:val="-1"/>
        </w:rPr>
        <w:t xml:space="preserve"> qualitative </w:t>
      </w:r>
      <w:r w:rsidRPr="00397E50">
        <w:t>analyses</w:t>
      </w:r>
      <w:r w:rsidRPr="00397E50">
        <w:rPr>
          <w:spacing w:val="-1"/>
        </w:rPr>
        <w:t xml:space="preserve"> </w:t>
      </w:r>
      <w:r w:rsidRPr="00397E50">
        <w:t>(for</w:t>
      </w:r>
      <w:r w:rsidRPr="00397E50">
        <w:rPr>
          <w:spacing w:val="-1"/>
        </w:rPr>
        <w:t xml:space="preserve"> example, </w:t>
      </w:r>
      <w:r w:rsidRPr="00397E50" w:rsidR="0046525A">
        <w:t xml:space="preserve">thematic or </w:t>
      </w:r>
      <w:r w:rsidRPr="00397E50">
        <w:rPr>
          <w:spacing w:val="-1"/>
        </w:rPr>
        <w:t>content analysis</w:t>
      </w:r>
      <w:r w:rsidRPr="00397E50">
        <w:t>),</w:t>
      </w:r>
      <w:r w:rsidRPr="00397E50">
        <w:rPr>
          <w:spacing w:val="-1"/>
        </w:rPr>
        <w:t xml:space="preserve"> </w:t>
      </w:r>
      <w:r w:rsidRPr="00397E50" w:rsidR="00C017C9">
        <w:t xml:space="preserve">and </w:t>
      </w:r>
      <w:r w:rsidRPr="00397E50">
        <w:t>quantitative</w:t>
      </w:r>
      <w:r w:rsidRPr="00397E50" w:rsidR="00C017C9">
        <w:t xml:space="preserve"> analyses</w:t>
      </w:r>
      <w:r w:rsidRPr="00397E50">
        <w:rPr>
          <w:spacing w:val="-1"/>
        </w:rPr>
        <w:t>.</w:t>
      </w:r>
      <w:r w:rsidR="00594503">
        <w:rPr>
          <w:spacing w:val="59"/>
        </w:rPr>
        <w:t xml:space="preserve">  </w:t>
      </w:r>
      <w:r w:rsidRPr="00397E50">
        <w:t>In</w:t>
      </w:r>
      <w:r w:rsidRPr="00397E50">
        <w:rPr>
          <w:spacing w:val="-1"/>
        </w:rPr>
        <w:t xml:space="preserve"> cases </w:t>
      </w:r>
      <w:r w:rsidRPr="00397E50">
        <w:t>where</w:t>
      </w:r>
      <w:r w:rsidRPr="00397E50">
        <w:rPr>
          <w:spacing w:val="47"/>
        </w:rPr>
        <w:t xml:space="preserve"> </w:t>
      </w:r>
      <w:r w:rsidRPr="00397E50">
        <w:t>quantitative</w:t>
      </w:r>
      <w:r w:rsidRPr="00397E50">
        <w:rPr>
          <w:spacing w:val="-1"/>
        </w:rPr>
        <w:t xml:space="preserve"> </w:t>
      </w:r>
      <w:r w:rsidRPr="00397E50">
        <w:t>data</w:t>
      </w:r>
      <w:r w:rsidRPr="00397E50">
        <w:rPr>
          <w:spacing w:val="-1"/>
        </w:rPr>
        <w:t xml:space="preserve"> </w:t>
      </w:r>
      <w:r w:rsidRPr="00397E50">
        <w:t>is</w:t>
      </w:r>
      <w:r w:rsidRPr="00397E50">
        <w:rPr>
          <w:spacing w:val="-1"/>
        </w:rPr>
        <w:t xml:space="preserve"> </w:t>
      </w:r>
      <w:r w:rsidRPr="00397E50">
        <w:t>collected,</w:t>
      </w:r>
      <w:r w:rsidRPr="00397E50">
        <w:rPr>
          <w:spacing w:val="-1"/>
        </w:rPr>
        <w:t xml:space="preserve"> descriptive</w:t>
      </w:r>
      <w:r w:rsidRPr="00397E50">
        <w:t xml:space="preserve"> </w:t>
      </w:r>
      <w:r w:rsidRPr="00397E50">
        <w:rPr>
          <w:spacing w:val="-1"/>
        </w:rPr>
        <w:t>statistics</w:t>
      </w:r>
      <w:r w:rsidRPr="00397E50" w:rsidR="000638BA">
        <w:rPr>
          <w:spacing w:val="-1"/>
        </w:rPr>
        <w:t xml:space="preserve"> </w:t>
      </w:r>
      <w:r w:rsidRPr="00397E50" w:rsidR="00FD2B57">
        <w:rPr>
          <w:spacing w:val="-1"/>
        </w:rPr>
        <w:t>i</w:t>
      </w:r>
      <w:r w:rsidRPr="00397E50">
        <w:rPr>
          <w:spacing w:val="-1"/>
        </w:rPr>
        <w:t>ncluding</w:t>
      </w:r>
      <w:r w:rsidRPr="00397E50">
        <w:t xml:space="preserve"> </w:t>
      </w:r>
      <w:r w:rsidRPr="00397E50">
        <w:rPr>
          <w:spacing w:val="-1"/>
        </w:rPr>
        <w:t xml:space="preserve">percentages, </w:t>
      </w:r>
      <w:r w:rsidRPr="00397E50">
        <w:t>cross</w:t>
      </w:r>
      <w:r w:rsidRPr="00397E50">
        <w:rPr>
          <w:spacing w:val="-1"/>
        </w:rPr>
        <w:t xml:space="preserve"> </w:t>
      </w:r>
      <w:r w:rsidRPr="00397E50">
        <w:t>tabulations,</w:t>
      </w:r>
      <w:r w:rsidRPr="00397E50">
        <w:rPr>
          <w:spacing w:val="-1"/>
        </w:rPr>
        <w:t xml:space="preserve"> </w:t>
      </w:r>
      <w:r w:rsidRPr="00397E50">
        <w:t>and</w:t>
      </w:r>
      <w:r w:rsidRPr="00397E50">
        <w:rPr>
          <w:spacing w:val="65"/>
        </w:rPr>
        <w:t xml:space="preserve"> </w:t>
      </w:r>
      <w:r w:rsidRPr="00397E50">
        <w:rPr>
          <w:spacing w:val="-1"/>
        </w:rPr>
        <w:t>averages</w:t>
      </w:r>
      <w:r w:rsidRPr="00397E50" w:rsidR="00FD2B57">
        <w:rPr>
          <w:spacing w:val="-1"/>
        </w:rPr>
        <w:t>--</w:t>
      </w:r>
      <w:r w:rsidRPr="00397E50">
        <w:rPr>
          <w:spacing w:val="-1"/>
        </w:rPr>
        <w:t xml:space="preserve">will </w:t>
      </w:r>
      <w:r w:rsidRPr="00397E50">
        <w:t>be</w:t>
      </w:r>
      <w:r w:rsidRPr="00397E50">
        <w:rPr>
          <w:spacing w:val="-1"/>
        </w:rPr>
        <w:t xml:space="preserve"> calculated </w:t>
      </w:r>
      <w:r w:rsidRPr="00397E50">
        <w:t>and</w:t>
      </w:r>
      <w:r w:rsidRPr="00397E50">
        <w:rPr>
          <w:spacing w:val="-1"/>
        </w:rPr>
        <w:t xml:space="preserve"> </w:t>
      </w:r>
      <w:r w:rsidRPr="00397E50">
        <w:t>presented,</w:t>
      </w:r>
      <w:r w:rsidRPr="00397E50">
        <w:rPr>
          <w:spacing w:val="-1"/>
        </w:rPr>
        <w:t xml:space="preserve"> along </w:t>
      </w:r>
      <w:r w:rsidRPr="00397E50">
        <w:t>with</w:t>
      </w:r>
      <w:r w:rsidRPr="00397E50">
        <w:rPr>
          <w:spacing w:val="-1"/>
        </w:rPr>
        <w:t xml:space="preserve"> </w:t>
      </w:r>
      <w:r w:rsidRPr="00397E50">
        <w:t>demographic</w:t>
      </w:r>
      <w:r w:rsidRPr="00397E50">
        <w:rPr>
          <w:spacing w:val="-1"/>
        </w:rPr>
        <w:t xml:space="preserve"> descriptions </w:t>
      </w:r>
      <w:r w:rsidRPr="00397E50">
        <w:t>of</w:t>
      </w:r>
      <w:r w:rsidRPr="00397E50">
        <w:rPr>
          <w:spacing w:val="-1"/>
        </w:rPr>
        <w:t xml:space="preserve"> </w:t>
      </w:r>
      <w:r w:rsidRPr="00397E50">
        <w:t>study</w:t>
      </w:r>
      <w:r w:rsidRPr="00397E50">
        <w:rPr>
          <w:spacing w:val="55"/>
        </w:rPr>
        <w:t xml:space="preserve"> </w:t>
      </w:r>
      <w:r w:rsidRPr="00397E50">
        <w:t>respondents.</w:t>
      </w:r>
      <w:r w:rsidRPr="00397E50" w:rsidR="00FD2B57">
        <w:rPr>
          <w:spacing w:val="58"/>
        </w:rPr>
        <w:t xml:space="preserve"> </w:t>
      </w:r>
      <w:r w:rsidRPr="00397E50">
        <w:rPr>
          <w:spacing w:val="-1"/>
        </w:rPr>
        <w:t>Information</w:t>
      </w:r>
      <w:r w:rsidRPr="00397E50">
        <w:t xml:space="preserve"> collected </w:t>
      </w:r>
      <w:r w:rsidRPr="00397E50">
        <w:rPr>
          <w:spacing w:val="-1"/>
        </w:rPr>
        <w:t>from</w:t>
      </w:r>
      <w:r w:rsidRPr="00397E50">
        <w:rPr>
          <w:spacing w:val="-2"/>
        </w:rPr>
        <w:t xml:space="preserve"> </w:t>
      </w:r>
      <w:r w:rsidRPr="00397E50">
        <w:t>study</w:t>
      </w:r>
      <w:r w:rsidRPr="00397E50">
        <w:rPr>
          <w:spacing w:val="-1"/>
        </w:rPr>
        <w:t xml:space="preserve"> participants </w:t>
      </w:r>
      <w:r w:rsidRPr="00397E50">
        <w:t>will</w:t>
      </w:r>
      <w:r w:rsidRPr="00397E50">
        <w:rPr>
          <w:spacing w:val="-1"/>
        </w:rPr>
        <w:t xml:space="preserve"> </w:t>
      </w:r>
      <w:r w:rsidRPr="00397E50">
        <w:t>be</w:t>
      </w:r>
      <w:r w:rsidRPr="00397E50">
        <w:rPr>
          <w:spacing w:val="-1"/>
        </w:rPr>
        <w:t xml:space="preserve"> subjected </w:t>
      </w:r>
      <w:r w:rsidRPr="00397E50">
        <w:t>to</w:t>
      </w:r>
      <w:r w:rsidRPr="00397E50">
        <w:rPr>
          <w:spacing w:val="-1"/>
        </w:rPr>
        <w:t xml:space="preserve"> subgroup</w:t>
      </w:r>
      <w:r w:rsidRPr="00397E50">
        <w:rPr>
          <w:spacing w:val="69"/>
        </w:rPr>
        <w:t xml:space="preserve"> </w:t>
      </w:r>
      <w:r w:rsidRPr="00397E50">
        <w:t>analyses</w:t>
      </w:r>
      <w:r w:rsidRPr="00397E50">
        <w:rPr>
          <w:spacing w:val="-1"/>
        </w:rPr>
        <w:t xml:space="preserve"> </w:t>
      </w:r>
      <w:r w:rsidRPr="00397E50">
        <w:t>to</w:t>
      </w:r>
      <w:r w:rsidRPr="00397E50">
        <w:rPr>
          <w:spacing w:val="-1"/>
        </w:rPr>
        <w:t xml:space="preserve"> </w:t>
      </w:r>
      <w:r w:rsidRPr="00397E50">
        <w:t>uncover</w:t>
      </w:r>
      <w:r w:rsidRPr="00397E50">
        <w:rPr>
          <w:spacing w:val="-1"/>
        </w:rPr>
        <w:t xml:space="preserve"> </w:t>
      </w:r>
      <w:r w:rsidRPr="00397E50">
        <w:t>potential</w:t>
      </w:r>
      <w:r w:rsidRPr="00397E50">
        <w:rPr>
          <w:spacing w:val="-1"/>
        </w:rPr>
        <w:t xml:space="preserve"> </w:t>
      </w:r>
      <w:r w:rsidRPr="00397E50">
        <w:t>differences</w:t>
      </w:r>
      <w:r w:rsidRPr="00397E50">
        <w:rPr>
          <w:spacing w:val="-1"/>
        </w:rPr>
        <w:t xml:space="preserve"> among</w:t>
      </w:r>
      <w:r w:rsidRPr="00397E50">
        <w:t xml:space="preserve"> key groups (defined by gender, age,</w:t>
      </w:r>
      <w:r w:rsidRPr="00397E50">
        <w:rPr>
          <w:spacing w:val="24"/>
        </w:rPr>
        <w:t xml:space="preserve"> </w:t>
      </w:r>
      <w:r w:rsidRPr="00397E50">
        <w:t>race/ethnicity,</w:t>
      </w:r>
      <w:r w:rsidRPr="00397E50">
        <w:rPr>
          <w:spacing w:val="-1"/>
        </w:rPr>
        <w:t xml:space="preserve"> </w:t>
      </w:r>
      <w:r w:rsidRPr="00397E50">
        <w:t>etc.).</w:t>
      </w:r>
      <w:r w:rsidRPr="00397E50">
        <w:rPr>
          <w:spacing w:val="59"/>
        </w:rPr>
        <w:t xml:space="preserve"> </w:t>
      </w:r>
      <w:r w:rsidRPr="00397E50">
        <w:rPr>
          <w:spacing w:val="-1"/>
        </w:rPr>
        <w:t xml:space="preserve">Statistical </w:t>
      </w:r>
      <w:r w:rsidRPr="00397E50">
        <w:t>analyses</w:t>
      </w:r>
      <w:r w:rsidRPr="00397E50">
        <w:rPr>
          <w:spacing w:val="-1"/>
        </w:rPr>
        <w:t xml:space="preserve"> may</w:t>
      </w:r>
      <w:r w:rsidRPr="00397E50">
        <w:t xml:space="preserve"> be conducted using cross-tabulation procedures</w:t>
      </w:r>
      <w:r w:rsidRPr="00397E50">
        <w:rPr>
          <w:spacing w:val="21"/>
        </w:rPr>
        <w:t xml:space="preserve"> </w:t>
      </w:r>
      <w:r w:rsidRPr="00397E50">
        <w:t xml:space="preserve">with categorical variables </w:t>
      </w:r>
      <w:r w:rsidRPr="00397E50">
        <w:rPr>
          <w:spacing w:val="-1"/>
        </w:rPr>
        <w:t>(e.g., chi-square) and between-group</w:t>
      </w:r>
      <w:r w:rsidRPr="00397E50">
        <w:t xml:space="preserve"> </w:t>
      </w:r>
      <w:r w:rsidRPr="00397E50">
        <w:rPr>
          <w:spacing w:val="-1"/>
        </w:rPr>
        <w:t>procedures with continuous</w:t>
      </w:r>
      <w:r w:rsidRPr="00397E50">
        <w:rPr>
          <w:spacing w:val="26"/>
        </w:rPr>
        <w:t xml:space="preserve"> </w:t>
      </w:r>
      <w:r w:rsidRPr="00397E50">
        <w:rPr>
          <w:spacing w:val="-1"/>
        </w:rPr>
        <w:t>variables</w:t>
      </w:r>
      <w:r w:rsidRPr="00397E50">
        <w:t xml:space="preserve"> </w:t>
      </w:r>
      <w:r w:rsidRPr="00397E50">
        <w:rPr>
          <w:spacing w:val="-1"/>
        </w:rPr>
        <w:t>(e.g.,</w:t>
      </w:r>
      <w:r w:rsidRPr="00397E50">
        <w:t xml:space="preserve"> ANOVA and t</w:t>
      </w:r>
      <w:r w:rsidRPr="00397E50" w:rsidR="00FB03BF">
        <w:t>-</w:t>
      </w:r>
      <w:r w:rsidRPr="00397E50">
        <w:rPr>
          <w:spacing w:val="-1"/>
        </w:rPr>
        <w:t>tests).</w:t>
      </w:r>
      <w:r w:rsidRPr="00397E50">
        <w:rPr>
          <w:spacing w:val="59"/>
        </w:rPr>
        <w:t xml:space="preserve"> </w:t>
      </w:r>
      <w:r w:rsidRPr="00397E50">
        <w:rPr>
          <w:spacing w:val="-1"/>
        </w:rPr>
        <w:t>Parametric</w:t>
      </w:r>
      <w:r w:rsidRPr="00397E50">
        <w:t xml:space="preserve"> </w:t>
      </w:r>
      <w:r w:rsidRPr="00397E50">
        <w:rPr>
          <w:spacing w:val="-1"/>
        </w:rPr>
        <w:t xml:space="preserve">statistical tests </w:t>
      </w:r>
      <w:r w:rsidRPr="00397E50">
        <w:t>will</w:t>
      </w:r>
      <w:r w:rsidRPr="00397E50">
        <w:rPr>
          <w:spacing w:val="-1"/>
        </w:rPr>
        <w:t xml:space="preserve"> </w:t>
      </w:r>
      <w:r w:rsidRPr="00397E50">
        <w:t>be</w:t>
      </w:r>
      <w:r w:rsidRPr="00397E50">
        <w:rPr>
          <w:spacing w:val="-1"/>
        </w:rPr>
        <w:t xml:space="preserve"> used </w:t>
      </w:r>
      <w:r w:rsidRPr="00397E50">
        <w:t>in</w:t>
      </w:r>
      <w:r w:rsidRPr="00397E50">
        <w:rPr>
          <w:spacing w:val="-1"/>
        </w:rPr>
        <w:t xml:space="preserve"> </w:t>
      </w:r>
      <w:r w:rsidRPr="00397E50">
        <w:t>the</w:t>
      </w:r>
      <w:r w:rsidRPr="00397E50">
        <w:rPr>
          <w:spacing w:val="-1"/>
        </w:rPr>
        <w:t xml:space="preserve"> </w:t>
      </w:r>
      <w:r w:rsidRPr="00397E50">
        <w:t>case</w:t>
      </w:r>
      <w:r w:rsidRPr="00397E50">
        <w:rPr>
          <w:spacing w:val="-1"/>
        </w:rPr>
        <w:t xml:space="preserve"> </w:t>
      </w:r>
      <w:r w:rsidRPr="00397E50">
        <w:t>of</w:t>
      </w:r>
      <w:r w:rsidRPr="00397E50">
        <w:rPr>
          <w:spacing w:val="83"/>
        </w:rPr>
        <w:t xml:space="preserve"> </w:t>
      </w:r>
      <w:r w:rsidRPr="00397E50">
        <w:t>sufficient</w:t>
      </w:r>
      <w:r w:rsidRPr="00397E50">
        <w:rPr>
          <w:spacing w:val="-1"/>
        </w:rPr>
        <w:t xml:space="preserve"> </w:t>
      </w:r>
      <w:r w:rsidRPr="00397E50">
        <w:t>sample</w:t>
      </w:r>
      <w:r w:rsidRPr="00397E50">
        <w:rPr>
          <w:spacing w:val="-1"/>
        </w:rPr>
        <w:t xml:space="preserve"> </w:t>
      </w:r>
      <w:r w:rsidRPr="00397E50">
        <w:t>sizes,</w:t>
      </w:r>
      <w:r w:rsidRPr="00397E50">
        <w:rPr>
          <w:spacing w:val="-1"/>
        </w:rPr>
        <w:t xml:space="preserve"> normal </w:t>
      </w:r>
      <w:r w:rsidRPr="00397E50">
        <w:t>distributions,</w:t>
      </w:r>
      <w:r w:rsidRPr="00397E50">
        <w:rPr>
          <w:spacing w:val="-1"/>
        </w:rPr>
        <w:t xml:space="preserve"> and </w:t>
      </w:r>
      <w:r w:rsidRPr="00397E50">
        <w:t>continuous</w:t>
      </w:r>
      <w:r w:rsidRPr="00397E50">
        <w:rPr>
          <w:spacing w:val="-1"/>
        </w:rPr>
        <w:t xml:space="preserve"> </w:t>
      </w:r>
      <w:r w:rsidRPr="00397E50">
        <w:t>or</w:t>
      </w:r>
      <w:r w:rsidRPr="00397E50">
        <w:rPr>
          <w:spacing w:val="-1"/>
        </w:rPr>
        <w:t xml:space="preserve"> </w:t>
      </w:r>
      <w:r w:rsidRPr="00397E50">
        <w:t>interval</w:t>
      </w:r>
      <w:r w:rsidRPr="00397E50">
        <w:rPr>
          <w:spacing w:val="-1"/>
        </w:rPr>
        <w:t xml:space="preserve"> </w:t>
      </w:r>
      <w:r w:rsidRPr="00397E50">
        <w:t>data;</w:t>
      </w:r>
      <w:r w:rsidRPr="00397E50">
        <w:rPr>
          <w:spacing w:val="-1"/>
        </w:rPr>
        <w:t xml:space="preserve"> non-parametric</w:t>
      </w:r>
      <w:r w:rsidRPr="00397E50" w:rsidR="00591976">
        <w:rPr>
          <w:spacing w:val="-1"/>
        </w:rPr>
        <w:t xml:space="preserve"> </w:t>
      </w:r>
      <w:r w:rsidRPr="00397E50">
        <w:t>procedures</w:t>
      </w:r>
      <w:r w:rsidRPr="00397E50">
        <w:rPr>
          <w:spacing w:val="-1"/>
        </w:rPr>
        <w:t xml:space="preserve"> </w:t>
      </w:r>
      <w:r w:rsidRPr="00397E50">
        <w:t>will</w:t>
      </w:r>
      <w:r w:rsidRPr="00397E50">
        <w:rPr>
          <w:spacing w:val="-1"/>
        </w:rPr>
        <w:t xml:space="preserve"> </w:t>
      </w:r>
      <w:r w:rsidRPr="00397E50">
        <w:t>be</w:t>
      </w:r>
      <w:r w:rsidRPr="00397E50">
        <w:rPr>
          <w:spacing w:val="-1"/>
        </w:rPr>
        <w:t xml:space="preserve"> used otherwise.</w:t>
      </w:r>
      <w:r w:rsidRPr="00397E50">
        <w:t xml:space="preserve"> </w:t>
      </w:r>
      <w:r w:rsidRPr="00397E50">
        <w:rPr>
          <w:spacing w:val="-1"/>
        </w:rPr>
        <w:t>All</w:t>
      </w:r>
      <w:r w:rsidRPr="00397E50">
        <w:t xml:space="preserve"> analyses </w:t>
      </w:r>
      <w:r w:rsidRPr="00397E50">
        <w:rPr>
          <w:spacing w:val="-1"/>
        </w:rPr>
        <w:t xml:space="preserve">will be </w:t>
      </w:r>
      <w:r w:rsidRPr="00397E50">
        <w:t>done</w:t>
      </w:r>
      <w:r w:rsidRPr="00397E50">
        <w:rPr>
          <w:spacing w:val="-1"/>
        </w:rPr>
        <w:t xml:space="preserve"> </w:t>
      </w:r>
      <w:r w:rsidRPr="00397E50">
        <w:t>in</w:t>
      </w:r>
      <w:r w:rsidRPr="00397E50">
        <w:rPr>
          <w:spacing w:val="-1"/>
        </w:rPr>
        <w:t xml:space="preserve"> </w:t>
      </w:r>
      <w:r w:rsidRPr="00397E50">
        <w:t>the</w:t>
      </w:r>
      <w:r w:rsidRPr="00397E50">
        <w:rPr>
          <w:spacing w:val="-1"/>
        </w:rPr>
        <w:t xml:space="preserve"> </w:t>
      </w:r>
      <w:r w:rsidRPr="00397E50">
        <w:t>context</w:t>
      </w:r>
      <w:r w:rsidRPr="00397E50">
        <w:rPr>
          <w:spacing w:val="-1"/>
        </w:rPr>
        <w:t xml:space="preserve"> </w:t>
      </w:r>
      <w:r w:rsidRPr="00397E50">
        <w:t>of</w:t>
      </w:r>
      <w:r w:rsidRPr="00397E50">
        <w:rPr>
          <w:spacing w:val="31"/>
        </w:rPr>
        <w:t xml:space="preserve"> </w:t>
      </w:r>
      <w:r w:rsidRPr="00397E50">
        <w:t xml:space="preserve">understanding the </w:t>
      </w:r>
      <w:r w:rsidRPr="00397E50">
        <w:rPr>
          <w:spacing w:val="-1"/>
        </w:rPr>
        <w:t>limitations</w:t>
      </w:r>
      <w:r w:rsidRPr="00397E50">
        <w:t xml:space="preserve"> of</w:t>
      </w:r>
      <w:r w:rsidRPr="00397E50">
        <w:rPr>
          <w:spacing w:val="-2"/>
        </w:rPr>
        <w:t xml:space="preserve"> </w:t>
      </w:r>
      <w:r w:rsidRPr="00397E50">
        <w:t>the</w:t>
      </w:r>
      <w:r w:rsidRPr="00397E50">
        <w:rPr>
          <w:spacing w:val="-1"/>
        </w:rPr>
        <w:t xml:space="preserve"> </w:t>
      </w:r>
      <w:r w:rsidRPr="00397E50">
        <w:t>data</w:t>
      </w:r>
      <w:r w:rsidRPr="00397E50">
        <w:rPr>
          <w:spacing w:val="-1"/>
        </w:rPr>
        <w:t xml:space="preserve"> </w:t>
      </w:r>
      <w:r w:rsidRPr="00397E50">
        <w:t>with</w:t>
      </w:r>
      <w:r w:rsidRPr="00397E50">
        <w:rPr>
          <w:spacing w:val="-1"/>
        </w:rPr>
        <w:t xml:space="preserve"> </w:t>
      </w:r>
      <w:r w:rsidRPr="00397E50">
        <w:t>respect</w:t>
      </w:r>
      <w:r w:rsidRPr="00397E50">
        <w:rPr>
          <w:spacing w:val="-1"/>
        </w:rPr>
        <w:t xml:space="preserve"> </w:t>
      </w:r>
      <w:r w:rsidRPr="00397E50">
        <w:t>to their</w:t>
      </w:r>
      <w:r w:rsidRPr="00397E50">
        <w:rPr>
          <w:spacing w:val="-1"/>
        </w:rPr>
        <w:t xml:space="preserve"> </w:t>
      </w:r>
      <w:r w:rsidRPr="00397E50">
        <w:t>not</w:t>
      </w:r>
      <w:r w:rsidRPr="00397E50">
        <w:rPr>
          <w:spacing w:val="-1"/>
        </w:rPr>
        <w:t xml:space="preserve"> representing population</w:t>
      </w:r>
      <w:r w:rsidRPr="00397E50">
        <w:rPr>
          <w:spacing w:val="30"/>
        </w:rPr>
        <w:t xml:space="preserve"> </w:t>
      </w:r>
      <w:r w:rsidRPr="00397E50">
        <w:rPr>
          <w:spacing w:val="-1"/>
        </w:rPr>
        <w:t>parameters.</w:t>
      </w:r>
    </w:p>
    <w:p w:rsidR="211616FC" w:rsidRPr="00397E50" w:rsidP="00D41D5A" w14:paraId="7D6C0532" w14:textId="2689917D">
      <w:pPr>
        <w:pStyle w:val="BodyText"/>
        <w:spacing w:after="0"/>
        <w:ind w:right="106"/>
      </w:pPr>
    </w:p>
    <w:p w:rsidR="75664513" w:rsidRPr="00397E50" w:rsidP="00D41D5A" w14:paraId="393C7B35" w14:textId="1CBDD5F2">
      <w:pPr>
        <w:pStyle w:val="BodyText"/>
        <w:spacing w:after="0"/>
        <w:ind w:right="106"/>
      </w:pPr>
      <w:r w:rsidRPr="00397E50">
        <w:t xml:space="preserve">Under certain circumstances, materials approved under this generic clearance may be subject to changes that affect the look and feel of collection, but do not change the nature or type of information collected. Changes which do not increase the burden of a collection, though they might reduce its burden (e.g., a cosmetic change to the colors, visual layouts, or field sizes of a collection form) may be made, </w:t>
      </w:r>
      <w:r w:rsidRPr="00397E50" w:rsidR="54B8B7AC">
        <w:t>as long as</w:t>
      </w:r>
      <w:r w:rsidRPr="00397E50">
        <w:t xml:space="preserve"> the underlying, approved form is not </w:t>
      </w:r>
      <w:r w:rsidRPr="00397E50" w:rsidR="495CCCED">
        <w:t>altered,</w:t>
      </w:r>
      <w:r w:rsidRPr="00397E50">
        <w:t xml:space="preserve"> and the materials essentially collect the same information.</w:t>
      </w:r>
    </w:p>
    <w:p w:rsidR="004D2397" w:rsidRPr="00397E50" w:rsidP="00D41D5A" w14:paraId="08CF4F2B" w14:textId="77777777">
      <w:pPr>
        <w:pStyle w:val="BodyText"/>
        <w:spacing w:after="0"/>
        <w:ind w:right="106"/>
      </w:pPr>
    </w:p>
    <w:p w:rsidR="00DF66AA" w:rsidRPr="00397E50" w:rsidP="00D41D5A" w14:paraId="1E7F0D09" w14:textId="08A440A7">
      <w:pPr>
        <w:pStyle w:val="BodyText"/>
        <w:spacing w:after="0"/>
        <w:ind w:right="159"/>
      </w:pPr>
      <w:r w:rsidRPr="00397E50">
        <w:t>Although</w:t>
      </w:r>
      <w:r w:rsidRPr="00397E50">
        <w:t xml:space="preserve"> the </w:t>
      </w:r>
      <w:r w:rsidRPr="00397E50">
        <w:rPr>
          <w:spacing w:val="-1"/>
        </w:rPr>
        <w:t>primary</w:t>
      </w:r>
      <w:r w:rsidRPr="00397E50">
        <w:t xml:space="preserve"> purpose of this</w:t>
      </w:r>
      <w:r w:rsidRPr="00397E50">
        <w:rPr>
          <w:spacing w:val="-1"/>
        </w:rPr>
        <w:t xml:space="preserve"> data collection is to provide information</w:t>
      </w:r>
      <w:r w:rsidRPr="00397E50">
        <w:t xml:space="preserve"> to </w:t>
      </w:r>
      <w:r w:rsidRPr="00397E50" w:rsidR="00C055BE">
        <w:t xml:space="preserve">aid </w:t>
      </w:r>
      <w:r w:rsidRPr="00397E50" w:rsidR="00E456B6">
        <w:t xml:space="preserve">communication professionals in </w:t>
      </w:r>
      <w:r w:rsidRPr="00397E50">
        <w:t>develop</w:t>
      </w:r>
      <w:r w:rsidRPr="00397E50" w:rsidR="00E456B6">
        <w:t xml:space="preserve">ment and improvement </w:t>
      </w:r>
      <w:r w:rsidRPr="00397E50">
        <w:t>of</w:t>
      </w:r>
      <w:r w:rsidR="00593DD0">
        <w:rPr>
          <w:spacing w:val="35"/>
        </w:rPr>
        <w:t xml:space="preserve"> agency</w:t>
      </w:r>
      <w:r w:rsidRPr="00397E50" w:rsidR="00053B4C">
        <w:t xml:space="preserve"> </w:t>
      </w:r>
      <w:r w:rsidRPr="00397E50">
        <w:rPr>
          <w:spacing w:val="-1"/>
        </w:rPr>
        <w:t>messages</w:t>
      </w:r>
      <w:r w:rsidRPr="00397E50">
        <w:t xml:space="preserve"> </w:t>
      </w:r>
      <w:r w:rsidRPr="00397E50" w:rsidR="00E456B6">
        <w:t>and materials</w:t>
      </w:r>
      <w:r w:rsidRPr="00397E50">
        <w:rPr>
          <w:spacing w:val="-1"/>
        </w:rPr>
        <w:t>,</w:t>
      </w:r>
      <w:r w:rsidRPr="00397E50">
        <w:t xml:space="preserve"> </w:t>
      </w:r>
      <w:r w:rsidRPr="00397E50" w:rsidR="00872E0D">
        <w:t xml:space="preserve">the results of these studies are shared within </w:t>
      </w:r>
      <w:r w:rsidRPr="00397E50">
        <w:rPr>
          <w:spacing w:val="-1"/>
        </w:rPr>
        <w:t>FDA</w:t>
      </w:r>
      <w:r w:rsidRPr="00397E50">
        <w:t xml:space="preserve"> </w:t>
      </w:r>
      <w:r w:rsidRPr="00397E50" w:rsidR="00872E0D">
        <w:t xml:space="preserve">to enhance understanding </w:t>
      </w:r>
      <w:r w:rsidRPr="00397E50" w:rsidR="00F110AB">
        <w:t>about</w:t>
      </w:r>
      <w:r w:rsidRPr="00397E50" w:rsidR="00872E0D">
        <w:t xml:space="preserve"> </w:t>
      </w:r>
      <w:r w:rsidRPr="00397E50" w:rsidR="00F110AB">
        <w:t xml:space="preserve">topics of interest and audiences. FDA also may </w:t>
      </w:r>
      <w:r w:rsidRPr="00397E50">
        <w:rPr>
          <w:spacing w:val="-1"/>
        </w:rPr>
        <w:t>make</w:t>
      </w:r>
      <w:r w:rsidRPr="00397E50">
        <w:t xml:space="preserve"> </w:t>
      </w:r>
      <w:r w:rsidRPr="00397E50" w:rsidR="00F110AB">
        <w:t xml:space="preserve">these </w:t>
      </w:r>
      <w:r w:rsidRPr="00397E50">
        <w:rPr>
          <w:spacing w:val="-1"/>
        </w:rPr>
        <w:t>results</w:t>
      </w:r>
      <w:r w:rsidRPr="00397E50">
        <w:t xml:space="preserve"> </w:t>
      </w:r>
      <w:r w:rsidRPr="00397E50">
        <w:rPr>
          <w:spacing w:val="-1"/>
        </w:rPr>
        <w:t xml:space="preserve">available </w:t>
      </w:r>
      <w:r w:rsidRPr="00397E50">
        <w:t>to</w:t>
      </w:r>
      <w:r w:rsidRPr="00397E50">
        <w:rPr>
          <w:spacing w:val="-1"/>
        </w:rPr>
        <w:t xml:space="preserve"> </w:t>
      </w:r>
      <w:r w:rsidRPr="00397E50" w:rsidR="00F110AB">
        <w:rPr>
          <w:spacing w:val="-1"/>
        </w:rPr>
        <w:t xml:space="preserve">staff </w:t>
      </w:r>
      <w:r w:rsidRPr="00397E50">
        <w:t xml:space="preserve">at </w:t>
      </w:r>
      <w:r w:rsidRPr="00397E50" w:rsidR="00F110AB">
        <w:t xml:space="preserve">other </w:t>
      </w:r>
      <w:r w:rsidRPr="00397E50">
        <w:t>Government agencies, health professional</w:t>
      </w:r>
      <w:r w:rsidRPr="00397E50" w:rsidR="005F0E82">
        <w:t xml:space="preserve"> and patient advocacy </w:t>
      </w:r>
      <w:r w:rsidRPr="00397E50">
        <w:t xml:space="preserve">organizations, and </w:t>
      </w:r>
      <w:r w:rsidRPr="00397E50">
        <w:rPr>
          <w:spacing w:val="-1"/>
        </w:rPr>
        <w:t>medical</w:t>
      </w:r>
      <w:r w:rsidRPr="00397E50">
        <w:t xml:space="preserve"> institutions.  In </w:t>
      </w:r>
      <w:r w:rsidRPr="00397E50">
        <w:rPr>
          <w:spacing w:val="-1"/>
        </w:rPr>
        <w:t>addition,</w:t>
      </w:r>
      <w:r w:rsidRPr="00397E50">
        <w:t xml:space="preserve"> FDA </w:t>
      </w:r>
      <w:r w:rsidRPr="00397E50">
        <w:rPr>
          <w:spacing w:val="-1"/>
        </w:rPr>
        <w:t>may</w:t>
      </w:r>
      <w:r w:rsidRPr="00397E50">
        <w:t xml:space="preserve"> present the </w:t>
      </w:r>
      <w:r w:rsidRPr="00397E50">
        <w:rPr>
          <w:spacing w:val="-1"/>
        </w:rPr>
        <w:t>findings</w:t>
      </w:r>
      <w:r w:rsidRPr="00397E50">
        <w:t xml:space="preserve"> of its </w:t>
      </w:r>
      <w:r w:rsidRPr="00397E50" w:rsidR="00981DCF">
        <w:t>studies</w:t>
      </w:r>
      <w:r w:rsidRPr="00397E50">
        <w:t xml:space="preserve"> at</w:t>
      </w:r>
      <w:r w:rsidRPr="00397E50">
        <w:rPr>
          <w:spacing w:val="35"/>
        </w:rPr>
        <w:t xml:space="preserve"> </w:t>
      </w:r>
      <w:r w:rsidRPr="00397E50">
        <w:t>professional</w:t>
      </w:r>
      <w:r w:rsidRPr="00397E50">
        <w:rPr>
          <w:spacing w:val="-1"/>
        </w:rPr>
        <w:t xml:space="preserve"> </w:t>
      </w:r>
      <w:r w:rsidRPr="00397E50">
        <w:t>association</w:t>
      </w:r>
      <w:r w:rsidRPr="00397E50">
        <w:rPr>
          <w:spacing w:val="-1"/>
        </w:rPr>
        <w:t xml:space="preserve"> meetings, </w:t>
      </w:r>
      <w:r w:rsidRPr="00397E50">
        <w:t>including</w:t>
      </w:r>
      <w:r w:rsidRPr="00397E50">
        <w:rPr>
          <w:spacing w:val="-1"/>
        </w:rPr>
        <w:t xml:space="preserve"> the</w:t>
      </w:r>
      <w:r w:rsidRPr="00397E50">
        <w:t xml:space="preserve"> American Public Health Association.</w:t>
      </w:r>
    </w:p>
    <w:p w:rsidR="004D2397" w:rsidRPr="00397E50" w:rsidP="00D41D5A" w14:paraId="51521A34" w14:textId="77777777">
      <w:pPr>
        <w:pStyle w:val="BodyText"/>
        <w:spacing w:after="0"/>
        <w:ind w:right="159"/>
      </w:pPr>
    </w:p>
    <w:p w:rsidR="00DF66AA" w:rsidRPr="00397E50" w:rsidP="00D41D5A" w14:paraId="0B23D855" w14:textId="3312E3F4">
      <w:pPr>
        <w:pStyle w:val="BodyText"/>
        <w:spacing w:after="0"/>
        <w:ind w:right="177"/>
      </w:pPr>
      <w:r w:rsidRPr="00397E50">
        <w:rPr>
          <w:spacing w:val="-1"/>
        </w:rPr>
        <w:t>Some</w:t>
      </w:r>
      <w:r w:rsidRPr="00397E50">
        <w:t xml:space="preserve"> results</w:t>
      </w:r>
      <w:r w:rsidRPr="00397E50">
        <w:rPr>
          <w:spacing w:val="-1"/>
        </w:rPr>
        <w:t xml:space="preserve"> may </w:t>
      </w:r>
      <w:r w:rsidRPr="00397E50">
        <w:t>be</w:t>
      </w:r>
      <w:r w:rsidRPr="00397E50">
        <w:rPr>
          <w:spacing w:val="-1"/>
        </w:rPr>
        <w:t xml:space="preserve"> </w:t>
      </w:r>
      <w:r w:rsidRPr="00397E50">
        <w:t>published</w:t>
      </w:r>
      <w:r w:rsidRPr="00397E50">
        <w:rPr>
          <w:spacing w:val="-1"/>
        </w:rPr>
        <w:t xml:space="preserve"> </w:t>
      </w:r>
      <w:r w:rsidRPr="00397E50">
        <w:t>in</w:t>
      </w:r>
      <w:r w:rsidRPr="00397E50">
        <w:rPr>
          <w:spacing w:val="-1"/>
        </w:rPr>
        <w:t xml:space="preserve"> </w:t>
      </w:r>
      <w:r w:rsidRPr="00397E50">
        <w:t>professional</w:t>
      </w:r>
      <w:r w:rsidRPr="00397E50">
        <w:rPr>
          <w:spacing w:val="-1"/>
        </w:rPr>
        <w:t xml:space="preserve"> </w:t>
      </w:r>
      <w:r w:rsidRPr="00397E50">
        <w:t>journals</w:t>
      </w:r>
      <w:r w:rsidRPr="00397E50">
        <w:rPr>
          <w:spacing w:val="-1"/>
        </w:rPr>
        <w:t xml:space="preserve"> </w:t>
      </w:r>
      <w:r w:rsidRPr="00397E50">
        <w:t>such</w:t>
      </w:r>
      <w:r w:rsidRPr="00397E50">
        <w:rPr>
          <w:spacing w:val="-1"/>
        </w:rPr>
        <w:t xml:space="preserve"> </w:t>
      </w:r>
      <w:r w:rsidRPr="00397E50">
        <w:t>as</w:t>
      </w:r>
      <w:r w:rsidRPr="00397E50">
        <w:rPr>
          <w:spacing w:val="-1"/>
        </w:rPr>
        <w:t xml:space="preserve"> </w:t>
      </w:r>
      <w:r w:rsidRPr="00397E50">
        <w:t>the</w:t>
      </w:r>
      <w:r w:rsidRPr="00397E50">
        <w:rPr>
          <w:spacing w:val="-1"/>
        </w:rPr>
        <w:t xml:space="preserve"> </w:t>
      </w:r>
      <w:r w:rsidRPr="00775F5A">
        <w:rPr>
          <w:u w:color="000000"/>
        </w:rPr>
        <w:t>Journal</w:t>
      </w:r>
      <w:r w:rsidRPr="00775F5A">
        <w:rPr>
          <w:spacing w:val="-1"/>
          <w:u w:color="000000"/>
        </w:rPr>
        <w:t xml:space="preserve"> </w:t>
      </w:r>
      <w:r w:rsidRPr="00775F5A">
        <w:rPr>
          <w:u w:color="000000"/>
        </w:rPr>
        <w:t>of</w:t>
      </w:r>
      <w:r w:rsidRPr="00775F5A">
        <w:rPr>
          <w:spacing w:val="-1"/>
          <w:u w:color="000000"/>
        </w:rPr>
        <w:t xml:space="preserve"> </w:t>
      </w:r>
      <w:r w:rsidRPr="00775F5A">
        <w:rPr>
          <w:u w:color="000000"/>
        </w:rPr>
        <w:t>Public</w:t>
      </w:r>
      <w:r w:rsidRPr="00775F5A">
        <w:rPr>
          <w:spacing w:val="-1"/>
          <w:u w:color="000000"/>
        </w:rPr>
        <w:t xml:space="preserve"> </w:t>
      </w:r>
      <w:r w:rsidRPr="00775F5A">
        <w:rPr>
          <w:u w:color="000000"/>
        </w:rPr>
        <w:t>Policy</w:t>
      </w:r>
      <w:r w:rsidRPr="00775F5A">
        <w:rPr>
          <w:spacing w:val="-1"/>
          <w:u w:color="000000"/>
        </w:rPr>
        <w:t xml:space="preserve"> </w:t>
      </w:r>
      <w:r w:rsidRPr="00775F5A">
        <w:rPr>
          <w:u w:color="000000"/>
        </w:rPr>
        <w:t>and</w:t>
      </w:r>
      <w:r w:rsidRPr="00775F5A">
        <w:rPr>
          <w:spacing w:val="23"/>
        </w:rPr>
        <w:t xml:space="preserve"> </w:t>
      </w:r>
      <w:r w:rsidRPr="00775F5A">
        <w:rPr>
          <w:u w:color="000000"/>
        </w:rPr>
        <w:t>Marketing.</w:t>
      </w:r>
      <w:r w:rsidRPr="00775F5A">
        <w:rPr>
          <w:spacing w:val="59"/>
          <w:u w:color="000000"/>
        </w:rPr>
        <w:t xml:space="preserve"> </w:t>
      </w:r>
      <w:r w:rsidRPr="00397E50" w:rsidR="00981DCF">
        <w:rPr>
          <w:spacing w:val="-1"/>
        </w:rPr>
        <w:t>When presenting</w:t>
      </w:r>
      <w:r w:rsidRPr="00397E50" w:rsidR="008C7ECC">
        <w:rPr>
          <w:spacing w:val="-1"/>
        </w:rPr>
        <w:t xml:space="preserve"> or publishing</w:t>
      </w:r>
      <w:r w:rsidRPr="00397E50" w:rsidR="00981DCF">
        <w:rPr>
          <w:spacing w:val="-1"/>
        </w:rPr>
        <w:t xml:space="preserve"> </w:t>
      </w:r>
      <w:r w:rsidRPr="00397E50">
        <w:t>findings</w:t>
      </w:r>
      <w:r w:rsidRPr="00397E50" w:rsidR="008C7ECC">
        <w:t xml:space="preserve">, including </w:t>
      </w:r>
      <w:r w:rsidRPr="00397E50">
        <w:t xml:space="preserve">at professional </w:t>
      </w:r>
      <w:r w:rsidRPr="00397E50">
        <w:rPr>
          <w:spacing w:val="-1"/>
        </w:rPr>
        <w:t>meetings</w:t>
      </w:r>
      <w:r w:rsidRPr="00397E50">
        <w:t xml:space="preserve"> or journals,</w:t>
      </w:r>
      <w:r w:rsidRPr="00397E50">
        <w:rPr>
          <w:spacing w:val="-1"/>
        </w:rPr>
        <w:t xml:space="preserve"> </w:t>
      </w:r>
      <w:r w:rsidRPr="00397E50">
        <w:t>FDA</w:t>
      </w:r>
      <w:r w:rsidRPr="00397E50">
        <w:rPr>
          <w:spacing w:val="-1"/>
        </w:rPr>
        <w:t xml:space="preserve"> </w:t>
      </w:r>
      <w:r w:rsidRPr="00397E50">
        <w:t>will</w:t>
      </w:r>
      <w:r w:rsidRPr="00397E50">
        <w:rPr>
          <w:spacing w:val="-1"/>
        </w:rPr>
        <w:t xml:space="preserve"> </w:t>
      </w:r>
      <w:r w:rsidRPr="00397E50">
        <w:t>state</w:t>
      </w:r>
      <w:r w:rsidRPr="00397E50">
        <w:rPr>
          <w:spacing w:val="-1"/>
        </w:rPr>
        <w:t xml:space="preserve"> </w:t>
      </w:r>
      <w:r w:rsidRPr="00397E50">
        <w:t>the</w:t>
      </w:r>
      <w:r w:rsidRPr="00397E50">
        <w:rPr>
          <w:spacing w:val="-1"/>
        </w:rPr>
        <w:t xml:space="preserve"> </w:t>
      </w:r>
      <w:r w:rsidRPr="00397E50" w:rsidR="00C055BE">
        <w:rPr>
          <w:spacing w:val="-1"/>
        </w:rPr>
        <w:t xml:space="preserve">study </w:t>
      </w:r>
      <w:r w:rsidRPr="00397E50">
        <w:rPr>
          <w:spacing w:val="-1"/>
        </w:rPr>
        <w:t>limitations</w:t>
      </w:r>
      <w:r w:rsidRPr="00397E50" w:rsidR="00C055BE">
        <w:rPr>
          <w:spacing w:val="-1"/>
        </w:rPr>
        <w:t>, including the</w:t>
      </w:r>
      <w:r w:rsidRPr="00397E50">
        <w:rPr>
          <w:spacing w:val="-1"/>
        </w:rPr>
        <w:t xml:space="preserve"> </w:t>
      </w:r>
      <w:r w:rsidRPr="00397E50">
        <w:t xml:space="preserve">non-representative nature </w:t>
      </w:r>
      <w:r w:rsidRPr="00397E50">
        <w:rPr>
          <w:spacing w:val="-1"/>
        </w:rPr>
        <w:t>of the results</w:t>
      </w:r>
      <w:r w:rsidRPr="00397E50" w:rsidR="000D36C8">
        <w:rPr>
          <w:spacing w:val="-1"/>
        </w:rPr>
        <w:t>, where appropriate</w:t>
      </w:r>
      <w:r w:rsidRPr="00397E50">
        <w:rPr>
          <w:spacing w:val="-1"/>
        </w:rPr>
        <w:t>.</w:t>
      </w:r>
    </w:p>
    <w:p w:rsidR="00DF66AA" w:rsidRPr="00397E50" w:rsidP="00D41D5A" w14:paraId="792EE1FC" w14:textId="77777777"/>
    <w:p w:rsidR="00DF66AA" w:rsidRPr="00397E50" w:rsidP="00D41D5A" w14:paraId="16A067BA" w14:textId="67815301">
      <w:pPr>
        <w:pStyle w:val="BodyText"/>
        <w:spacing w:after="0"/>
        <w:ind w:right="100"/>
      </w:pPr>
      <w:r w:rsidRPr="00397E50">
        <w:t xml:space="preserve">The specific </w:t>
      </w:r>
      <w:r w:rsidRPr="00397E50" w:rsidR="009D62CE">
        <w:t xml:space="preserve">topics, </w:t>
      </w:r>
      <w:r w:rsidRPr="00397E50">
        <w:rPr>
          <w:spacing w:val="-1"/>
        </w:rPr>
        <w:t>messages</w:t>
      </w:r>
      <w:r w:rsidRPr="00397E50" w:rsidR="009D62CE">
        <w:rPr>
          <w:spacing w:val="-1"/>
        </w:rPr>
        <w:t>, and/or materials</w:t>
      </w:r>
      <w:r w:rsidRPr="00397E50">
        <w:t xml:space="preserve"> to be </w:t>
      </w:r>
      <w:r w:rsidRPr="00397E50" w:rsidR="009D62CE">
        <w:t>studied</w:t>
      </w:r>
      <w:r w:rsidRPr="00397E50" w:rsidR="00D03DE8">
        <w:t>,</w:t>
      </w:r>
      <w:r w:rsidRPr="00397E50">
        <w:t xml:space="preserve"> and the </w:t>
      </w:r>
      <w:r w:rsidRPr="00397E50">
        <w:rPr>
          <w:spacing w:val="-1"/>
        </w:rPr>
        <w:t>timing</w:t>
      </w:r>
      <w:r w:rsidRPr="00397E50">
        <w:t xml:space="preserve"> </w:t>
      </w:r>
      <w:r w:rsidRPr="00397E50" w:rsidR="00D03DE8">
        <w:t xml:space="preserve">and length </w:t>
      </w:r>
      <w:r w:rsidRPr="00397E50">
        <w:t xml:space="preserve">of these </w:t>
      </w:r>
      <w:r w:rsidRPr="00397E50" w:rsidR="009D62CE">
        <w:t xml:space="preserve">studies </w:t>
      </w:r>
      <w:r w:rsidRPr="00397E50" w:rsidR="00D03DE8">
        <w:t xml:space="preserve">varies </w:t>
      </w:r>
      <w:r w:rsidRPr="00397E50" w:rsidR="00C41DEA">
        <w:t>depending on a number of factors</w:t>
      </w:r>
      <w:r w:rsidRPr="00397E50" w:rsidR="006876F6">
        <w:t>,</w:t>
      </w:r>
      <w:r w:rsidRPr="00397E50" w:rsidR="00C41DEA">
        <w:t xml:space="preserve"> including the </w:t>
      </w:r>
      <w:r w:rsidRPr="00397E50" w:rsidR="00194A2E">
        <w:t>complexity of the topic</w:t>
      </w:r>
      <w:r w:rsidRPr="00397E50" w:rsidR="00A4675E">
        <w:t xml:space="preserve">, </w:t>
      </w:r>
      <w:r w:rsidRPr="00397E50" w:rsidR="006876F6">
        <w:t xml:space="preserve">data collection </w:t>
      </w:r>
      <w:r w:rsidRPr="00397E50" w:rsidR="00BE3606">
        <w:t>method</w:t>
      </w:r>
      <w:r w:rsidRPr="00397E50" w:rsidR="006876F6">
        <w:t xml:space="preserve">, </w:t>
      </w:r>
      <w:r w:rsidRPr="00397E50" w:rsidR="00CD0B38">
        <w:t xml:space="preserve">number and type of participants, </w:t>
      </w:r>
      <w:r w:rsidRPr="00397E50" w:rsidR="006876F6">
        <w:t xml:space="preserve">research questions to be answered, </w:t>
      </w:r>
      <w:r w:rsidRPr="00397E50" w:rsidR="00CD0B38">
        <w:t xml:space="preserve">and </w:t>
      </w:r>
      <w:r w:rsidRPr="00397E50" w:rsidR="006876F6">
        <w:t>analyses to be conducted</w:t>
      </w:r>
      <w:r w:rsidRPr="00397E50" w:rsidR="00E856FC">
        <w:t xml:space="preserve">, </w:t>
      </w:r>
      <w:r w:rsidRPr="00397E50" w:rsidR="00CD0B38">
        <w:t xml:space="preserve">and thus </w:t>
      </w:r>
      <w:r w:rsidRPr="00397E50">
        <w:t xml:space="preserve">are not known at this </w:t>
      </w:r>
      <w:r w:rsidRPr="00397E50">
        <w:rPr>
          <w:spacing w:val="-1"/>
        </w:rPr>
        <w:t>time.</w:t>
      </w:r>
      <w:r w:rsidRPr="00397E50" w:rsidR="001451AF">
        <w:rPr>
          <w:spacing w:val="41"/>
        </w:rPr>
        <w:t xml:space="preserve"> </w:t>
      </w:r>
      <w:r w:rsidRPr="00397E50" w:rsidR="001745D3">
        <w:rPr>
          <w:spacing w:val="-1"/>
        </w:rPr>
        <w:t xml:space="preserve">While some communications studies </w:t>
      </w:r>
      <w:r w:rsidRPr="00397E50" w:rsidR="00F23B7E">
        <w:rPr>
          <w:spacing w:val="-1"/>
        </w:rPr>
        <w:t>take significantly longer, a</w:t>
      </w:r>
      <w:r w:rsidRPr="00397E50" w:rsidR="00B0603A">
        <w:rPr>
          <w:spacing w:val="-1"/>
        </w:rPr>
        <w:t xml:space="preserve"> </w:t>
      </w:r>
      <w:r w:rsidRPr="00397E50" w:rsidR="00232AFC">
        <w:rPr>
          <w:spacing w:val="-1"/>
        </w:rPr>
        <w:t>simple message/material</w:t>
      </w:r>
      <w:r w:rsidRPr="00397E50" w:rsidR="00167189">
        <w:rPr>
          <w:spacing w:val="-1"/>
        </w:rPr>
        <w:t xml:space="preserve"> </w:t>
      </w:r>
      <w:r w:rsidRPr="00397E50" w:rsidR="00ED3808">
        <w:rPr>
          <w:spacing w:val="-1"/>
        </w:rPr>
        <w:t>-</w:t>
      </w:r>
      <w:r w:rsidRPr="00397E50" w:rsidR="00232AFC">
        <w:rPr>
          <w:spacing w:val="-1"/>
        </w:rPr>
        <w:t xml:space="preserve"> </w:t>
      </w:r>
      <w:r w:rsidRPr="00397E50">
        <w:rPr>
          <w:spacing w:val="-1"/>
        </w:rPr>
        <w:t>testing</w:t>
      </w:r>
      <w:r w:rsidRPr="00397E50">
        <w:t xml:space="preserve"> project </w:t>
      </w:r>
      <w:r w:rsidRPr="00397E50" w:rsidR="00167189">
        <w:t xml:space="preserve">typically </w:t>
      </w:r>
      <w:r w:rsidRPr="00397E50" w:rsidR="00F23B7E">
        <w:t xml:space="preserve">can </w:t>
      </w:r>
      <w:r w:rsidRPr="00397E50" w:rsidR="00CE71D2">
        <w:t>be completed</w:t>
      </w:r>
      <w:r w:rsidRPr="00397E50" w:rsidR="00417F51">
        <w:t xml:space="preserve"> within </w:t>
      </w:r>
      <w:r w:rsidRPr="00397E50">
        <w:rPr>
          <w:spacing w:val="-1"/>
        </w:rPr>
        <w:t>approximately</w:t>
      </w:r>
      <w:r w:rsidRPr="00397E50" w:rsidR="00232AFC">
        <w:rPr>
          <w:spacing w:val="-1"/>
        </w:rPr>
        <w:t xml:space="preserve"> </w:t>
      </w:r>
      <w:r w:rsidRPr="00397E50">
        <w:t>12</w:t>
      </w:r>
      <w:r w:rsidRPr="00397E50">
        <w:rPr>
          <w:spacing w:val="-1"/>
        </w:rPr>
        <w:t xml:space="preserve"> </w:t>
      </w:r>
      <w:r w:rsidRPr="00397E50">
        <w:t>weeks</w:t>
      </w:r>
      <w:r w:rsidRPr="00397E50">
        <w:rPr>
          <w:spacing w:val="-1"/>
        </w:rPr>
        <w:t xml:space="preserve"> </w:t>
      </w:r>
      <w:r w:rsidRPr="00397E50">
        <w:t>once</w:t>
      </w:r>
      <w:r w:rsidRPr="00397E50">
        <w:rPr>
          <w:spacing w:val="-1"/>
        </w:rPr>
        <w:t xml:space="preserve"> </w:t>
      </w:r>
      <w:r w:rsidRPr="00397E50">
        <w:t>OMB</w:t>
      </w:r>
      <w:r w:rsidRPr="00397E50">
        <w:rPr>
          <w:spacing w:val="67"/>
        </w:rPr>
        <w:t xml:space="preserve"> </w:t>
      </w:r>
      <w:r w:rsidRPr="00397E50">
        <w:t>clearance</w:t>
      </w:r>
      <w:r w:rsidRPr="00397E50">
        <w:rPr>
          <w:spacing w:val="-1"/>
        </w:rPr>
        <w:t xml:space="preserve"> </w:t>
      </w:r>
      <w:r w:rsidRPr="00397E50">
        <w:t>is</w:t>
      </w:r>
      <w:r w:rsidRPr="00397E50">
        <w:rPr>
          <w:spacing w:val="-1"/>
        </w:rPr>
        <w:t xml:space="preserve"> </w:t>
      </w:r>
      <w:r w:rsidRPr="00397E50">
        <w:t>obtained.</w:t>
      </w:r>
      <w:r w:rsidRPr="00397E50">
        <w:rPr>
          <w:spacing w:val="59"/>
        </w:rPr>
        <w:t xml:space="preserve"> </w:t>
      </w:r>
      <w:r w:rsidRPr="00397E50">
        <w:t>A</w:t>
      </w:r>
      <w:r w:rsidRPr="00397E50">
        <w:rPr>
          <w:spacing w:val="-3"/>
        </w:rPr>
        <w:t xml:space="preserve"> </w:t>
      </w:r>
      <w:r w:rsidRPr="00397E50">
        <w:t>schedule</w:t>
      </w:r>
      <w:r w:rsidRPr="00397E50">
        <w:rPr>
          <w:spacing w:val="-1"/>
        </w:rPr>
        <w:t xml:space="preserve"> </w:t>
      </w:r>
      <w:r w:rsidRPr="00397E50">
        <w:t>for a</w:t>
      </w:r>
      <w:r w:rsidRPr="00397E50">
        <w:rPr>
          <w:spacing w:val="-1"/>
        </w:rPr>
        <w:t xml:space="preserve"> </w:t>
      </w:r>
      <w:r w:rsidRPr="00397E50">
        <w:t>typical</w:t>
      </w:r>
      <w:r w:rsidRPr="00397E50">
        <w:rPr>
          <w:spacing w:val="-1"/>
        </w:rPr>
        <w:t xml:space="preserve"> </w:t>
      </w:r>
      <w:r w:rsidRPr="00397E50">
        <w:t>project</w:t>
      </w:r>
      <w:r w:rsidRPr="00397E50">
        <w:rPr>
          <w:spacing w:val="-1"/>
        </w:rPr>
        <w:t xml:space="preserve"> </w:t>
      </w:r>
      <w:r w:rsidRPr="00397E50">
        <w:t>is</w:t>
      </w:r>
      <w:r w:rsidRPr="00397E50">
        <w:rPr>
          <w:spacing w:val="-1"/>
        </w:rPr>
        <w:t xml:space="preserve"> </w:t>
      </w:r>
      <w:r w:rsidRPr="00397E50">
        <w:t>shown</w:t>
      </w:r>
      <w:r w:rsidRPr="00397E50">
        <w:rPr>
          <w:spacing w:val="-1"/>
        </w:rPr>
        <w:t xml:space="preserve"> </w:t>
      </w:r>
      <w:r w:rsidRPr="00397E50">
        <w:t>below:</w:t>
      </w:r>
    </w:p>
    <w:p w:rsidR="00DF66AA" w:rsidRPr="00397E50" w:rsidP="00D41D5A" w14:paraId="22B802B2" w14:textId="77777777"/>
    <w:p w:rsidR="00DF66AA" w:rsidRPr="00397E50" w:rsidP="00D41D5A" w14:paraId="084C1C04" w14:textId="77777777">
      <w:pPr>
        <w:pStyle w:val="BodyText"/>
        <w:spacing w:after="0"/>
        <w:ind w:left="14"/>
        <w:jc w:val="center"/>
        <w:rPr>
          <w:sz w:val="20"/>
          <w:szCs w:val="20"/>
        </w:rPr>
      </w:pPr>
      <w:r w:rsidRPr="00397E50">
        <w:rPr>
          <w:sz w:val="20"/>
          <w:szCs w:val="20"/>
        </w:rPr>
        <w:t>Project Time Schedule:</w:t>
      </w:r>
    </w:p>
    <w:tbl>
      <w:tblPr>
        <w:tblW w:w="0" w:type="auto"/>
        <w:tblInd w:w="82" w:type="dxa"/>
        <w:tblLayout w:type="fixed"/>
        <w:tblCellMar>
          <w:left w:w="0" w:type="dxa"/>
          <w:right w:w="0" w:type="dxa"/>
        </w:tblCellMar>
        <w:tblLook w:val="01E0"/>
      </w:tblPr>
      <w:tblGrid>
        <w:gridCol w:w="4712"/>
        <w:gridCol w:w="4230"/>
      </w:tblGrid>
      <w:tr w14:paraId="0235B387" w14:textId="77777777" w:rsidTr="008E411B">
        <w:tblPrEx>
          <w:tblW w:w="0" w:type="auto"/>
          <w:tblInd w:w="82" w:type="dxa"/>
          <w:tblLayout w:type="fixed"/>
          <w:tblCellMar>
            <w:left w:w="0" w:type="dxa"/>
            <w:right w:w="0" w:type="dxa"/>
          </w:tblCellMar>
          <w:tblLook w:val="01E0"/>
        </w:tblPrEx>
        <w:trPr>
          <w:trHeight w:hRule="exact" w:val="286"/>
        </w:trPr>
        <w:tc>
          <w:tcPr>
            <w:tcW w:w="4712" w:type="dxa"/>
            <w:tcBorders>
              <w:top w:val="single" w:sz="6" w:space="0" w:color="000000"/>
              <w:left w:val="single" w:sz="6" w:space="0" w:color="000000"/>
              <w:bottom w:val="single" w:sz="6" w:space="0" w:color="000000"/>
              <w:right w:val="single" w:sz="6" w:space="0" w:color="000000"/>
            </w:tcBorders>
            <w:hideMark/>
          </w:tcPr>
          <w:p w:rsidR="00DF66AA" w:rsidRPr="00397E50" w:rsidP="00D41D5A" w14:paraId="6ADB8584" w14:textId="77777777">
            <w:pPr>
              <w:pStyle w:val="TableParagraph"/>
              <w:jc w:val="center"/>
              <w:rPr>
                <w:rFonts w:ascii="Times New Roman" w:eastAsia="Times New Roman" w:hAnsi="Times New Roman"/>
                <w:sz w:val="20"/>
                <w:szCs w:val="20"/>
              </w:rPr>
            </w:pPr>
            <w:r w:rsidRPr="00397E50">
              <w:rPr>
                <w:rFonts w:ascii="Times New Roman"/>
                <w:b/>
                <w:sz w:val="20"/>
                <w:szCs w:val="20"/>
              </w:rPr>
              <w:t>Activity</w:t>
            </w:r>
          </w:p>
        </w:tc>
        <w:tc>
          <w:tcPr>
            <w:tcW w:w="4230" w:type="dxa"/>
            <w:tcBorders>
              <w:top w:val="single" w:sz="6" w:space="0" w:color="000000"/>
              <w:left w:val="single" w:sz="6" w:space="0" w:color="000000"/>
              <w:bottom w:val="single" w:sz="6" w:space="0" w:color="000000"/>
              <w:right w:val="single" w:sz="6" w:space="0" w:color="000000"/>
            </w:tcBorders>
            <w:hideMark/>
          </w:tcPr>
          <w:p w:rsidR="00DF66AA" w:rsidRPr="00397E50" w:rsidP="00D41D5A" w14:paraId="029DFE69" w14:textId="77777777">
            <w:pPr>
              <w:pStyle w:val="TableParagraph"/>
              <w:ind w:right="1"/>
              <w:jc w:val="center"/>
              <w:rPr>
                <w:rFonts w:ascii="Times New Roman" w:eastAsia="Times New Roman" w:hAnsi="Times New Roman"/>
                <w:sz w:val="20"/>
                <w:szCs w:val="20"/>
              </w:rPr>
            </w:pPr>
            <w:r w:rsidRPr="00397E50">
              <w:rPr>
                <w:rFonts w:ascii="Times New Roman"/>
                <w:b/>
                <w:sz w:val="20"/>
                <w:szCs w:val="20"/>
              </w:rPr>
              <w:t>Output</w:t>
            </w:r>
          </w:p>
        </w:tc>
      </w:tr>
      <w:tr w14:paraId="29D2DA4F" w14:textId="77777777" w:rsidTr="008E411B">
        <w:tblPrEx>
          <w:tblW w:w="0" w:type="auto"/>
          <w:tblInd w:w="82" w:type="dxa"/>
          <w:tblLayout w:type="fixed"/>
          <w:tblCellMar>
            <w:left w:w="0" w:type="dxa"/>
            <w:right w:w="0" w:type="dxa"/>
          </w:tblCellMar>
          <w:tblLook w:val="01E0"/>
        </w:tblPrEx>
        <w:trPr>
          <w:trHeight w:hRule="exact" w:val="287"/>
        </w:trPr>
        <w:tc>
          <w:tcPr>
            <w:tcW w:w="4712" w:type="dxa"/>
            <w:tcBorders>
              <w:top w:val="single" w:sz="6" w:space="0" w:color="000000"/>
              <w:left w:val="single" w:sz="6" w:space="0" w:color="000000"/>
              <w:bottom w:val="single" w:sz="6" w:space="0" w:color="000000"/>
              <w:right w:val="single" w:sz="6" w:space="0" w:color="000000"/>
            </w:tcBorders>
            <w:hideMark/>
          </w:tcPr>
          <w:p w:rsidR="00DF66AA" w:rsidRPr="00397E50" w:rsidP="00D41D5A" w14:paraId="73950C03" w14:textId="2FCCE349">
            <w:pPr>
              <w:pStyle w:val="TableParagraph"/>
              <w:ind w:left="102"/>
              <w:rPr>
                <w:rFonts w:ascii="Times New Roman" w:eastAsia="Times New Roman" w:hAnsi="Times New Roman"/>
                <w:sz w:val="20"/>
                <w:szCs w:val="20"/>
              </w:rPr>
            </w:pPr>
            <w:r w:rsidRPr="00397E50">
              <w:rPr>
                <w:rFonts w:ascii="Times New Roman"/>
                <w:spacing w:val="-1"/>
                <w:sz w:val="20"/>
                <w:szCs w:val="20"/>
              </w:rPr>
              <w:t xml:space="preserve">Recruit participants </w:t>
            </w:r>
          </w:p>
        </w:tc>
        <w:tc>
          <w:tcPr>
            <w:tcW w:w="4230" w:type="dxa"/>
            <w:tcBorders>
              <w:top w:val="single" w:sz="6" w:space="0" w:color="000000"/>
              <w:left w:val="single" w:sz="6" w:space="0" w:color="000000"/>
              <w:bottom w:val="single" w:sz="6" w:space="0" w:color="000000"/>
              <w:right w:val="single" w:sz="6" w:space="0" w:color="000000"/>
            </w:tcBorders>
            <w:hideMark/>
          </w:tcPr>
          <w:p w:rsidR="00DF66AA" w:rsidRPr="00397E50" w:rsidP="00D41D5A" w14:paraId="37FAC135" w14:textId="77777777">
            <w:pPr>
              <w:pStyle w:val="TableParagraph"/>
              <w:ind w:left="102"/>
              <w:rPr>
                <w:rFonts w:ascii="Times New Roman" w:eastAsia="Times New Roman" w:hAnsi="Times New Roman"/>
                <w:sz w:val="20"/>
                <w:szCs w:val="20"/>
              </w:rPr>
            </w:pPr>
            <w:r w:rsidRPr="00397E50">
              <w:rPr>
                <w:rFonts w:ascii="Times New Roman"/>
                <w:sz w:val="20"/>
                <w:szCs w:val="20"/>
              </w:rPr>
              <w:t>3</w:t>
            </w:r>
            <w:r w:rsidRPr="00397E50">
              <w:rPr>
                <w:rFonts w:ascii="Times New Roman"/>
                <w:spacing w:val="-1"/>
                <w:sz w:val="20"/>
                <w:szCs w:val="20"/>
              </w:rPr>
              <w:t xml:space="preserve"> weeks after OMB approval</w:t>
            </w:r>
          </w:p>
        </w:tc>
      </w:tr>
      <w:tr w14:paraId="798CDEC2" w14:textId="77777777" w:rsidTr="008E411B">
        <w:tblPrEx>
          <w:tblW w:w="0" w:type="auto"/>
          <w:tblInd w:w="82" w:type="dxa"/>
          <w:tblLayout w:type="fixed"/>
          <w:tblCellMar>
            <w:left w:w="0" w:type="dxa"/>
            <w:right w:w="0" w:type="dxa"/>
          </w:tblCellMar>
          <w:tblLook w:val="01E0"/>
        </w:tblPrEx>
        <w:trPr>
          <w:trHeight w:hRule="exact" w:val="286"/>
        </w:trPr>
        <w:tc>
          <w:tcPr>
            <w:tcW w:w="4712" w:type="dxa"/>
            <w:tcBorders>
              <w:top w:val="single" w:sz="6" w:space="0" w:color="000000"/>
              <w:left w:val="single" w:sz="6" w:space="0" w:color="000000"/>
              <w:bottom w:val="single" w:sz="6" w:space="0" w:color="000000"/>
              <w:right w:val="single" w:sz="6" w:space="0" w:color="000000"/>
            </w:tcBorders>
            <w:hideMark/>
          </w:tcPr>
          <w:p w:rsidR="00DF66AA" w:rsidRPr="00397E50" w:rsidP="00D41D5A" w14:paraId="190DCA30" w14:textId="52E55B1E">
            <w:pPr>
              <w:pStyle w:val="TableParagraph"/>
              <w:ind w:left="102"/>
              <w:rPr>
                <w:rFonts w:ascii="Times New Roman" w:eastAsia="Times New Roman" w:hAnsi="Times New Roman"/>
                <w:sz w:val="20"/>
                <w:szCs w:val="20"/>
              </w:rPr>
            </w:pPr>
            <w:r w:rsidRPr="00397E50">
              <w:rPr>
                <w:rFonts w:ascii="Times New Roman"/>
                <w:spacing w:val="-1"/>
                <w:sz w:val="20"/>
                <w:szCs w:val="20"/>
              </w:rPr>
              <w:t>Collection of data</w:t>
            </w:r>
          </w:p>
        </w:tc>
        <w:tc>
          <w:tcPr>
            <w:tcW w:w="4230" w:type="dxa"/>
            <w:tcBorders>
              <w:top w:val="single" w:sz="6" w:space="0" w:color="000000"/>
              <w:left w:val="single" w:sz="6" w:space="0" w:color="000000"/>
              <w:bottom w:val="single" w:sz="6" w:space="0" w:color="000000"/>
              <w:right w:val="single" w:sz="6" w:space="0" w:color="000000"/>
            </w:tcBorders>
            <w:hideMark/>
          </w:tcPr>
          <w:p w:rsidR="00DF66AA" w:rsidRPr="00397E50" w:rsidP="00D41D5A" w14:paraId="411263D6" w14:textId="77777777">
            <w:pPr>
              <w:pStyle w:val="TableParagraph"/>
              <w:ind w:left="102"/>
              <w:rPr>
                <w:rFonts w:ascii="Times New Roman" w:eastAsia="Times New Roman" w:hAnsi="Times New Roman"/>
                <w:sz w:val="20"/>
                <w:szCs w:val="20"/>
              </w:rPr>
            </w:pPr>
            <w:r w:rsidRPr="00397E50">
              <w:rPr>
                <w:rFonts w:ascii="Times New Roman"/>
                <w:sz w:val="20"/>
                <w:szCs w:val="20"/>
              </w:rPr>
              <w:t>5</w:t>
            </w:r>
            <w:r w:rsidRPr="00397E50">
              <w:rPr>
                <w:rFonts w:ascii="Times New Roman"/>
                <w:spacing w:val="-1"/>
                <w:sz w:val="20"/>
                <w:szCs w:val="20"/>
              </w:rPr>
              <w:t xml:space="preserve"> weeks after OMB approval</w:t>
            </w:r>
          </w:p>
        </w:tc>
      </w:tr>
      <w:tr w14:paraId="5B8FF60A" w14:textId="77777777" w:rsidTr="008E411B">
        <w:tblPrEx>
          <w:tblW w:w="0" w:type="auto"/>
          <w:tblInd w:w="82" w:type="dxa"/>
          <w:tblLayout w:type="fixed"/>
          <w:tblCellMar>
            <w:left w:w="0" w:type="dxa"/>
            <w:right w:w="0" w:type="dxa"/>
          </w:tblCellMar>
          <w:tblLook w:val="01E0"/>
        </w:tblPrEx>
        <w:trPr>
          <w:trHeight w:hRule="exact" w:val="286"/>
        </w:trPr>
        <w:tc>
          <w:tcPr>
            <w:tcW w:w="4712" w:type="dxa"/>
            <w:tcBorders>
              <w:top w:val="single" w:sz="6" w:space="0" w:color="000000"/>
              <w:left w:val="single" w:sz="6" w:space="0" w:color="000000"/>
              <w:bottom w:val="single" w:sz="6" w:space="0" w:color="000000"/>
              <w:right w:val="single" w:sz="6" w:space="0" w:color="000000"/>
            </w:tcBorders>
            <w:hideMark/>
          </w:tcPr>
          <w:p w:rsidR="00DF66AA" w:rsidRPr="00397E50" w:rsidP="00D41D5A" w14:paraId="2C4AA666" w14:textId="77777777">
            <w:pPr>
              <w:pStyle w:val="TableParagraph"/>
              <w:ind w:left="102"/>
              <w:rPr>
                <w:rFonts w:ascii="Times New Roman" w:eastAsia="Times New Roman" w:hAnsi="Times New Roman"/>
                <w:sz w:val="20"/>
                <w:szCs w:val="20"/>
              </w:rPr>
            </w:pPr>
            <w:r w:rsidRPr="00397E50">
              <w:rPr>
                <w:rFonts w:ascii="Times New Roman"/>
                <w:sz w:val="20"/>
                <w:szCs w:val="20"/>
              </w:rPr>
              <w:t>Analysis of data</w:t>
            </w:r>
          </w:p>
        </w:tc>
        <w:tc>
          <w:tcPr>
            <w:tcW w:w="4230" w:type="dxa"/>
            <w:tcBorders>
              <w:top w:val="single" w:sz="6" w:space="0" w:color="000000"/>
              <w:left w:val="single" w:sz="6" w:space="0" w:color="000000"/>
              <w:bottom w:val="single" w:sz="6" w:space="0" w:color="000000"/>
              <w:right w:val="single" w:sz="6" w:space="0" w:color="000000"/>
            </w:tcBorders>
            <w:hideMark/>
          </w:tcPr>
          <w:p w:rsidR="00DF66AA" w:rsidRPr="00397E50" w:rsidP="00D41D5A" w14:paraId="46DE5C83" w14:textId="77777777">
            <w:pPr>
              <w:pStyle w:val="TableParagraph"/>
              <w:ind w:left="102"/>
              <w:rPr>
                <w:rFonts w:ascii="Times New Roman" w:eastAsia="Times New Roman" w:hAnsi="Times New Roman"/>
                <w:sz w:val="20"/>
                <w:szCs w:val="20"/>
              </w:rPr>
            </w:pPr>
            <w:r w:rsidRPr="00397E50">
              <w:rPr>
                <w:rFonts w:ascii="Times New Roman"/>
                <w:sz w:val="20"/>
                <w:szCs w:val="20"/>
              </w:rPr>
              <w:t>10 weeks after OMB approval</w:t>
            </w:r>
          </w:p>
        </w:tc>
      </w:tr>
      <w:tr w14:paraId="7795C849" w14:textId="77777777" w:rsidTr="008E411B">
        <w:tblPrEx>
          <w:tblW w:w="0" w:type="auto"/>
          <w:tblInd w:w="82" w:type="dxa"/>
          <w:tblLayout w:type="fixed"/>
          <w:tblCellMar>
            <w:left w:w="0" w:type="dxa"/>
            <w:right w:w="0" w:type="dxa"/>
          </w:tblCellMar>
          <w:tblLook w:val="01E0"/>
        </w:tblPrEx>
        <w:trPr>
          <w:trHeight w:hRule="exact" w:val="287"/>
        </w:trPr>
        <w:tc>
          <w:tcPr>
            <w:tcW w:w="4712" w:type="dxa"/>
            <w:tcBorders>
              <w:top w:val="single" w:sz="6" w:space="0" w:color="000000"/>
              <w:left w:val="single" w:sz="6" w:space="0" w:color="000000"/>
              <w:bottom w:val="single" w:sz="6" w:space="0" w:color="000000"/>
              <w:right w:val="single" w:sz="6" w:space="0" w:color="000000"/>
            </w:tcBorders>
            <w:hideMark/>
          </w:tcPr>
          <w:p w:rsidR="00DF66AA" w:rsidRPr="00397E50" w:rsidP="00D41D5A" w14:paraId="3CDEBF6A" w14:textId="77777777">
            <w:pPr>
              <w:pStyle w:val="TableParagraph"/>
              <w:ind w:left="102"/>
              <w:rPr>
                <w:rFonts w:ascii="Times New Roman" w:eastAsia="Times New Roman" w:hAnsi="Times New Roman"/>
                <w:sz w:val="20"/>
                <w:szCs w:val="20"/>
              </w:rPr>
            </w:pPr>
            <w:r w:rsidRPr="00397E50">
              <w:rPr>
                <w:rFonts w:ascii="Times New Roman"/>
                <w:spacing w:val="-1"/>
                <w:sz w:val="20"/>
                <w:szCs w:val="20"/>
              </w:rPr>
              <w:t>Report results</w:t>
            </w:r>
          </w:p>
        </w:tc>
        <w:tc>
          <w:tcPr>
            <w:tcW w:w="4230" w:type="dxa"/>
            <w:tcBorders>
              <w:top w:val="single" w:sz="6" w:space="0" w:color="000000"/>
              <w:left w:val="single" w:sz="6" w:space="0" w:color="000000"/>
              <w:bottom w:val="single" w:sz="6" w:space="0" w:color="000000"/>
              <w:right w:val="single" w:sz="6" w:space="0" w:color="000000"/>
            </w:tcBorders>
            <w:hideMark/>
          </w:tcPr>
          <w:p w:rsidR="00DF66AA" w:rsidRPr="00397E50" w:rsidP="00D41D5A" w14:paraId="486220EC" w14:textId="77777777">
            <w:pPr>
              <w:pStyle w:val="TableParagraph"/>
              <w:ind w:left="102"/>
              <w:rPr>
                <w:rFonts w:ascii="Times New Roman" w:eastAsia="Times New Roman" w:hAnsi="Times New Roman"/>
                <w:sz w:val="20"/>
                <w:szCs w:val="20"/>
              </w:rPr>
            </w:pPr>
            <w:r w:rsidRPr="00397E50">
              <w:rPr>
                <w:rFonts w:ascii="Times New Roman"/>
                <w:spacing w:val="-1"/>
                <w:sz w:val="20"/>
                <w:szCs w:val="20"/>
              </w:rPr>
              <w:t>12 weeks after OMB approval</w:t>
            </w:r>
          </w:p>
        </w:tc>
      </w:tr>
    </w:tbl>
    <w:p w:rsidR="00357C8A" w:rsidRPr="00397E50" w:rsidP="00D41D5A" w14:paraId="48318E75" w14:textId="77777777">
      <w:pPr>
        <w:rPr>
          <w:rFonts w:eastAsia="Calibri"/>
        </w:rPr>
      </w:pPr>
    </w:p>
    <w:p w:rsidR="00357C8A" w:rsidRPr="00397E50" w:rsidP="00D41D5A" w14:paraId="3032F4BF" w14:textId="77777777">
      <w:pPr>
        <w:numPr>
          <w:ilvl w:val="0"/>
          <w:numId w:val="6"/>
        </w:numPr>
        <w:spacing w:after="200"/>
        <w:rPr>
          <w:rFonts w:eastAsia="Calibri"/>
          <w:u w:val="single"/>
        </w:rPr>
      </w:pPr>
      <w:r w:rsidRPr="00397E50">
        <w:rPr>
          <w:rFonts w:eastAsia="Calibri"/>
          <w:u w:val="single"/>
        </w:rPr>
        <w:t>Reason(s) Display of OMB Expiration Date is Inappropriate</w:t>
      </w:r>
    </w:p>
    <w:p w:rsidR="00357C8A" w:rsidRPr="00397E50" w:rsidP="00D41D5A" w14:paraId="2DE41FDA" w14:textId="6982E28C">
      <w:pPr>
        <w:spacing w:after="200"/>
        <w:rPr>
          <w:rFonts w:eastAsia="Calibri"/>
        </w:rPr>
      </w:pPr>
      <w:r w:rsidRPr="00397E50">
        <w:rPr>
          <w:rFonts w:eastAsia="Calibri"/>
        </w:rPr>
        <w:t>The OMB expiration date will be displayed</w:t>
      </w:r>
      <w:r w:rsidRPr="00397E50" w:rsidR="00AA5779">
        <w:rPr>
          <w:rFonts w:eastAsia="Calibri"/>
        </w:rPr>
        <w:t xml:space="preserve"> on the collection instruments</w:t>
      </w:r>
      <w:r w:rsidRPr="00397E50">
        <w:rPr>
          <w:rFonts w:eastAsia="Calibri"/>
        </w:rPr>
        <w:t>.</w:t>
      </w:r>
    </w:p>
    <w:p w:rsidR="00357C8A" w:rsidRPr="00397E50" w:rsidP="00D41D5A" w14:paraId="23A6A738" w14:textId="0094B1BF">
      <w:pPr>
        <w:numPr>
          <w:ilvl w:val="0"/>
          <w:numId w:val="6"/>
        </w:numPr>
        <w:spacing w:after="200"/>
        <w:rPr>
          <w:rFonts w:eastAsia="Calibri"/>
          <w:u w:val="single"/>
        </w:rPr>
      </w:pPr>
      <w:r w:rsidRPr="00397E50">
        <w:rPr>
          <w:rFonts w:eastAsia="Calibri"/>
          <w:u w:val="single"/>
        </w:rPr>
        <w:t>Exceptions to Certification for Paperwork Reduction Act Submissions</w:t>
      </w:r>
    </w:p>
    <w:p w:rsidR="00544138" w:rsidRPr="00397E50" w:rsidP="00D41D5A" w14:paraId="4B69CB96" w14:textId="77777777">
      <w:pPr>
        <w:spacing w:after="200"/>
        <w:rPr>
          <w:rFonts w:eastAsia="Calibri"/>
        </w:rPr>
      </w:pPr>
      <w:r w:rsidRPr="00397E50">
        <w:rPr>
          <w:rFonts w:eastAsia="Calibri"/>
        </w:rPr>
        <w:t>There are no exceptions to the certification.</w:t>
      </w:r>
    </w:p>
    <w:sectPr w:rsidSect="005A453D">
      <w:footerReference w:type="even" r:id="rId9"/>
      <w:footerReference w:type="default" r:id="rId10"/>
      <w:pgSz w:w="12240" w:h="15840" w:code="1"/>
      <w:pgMar w:top="1440" w:right="1296" w:bottom="1152" w:left="1296" w:header="864" w:footer="115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2B2605B2" w14:textId="0D51ED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453D">
      <w:rPr>
        <w:rStyle w:val="PageNumber"/>
        <w:noProof/>
      </w:rPr>
      <w:t>12</w:t>
    </w:r>
    <w:r>
      <w:rPr>
        <w:rStyle w:val="PageNumber"/>
      </w:rPr>
      <w:fldChar w:fldCharType="end"/>
    </w:r>
  </w:p>
  <w:p w:rsidR="00E63DE5" w14:paraId="6CB539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5A453D" w14:paraId="396A1B6C" w14:textId="77777777">
    <w:pPr>
      <w:pStyle w:val="Footer"/>
      <w:framePr w:wrap="around" w:vAnchor="text" w:hAnchor="page" w:x="5961" w:y="354"/>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36AAD8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78D2" w14:paraId="5EB4CC9C" w14:textId="77777777">
      <w:r>
        <w:separator/>
      </w:r>
    </w:p>
  </w:footnote>
  <w:footnote w:type="continuationSeparator" w:id="1">
    <w:p w:rsidR="000F78D2" w14:paraId="63BD6284" w14:textId="77777777">
      <w:r>
        <w:continuationSeparator/>
      </w:r>
    </w:p>
  </w:footnote>
  <w:footnote w:type="continuationNotice" w:id="2">
    <w:p w:rsidR="000F78D2" w14:paraId="113BFB47" w14:textId="77777777"/>
  </w:footnote>
  <w:footnote w:id="3">
    <w:p w:rsidR="009137D7" w:rsidP="009137D7" w14:paraId="08CFA96E" w14:textId="77777777">
      <w:pPr>
        <w:pStyle w:val="FootnoteText"/>
      </w:pPr>
      <w:r>
        <w:rPr>
          <w:rStyle w:val="FootnoteReference"/>
        </w:rPr>
        <w:footnoteRef/>
      </w:r>
      <w:r>
        <w:t xml:space="preserve"> </w:t>
      </w:r>
      <w:hyperlink r:id="rId1" w:history="1">
        <w:r w:rsidRPr="00C6379E">
          <w:rPr>
            <w:rStyle w:val="Hyperlink"/>
          </w:rPr>
          <w:t>Memorandum for the Heads of Executive Departments and Agencies and Independent Regulatory Agencies (July 22, 2016).</w:t>
        </w:r>
      </w:hyperlink>
    </w:p>
  </w:footnote>
  <w:footnote w:id="4">
    <w:p w:rsidR="00FC6E4F" w:rsidP="00FC6E4F" w14:paraId="124F90EA" w14:textId="77777777">
      <w:r w:rsidRPr="00DF4C7E">
        <w:rPr>
          <w:rStyle w:val="FootnoteReference"/>
          <w:sz w:val="20"/>
          <w:szCs w:val="20"/>
        </w:rPr>
        <w:footnoteRef/>
      </w:r>
      <w:r w:rsidRPr="00DF4C7E">
        <w:rPr>
          <w:sz w:val="20"/>
          <w:szCs w:val="20"/>
        </w:rPr>
        <w:t xml:space="preserve"> </w:t>
      </w:r>
      <w:r w:rsidRPr="00DF4C7E">
        <w:rPr>
          <w:rFonts w:eastAsia="Calibri"/>
          <w:sz w:val="20"/>
          <w:szCs w:val="20"/>
        </w:rPr>
        <w:t>National Cancer Institute (NCI). Making Health Communications Work: A planner’s guide, Pink Book. Pub. No. T068. Washington, DC: U.S. Department of Health and Human Services (HHS), August 2004.</w:t>
      </w:r>
    </w:p>
  </w:footnote>
  <w:footnote w:id="5">
    <w:p w:rsidR="00FC6E4F" w:rsidP="00FC6E4F" w14:paraId="11771CE1" w14:textId="77777777">
      <w:pPr>
        <w:pStyle w:val="FootnoteText"/>
      </w:pPr>
      <w:r>
        <w:rPr>
          <w:rStyle w:val="FootnoteReference"/>
        </w:rPr>
        <w:footnoteRef/>
      </w:r>
      <w:r>
        <w:t xml:space="preserve"> </w:t>
      </w:r>
      <w:r w:rsidRPr="00DF4C7E">
        <w:t>U.S. Department of Health and Human Services. Healthy People 2010: Understanding and Improving Health. 2nd ed. Washington, DC: U.S. Government Printing Office, November 2000.</w:t>
      </w:r>
    </w:p>
  </w:footnote>
  <w:footnote w:id="6">
    <w:p w:rsidR="00591976" w14:paraId="29434937" w14:textId="6AE5C687">
      <w:pPr>
        <w:pStyle w:val="FootnoteText"/>
      </w:pPr>
      <w:r>
        <w:rPr>
          <w:rStyle w:val="FootnoteReference"/>
        </w:rPr>
        <w:footnoteRef/>
      </w:r>
      <w:r>
        <w:t xml:space="preserve"> U.S.</w:t>
      </w:r>
      <w:r>
        <w:rPr>
          <w:spacing w:val="-9"/>
        </w:rPr>
        <w:t xml:space="preserve"> </w:t>
      </w:r>
      <w:r>
        <w:t>Bureau</w:t>
      </w:r>
      <w:r>
        <w:rPr>
          <w:spacing w:val="-9"/>
        </w:rPr>
        <w:t xml:space="preserve"> </w:t>
      </w:r>
      <w:r>
        <w:t>of</w:t>
      </w:r>
      <w:r>
        <w:rPr>
          <w:spacing w:val="-10"/>
        </w:rPr>
        <w:t xml:space="preserve"> </w:t>
      </w:r>
      <w:r>
        <w:t>Labor</w:t>
      </w:r>
      <w:r>
        <w:rPr>
          <w:spacing w:val="-9"/>
        </w:rPr>
        <w:t xml:space="preserve"> </w:t>
      </w:r>
      <w:r>
        <w:rPr>
          <w:spacing w:val="-1"/>
        </w:rPr>
        <w:t>Statistics,</w:t>
      </w:r>
      <w:r>
        <w:rPr>
          <w:spacing w:val="-9"/>
        </w:rPr>
        <w:t xml:space="preserve"> </w:t>
      </w:r>
      <w:hyperlink r:id="rId2" w:history="1">
        <w:r>
          <w:rPr>
            <w:rStyle w:val="Hyperlink"/>
            <w:spacing w:val="-1"/>
          </w:rPr>
          <w:t>http://www.bls.gov/oes/current/oes_nat.htm,</w:t>
        </w:r>
      </w:hyperlink>
      <w:r>
        <w:rPr>
          <w:spacing w:val="-9"/>
        </w:rPr>
        <w:t xml:space="preserve"> </w:t>
      </w:r>
      <w:r w:rsidR="00085447">
        <w:t>May 2022</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F041B"/>
    <w:multiLevelType w:val="hybridMultilevel"/>
    <w:tmpl w:val="4F6092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912092"/>
    <w:multiLevelType w:val="hybridMultilevel"/>
    <w:tmpl w:val="C652ECE0"/>
    <w:lvl w:ilvl="0">
      <w:start w:val="9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7E7413E"/>
    <w:multiLevelType w:val="hybridMultilevel"/>
    <w:tmpl w:val="3F841246"/>
    <w:lvl w:ilvl="0">
      <w:start w:val="9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nsid w:val="20F333C7"/>
    <w:multiLevelType w:val="hybridMultilevel"/>
    <w:tmpl w:val="00DE9F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ED64E4"/>
    <w:multiLevelType w:val="hybridMultilevel"/>
    <w:tmpl w:val="A3069C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C701E4"/>
    <w:multiLevelType w:val="hybridMultilevel"/>
    <w:tmpl w:val="797ADE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1F00A80"/>
    <w:multiLevelType w:val="hybridMultilevel"/>
    <w:tmpl w:val="09A457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C9264AF"/>
    <w:multiLevelType w:val="hybridMultilevel"/>
    <w:tmpl w:val="8F56707C"/>
    <w:lvl w:ilvl="0">
      <w:start w:val="1"/>
      <w:numFmt w:val="bullet"/>
      <w:lvlText w:val=""/>
      <w:lvlJc w:val="left"/>
      <w:pPr>
        <w:ind w:left="2880" w:hanging="360"/>
      </w:pPr>
      <w:rPr>
        <w:rFonts w:ascii="Wingdings" w:hAnsi="Wingdings"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2">
    <w:nsid w:val="3F085F66"/>
    <w:multiLevelType w:val="hybridMultilevel"/>
    <w:tmpl w:val="199E401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295090"/>
    <w:multiLevelType w:val="hybridMultilevel"/>
    <w:tmpl w:val="C138F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6E65D80"/>
    <w:multiLevelType w:val="hybridMultilevel"/>
    <w:tmpl w:val="77767D7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69F40F6B"/>
    <w:multiLevelType w:val="hybridMultilevel"/>
    <w:tmpl w:val="4808B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A362AFB"/>
    <w:multiLevelType w:val="hybridMultilevel"/>
    <w:tmpl w:val="C3424B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87180201">
    <w:abstractNumId w:val="17"/>
  </w:num>
  <w:num w:numId="2" w16cid:durableId="1920869579">
    <w:abstractNumId w:val="3"/>
  </w:num>
  <w:num w:numId="3" w16cid:durableId="423107838">
    <w:abstractNumId w:val="18"/>
  </w:num>
  <w:num w:numId="4" w16cid:durableId="1081948494">
    <w:abstractNumId w:val="10"/>
  </w:num>
  <w:num w:numId="5" w16cid:durableId="669328233">
    <w:abstractNumId w:val="20"/>
  </w:num>
  <w:num w:numId="6" w16cid:durableId="76446626">
    <w:abstractNumId w:val="2"/>
  </w:num>
  <w:num w:numId="7" w16cid:durableId="1731073749">
    <w:abstractNumId w:val="5"/>
  </w:num>
  <w:num w:numId="8" w16cid:durableId="1810780143">
    <w:abstractNumId w:val="13"/>
  </w:num>
  <w:num w:numId="9" w16cid:durableId="2073305533">
    <w:abstractNumId w:val="19"/>
  </w:num>
  <w:num w:numId="10" w16cid:durableId="412287095">
    <w:abstractNumId w:val="6"/>
  </w:num>
  <w:num w:numId="11" w16cid:durableId="116918067">
    <w:abstractNumId w:val="1"/>
  </w:num>
  <w:num w:numId="12" w16cid:durableId="1139959291">
    <w:abstractNumId w:val="4"/>
  </w:num>
  <w:num w:numId="13" w16cid:durableId="2008899007">
    <w:abstractNumId w:val="15"/>
  </w:num>
  <w:num w:numId="14" w16cid:durableId="1325204757">
    <w:abstractNumId w:val="7"/>
  </w:num>
  <w:num w:numId="15" w16cid:durableId="226303987">
    <w:abstractNumId w:val="14"/>
  </w:num>
  <w:num w:numId="16" w16cid:durableId="342633574">
    <w:abstractNumId w:val="0"/>
  </w:num>
  <w:num w:numId="17" w16cid:durableId="1658605964">
    <w:abstractNumId w:val="9"/>
  </w:num>
  <w:num w:numId="18" w16cid:durableId="287057197">
    <w:abstractNumId w:val="8"/>
  </w:num>
  <w:num w:numId="19" w16cid:durableId="1878422124">
    <w:abstractNumId w:val="16"/>
  </w:num>
  <w:num w:numId="20" w16cid:durableId="1018628507">
    <w:abstractNumId w:val="11"/>
  </w:num>
  <w:num w:numId="21" w16cid:durableId="211512521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45B4"/>
    <w:rsid w:val="00007CEE"/>
    <w:rsid w:val="00011ED8"/>
    <w:rsid w:val="000139CE"/>
    <w:rsid w:val="00013E52"/>
    <w:rsid w:val="00014A63"/>
    <w:rsid w:val="0001520F"/>
    <w:rsid w:val="000158A4"/>
    <w:rsid w:val="0002326A"/>
    <w:rsid w:val="00025293"/>
    <w:rsid w:val="00025330"/>
    <w:rsid w:val="00027EEB"/>
    <w:rsid w:val="00031A2C"/>
    <w:rsid w:val="0003218D"/>
    <w:rsid w:val="00034E35"/>
    <w:rsid w:val="00036D7A"/>
    <w:rsid w:val="00040813"/>
    <w:rsid w:val="00042B93"/>
    <w:rsid w:val="0004319B"/>
    <w:rsid w:val="00043C7F"/>
    <w:rsid w:val="00044C95"/>
    <w:rsid w:val="000467A8"/>
    <w:rsid w:val="000533D3"/>
    <w:rsid w:val="00053B4C"/>
    <w:rsid w:val="00053DA0"/>
    <w:rsid w:val="00053E75"/>
    <w:rsid w:val="00053F83"/>
    <w:rsid w:val="000570AC"/>
    <w:rsid w:val="000638BA"/>
    <w:rsid w:val="00063FBC"/>
    <w:rsid w:val="0006552A"/>
    <w:rsid w:val="0006570F"/>
    <w:rsid w:val="000661F9"/>
    <w:rsid w:val="0006716C"/>
    <w:rsid w:val="000709C6"/>
    <w:rsid w:val="00070CB1"/>
    <w:rsid w:val="00072E57"/>
    <w:rsid w:val="00073935"/>
    <w:rsid w:val="00074F01"/>
    <w:rsid w:val="00075238"/>
    <w:rsid w:val="00075DE8"/>
    <w:rsid w:val="00080453"/>
    <w:rsid w:val="000807A5"/>
    <w:rsid w:val="00080D68"/>
    <w:rsid w:val="0008150F"/>
    <w:rsid w:val="000815EA"/>
    <w:rsid w:val="000833FC"/>
    <w:rsid w:val="000845FE"/>
    <w:rsid w:val="00085447"/>
    <w:rsid w:val="00087439"/>
    <w:rsid w:val="000A1760"/>
    <w:rsid w:val="000A2AE8"/>
    <w:rsid w:val="000A3092"/>
    <w:rsid w:val="000A5CC4"/>
    <w:rsid w:val="000A6349"/>
    <w:rsid w:val="000B1342"/>
    <w:rsid w:val="000B3BB2"/>
    <w:rsid w:val="000B440D"/>
    <w:rsid w:val="000B5320"/>
    <w:rsid w:val="000B7DA8"/>
    <w:rsid w:val="000C1094"/>
    <w:rsid w:val="000C1260"/>
    <w:rsid w:val="000C2E4B"/>
    <w:rsid w:val="000C2F67"/>
    <w:rsid w:val="000C4128"/>
    <w:rsid w:val="000C560C"/>
    <w:rsid w:val="000C574F"/>
    <w:rsid w:val="000C6B2F"/>
    <w:rsid w:val="000D080B"/>
    <w:rsid w:val="000D0F2A"/>
    <w:rsid w:val="000D25DC"/>
    <w:rsid w:val="000D35FC"/>
    <w:rsid w:val="000D36C8"/>
    <w:rsid w:val="000D39D3"/>
    <w:rsid w:val="000D3BB4"/>
    <w:rsid w:val="000D48FD"/>
    <w:rsid w:val="000D5498"/>
    <w:rsid w:val="000D79CC"/>
    <w:rsid w:val="000D7F97"/>
    <w:rsid w:val="000E00E3"/>
    <w:rsid w:val="000E1A15"/>
    <w:rsid w:val="000E1C64"/>
    <w:rsid w:val="000E2439"/>
    <w:rsid w:val="000E67B1"/>
    <w:rsid w:val="000E6DCC"/>
    <w:rsid w:val="000E71F1"/>
    <w:rsid w:val="000E7885"/>
    <w:rsid w:val="000F0091"/>
    <w:rsid w:val="000F13F3"/>
    <w:rsid w:val="000F2518"/>
    <w:rsid w:val="000F3C86"/>
    <w:rsid w:val="000F41AB"/>
    <w:rsid w:val="000F43A1"/>
    <w:rsid w:val="000F4989"/>
    <w:rsid w:val="000F7119"/>
    <w:rsid w:val="000F78D2"/>
    <w:rsid w:val="00100739"/>
    <w:rsid w:val="00102E5F"/>
    <w:rsid w:val="00103104"/>
    <w:rsid w:val="0010480D"/>
    <w:rsid w:val="0010493E"/>
    <w:rsid w:val="001075D3"/>
    <w:rsid w:val="00107885"/>
    <w:rsid w:val="00110D92"/>
    <w:rsid w:val="00111965"/>
    <w:rsid w:val="001143DA"/>
    <w:rsid w:val="00114FC4"/>
    <w:rsid w:val="00116E16"/>
    <w:rsid w:val="0012081C"/>
    <w:rsid w:val="0012329C"/>
    <w:rsid w:val="00124458"/>
    <w:rsid w:val="00125D4A"/>
    <w:rsid w:val="00125F75"/>
    <w:rsid w:val="00126377"/>
    <w:rsid w:val="00126995"/>
    <w:rsid w:val="00133A2A"/>
    <w:rsid w:val="00134FA7"/>
    <w:rsid w:val="00137950"/>
    <w:rsid w:val="00137C6E"/>
    <w:rsid w:val="00140C02"/>
    <w:rsid w:val="00143C72"/>
    <w:rsid w:val="001451AF"/>
    <w:rsid w:val="001466DA"/>
    <w:rsid w:val="00150C97"/>
    <w:rsid w:val="00151A43"/>
    <w:rsid w:val="00152867"/>
    <w:rsid w:val="00152F29"/>
    <w:rsid w:val="00155B09"/>
    <w:rsid w:val="001649EB"/>
    <w:rsid w:val="00164F94"/>
    <w:rsid w:val="00166F59"/>
    <w:rsid w:val="00167189"/>
    <w:rsid w:val="00167DE6"/>
    <w:rsid w:val="00172B7C"/>
    <w:rsid w:val="0017337F"/>
    <w:rsid w:val="001745D3"/>
    <w:rsid w:val="00174D54"/>
    <w:rsid w:val="0017702C"/>
    <w:rsid w:val="001808A2"/>
    <w:rsid w:val="00181179"/>
    <w:rsid w:val="001814F4"/>
    <w:rsid w:val="00181515"/>
    <w:rsid w:val="001817AF"/>
    <w:rsid w:val="001828D3"/>
    <w:rsid w:val="00182D48"/>
    <w:rsid w:val="00182E8E"/>
    <w:rsid w:val="00182F86"/>
    <w:rsid w:val="001839BD"/>
    <w:rsid w:val="00185270"/>
    <w:rsid w:val="0018583F"/>
    <w:rsid w:val="00192D9F"/>
    <w:rsid w:val="001941D5"/>
    <w:rsid w:val="00194A2E"/>
    <w:rsid w:val="00194E1E"/>
    <w:rsid w:val="001A04CD"/>
    <w:rsid w:val="001A0F92"/>
    <w:rsid w:val="001A2E1F"/>
    <w:rsid w:val="001A3B5A"/>
    <w:rsid w:val="001A6DBB"/>
    <w:rsid w:val="001B3006"/>
    <w:rsid w:val="001B3DC2"/>
    <w:rsid w:val="001B520E"/>
    <w:rsid w:val="001B7002"/>
    <w:rsid w:val="001B7CE9"/>
    <w:rsid w:val="001C03AE"/>
    <w:rsid w:val="001C21B1"/>
    <w:rsid w:val="001C2E91"/>
    <w:rsid w:val="001C30D5"/>
    <w:rsid w:val="001C4E5D"/>
    <w:rsid w:val="001C7A70"/>
    <w:rsid w:val="001D0395"/>
    <w:rsid w:val="001D0FDA"/>
    <w:rsid w:val="001D28AC"/>
    <w:rsid w:val="001D30CB"/>
    <w:rsid w:val="001D376C"/>
    <w:rsid w:val="001D495A"/>
    <w:rsid w:val="001D676D"/>
    <w:rsid w:val="001E054A"/>
    <w:rsid w:val="001E06DA"/>
    <w:rsid w:val="001E17F2"/>
    <w:rsid w:val="001E1F6E"/>
    <w:rsid w:val="001E244C"/>
    <w:rsid w:val="001E26AF"/>
    <w:rsid w:val="001E3BF9"/>
    <w:rsid w:val="001E4745"/>
    <w:rsid w:val="001E6A35"/>
    <w:rsid w:val="001E7DEA"/>
    <w:rsid w:val="001F047D"/>
    <w:rsid w:val="001F1437"/>
    <w:rsid w:val="001F5C35"/>
    <w:rsid w:val="00201E79"/>
    <w:rsid w:val="00201F8B"/>
    <w:rsid w:val="002024E1"/>
    <w:rsid w:val="00203D90"/>
    <w:rsid w:val="0020677C"/>
    <w:rsid w:val="00206799"/>
    <w:rsid w:val="002074FE"/>
    <w:rsid w:val="00207659"/>
    <w:rsid w:val="0020790D"/>
    <w:rsid w:val="0021004B"/>
    <w:rsid w:val="0021123F"/>
    <w:rsid w:val="00213C1C"/>
    <w:rsid w:val="00213EEA"/>
    <w:rsid w:val="00221080"/>
    <w:rsid w:val="00222FA2"/>
    <w:rsid w:val="0022425B"/>
    <w:rsid w:val="00224304"/>
    <w:rsid w:val="00224DB0"/>
    <w:rsid w:val="002259EF"/>
    <w:rsid w:val="00227F0E"/>
    <w:rsid w:val="00230894"/>
    <w:rsid w:val="00231D5B"/>
    <w:rsid w:val="00232AFC"/>
    <w:rsid w:val="00232B87"/>
    <w:rsid w:val="00232FC4"/>
    <w:rsid w:val="00233A7E"/>
    <w:rsid w:val="002349A3"/>
    <w:rsid w:val="00237C16"/>
    <w:rsid w:val="00237EC3"/>
    <w:rsid w:val="00240730"/>
    <w:rsid w:val="00240B86"/>
    <w:rsid w:val="00241D76"/>
    <w:rsid w:val="00242ED1"/>
    <w:rsid w:val="002444BB"/>
    <w:rsid w:val="00244DC3"/>
    <w:rsid w:val="00250DE6"/>
    <w:rsid w:val="00254069"/>
    <w:rsid w:val="00261B1D"/>
    <w:rsid w:val="00262627"/>
    <w:rsid w:val="002642AA"/>
    <w:rsid w:val="002662DD"/>
    <w:rsid w:val="00270748"/>
    <w:rsid w:val="00272946"/>
    <w:rsid w:val="002734E5"/>
    <w:rsid w:val="00273A8C"/>
    <w:rsid w:val="002746DB"/>
    <w:rsid w:val="00277BAB"/>
    <w:rsid w:val="00280771"/>
    <w:rsid w:val="00280CAF"/>
    <w:rsid w:val="00280E1B"/>
    <w:rsid w:val="0028176A"/>
    <w:rsid w:val="00282F09"/>
    <w:rsid w:val="00283233"/>
    <w:rsid w:val="00284C03"/>
    <w:rsid w:val="00286A94"/>
    <w:rsid w:val="00291810"/>
    <w:rsid w:val="00292B05"/>
    <w:rsid w:val="00294D62"/>
    <w:rsid w:val="00295C85"/>
    <w:rsid w:val="002974AA"/>
    <w:rsid w:val="00297532"/>
    <w:rsid w:val="00297FFD"/>
    <w:rsid w:val="002A0A03"/>
    <w:rsid w:val="002A1083"/>
    <w:rsid w:val="002A10A1"/>
    <w:rsid w:val="002A1210"/>
    <w:rsid w:val="002A2B82"/>
    <w:rsid w:val="002A3D70"/>
    <w:rsid w:val="002A47D2"/>
    <w:rsid w:val="002A6375"/>
    <w:rsid w:val="002A6E57"/>
    <w:rsid w:val="002A7FB5"/>
    <w:rsid w:val="002B2074"/>
    <w:rsid w:val="002B2BE8"/>
    <w:rsid w:val="002B44EE"/>
    <w:rsid w:val="002B72AF"/>
    <w:rsid w:val="002C12A5"/>
    <w:rsid w:val="002C29A8"/>
    <w:rsid w:val="002C363D"/>
    <w:rsid w:val="002C379B"/>
    <w:rsid w:val="002C39B4"/>
    <w:rsid w:val="002C4420"/>
    <w:rsid w:val="002C5B89"/>
    <w:rsid w:val="002C6AF3"/>
    <w:rsid w:val="002D0C84"/>
    <w:rsid w:val="002D14D8"/>
    <w:rsid w:val="002D287A"/>
    <w:rsid w:val="002D2A44"/>
    <w:rsid w:val="002D4349"/>
    <w:rsid w:val="002D4799"/>
    <w:rsid w:val="002D5691"/>
    <w:rsid w:val="002D6862"/>
    <w:rsid w:val="002D7AE3"/>
    <w:rsid w:val="002E1F5E"/>
    <w:rsid w:val="002E3FA4"/>
    <w:rsid w:val="002E53A5"/>
    <w:rsid w:val="002E5DC7"/>
    <w:rsid w:val="002E64B8"/>
    <w:rsid w:val="002E6612"/>
    <w:rsid w:val="002E6834"/>
    <w:rsid w:val="002E71C8"/>
    <w:rsid w:val="002F5A92"/>
    <w:rsid w:val="003001E9"/>
    <w:rsid w:val="00301D7D"/>
    <w:rsid w:val="00301F88"/>
    <w:rsid w:val="00307637"/>
    <w:rsid w:val="00310B2A"/>
    <w:rsid w:val="003113FF"/>
    <w:rsid w:val="00312622"/>
    <w:rsid w:val="00312B9F"/>
    <w:rsid w:val="00312F8C"/>
    <w:rsid w:val="00314259"/>
    <w:rsid w:val="00315D3E"/>
    <w:rsid w:val="00316CA0"/>
    <w:rsid w:val="00317A07"/>
    <w:rsid w:val="0032050D"/>
    <w:rsid w:val="003209DC"/>
    <w:rsid w:val="0032144D"/>
    <w:rsid w:val="0032154B"/>
    <w:rsid w:val="003215F8"/>
    <w:rsid w:val="00322346"/>
    <w:rsid w:val="0032277F"/>
    <w:rsid w:val="00332DAB"/>
    <w:rsid w:val="00334C66"/>
    <w:rsid w:val="00336436"/>
    <w:rsid w:val="00336B69"/>
    <w:rsid w:val="0033765B"/>
    <w:rsid w:val="00340435"/>
    <w:rsid w:val="0034302B"/>
    <w:rsid w:val="0034332B"/>
    <w:rsid w:val="00343F66"/>
    <w:rsid w:val="003467A4"/>
    <w:rsid w:val="00350523"/>
    <w:rsid w:val="0035189D"/>
    <w:rsid w:val="0035382A"/>
    <w:rsid w:val="00353FDB"/>
    <w:rsid w:val="00354A11"/>
    <w:rsid w:val="00355B62"/>
    <w:rsid w:val="00356348"/>
    <w:rsid w:val="00357C8A"/>
    <w:rsid w:val="00360683"/>
    <w:rsid w:val="003612C8"/>
    <w:rsid w:val="003632E1"/>
    <w:rsid w:val="003663A7"/>
    <w:rsid w:val="003740BC"/>
    <w:rsid w:val="0037456B"/>
    <w:rsid w:val="00375266"/>
    <w:rsid w:val="003801A3"/>
    <w:rsid w:val="00380508"/>
    <w:rsid w:val="00381398"/>
    <w:rsid w:val="0038340E"/>
    <w:rsid w:val="0038365B"/>
    <w:rsid w:val="00383960"/>
    <w:rsid w:val="00383D90"/>
    <w:rsid w:val="00385864"/>
    <w:rsid w:val="003870AE"/>
    <w:rsid w:val="00395011"/>
    <w:rsid w:val="00396B16"/>
    <w:rsid w:val="00397789"/>
    <w:rsid w:val="00397E50"/>
    <w:rsid w:val="003A03D8"/>
    <w:rsid w:val="003A0E18"/>
    <w:rsid w:val="003A0F29"/>
    <w:rsid w:val="003A1A27"/>
    <w:rsid w:val="003A1AA9"/>
    <w:rsid w:val="003A4B9F"/>
    <w:rsid w:val="003A50CC"/>
    <w:rsid w:val="003A566E"/>
    <w:rsid w:val="003A5DA7"/>
    <w:rsid w:val="003A69C6"/>
    <w:rsid w:val="003A710A"/>
    <w:rsid w:val="003A7CDE"/>
    <w:rsid w:val="003A7FDB"/>
    <w:rsid w:val="003B2A51"/>
    <w:rsid w:val="003B3166"/>
    <w:rsid w:val="003B3623"/>
    <w:rsid w:val="003B42B3"/>
    <w:rsid w:val="003B4870"/>
    <w:rsid w:val="003B6384"/>
    <w:rsid w:val="003B6497"/>
    <w:rsid w:val="003B73FE"/>
    <w:rsid w:val="003B7F2F"/>
    <w:rsid w:val="003C0A1C"/>
    <w:rsid w:val="003C0FE2"/>
    <w:rsid w:val="003C25E0"/>
    <w:rsid w:val="003C4EBB"/>
    <w:rsid w:val="003C5479"/>
    <w:rsid w:val="003D1531"/>
    <w:rsid w:val="003D1F2D"/>
    <w:rsid w:val="003D261D"/>
    <w:rsid w:val="003D37BA"/>
    <w:rsid w:val="003D4B60"/>
    <w:rsid w:val="003D5DA8"/>
    <w:rsid w:val="003D7013"/>
    <w:rsid w:val="003D7066"/>
    <w:rsid w:val="003E1FAB"/>
    <w:rsid w:val="003E2045"/>
    <w:rsid w:val="003E333F"/>
    <w:rsid w:val="003E4BA7"/>
    <w:rsid w:val="003E4EC6"/>
    <w:rsid w:val="003E527E"/>
    <w:rsid w:val="003E553E"/>
    <w:rsid w:val="003E6B19"/>
    <w:rsid w:val="003E7078"/>
    <w:rsid w:val="003F1681"/>
    <w:rsid w:val="003F1A4D"/>
    <w:rsid w:val="003F2C69"/>
    <w:rsid w:val="003F3742"/>
    <w:rsid w:val="003F3B64"/>
    <w:rsid w:val="003F3DF5"/>
    <w:rsid w:val="003F622C"/>
    <w:rsid w:val="003F73B8"/>
    <w:rsid w:val="0040297E"/>
    <w:rsid w:val="00403949"/>
    <w:rsid w:val="00403F97"/>
    <w:rsid w:val="004049CB"/>
    <w:rsid w:val="00405FB8"/>
    <w:rsid w:val="00406C16"/>
    <w:rsid w:val="00407099"/>
    <w:rsid w:val="00407912"/>
    <w:rsid w:val="004106A1"/>
    <w:rsid w:val="00410FF7"/>
    <w:rsid w:val="00411D11"/>
    <w:rsid w:val="00414494"/>
    <w:rsid w:val="00415E23"/>
    <w:rsid w:val="0041670D"/>
    <w:rsid w:val="00417F51"/>
    <w:rsid w:val="00420C95"/>
    <w:rsid w:val="00421363"/>
    <w:rsid w:val="004230B3"/>
    <w:rsid w:val="00423272"/>
    <w:rsid w:val="0042366B"/>
    <w:rsid w:val="00424061"/>
    <w:rsid w:val="00424376"/>
    <w:rsid w:val="004248C9"/>
    <w:rsid w:val="00424C25"/>
    <w:rsid w:val="004274B7"/>
    <w:rsid w:val="00427831"/>
    <w:rsid w:val="004317DF"/>
    <w:rsid w:val="0043282B"/>
    <w:rsid w:val="004357A2"/>
    <w:rsid w:val="0043636D"/>
    <w:rsid w:val="004422B2"/>
    <w:rsid w:val="00442A3C"/>
    <w:rsid w:val="00443969"/>
    <w:rsid w:val="004464DE"/>
    <w:rsid w:val="00447D74"/>
    <w:rsid w:val="00447F32"/>
    <w:rsid w:val="00450A74"/>
    <w:rsid w:val="00450CBD"/>
    <w:rsid w:val="0045401C"/>
    <w:rsid w:val="00454466"/>
    <w:rsid w:val="004546BF"/>
    <w:rsid w:val="00455637"/>
    <w:rsid w:val="00456397"/>
    <w:rsid w:val="00456CA5"/>
    <w:rsid w:val="00457F97"/>
    <w:rsid w:val="004600B9"/>
    <w:rsid w:val="004600DC"/>
    <w:rsid w:val="004603F9"/>
    <w:rsid w:val="004608F6"/>
    <w:rsid w:val="00461B5E"/>
    <w:rsid w:val="00463E55"/>
    <w:rsid w:val="00464AA7"/>
    <w:rsid w:val="0046525A"/>
    <w:rsid w:val="00465350"/>
    <w:rsid w:val="00465DA5"/>
    <w:rsid w:val="00470869"/>
    <w:rsid w:val="00471E0F"/>
    <w:rsid w:val="00473E7D"/>
    <w:rsid w:val="00475AA2"/>
    <w:rsid w:val="00476B91"/>
    <w:rsid w:val="00477152"/>
    <w:rsid w:val="00481BD6"/>
    <w:rsid w:val="004846BF"/>
    <w:rsid w:val="0048501D"/>
    <w:rsid w:val="0048572C"/>
    <w:rsid w:val="00485F56"/>
    <w:rsid w:val="0048794F"/>
    <w:rsid w:val="004921D9"/>
    <w:rsid w:val="00493A47"/>
    <w:rsid w:val="004946AC"/>
    <w:rsid w:val="00494912"/>
    <w:rsid w:val="00496CCE"/>
    <w:rsid w:val="00497EA5"/>
    <w:rsid w:val="004A5323"/>
    <w:rsid w:val="004A5A99"/>
    <w:rsid w:val="004A604B"/>
    <w:rsid w:val="004A78A1"/>
    <w:rsid w:val="004B432D"/>
    <w:rsid w:val="004B68CC"/>
    <w:rsid w:val="004C1662"/>
    <w:rsid w:val="004C1CAE"/>
    <w:rsid w:val="004C367A"/>
    <w:rsid w:val="004C4258"/>
    <w:rsid w:val="004C4D40"/>
    <w:rsid w:val="004C6979"/>
    <w:rsid w:val="004C7126"/>
    <w:rsid w:val="004C77E6"/>
    <w:rsid w:val="004D13A2"/>
    <w:rsid w:val="004D2397"/>
    <w:rsid w:val="004D3801"/>
    <w:rsid w:val="004D3E7A"/>
    <w:rsid w:val="004E283E"/>
    <w:rsid w:val="004E3270"/>
    <w:rsid w:val="004E5A96"/>
    <w:rsid w:val="004E64FD"/>
    <w:rsid w:val="004F36E2"/>
    <w:rsid w:val="004F3B88"/>
    <w:rsid w:val="004F594B"/>
    <w:rsid w:val="004F61E1"/>
    <w:rsid w:val="00500128"/>
    <w:rsid w:val="00502521"/>
    <w:rsid w:val="00503703"/>
    <w:rsid w:val="005056A5"/>
    <w:rsid w:val="00506172"/>
    <w:rsid w:val="00506BDC"/>
    <w:rsid w:val="00506D8A"/>
    <w:rsid w:val="00507C12"/>
    <w:rsid w:val="00507E32"/>
    <w:rsid w:val="00511AC8"/>
    <w:rsid w:val="00515B64"/>
    <w:rsid w:val="00516E01"/>
    <w:rsid w:val="0052145C"/>
    <w:rsid w:val="0052296F"/>
    <w:rsid w:val="00522E5A"/>
    <w:rsid w:val="00523A37"/>
    <w:rsid w:val="0053380A"/>
    <w:rsid w:val="0053380B"/>
    <w:rsid w:val="00534A32"/>
    <w:rsid w:val="00536273"/>
    <w:rsid w:val="00536719"/>
    <w:rsid w:val="0053766A"/>
    <w:rsid w:val="00540C26"/>
    <w:rsid w:val="00543194"/>
    <w:rsid w:val="00544138"/>
    <w:rsid w:val="00544FC4"/>
    <w:rsid w:val="00546305"/>
    <w:rsid w:val="00550183"/>
    <w:rsid w:val="00551235"/>
    <w:rsid w:val="0055135A"/>
    <w:rsid w:val="00554E34"/>
    <w:rsid w:val="00555A43"/>
    <w:rsid w:val="0055763E"/>
    <w:rsid w:val="005578F1"/>
    <w:rsid w:val="005644AA"/>
    <w:rsid w:val="00566A0B"/>
    <w:rsid w:val="0056704F"/>
    <w:rsid w:val="005672F7"/>
    <w:rsid w:val="00570E8A"/>
    <w:rsid w:val="00574D0B"/>
    <w:rsid w:val="00576A6C"/>
    <w:rsid w:val="00581F12"/>
    <w:rsid w:val="00582B04"/>
    <w:rsid w:val="00584583"/>
    <w:rsid w:val="00590E90"/>
    <w:rsid w:val="00590EEB"/>
    <w:rsid w:val="00591976"/>
    <w:rsid w:val="00593764"/>
    <w:rsid w:val="00593DD0"/>
    <w:rsid w:val="00594503"/>
    <w:rsid w:val="00596F41"/>
    <w:rsid w:val="005A4099"/>
    <w:rsid w:val="005A453D"/>
    <w:rsid w:val="005A4FC7"/>
    <w:rsid w:val="005A6B3F"/>
    <w:rsid w:val="005B0764"/>
    <w:rsid w:val="005B0FF6"/>
    <w:rsid w:val="005B1832"/>
    <w:rsid w:val="005B1FC7"/>
    <w:rsid w:val="005B2384"/>
    <w:rsid w:val="005B3E47"/>
    <w:rsid w:val="005B6712"/>
    <w:rsid w:val="005B695F"/>
    <w:rsid w:val="005B75BC"/>
    <w:rsid w:val="005C03A5"/>
    <w:rsid w:val="005C15A5"/>
    <w:rsid w:val="005C38B2"/>
    <w:rsid w:val="005C4025"/>
    <w:rsid w:val="005C5029"/>
    <w:rsid w:val="005C55C2"/>
    <w:rsid w:val="005C638D"/>
    <w:rsid w:val="005C71CA"/>
    <w:rsid w:val="005C745C"/>
    <w:rsid w:val="005D04D7"/>
    <w:rsid w:val="005D1A6A"/>
    <w:rsid w:val="005D3D8E"/>
    <w:rsid w:val="005D4DF5"/>
    <w:rsid w:val="005D67F2"/>
    <w:rsid w:val="005D7883"/>
    <w:rsid w:val="005E28B9"/>
    <w:rsid w:val="005E4238"/>
    <w:rsid w:val="005E42BA"/>
    <w:rsid w:val="005E63CA"/>
    <w:rsid w:val="005E643C"/>
    <w:rsid w:val="005E6AA8"/>
    <w:rsid w:val="005F0767"/>
    <w:rsid w:val="005F0E82"/>
    <w:rsid w:val="005F30C2"/>
    <w:rsid w:val="005F3B48"/>
    <w:rsid w:val="005F60E0"/>
    <w:rsid w:val="005F6DC7"/>
    <w:rsid w:val="005F70D1"/>
    <w:rsid w:val="005F7580"/>
    <w:rsid w:val="0060181C"/>
    <w:rsid w:val="00602E8A"/>
    <w:rsid w:val="0060339C"/>
    <w:rsid w:val="00603BCB"/>
    <w:rsid w:val="00603C28"/>
    <w:rsid w:val="006107A6"/>
    <w:rsid w:val="00610B23"/>
    <w:rsid w:val="00611D6B"/>
    <w:rsid w:val="0061486E"/>
    <w:rsid w:val="00614CD8"/>
    <w:rsid w:val="006224A6"/>
    <w:rsid w:val="0062284C"/>
    <w:rsid w:val="00625BBC"/>
    <w:rsid w:val="00625CFD"/>
    <w:rsid w:val="00625FE7"/>
    <w:rsid w:val="00627FCA"/>
    <w:rsid w:val="0063050E"/>
    <w:rsid w:val="00630A24"/>
    <w:rsid w:val="006326EC"/>
    <w:rsid w:val="006347D6"/>
    <w:rsid w:val="00634CD1"/>
    <w:rsid w:val="00635005"/>
    <w:rsid w:val="00635157"/>
    <w:rsid w:val="00636216"/>
    <w:rsid w:val="00640F28"/>
    <w:rsid w:val="00642229"/>
    <w:rsid w:val="00642590"/>
    <w:rsid w:val="00642718"/>
    <w:rsid w:val="0064546C"/>
    <w:rsid w:val="00647F7B"/>
    <w:rsid w:val="00650BA5"/>
    <w:rsid w:val="006513EE"/>
    <w:rsid w:val="00651B34"/>
    <w:rsid w:val="00654615"/>
    <w:rsid w:val="006573F5"/>
    <w:rsid w:val="00657905"/>
    <w:rsid w:val="006606EE"/>
    <w:rsid w:val="006617D4"/>
    <w:rsid w:val="0066228D"/>
    <w:rsid w:val="00663374"/>
    <w:rsid w:val="00663A42"/>
    <w:rsid w:val="006641C7"/>
    <w:rsid w:val="006663E9"/>
    <w:rsid w:val="00670515"/>
    <w:rsid w:val="006705EA"/>
    <w:rsid w:val="00670BE2"/>
    <w:rsid w:val="006755C3"/>
    <w:rsid w:val="00677D34"/>
    <w:rsid w:val="00682588"/>
    <w:rsid w:val="00683060"/>
    <w:rsid w:val="0068363F"/>
    <w:rsid w:val="0068448A"/>
    <w:rsid w:val="00686B89"/>
    <w:rsid w:val="006876F6"/>
    <w:rsid w:val="006916D9"/>
    <w:rsid w:val="00692DED"/>
    <w:rsid w:val="006960EF"/>
    <w:rsid w:val="006A063B"/>
    <w:rsid w:val="006A0CAC"/>
    <w:rsid w:val="006A0E05"/>
    <w:rsid w:val="006A1292"/>
    <w:rsid w:val="006A21A4"/>
    <w:rsid w:val="006A26C6"/>
    <w:rsid w:val="006A2EA5"/>
    <w:rsid w:val="006A465A"/>
    <w:rsid w:val="006A6587"/>
    <w:rsid w:val="006A7D5D"/>
    <w:rsid w:val="006B15A7"/>
    <w:rsid w:val="006B257D"/>
    <w:rsid w:val="006B4265"/>
    <w:rsid w:val="006B4DF3"/>
    <w:rsid w:val="006B6443"/>
    <w:rsid w:val="006C074E"/>
    <w:rsid w:val="006C09A0"/>
    <w:rsid w:val="006C0EFC"/>
    <w:rsid w:val="006C1C54"/>
    <w:rsid w:val="006C787C"/>
    <w:rsid w:val="006D0C12"/>
    <w:rsid w:val="006D1546"/>
    <w:rsid w:val="006D2523"/>
    <w:rsid w:val="006D2BF4"/>
    <w:rsid w:val="006D2D28"/>
    <w:rsid w:val="006D35BC"/>
    <w:rsid w:val="006D384A"/>
    <w:rsid w:val="006D5D57"/>
    <w:rsid w:val="006D668C"/>
    <w:rsid w:val="006E2538"/>
    <w:rsid w:val="006E302F"/>
    <w:rsid w:val="006E5308"/>
    <w:rsid w:val="006E5F2E"/>
    <w:rsid w:val="006E638A"/>
    <w:rsid w:val="006F3E5D"/>
    <w:rsid w:val="006F4D6D"/>
    <w:rsid w:val="006F54E7"/>
    <w:rsid w:val="00700B7E"/>
    <w:rsid w:val="00701768"/>
    <w:rsid w:val="00701FEA"/>
    <w:rsid w:val="00702CC1"/>
    <w:rsid w:val="00703DC0"/>
    <w:rsid w:val="00705086"/>
    <w:rsid w:val="007059E1"/>
    <w:rsid w:val="0071167B"/>
    <w:rsid w:val="0071556E"/>
    <w:rsid w:val="00715B97"/>
    <w:rsid w:val="00716F1B"/>
    <w:rsid w:val="00721D38"/>
    <w:rsid w:val="00722001"/>
    <w:rsid w:val="00723B3F"/>
    <w:rsid w:val="00723DBC"/>
    <w:rsid w:val="00725728"/>
    <w:rsid w:val="00727307"/>
    <w:rsid w:val="007276B1"/>
    <w:rsid w:val="00727A57"/>
    <w:rsid w:val="00732761"/>
    <w:rsid w:val="00735396"/>
    <w:rsid w:val="007360F0"/>
    <w:rsid w:val="0073646C"/>
    <w:rsid w:val="007425C3"/>
    <w:rsid w:val="0074314F"/>
    <w:rsid w:val="00745132"/>
    <w:rsid w:val="00750859"/>
    <w:rsid w:val="00751E66"/>
    <w:rsid w:val="00752919"/>
    <w:rsid w:val="007535D9"/>
    <w:rsid w:val="00754497"/>
    <w:rsid w:val="00755720"/>
    <w:rsid w:val="0075576A"/>
    <w:rsid w:val="00755E89"/>
    <w:rsid w:val="00761BF9"/>
    <w:rsid w:val="007626F1"/>
    <w:rsid w:val="00765CB0"/>
    <w:rsid w:val="00770D7F"/>
    <w:rsid w:val="0077150D"/>
    <w:rsid w:val="00771CB0"/>
    <w:rsid w:val="00775F5A"/>
    <w:rsid w:val="00780E9C"/>
    <w:rsid w:val="00781EEF"/>
    <w:rsid w:val="007829E3"/>
    <w:rsid w:val="00784110"/>
    <w:rsid w:val="0078641E"/>
    <w:rsid w:val="00787C39"/>
    <w:rsid w:val="007903FD"/>
    <w:rsid w:val="00790EEC"/>
    <w:rsid w:val="00792947"/>
    <w:rsid w:val="007929FD"/>
    <w:rsid w:val="007930F3"/>
    <w:rsid w:val="00793C50"/>
    <w:rsid w:val="007952B4"/>
    <w:rsid w:val="00795DF3"/>
    <w:rsid w:val="0079626D"/>
    <w:rsid w:val="00797483"/>
    <w:rsid w:val="007A04B1"/>
    <w:rsid w:val="007A1100"/>
    <w:rsid w:val="007A373C"/>
    <w:rsid w:val="007A3B4F"/>
    <w:rsid w:val="007A4BB8"/>
    <w:rsid w:val="007A4E47"/>
    <w:rsid w:val="007A5078"/>
    <w:rsid w:val="007A7BA5"/>
    <w:rsid w:val="007B06C9"/>
    <w:rsid w:val="007B1824"/>
    <w:rsid w:val="007B1C30"/>
    <w:rsid w:val="007B2041"/>
    <w:rsid w:val="007B225C"/>
    <w:rsid w:val="007B3563"/>
    <w:rsid w:val="007B4AA6"/>
    <w:rsid w:val="007B4DEB"/>
    <w:rsid w:val="007B78A2"/>
    <w:rsid w:val="007C0B06"/>
    <w:rsid w:val="007C16AE"/>
    <w:rsid w:val="007C26FD"/>
    <w:rsid w:val="007C5A07"/>
    <w:rsid w:val="007C71C4"/>
    <w:rsid w:val="007C75B1"/>
    <w:rsid w:val="007C764D"/>
    <w:rsid w:val="007C7F73"/>
    <w:rsid w:val="007D24CA"/>
    <w:rsid w:val="007D3DFC"/>
    <w:rsid w:val="007D4498"/>
    <w:rsid w:val="007D791B"/>
    <w:rsid w:val="007E2F07"/>
    <w:rsid w:val="007E4D31"/>
    <w:rsid w:val="007E59A8"/>
    <w:rsid w:val="007E67D3"/>
    <w:rsid w:val="007E69F5"/>
    <w:rsid w:val="007F291C"/>
    <w:rsid w:val="007F37CE"/>
    <w:rsid w:val="007F3ABF"/>
    <w:rsid w:val="007F3BD2"/>
    <w:rsid w:val="00804F6F"/>
    <w:rsid w:val="0080776D"/>
    <w:rsid w:val="00807C39"/>
    <w:rsid w:val="00810145"/>
    <w:rsid w:val="0081081D"/>
    <w:rsid w:val="008108FA"/>
    <w:rsid w:val="00810FF1"/>
    <w:rsid w:val="00814B51"/>
    <w:rsid w:val="00815984"/>
    <w:rsid w:val="00816BDE"/>
    <w:rsid w:val="00817F0F"/>
    <w:rsid w:val="00821B11"/>
    <w:rsid w:val="00821D6A"/>
    <w:rsid w:val="00822336"/>
    <w:rsid w:val="00822E99"/>
    <w:rsid w:val="00823DFA"/>
    <w:rsid w:val="0082738B"/>
    <w:rsid w:val="00827729"/>
    <w:rsid w:val="00827DAF"/>
    <w:rsid w:val="00830EFF"/>
    <w:rsid w:val="0083279E"/>
    <w:rsid w:val="008327C3"/>
    <w:rsid w:val="00834939"/>
    <w:rsid w:val="00841EFF"/>
    <w:rsid w:val="00842DB7"/>
    <w:rsid w:val="00843752"/>
    <w:rsid w:val="00843F58"/>
    <w:rsid w:val="0084479F"/>
    <w:rsid w:val="00844F44"/>
    <w:rsid w:val="00845C6A"/>
    <w:rsid w:val="00846FF5"/>
    <w:rsid w:val="0084791A"/>
    <w:rsid w:val="0085040D"/>
    <w:rsid w:val="00851A20"/>
    <w:rsid w:val="008526AA"/>
    <w:rsid w:val="008544A0"/>
    <w:rsid w:val="008548D6"/>
    <w:rsid w:val="008551D4"/>
    <w:rsid w:val="008561A7"/>
    <w:rsid w:val="00856FCB"/>
    <w:rsid w:val="0085725E"/>
    <w:rsid w:val="00860578"/>
    <w:rsid w:val="008608C8"/>
    <w:rsid w:val="008608EE"/>
    <w:rsid w:val="00862C75"/>
    <w:rsid w:val="00866574"/>
    <w:rsid w:val="0087057F"/>
    <w:rsid w:val="0087085B"/>
    <w:rsid w:val="00870ACA"/>
    <w:rsid w:val="00870B93"/>
    <w:rsid w:val="00870D34"/>
    <w:rsid w:val="0087109B"/>
    <w:rsid w:val="00871134"/>
    <w:rsid w:val="008725FE"/>
    <w:rsid w:val="00872E0D"/>
    <w:rsid w:val="00873292"/>
    <w:rsid w:val="00873D4F"/>
    <w:rsid w:val="00873FDA"/>
    <w:rsid w:val="0087509F"/>
    <w:rsid w:val="008814C4"/>
    <w:rsid w:val="0088190B"/>
    <w:rsid w:val="008834C6"/>
    <w:rsid w:val="008859B4"/>
    <w:rsid w:val="00885A31"/>
    <w:rsid w:val="00885B09"/>
    <w:rsid w:val="00887946"/>
    <w:rsid w:val="00892400"/>
    <w:rsid w:val="00892DE0"/>
    <w:rsid w:val="00893076"/>
    <w:rsid w:val="008932E4"/>
    <w:rsid w:val="0089672C"/>
    <w:rsid w:val="008A209D"/>
    <w:rsid w:val="008A22BB"/>
    <w:rsid w:val="008A3E10"/>
    <w:rsid w:val="008A3E82"/>
    <w:rsid w:val="008A45BB"/>
    <w:rsid w:val="008A5CBD"/>
    <w:rsid w:val="008A5F5D"/>
    <w:rsid w:val="008A77B0"/>
    <w:rsid w:val="008B035D"/>
    <w:rsid w:val="008B0E29"/>
    <w:rsid w:val="008B0EFA"/>
    <w:rsid w:val="008B30AB"/>
    <w:rsid w:val="008B5129"/>
    <w:rsid w:val="008C2C9B"/>
    <w:rsid w:val="008C3BB8"/>
    <w:rsid w:val="008C499C"/>
    <w:rsid w:val="008C4B65"/>
    <w:rsid w:val="008C652B"/>
    <w:rsid w:val="008C6C10"/>
    <w:rsid w:val="008C76F3"/>
    <w:rsid w:val="008C7C75"/>
    <w:rsid w:val="008C7ECC"/>
    <w:rsid w:val="008D00AC"/>
    <w:rsid w:val="008D18E5"/>
    <w:rsid w:val="008D2592"/>
    <w:rsid w:val="008D4318"/>
    <w:rsid w:val="008D69D0"/>
    <w:rsid w:val="008E0537"/>
    <w:rsid w:val="008E09B9"/>
    <w:rsid w:val="008E0ADF"/>
    <w:rsid w:val="008E2767"/>
    <w:rsid w:val="008E3399"/>
    <w:rsid w:val="008E3A5D"/>
    <w:rsid w:val="008E411B"/>
    <w:rsid w:val="008E473E"/>
    <w:rsid w:val="008E5F55"/>
    <w:rsid w:val="008E78C4"/>
    <w:rsid w:val="008F02F2"/>
    <w:rsid w:val="008F1566"/>
    <w:rsid w:val="008F58F9"/>
    <w:rsid w:val="008F59AA"/>
    <w:rsid w:val="008F658A"/>
    <w:rsid w:val="009009E7"/>
    <w:rsid w:val="00901D8E"/>
    <w:rsid w:val="0090326C"/>
    <w:rsid w:val="0090387A"/>
    <w:rsid w:val="009051CD"/>
    <w:rsid w:val="00905DEF"/>
    <w:rsid w:val="00906056"/>
    <w:rsid w:val="009063F4"/>
    <w:rsid w:val="009067C9"/>
    <w:rsid w:val="00911398"/>
    <w:rsid w:val="009122AE"/>
    <w:rsid w:val="00912740"/>
    <w:rsid w:val="009137D7"/>
    <w:rsid w:val="00913B43"/>
    <w:rsid w:val="00914028"/>
    <w:rsid w:val="00915DA8"/>
    <w:rsid w:val="0091697D"/>
    <w:rsid w:val="00922B0D"/>
    <w:rsid w:val="00925978"/>
    <w:rsid w:val="0092756B"/>
    <w:rsid w:val="00930203"/>
    <w:rsid w:val="009311D2"/>
    <w:rsid w:val="009311E6"/>
    <w:rsid w:val="00931275"/>
    <w:rsid w:val="00932EEB"/>
    <w:rsid w:val="00934263"/>
    <w:rsid w:val="00934D0E"/>
    <w:rsid w:val="00935F8C"/>
    <w:rsid w:val="0093604C"/>
    <w:rsid w:val="00936AC7"/>
    <w:rsid w:val="00936D34"/>
    <w:rsid w:val="0094463D"/>
    <w:rsid w:val="00953B64"/>
    <w:rsid w:val="00953FD6"/>
    <w:rsid w:val="00954CD0"/>
    <w:rsid w:val="00954DED"/>
    <w:rsid w:val="009563EE"/>
    <w:rsid w:val="0096260C"/>
    <w:rsid w:val="00964451"/>
    <w:rsid w:val="009646A7"/>
    <w:rsid w:val="009646C2"/>
    <w:rsid w:val="0096621A"/>
    <w:rsid w:val="00970A88"/>
    <w:rsid w:val="00972729"/>
    <w:rsid w:val="0097280E"/>
    <w:rsid w:val="00973744"/>
    <w:rsid w:val="00975F72"/>
    <w:rsid w:val="00976A26"/>
    <w:rsid w:val="00977596"/>
    <w:rsid w:val="0098041E"/>
    <w:rsid w:val="009818A1"/>
    <w:rsid w:val="00981DCF"/>
    <w:rsid w:val="009865F1"/>
    <w:rsid w:val="00987267"/>
    <w:rsid w:val="00990398"/>
    <w:rsid w:val="0099196F"/>
    <w:rsid w:val="00991A97"/>
    <w:rsid w:val="009936F6"/>
    <w:rsid w:val="00995F0A"/>
    <w:rsid w:val="009971EF"/>
    <w:rsid w:val="00997923"/>
    <w:rsid w:val="009A1674"/>
    <w:rsid w:val="009A29A9"/>
    <w:rsid w:val="009A4B4A"/>
    <w:rsid w:val="009A59F9"/>
    <w:rsid w:val="009A68FE"/>
    <w:rsid w:val="009A74E8"/>
    <w:rsid w:val="009A7674"/>
    <w:rsid w:val="009B2C44"/>
    <w:rsid w:val="009B38BE"/>
    <w:rsid w:val="009B4924"/>
    <w:rsid w:val="009B4DF2"/>
    <w:rsid w:val="009B5810"/>
    <w:rsid w:val="009B625C"/>
    <w:rsid w:val="009B7630"/>
    <w:rsid w:val="009C2D6A"/>
    <w:rsid w:val="009C4E87"/>
    <w:rsid w:val="009C5204"/>
    <w:rsid w:val="009C60F3"/>
    <w:rsid w:val="009C684F"/>
    <w:rsid w:val="009D074C"/>
    <w:rsid w:val="009D2ADE"/>
    <w:rsid w:val="009D2F80"/>
    <w:rsid w:val="009D366F"/>
    <w:rsid w:val="009D412D"/>
    <w:rsid w:val="009D62CE"/>
    <w:rsid w:val="009D6B06"/>
    <w:rsid w:val="009D6E73"/>
    <w:rsid w:val="009D7821"/>
    <w:rsid w:val="009E3E07"/>
    <w:rsid w:val="009E7E28"/>
    <w:rsid w:val="009F1F1D"/>
    <w:rsid w:val="009F2427"/>
    <w:rsid w:val="009F2B4F"/>
    <w:rsid w:val="009F2BCD"/>
    <w:rsid w:val="009F3C63"/>
    <w:rsid w:val="009F539C"/>
    <w:rsid w:val="009F66B5"/>
    <w:rsid w:val="009F792A"/>
    <w:rsid w:val="00A02039"/>
    <w:rsid w:val="00A02F10"/>
    <w:rsid w:val="00A04811"/>
    <w:rsid w:val="00A06166"/>
    <w:rsid w:val="00A06170"/>
    <w:rsid w:val="00A06552"/>
    <w:rsid w:val="00A0676C"/>
    <w:rsid w:val="00A1060C"/>
    <w:rsid w:val="00A11AD7"/>
    <w:rsid w:val="00A12929"/>
    <w:rsid w:val="00A1419E"/>
    <w:rsid w:val="00A16221"/>
    <w:rsid w:val="00A20A7D"/>
    <w:rsid w:val="00A24B45"/>
    <w:rsid w:val="00A24D2E"/>
    <w:rsid w:val="00A2571D"/>
    <w:rsid w:val="00A330C8"/>
    <w:rsid w:val="00A355EA"/>
    <w:rsid w:val="00A35A2C"/>
    <w:rsid w:val="00A35D42"/>
    <w:rsid w:val="00A37054"/>
    <w:rsid w:val="00A40A21"/>
    <w:rsid w:val="00A426DA"/>
    <w:rsid w:val="00A431E5"/>
    <w:rsid w:val="00A4675E"/>
    <w:rsid w:val="00A46CCF"/>
    <w:rsid w:val="00A506DE"/>
    <w:rsid w:val="00A50907"/>
    <w:rsid w:val="00A5279F"/>
    <w:rsid w:val="00A52AD6"/>
    <w:rsid w:val="00A53451"/>
    <w:rsid w:val="00A56E3A"/>
    <w:rsid w:val="00A57879"/>
    <w:rsid w:val="00A57D11"/>
    <w:rsid w:val="00A61A91"/>
    <w:rsid w:val="00A62CEC"/>
    <w:rsid w:val="00A63C11"/>
    <w:rsid w:val="00A64947"/>
    <w:rsid w:val="00A64C11"/>
    <w:rsid w:val="00A66550"/>
    <w:rsid w:val="00A70426"/>
    <w:rsid w:val="00A707CC"/>
    <w:rsid w:val="00A70A30"/>
    <w:rsid w:val="00A70CDB"/>
    <w:rsid w:val="00A7121A"/>
    <w:rsid w:val="00A71410"/>
    <w:rsid w:val="00A7245D"/>
    <w:rsid w:val="00A77111"/>
    <w:rsid w:val="00A77DD7"/>
    <w:rsid w:val="00A7CEB8"/>
    <w:rsid w:val="00A84F30"/>
    <w:rsid w:val="00A85808"/>
    <w:rsid w:val="00A87411"/>
    <w:rsid w:val="00A91E9A"/>
    <w:rsid w:val="00A93ED9"/>
    <w:rsid w:val="00A945EE"/>
    <w:rsid w:val="00A94AF2"/>
    <w:rsid w:val="00A953F4"/>
    <w:rsid w:val="00A96221"/>
    <w:rsid w:val="00A963D5"/>
    <w:rsid w:val="00A97012"/>
    <w:rsid w:val="00A97143"/>
    <w:rsid w:val="00A97C8A"/>
    <w:rsid w:val="00AA0E06"/>
    <w:rsid w:val="00AA2F9D"/>
    <w:rsid w:val="00AA38DA"/>
    <w:rsid w:val="00AA3D1C"/>
    <w:rsid w:val="00AA4008"/>
    <w:rsid w:val="00AA429F"/>
    <w:rsid w:val="00AA4587"/>
    <w:rsid w:val="00AA573F"/>
    <w:rsid w:val="00AA5779"/>
    <w:rsid w:val="00AA58F5"/>
    <w:rsid w:val="00AB08EA"/>
    <w:rsid w:val="00AB61DB"/>
    <w:rsid w:val="00AC00ED"/>
    <w:rsid w:val="00AC2DBB"/>
    <w:rsid w:val="00AC6A99"/>
    <w:rsid w:val="00AC7B75"/>
    <w:rsid w:val="00AD0B01"/>
    <w:rsid w:val="00AD32BB"/>
    <w:rsid w:val="00AD6048"/>
    <w:rsid w:val="00AD6F59"/>
    <w:rsid w:val="00AE00F2"/>
    <w:rsid w:val="00AE3EC2"/>
    <w:rsid w:val="00AE41E0"/>
    <w:rsid w:val="00AE48BE"/>
    <w:rsid w:val="00AE6C42"/>
    <w:rsid w:val="00AF0718"/>
    <w:rsid w:val="00AF078E"/>
    <w:rsid w:val="00AF153D"/>
    <w:rsid w:val="00AF6F4E"/>
    <w:rsid w:val="00B0082F"/>
    <w:rsid w:val="00B00919"/>
    <w:rsid w:val="00B055EF"/>
    <w:rsid w:val="00B059E9"/>
    <w:rsid w:val="00B0603A"/>
    <w:rsid w:val="00B06B5B"/>
    <w:rsid w:val="00B102EF"/>
    <w:rsid w:val="00B16072"/>
    <w:rsid w:val="00B16A97"/>
    <w:rsid w:val="00B21917"/>
    <w:rsid w:val="00B21A4D"/>
    <w:rsid w:val="00B21DF2"/>
    <w:rsid w:val="00B2275C"/>
    <w:rsid w:val="00B22934"/>
    <w:rsid w:val="00B23769"/>
    <w:rsid w:val="00B23771"/>
    <w:rsid w:val="00B24834"/>
    <w:rsid w:val="00B25502"/>
    <w:rsid w:val="00B25B63"/>
    <w:rsid w:val="00B267F9"/>
    <w:rsid w:val="00B339C2"/>
    <w:rsid w:val="00B34458"/>
    <w:rsid w:val="00B354ED"/>
    <w:rsid w:val="00B35681"/>
    <w:rsid w:val="00B35FC1"/>
    <w:rsid w:val="00B37881"/>
    <w:rsid w:val="00B412EF"/>
    <w:rsid w:val="00B41789"/>
    <w:rsid w:val="00B41840"/>
    <w:rsid w:val="00B42800"/>
    <w:rsid w:val="00B43034"/>
    <w:rsid w:val="00B50393"/>
    <w:rsid w:val="00B51380"/>
    <w:rsid w:val="00B51D7E"/>
    <w:rsid w:val="00B54BD9"/>
    <w:rsid w:val="00B5683B"/>
    <w:rsid w:val="00B56907"/>
    <w:rsid w:val="00B56AAF"/>
    <w:rsid w:val="00B575B3"/>
    <w:rsid w:val="00B60DAA"/>
    <w:rsid w:val="00B64F89"/>
    <w:rsid w:val="00B67983"/>
    <w:rsid w:val="00B71BB5"/>
    <w:rsid w:val="00B72AFD"/>
    <w:rsid w:val="00B732F4"/>
    <w:rsid w:val="00B7364E"/>
    <w:rsid w:val="00B75839"/>
    <w:rsid w:val="00B76BFC"/>
    <w:rsid w:val="00B77197"/>
    <w:rsid w:val="00B77C7F"/>
    <w:rsid w:val="00B81808"/>
    <w:rsid w:val="00B82A23"/>
    <w:rsid w:val="00B82AE1"/>
    <w:rsid w:val="00B8350D"/>
    <w:rsid w:val="00B85B3A"/>
    <w:rsid w:val="00B85D08"/>
    <w:rsid w:val="00B86DFA"/>
    <w:rsid w:val="00B936D0"/>
    <w:rsid w:val="00B93F01"/>
    <w:rsid w:val="00B962B3"/>
    <w:rsid w:val="00B96A47"/>
    <w:rsid w:val="00B96C4B"/>
    <w:rsid w:val="00B972E0"/>
    <w:rsid w:val="00B97481"/>
    <w:rsid w:val="00BA0028"/>
    <w:rsid w:val="00BA16AE"/>
    <w:rsid w:val="00BA1DB5"/>
    <w:rsid w:val="00BA2ADA"/>
    <w:rsid w:val="00BA4BA0"/>
    <w:rsid w:val="00BA4BF8"/>
    <w:rsid w:val="00BA7078"/>
    <w:rsid w:val="00BA7AD9"/>
    <w:rsid w:val="00BB02EE"/>
    <w:rsid w:val="00BB15FB"/>
    <w:rsid w:val="00BB29CC"/>
    <w:rsid w:val="00BB358B"/>
    <w:rsid w:val="00BB4C72"/>
    <w:rsid w:val="00BB4D82"/>
    <w:rsid w:val="00BB6AD6"/>
    <w:rsid w:val="00BC0DE5"/>
    <w:rsid w:val="00BC16EC"/>
    <w:rsid w:val="00BC29FF"/>
    <w:rsid w:val="00BC6A71"/>
    <w:rsid w:val="00BC74E6"/>
    <w:rsid w:val="00BD0318"/>
    <w:rsid w:val="00BD0976"/>
    <w:rsid w:val="00BD1245"/>
    <w:rsid w:val="00BD1F72"/>
    <w:rsid w:val="00BD2714"/>
    <w:rsid w:val="00BD3D5B"/>
    <w:rsid w:val="00BD5A04"/>
    <w:rsid w:val="00BD606D"/>
    <w:rsid w:val="00BE17D9"/>
    <w:rsid w:val="00BE2D92"/>
    <w:rsid w:val="00BE3600"/>
    <w:rsid w:val="00BE3606"/>
    <w:rsid w:val="00BE4FDF"/>
    <w:rsid w:val="00BE5C4A"/>
    <w:rsid w:val="00BF065F"/>
    <w:rsid w:val="00BF3BCF"/>
    <w:rsid w:val="00BF3DFD"/>
    <w:rsid w:val="00BF4BFB"/>
    <w:rsid w:val="00BF57EF"/>
    <w:rsid w:val="00BF5812"/>
    <w:rsid w:val="00C017C9"/>
    <w:rsid w:val="00C01F6F"/>
    <w:rsid w:val="00C03999"/>
    <w:rsid w:val="00C041EA"/>
    <w:rsid w:val="00C055BE"/>
    <w:rsid w:val="00C0784B"/>
    <w:rsid w:val="00C103D4"/>
    <w:rsid w:val="00C13BBD"/>
    <w:rsid w:val="00C149AB"/>
    <w:rsid w:val="00C14F0F"/>
    <w:rsid w:val="00C15CEC"/>
    <w:rsid w:val="00C161D5"/>
    <w:rsid w:val="00C16929"/>
    <w:rsid w:val="00C2003F"/>
    <w:rsid w:val="00C20690"/>
    <w:rsid w:val="00C23EE9"/>
    <w:rsid w:val="00C24147"/>
    <w:rsid w:val="00C249B1"/>
    <w:rsid w:val="00C2630A"/>
    <w:rsid w:val="00C27A59"/>
    <w:rsid w:val="00C31C54"/>
    <w:rsid w:val="00C32220"/>
    <w:rsid w:val="00C32743"/>
    <w:rsid w:val="00C345B7"/>
    <w:rsid w:val="00C36020"/>
    <w:rsid w:val="00C36581"/>
    <w:rsid w:val="00C40694"/>
    <w:rsid w:val="00C41419"/>
    <w:rsid w:val="00C41DEA"/>
    <w:rsid w:val="00C460E6"/>
    <w:rsid w:val="00C479BF"/>
    <w:rsid w:val="00C502A1"/>
    <w:rsid w:val="00C50EB6"/>
    <w:rsid w:val="00C5124B"/>
    <w:rsid w:val="00C5237B"/>
    <w:rsid w:val="00C53F71"/>
    <w:rsid w:val="00C54313"/>
    <w:rsid w:val="00C60E4D"/>
    <w:rsid w:val="00C6379E"/>
    <w:rsid w:val="00C638E5"/>
    <w:rsid w:val="00C63C89"/>
    <w:rsid w:val="00C64D85"/>
    <w:rsid w:val="00C65EE5"/>
    <w:rsid w:val="00C66A89"/>
    <w:rsid w:val="00C67403"/>
    <w:rsid w:val="00C70542"/>
    <w:rsid w:val="00C74CE7"/>
    <w:rsid w:val="00C754EC"/>
    <w:rsid w:val="00C75773"/>
    <w:rsid w:val="00C75CBF"/>
    <w:rsid w:val="00C82405"/>
    <w:rsid w:val="00C82AE0"/>
    <w:rsid w:val="00C87317"/>
    <w:rsid w:val="00C876C5"/>
    <w:rsid w:val="00C905E4"/>
    <w:rsid w:val="00C91C66"/>
    <w:rsid w:val="00C92357"/>
    <w:rsid w:val="00C943FC"/>
    <w:rsid w:val="00C9580C"/>
    <w:rsid w:val="00CA0442"/>
    <w:rsid w:val="00CA209B"/>
    <w:rsid w:val="00CA34EA"/>
    <w:rsid w:val="00CA3652"/>
    <w:rsid w:val="00CA3C76"/>
    <w:rsid w:val="00CA3F65"/>
    <w:rsid w:val="00CA4868"/>
    <w:rsid w:val="00CA622B"/>
    <w:rsid w:val="00CA7138"/>
    <w:rsid w:val="00CA7999"/>
    <w:rsid w:val="00CB1CFD"/>
    <w:rsid w:val="00CB1FF5"/>
    <w:rsid w:val="00CB2310"/>
    <w:rsid w:val="00CB2D85"/>
    <w:rsid w:val="00CC1DF3"/>
    <w:rsid w:val="00CC2894"/>
    <w:rsid w:val="00CC2A40"/>
    <w:rsid w:val="00CC3090"/>
    <w:rsid w:val="00CC37D4"/>
    <w:rsid w:val="00CC3909"/>
    <w:rsid w:val="00CC65E5"/>
    <w:rsid w:val="00CD0B38"/>
    <w:rsid w:val="00CD1886"/>
    <w:rsid w:val="00CD18D5"/>
    <w:rsid w:val="00CD3401"/>
    <w:rsid w:val="00CD4F9F"/>
    <w:rsid w:val="00CD5440"/>
    <w:rsid w:val="00CD77C3"/>
    <w:rsid w:val="00CE112C"/>
    <w:rsid w:val="00CE481E"/>
    <w:rsid w:val="00CE71D2"/>
    <w:rsid w:val="00CF1D68"/>
    <w:rsid w:val="00CF2F0A"/>
    <w:rsid w:val="00CF2F38"/>
    <w:rsid w:val="00CF55D4"/>
    <w:rsid w:val="00CF6160"/>
    <w:rsid w:val="00D00208"/>
    <w:rsid w:val="00D0169B"/>
    <w:rsid w:val="00D03463"/>
    <w:rsid w:val="00D03DE8"/>
    <w:rsid w:val="00D044D3"/>
    <w:rsid w:val="00D04E82"/>
    <w:rsid w:val="00D065C8"/>
    <w:rsid w:val="00D077C6"/>
    <w:rsid w:val="00D110A9"/>
    <w:rsid w:val="00D12EAC"/>
    <w:rsid w:val="00D13999"/>
    <w:rsid w:val="00D148AE"/>
    <w:rsid w:val="00D15FD4"/>
    <w:rsid w:val="00D179D0"/>
    <w:rsid w:val="00D17AEE"/>
    <w:rsid w:val="00D20132"/>
    <w:rsid w:val="00D2206F"/>
    <w:rsid w:val="00D22544"/>
    <w:rsid w:val="00D22B83"/>
    <w:rsid w:val="00D22FE4"/>
    <w:rsid w:val="00D235DE"/>
    <w:rsid w:val="00D237B0"/>
    <w:rsid w:val="00D25B20"/>
    <w:rsid w:val="00D27E7B"/>
    <w:rsid w:val="00D31118"/>
    <w:rsid w:val="00D344DE"/>
    <w:rsid w:val="00D36027"/>
    <w:rsid w:val="00D40977"/>
    <w:rsid w:val="00D41D5A"/>
    <w:rsid w:val="00D428E8"/>
    <w:rsid w:val="00D4749A"/>
    <w:rsid w:val="00D52451"/>
    <w:rsid w:val="00D52FE8"/>
    <w:rsid w:val="00D549AE"/>
    <w:rsid w:val="00D56815"/>
    <w:rsid w:val="00D608DA"/>
    <w:rsid w:val="00D61259"/>
    <w:rsid w:val="00D72D7A"/>
    <w:rsid w:val="00D72EBE"/>
    <w:rsid w:val="00D730BF"/>
    <w:rsid w:val="00D73194"/>
    <w:rsid w:val="00D74F21"/>
    <w:rsid w:val="00D75A1B"/>
    <w:rsid w:val="00D76045"/>
    <w:rsid w:val="00D77CDA"/>
    <w:rsid w:val="00D82636"/>
    <w:rsid w:val="00D830F2"/>
    <w:rsid w:val="00D83575"/>
    <w:rsid w:val="00D852F4"/>
    <w:rsid w:val="00D85509"/>
    <w:rsid w:val="00D85D64"/>
    <w:rsid w:val="00D8620E"/>
    <w:rsid w:val="00D93084"/>
    <w:rsid w:val="00DA0C66"/>
    <w:rsid w:val="00DA0F20"/>
    <w:rsid w:val="00DA1F6A"/>
    <w:rsid w:val="00DA515A"/>
    <w:rsid w:val="00DA5414"/>
    <w:rsid w:val="00DA55C3"/>
    <w:rsid w:val="00DA64D6"/>
    <w:rsid w:val="00DA6BB5"/>
    <w:rsid w:val="00DA7556"/>
    <w:rsid w:val="00DB05AD"/>
    <w:rsid w:val="00DB1075"/>
    <w:rsid w:val="00DB1110"/>
    <w:rsid w:val="00DB2902"/>
    <w:rsid w:val="00DB297F"/>
    <w:rsid w:val="00DB3730"/>
    <w:rsid w:val="00DB56C8"/>
    <w:rsid w:val="00DB6566"/>
    <w:rsid w:val="00DB6AC0"/>
    <w:rsid w:val="00DC2C70"/>
    <w:rsid w:val="00DC312C"/>
    <w:rsid w:val="00DC35D5"/>
    <w:rsid w:val="00DC371B"/>
    <w:rsid w:val="00DC3788"/>
    <w:rsid w:val="00DC4ED8"/>
    <w:rsid w:val="00DC76C7"/>
    <w:rsid w:val="00DC784D"/>
    <w:rsid w:val="00DD09DB"/>
    <w:rsid w:val="00DD09F5"/>
    <w:rsid w:val="00DD0E02"/>
    <w:rsid w:val="00DD2340"/>
    <w:rsid w:val="00DD2DE7"/>
    <w:rsid w:val="00DD4201"/>
    <w:rsid w:val="00DD5513"/>
    <w:rsid w:val="00DD5A78"/>
    <w:rsid w:val="00DD5CE6"/>
    <w:rsid w:val="00DD5D6C"/>
    <w:rsid w:val="00DD5E9F"/>
    <w:rsid w:val="00DD754A"/>
    <w:rsid w:val="00DE2BEC"/>
    <w:rsid w:val="00DE5711"/>
    <w:rsid w:val="00DE7B62"/>
    <w:rsid w:val="00DF4C7E"/>
    <w:rsid w:val="00DF66AA"/>
    <w:rsid w:val="00DF6E3E"/>
    <w:rsid w:val="00E00EA0"/>
    <w:rsid w:val="00E01CD3"/>
    <w:rsid w:val="00E021CB"/>
    <w:rsid w:val="00E03671"/>
    <w:rsid w:val="00E04ACE"/>
    <w:rsid w:val="00E04BA6"/>
    <w:rsid w:val="00E10179"/>
    <w:rsid w:val="00E11A97"/>
    <w:rsid w:val="00E13695"/>
    <w:rsid w:val="00E138F1"/>
    <w:rsid w:val="00E144C7"/>
    <w:rsid w:val="00E164C7"/>
    <w:rsid w:val="00E225B1"/>
    <w:rsid w:val="00E2309D"/>
    <w:rsid w:val="00E26758"/>
    <w:rsid w:val="00E27D1D"/>
    <w:rsid w:val="00E30DAD"/>
    <w:rsid w:val="00E3177A"/>
    <w:rsid w:val="00E319F3"/>
    <w:rsid w:val="00E32DE6"/>
    <w:rsid w:val="00E341A1"/>
    <w:rsid w:val="00E404D5"/>
    <w:rsid w:val="00E40C32"/>
    <w:rsid w:val="00E40E90"/>
    <w:rsid w:val="00E41945"/>
    <w:rsid w:val="00E4357B"/>
    <w:rsid w:val="00E43773"/>
    <w:rsid w:val="00E437D4"/>
    <w:rsid w:val="00E443A7"/>
    <w:rsid w:val="00E456B6"/>
    <w:rsid w:val="00E45904"/>
    <w:rsid w:val="00E46056"/>
    <w:rsid w:val="00E46A4C"/>
    <w:rsid w:val="00E516A0"/>
    <w:rsid w:val="00E51905"/>
    <w:rsid w:val="00E55D97"/>
    <w:rsid w:val="00E60515"/>
    <w:rsid w:val="00E621EE"/>
    <w:rsid w:val="00E63DE5"/>
    <w:rsid w:val="00E64333"/>
    <w:rsid w:val="00E647AF"/>
    <w:rsid w:val="00E647C7"/>
    <w:rsid w:val="00E65A37"/>
    <w:rsid w:val="00E65EF7"/>
    <w:rsid w:val="00E67D4B"/>
    <w:rsid w:val="00E71972"/>
    <w:rsid w:val="00E731E7"/>
    <w:rsid w:val="00E76A26"/>
    <w:rsid w:val="00E77B48"/>
    <w:rsid w:val="00E82241"/>
    <w:rsid w:val="00E8440E"/>
    <w:rsid w:val="00E856FC"/>
    <w:rsid w:val="00E85733"/>
    <w:rsid w:val="00E857FB"/>
    <w:rsid w:val="00E85A2C"/>
    <w:rsid w:val="00E87877"/>
    <w:rsid w:val="00E91387"/>
    <w:rsid w:val="00E91799"/>
    <w:rsid w:val="00E9408B"/>
    <w:rsid w:val="00E940D9"/>
    <w:rsid w:val="00E96639"/>
    <w:rsid w:val="00E96ACA"/>
    <w:rsid w:val="00E97DF8"/>
    <w:rsid w:val="00EA0F40"/>
    <w:rsid w:val="00EA21FE"/>
    <w:rsid w:val="00EA34E3"/>
    <w:rsid w:val="00EA5B27"/>
    <w:rsid w:val="00EA6322"/>
    <w:rsid w:val="00EB0C3E"/>
    <w:rsid w:val="00EB3602"/>
    <w:rsid w:val="00EB51F0"/>
    <w:rsid w:val="00EB5CDB"/>
    <w:rsid w:val="00EB7538"/>
    <w:rsid w:val="00EB7DBF"/>
    <w:rsid w:val="00EC03CD"/>
    <w:rsid w:val="00EC0561"/>
    <w:rsid w:val="00EC153E"/>
    <w:rsid w:val="00EC1868"/>
    <w:rsid w:val="00EC1E25"/>
    <w:rsid w:val="00EC2AFE"/>
    <w:rsid w:val="00EC2EA6"/>
    <w:rsid w:val="00EC4159"/>
    <w:rsid w:val="00EC4736"/>
    <w:rsid w:val="00EC6BC1"/>
    <w:rsid w:val="00EC7159"/>
    <w:rsid w:val="00ED0A49"/>
    <w:rsid w:val="00ED13A8"/>
    <w:rsid w:val="00ED27B5"/>
    <w:rsid w:val="00ED3808"/>
    <w:rsid w:val="00ED4A0B"/>
    <w:rsid w:val="00ED5DAC"/>
    <w:rsid w:val="00ED603E"/>
    <w:rsid w:val="00ED61F9"/>
    <w:rsid w:val="00ED74C5"/>
    <w:rsid w:val="00EE20EC"/>
    <w:rsid w:val="00EE494D"/>
    <w:rsid w:val="00EE580C"/>
    <w:rsid w:val="00EE6468"/>
    <w:rsid w:val="00EF0DD3"/>
    <w:rsid w:val="00EF3CF1"/>
    <w:rsid w:val="00EF6327"/>
    <w:rsid w:val="00F0007D"/>
    <w:rsid w:val="00F00837"/>
    <w:rsid w:val="00F0427E"/>
    <w:rsid w:val="00F04FFC"/>
    <w:rsid w:val="00F075D3"/>
    <w:rsid w:val="00F110AB"/>
    <w:rsid w:val="00F11B20"/>
    <w:rsid w:val="00F11DB8"/>
    <w:rsid w:val="00F127A5"/>
    <w:rsid w:val="00F1299B"/>
    <w:rsid w:val="00F16938"/>
    <w:rsid w:val="00F172D8"/>
    <w:rsid w:val="00F207A4"/>
    <w:rsid w:val="00F23B7E"/>
    <w:rsid w:val="00F240DD"/>
    <w:rsid w:val="00F24D49"/>
    <w:rsid w:val="00F25173"/>
    <w:rsid w:val="00F25646"/>
    <w:rsid w:val="00F303D9"/>
    <w:rsid w:val="00F3414A"/>
    <w:rsid w:val="00F355AC"/>
    <w:rsid w:val="00F35F9F"/>
    <w:rsid w:val="00F401D6"/>
    <w:rsid w:val="00F40CF7"/>
    <w:rsid w:val="00F44194"/>
    <w:rsid w:val="00F45DB7"/>
    <w:rsid w:val="00F473F7"/>
    <w:rsid w:val="00F52AEF"/>
    <w:rsid w:val="00F5486E"/>
    <w:rsid w:val="00F55B7B"/>
    <w:rsid w:val="00F56B7E"/>
    <w:rsid w:val="00F577EA"/>
    <w:rsid w:val="00F613AA"/>
    <w:rsid w:val="00F61DDE"/>
    <w:rsid w:val="00F62F36"/>
    <w:rsid w:val="00F63A27"/>
    <w:rsid w:val="00F65092"/>
    <w:rsid w:val="00F71A5A"/>
    <w:rsid w:val="00F73A1A"/>
    <w:rsid w:val="00F769E0"/>
    <w:rsid w:val="00F77033"/>
    <w:rsid w:val="00F831E0"/>
    <w:rsid w:val="00F83EA5"/>
    <w:rsid w:val="00F84AAA"/>
    <w:rsid w:val="00F84E70"/>
    <w:rsid w:val="00F84FD4"/>
    <w:rsid w:val="00F853DD"/>
    <w:rsid w:val="00F910DF"/>
    <w:rsid w:val="00F9271B"/>
    <w:rsid w:val="00F93DB6"/>
    <w:rsid w:val="00F94669"/>
    <w:rsid w:val="00F94F53"/>
    <w:rsid w:val="00F953B3"/>
    <w:rsid w:val="00F96037"/>
    <w:rsid w:val="00F968D0"/>
    <w:rsid w:val="00F96B55"/>
    <w:rsid w:val="00FA0247"/>
    <w:rsid w:val="00FA053C"/>
    <w:rsid w:val="00FA0F4E"/>
    <w:rsid w:val="00FA29F1"/>
    <w:rsid w:val="00FA4141"/>
    <w:rsid w:val="00FA44D2"/>
    <w:rsid w:val="00FA4A46"/>
    <w:rsid w:val="00FA75FE"/>
    <w:rsid w:val="00FB03BF"/>
    <w:rsid w:val="00FB09FE"/>
    <w:rsid w:val="00FB0E3D"/>
    <w:rsid w:val="00FB1032"/>
    <w:rsid w:val="00FB2020"/>
    <w:rsid w:val="00FB22FC"/>
    <w:rsid w:val="00FB342A"/>
    <w:rsid w:val="00FB39BC"/>
    <w:rsid w:val="00FB5CBA"/>
    <w:rsid w:val="00FB6A53"/>
    <w:rsid w:val="00FB6D91"/>
    <w:rsid w:val="00FB7672"/>
    <w:rsid w:val="00FB7A45"/>
    <w:rsid w:val="00FC04DF"/>
    <w:rsid w:val="00FC11CA"/>
    <w:rsid w:val="00FC3D87"/>
    <w:rsid w:val="00FC3FFC"/>
    <w:rsid w:val="00FC6BDE"/>
    <w:rsid w:val="00FC6E4F"/>
    <w:rsid w:val="00FC7C64"/>
    <w:rsid w:val="00FD0212"/>
    <w:rsid w:val="00FD15A3"/>
    <w:rsid w:val="00FD16F3"/>
    <w:rsid w:val="00FD2B57"/>
    <w:rsid w:val="00FD613F"/>
    <w:rsid w:val="00FE0ECB"/>
    <w:rsid w:val="00FE268B"/>
    <w:rsid w:val="00FE35D3"/>
    <w:rsid w:val="00FE5C9E"/>
    <w:rsid w:val="00FE658E"/>
    <w:rsid w:val="00FE69B5"/>
    <w:rsid w:val="00FE7409"/>
    <w:rsid w:val="00FE75C0"/>
    <w:rsid w:val="00FE7DEA"/>
    <w:rsid w:val="00FF16EC"/>
    <w:rsid w:val="00FF1B5E"/>
    <w:rsid w:val="00FF1BE9"/>
    <w:rsid w:val="00FF25D2"/>
    <w:rsid w:val="00FF477F"/>
    <w:rsid w:val="00FF4DEE"/>
    <w:rsid w:val="00FF4FB4"/>
    <w:rsid w:val="00FF5FFA"/>
    <w:rsid w:val="00FF6138"/>
    <w:rsid w:val="00FF7871"/>
    <w:rsid w:val="0188DCDC"/>
    <w:rsid w:val="04C07D9E"/>
    <w:rsid w:val="07021DB9"/>
    <w:rsid w:val="075D889B"/>
    <w:rsid w:val="07682990"/>
    <w:rsid w:val="0898F205"/>
    <w:rsid w:val="089DEE1A"/>
    <w:rsid w:val="0AD90A7D"/>
    <w:rsid w:val="0B69C2B4"/>
    <w:rsid w:val="0CE07900"/>
    <w:rsid w:val="0D33B0B1"/>
    <w:rsid w:val="10A6EF6D"/>
    <w:rsid w:val="12179575"/>
    <w:rsid w:val="13CDA263"/>
    <w:rsid w:val="154AF3B9"/>
    <w:rsid w:val="1A678E7D"/>
    <w:rsid w:val="1E299A10"/>
    <w:rsid w:val="1E3516BB"/>
    <w:rsid w:val="1F39EE32"/>
    <w:rsid w:val="1F58956C"/>
    <w:rsid w:val="211616FC"/>
    <w:rsid w:val="211C599B"/>
    <w:rsid w:val="22AF5F88"/>
    <w:rsid w:val="23772118"/>
    <w:rsid w:val="2377FA19"/>
    <w:rsid w:val="24D4B920"/>
    <w:rsid w:val="271B0987"/>
    <w:rsid w:val="27A7601A"/>
    <w:rsid w:val="2826C675"/>
    <w:rsid w:val="28796A2B"/>
    <w:rsid w:val="2E0FF339"/>
    <w:rsid w:val="2E62A5DA"/>
    <w:rsid w:val="2F27CA09"/>
    <w:rsid w:val="30A220DB"/>
    <w:rsid w:val="310285DE"/>
    <w:rsid w:val="3111FFF5"/>
    <w:rsid w:val="3131A077"/>
    <w:rsid w:val="31AFC2F8"/>
    <w:rsid w:val="32AE477E"/>
    <w:rsid w:val="3353A010"/>
    <w:rsid w:val="35DE535E"/>
    <w:rsid w:val="36030DC9"/>
    <w:rsid w:val="367E7AEE"/>
    <w:rsid w:val="36A6C417"/>
    <w:rsid w:val="393CB25C"/>
    <w:rsid w:val="3A8F40D6"/>
    <w:rsid w:val="3D4E519A"/>
    <w:rsid w:val="3DD6B083"/>
    <w:rsid w:val="3F10D36B"/>
    <w:rsid w:val="3F1170BA"/>
    <w:rsid w:val="4103FC42"/>
    <w:rsid w:val="41291019"/>
    <w:rsid w:val="4250D30F"/>
    <w:rsid w:val="4394EE44"/>
    <w:rsid w:val="465949D9"/>
    <w:rsid w:val="46E8EB41"/>
    <w:rsid w:val="485F9570"/>
    <w:rsid w:val="495CCCED"/>
    <w:rsid w:val="4A7D2721"/>
    <w:rsid w:val="4A8724B6"/>
    <w:rsid w:val="4A88EBE3"/>
    <w:rsid w:val="4A8F19C5"/>
    <w:rsid w:val="4B1439E8"/>
    <w:rsid w:val="4BC73D4C"/>
    <w:rsid w:val="4D630DAD"/>
    <w:rsid w:val="4D65117E"/>
    <w:rsid w:val="4DA47A4D"/>
    <w:rsid w:val="4DC8E919"/>
    <w:rsid w:val="4ECB22F1"/>
    <w:rsid w:val="4F00E1DF"/>
    <w:rsid w:val="4F933ECF"/>
    <w:rsid w:val="51097BB2"/>
    <w:rsid w:val="51EFD00C"/>
    <w:rsid w:val="5254389C"/>
    <w:rsid w:val="54B8B7AC"/>
    <w:rsid w:val="552BB954"/>
    <w:rsid w:val="55B257CB"/>
    <w:rsid w:val="56C789B5"/>
    <w:rsid w:val="5708351E"/>
    <w:rsid w:val="5778124B"/>
    <w:rsid w:val="595867BD"/>
    <w:rsid w:val="5B94CF44"/>
    <w:rsid w:val="5BCDF061"/>
    <w:rsid w:val="5CF3A332"/>
    <w:rsid w:val="5D19A398"/>
    <w:rsid w:val="5DEBC8F3"/>
    <w:rsid w:val="5E01454F"/>
    <w:rsid w:val="5EF9F535"/>
    <w:rsid w:val="5F05C8BA"/>
    <w:rsid w:val="5F5D5B46"/>
    <w:rsid w:val="5FBFAA8F"/>
    <w:rsid w:val="5FECEB5D"/>
    <w:rsid w:val="5FF1A03F"/>
    <w:rsid w:val="624BCC0C"/>
    <w:rsid w:val="65F382EE"/>
    <w:rsid w:val="66357466"/>
    <w:rsid w:val="66414141"/>
    <w:rsid w:val="678EFF38"/>
    <w:rsid w:val="69F9B7BF"/>
    <w:rsid w:val="6C639F4B"/>
    <w:rsid w:val="6C8BB938"/>
    <w:rsid w:val="6D7C5536"/>
    <w:rsid w:val="6F4BEE13"/>
    <w:rsid w:val="6F5FB69B"/>
    <w:rsid w:val="70D975F5"/>
    <w:rsid w:val="7101D340"/>
    <w:rsid w:val="71E70B62"/>
    <w:rsid w:val="72F404B6"/>
    <w:rsid w:val="74DCC6AB"/>
    <w:rsid w:val="75664513"/>
    <w:rsid w:val="76197321"/>
    <w:rsid w:val="76F7ED7B"/>
    <w:rsid w:val="77AA629A"/>
    <w:rsid w:val="78003412"/>
    <w:rsid w:val="7866F5FD"/>
    <w:rsid w:val="786E75B3"/>
    <w:rsid w:val="7893CF8F"/>
    <w:rsid w:val="79B693D5"/>
    <w:rsid w:val="7A2F9FF0"/>
    <w:rsid w:val="7A34B656"/>
    <w:rsid w:val="7BCB70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4C0B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FootnoteText">
    <w:name w:val="footnote text"/>
    <w:basedOn w:val="Normal"/>
    <w:link w:val="FootnoteTextChar"/>
    <w:rsid w:val="00DF4C7E"/>
    <w:rPr>
      <w:sz w:val="20"/>
      <w:szCs w:val="20"/>
    </w:rPr>
  </w:style>
  <w:style w:type="character" w:customStyle="1" w:styleId="FootnoteTextChar">
    <w:name w:val="Footnote Text Char"/>
    <w:basedOn w:val="DefaultParagraphFont"/>
    <w:link w:val="FootnoteText"/>
    <w:rsid w:val="00DF4C7E"/>
  </w:style>
  <w:style w:type="character" w:styleId="FootnoteReference">
    <w:name w:val="footnote reference"/>
    <w:uiPriority w:val="99"/>
    <w:rsid w:val="00DF4C7E"/>
    <w:rPr>
      <w:vertAlign w:val="superscript"/>
    </w:rPr>
  </w:style>
  <w:style w:type="character" w:styleId="CommentReference">
    <w:name w:val="annotation reference"/>
    <w:uiPriority w:val="99"/>
    <w:rsid w:val="00DF4C7E"/>
    <w:rPr>
      <w:sz w:val="16"/>
      <w:szCs w:val="16"/>
    </w:rPr>
  </w:style>
  <w:style w:type="paragraph" w:styleId="CommentText">
    <w:name w:val="annotation text"/>
    <w:basedOn w:val="Normal"/>
    <w:link w:val="CommentTextChar"/>
    <w:rsid w:val="00DF4C7E"/>
    <w:rPr>
      <w:sz w:val="20"/>
      <w:szCs w:val="20"/>
    </w:rPr>
  </w:style>
  <w:style w:type="character" w:customStyle="1" w:styleId="CommentTextChar">
    <w:name w:val="Comment Text Char"/>
    <w:basedOn w:val="DefaultParagraphFont"/>
    <w:link w:val="CommentText"/>
    <w:rsid w:val="00DF4C7E"/>
  </w:style>
  <w:style w:type="paragraph" w:styleId="CommentSubject">
    <w:name w:val="annotation subject"/>
    <w:basedOn w:val="CommentText"/>
    <w:next w:val="CommentText"/>
    <w:link w:val="CommentSubjectChar"/>
    <w:rsid w:val="00DF4C7E"/>
    <w:rPr>
      <w:b/>
      <w:bCs/>
    </w:rPr>
  </w:style>
  <w:style w:type="character" w:customStyle="1" w:styleId="CommentSubjectChar">
    <w:name w:val="Comment Subject Char"/>
    <w:link w:val="CommentSubject"/>
    <w:rsid w:val="00DF4C7E"/>
    <w:rPr>
      <w:b/>
      <w:bCs/>
    </w:rPr>
  </w:style>
  <w:style w:type="paragraph" w:styleId="BodyText">
    <w:name w:val="Body Text"/>
    <w:basedOn w:val="Normal"/>
    <w:link w:val="BodyTextChar"/>
    <w:rsid w:val="00663374"/>
    <w:pPr>
      <w:spacing w:after="120"/>
    </w:pPr>
  </w:style>
  <w:style w:type="character" w:customStyle="1" w:styleId="BodyTextChar">
    <w:name w:val="Body Text Char"/>
    <w:link w:val="BodyText"/>
    <w:rsid w:val="00663374"/>
    <w:rPr>
      <w:sz w:val="24"/>
      <w:szCs w:val="24"/>
    </w:rPr>
  </w:style>
  <w:style w:type="paragraph" w:customStyle="1" w:styleId="TableParagraph">
    <w:name w:val="Table Paragraph"/>
    <w:basedOn w:val="Normal"/>
    <w:uiPriority w:val="1"/>
    <w:qFormat/>
    <w:rsid w:val="00DF66AA"/>
    <w:pPr>
      <w:widowControl w:val="0"/>
    </w:pPr>
    <w:rPr>
      <w:rFonts w:ascii="Calibri" w:eastAsia="Calibri" w:hAnsi="Calibri"/>
      <w:sz w:val="22"/>
      <w:szCs w:val="22"/>
    </w:rPr>
  </w:style>
  <w:style w:type="paragraph" w:styleId="Revision">
    <w:name w:val="Revision"/>
    <w:hidden/>
    <w:uiPriority w:val="99"/>
    <w:semiHidden/>
    <w:rsid w:val="00912740"/>
    <w:rPr>
      <w:sz w:val="24"/>
      <w:szCs w:val="24"/>
    </w:rPr>
  </w:style>
  <w:style w:type="paragraph" w:styleId="NoSpacing">
    <w:name w:val="No Spacing"/>
    <w:basedOn w:val="Normal"/>
    <w:link w:val="NoSpacingChar"/>
    <w:uiPriority w:val="1"/>
    <w:qFormat/>
    <w:rsid w:val="003D5DA8"/>
    <w:rPr>
      <w:rFonts w:ascii="Calibri" w:hAnsi="Calibri" w:eastAsiaTheme="minorHAnsi" w:cs="Calibri"/>
      <w:sz w:val="22"/>
      <w:szCs w:val="22"/>
    </w:rPr>
  </w:style>
  <w:style w:type="character" w:customStyle="1" w:styleId="NoSpacingChar">
    <w:name w:val="No Spacing Char"/>
    <w:link w:val="NoSpacing"/>
    <w:uiPriority w:val="1"/>
    <w:rsid w:val="003D5DA8"/>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da.gov/about-fda/reports/strategic-plan-risk-communication" TargetMode="External" /><Relationship Id="rId7" Type="http://schemas.openxmlformats.org/officeDocument/2006/relationships/hyperlink" Target="https://www.fda.gov/about-fda/reports/communicating-risks-and-benefits-evidence-based-users-guide" TargetMode="External" /><Relationship Id="rId8" Type="http://schemas.openxmlformats.org/officeDocument/2006/relationships/hyperlink" Target="https://www.whitehouse.gov/wp-content/uploads/2017/11/Revisions-to-the-Standards-for-the-Classification-of-Federal-Data-on-Race-and-Ethnicity-October30-1997.pdf" TargetMode="Externa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sites/whitehouse.gov/files/omb/inforeg/inforeg/pra_flexibilities_memo_7_22_16_finalI.pdf" TargetMode="External" /><Relationship Id="rId2"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39741-9474-4296-833A-1A4373B1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6342</Words>
  <Characters>36154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2024-03-06T22:43:00Z</dcterms:created>
  <dcterms:modified xsi:type="dcterms:W3CDTF">2024-03-06T22:43:00Z</dcterms:modified>
</cp:coreProperties>
</file>