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4CC" w:rsidRPr="00571422" w:rsidP="00571422" w14:paraId="37F26D8E" w14:textId="77777777">
      <w:pPr>
        <w:pStyle w:val="BodyText2"/>
        <w:rPr>
          <w:b w:val="0"/>
        </w:rPr>
      </w:pPr>
      <w:r w:rsidRPr="00571422">
        <w:rPr>
          <w:b w:val="0"/>
        </w:rPr>
        <w:t>Unite</w:t>
      </w:r>
      <w:r>
        <w:rPr>
          <w:b w:val="0"/>
        </w:rPr>
        <w:t>d</w:t>
      </w:r>
      <w:r w:rsidRPr="00571422">
        <w:rPr>
          <w:b w:val="0"/>
        </w:rPr>
        <w:t xml:space="preserve"> States Food and Drug Administration</w:t>
      </w:r>
    </w:p>
    <w:p w:rsidR="008F56D2" w:rsidP="004C51BF" w14:paraId="6A61B16E" w14:textId="77777777">
      <w:pPr>
        <w:pStyle w:val="BodyText2"/>
      </w:pPr>
    </w:p>
    <w:p w:rsidR="00B23B2A" w:rsidP="004C51BF" w14:paraId="3BB39325" w14:textId="77777777">
      <w:pPr>
        <w:pStyle w:val="BodyText2"/>
        <w:rPr>
          <w:b w:val="0"/>
        </w:rPr>
      </w:pPr>
      <w:r w:rsidRPr="00DF77A4">
        <w:rPr>
          <w:b w:val="0"/>
        </w:rPr>
        <w:t xml:space="preserve">Class II Special Controls:  Automated Blood Cell Separator Device </w:t>
      </w:r>
    </w:p>
    <w:p w:rsidR="004C51BF" w:rsidP="004C51BF" w14:paraId="0A83C294" w14:textId="5F1ECD37">
      <w:pPr>
        <w:pStyle w:val="BodyText2"/>
        <w:rPr>
          <w:b w:val="0"/>
        </w:rPr>
      </w:pPr>
      <w:r w:rsidRPr="00DF77A4">
        <w:rPr>
          <w:b w:val="0"/>
        </w:rPr>
        <w:t>Operating by Centrifugal or Filtration Principle</w:t>
      </w:r>
    </w:p>
    <w:p w:rsidR="00DF77A4" w:rsidRPr="005D6C8A" w:rsidP="004C51BF" w14:paraId="2C5302F0" w14:textId="77777777">
      <w:pPr>
        <w:pStyle w:val="BodyText2"/>
        <w:rPr>
          <w:b w:val="0"/>
        </w:rPr>
      </w:pPr>
    </w:p>
    <w:p w:rsidR="008F56D2" w:rsidP="004C51BF" w14:paraId="6CDA6867" w14:textId="20AE7384">
      <w:pPr>
        <w:pStyle w:val="BodyText2"/>
      </w:pPr>
      <w:r>
        <w:rPr>
          <w:b w:val="0"/>
        </w:rPr>
        <w:t xml:space="preserve">OMB Control No. </w:t>
      </w:r>
      <w:r w:rsidRPr="005D6C8A" w:rsidR="00C852AD">
        <w:rPr>
          <w:b w:val="0"/>
        </w:rPr>
        <w:t>0910-0594</w:t>
      </w:r>
      <w:r w:rsidR="00B23B2A">
        <w:rPr>
          <w:b w:val="0"/>
        </w:rPr>
        <w:t>--</w:t>
      </w:r>
      <w:r w:rsidR="00C16828">
        <w:rPr>
          <w:b w:val="0"/>
        </w:rPr>
        <w:t>EXTENSION</w:t>
      </w:r>
    </w:p>
    <w:p w:rsidR="00D244CC" w14:paraId="7BC09A4C" w14:textId="77777777">
      <w:pPr>
        <w:pStyle w:val="Footer"/>
        <w:tabs>
          <w:tab w:val="clear" w:pos="4320"/>
          <w:tab w:val="clear" w:pos="8640"/>
        </w:tabs>
      </w:pPr>
    </w:p>
    <w:p w:rsidR="008240F2" w:rsidP="0022410C" w14:paraId="530FB532" w14:textId="77777777">
      <w:pPr>
        <w:ind w:left="2160" w:firstLine="720"/>
        <w:rPr>
          <w:bCs/>
        </w:rPr>
      </w:pPr>
      <w:r>
        <w:rPr>
          <w:bCs/>
        </w:rPr>
        <w:t xml:space="preserve">SUPPORTING STATEMENT </w:t>
      </w:r>
    </w:p>
    <w:p w:rsidR="008240F2" w14:paraId="503DBB22" w14:textId="77777777">
      <w:pPr>
        <w:rPr>
          <w:bCs/>
        </w:rPr>
      </w:pPr>
    </w:p>
    <w:p w:rsidR="00D244CC" w14:paraId="26EC5657" w14:textId="1CA710D7">
      <w:r>
        <w:rPr>
          <w:b/>
        </w:rPr>
        <w:t>P</w:t>
      </w:r>
      <w:r w:rsidR="00877E44">
        <w:rPr>
          <w:b/>
        </w:rPr>
        <w:t>art</w:t>
      </w:r>
      <w:r>
        <w:rPr>
          <w:b/>
        </w:rPr>
        <w:t xml:space="preserve"> </w:t>
      </w:r>
      <w:r w:rsidR="00D9328A">
        <w:rPr>
          <w:b/>
        </w:rPr>
        <w:t>A</w:t>
      </w:r>
      <w:r>
        <w:rPr>
          <w:b/>
        </w:rPr>
        <w:t>:</w:t>
      </w:r>
      <w:r w:rsidR="00D9328A">
        <w:rPr>
          <w:b/>
        </w:rPr>
        <w:t xml:space="preserve">  </w:t>
      </w:r>
      <w:r w:rsidR="00167660">
        <w:rPr>
          <w:b/>
        </w:rPr>
        <w:t>Justification</w:t>
      </w:r>
    </w:p>
    <w:p w:rsidR="00D244CC" w14:paraId="53B8FD7A" w14:textId="77777777"/>
    <w:p w:rsidR="00D244CC" w14:paraId="7AE12229" w14:textId="77777777">
      <w:r w:rsidRPr="00AD23F5">
        <w:t>1.</w:t>
      </w:r>
      <w:r w:rsidR="007B6DCE">
        <w:t xml:space="preserve">  </w:t>
      </w:r>
      <w:r w:rsidR="007B6DCE">
        <w:rPr>
          <w:u w:val="single"/>
        </w:rPr>
        <w:t>Circumstances Making the Collection of Information Necessary</w:t>
      </w:r>
    </w:p>
    <w:p w:rsidR="00D84079" w:rsidP="00D84079" w14:paraId="29E86DDD" w14:textId="77777777"/>
    <w:p w:rsidR="009F6F48" w:rsidP="00877E44" w14:paraId="54CB9193" w14:textId="024187FE">
      <w:r w:rsidRPr="006F72FB">
        <w:t xml:space="preserve">This information collection helps to support Agency regulations and guidance.  Under Section 513(a)(1)(B) of the Federal Food, Drug and Cosmetics Act (FD&amp;C Act) (21 U.S.C. 360c(a)(1)(B)), FDA may establish special controls, including performance standards, postmarket surveillance, patient registries, guidelines, and other appropriate actions it believes necessary to provide reasonable assurance of the safety and effectiveness of the device.  The special control guidance serves as the special control for the automated blood cell separator device operating by centrifugal or filtration separation principle intended for the routine collection of blood and blood components (§ 864.9245 (21 CFR 864.9245)).  The guidance entitled “Guidance for Industry and FDA Staff--Class II Special Controls Guidance Document: Automated Blood Cell Separator Device Operating by Centrifugal or Filtration Separation Principle” (March 2011) is available at </w:t>
      </w:r>
      <w:hyperlink r:id="rId4" w:history="1">
        <w:r w:rsidRPr="00F27CCD" w:rsidR="007C0B9A">
          <w:rPr>
            <w:rStyle w:val="Hyperlink"/>
            <w:i/>
            <w:iCs/>
          </w:rPr>
          <w:t>https://www.fda.gov/media/124263/download</w:t>
        </w:r>
      </w:hyperlink>
      <w:r w:rsidR="007C0B9A">
        <w:t>.</w:t>
      </w:r>
    </w:p>
    <w:p w:rsidR="009F6F48" w:rsidP="00877E44" w14:paraId="209C8986" w14:textId="77777777"/>
    <w:p w:rsidR="0090439F" w:rsidP="00877E44" w14:paraId="59081886" w14:textId="5F925FE0">
      <w:r w:rsidRPr="008306D1">
        <w:t xml:space="preserve">For currently marketed products not approved under the premarket approval process, the manufacturer should file with FDA for 3 consecutive years an annual report on the anniversary date of the device reclassification from class III to class II or on the anniversary date of the 510(k) of the FD&amp;C Act (21 U.S.C. 360(k)) clearance.  </w:t>
      </w:r>
    </w:p>
    <w:p w:rsidR="005551EF" w:rsidP="00877E44" w14:paraId="4915F0DE" w14:textId="77777777"/>
    <w:p w:rsidR="009F6F48" w:rsidP="00877E44" w14:paraId="30549A58" w14:textId="78CE2DB5">
      <w:r w:rsidRPr="00DB1490">
        <w:t>Any subsequent change to the device requiring the submission of a premarket notification in accordance with section 510(k) of the FD&amp;C Act should be included in the annual report.  Also, a manufacturer of a device determined to be substantially equivalent to the centrifugal or filtration-based automated cell separator device intended for the routine collection of blood and blood components should comply with the same general and special controls</w:t>
      </w:r>
      <w:r>
        <w:t xml:space="preserve">. </w:t>
      </w:r>
    </w:p>
    <w:p w:rsidR="00AB161E" w:rsidP="00877E44" w14:paraId="55E447FB" w14:textId="77777777"/>
    <w:p w:rsidR="00DD5337" w:rsidP="00877E44" w14:paraId="1DAEB60A" w14:textId="77777777">
      <w:r>
        <w:t xml:space="preserve">We therefore request </w:t>
      </w:r>
      <w:r w:rsidR="009F6F48">
        <w:t xml:space="preserve">extension of OMB approval </w:t>
      </w:r>
      <w:r w:rsidR="00E22EB8">
        <w:t>of</w:t>
      </w:r>
      <w:r w:rsidR="009F6F48">
        <w:t xml:space="preserve"> the information collection provisions found in the special </w:t>
      </w:r>
      <w:r w:rsidR="009F6F48">
        <w:t>controls</w:t>
      </w:r>
      <w:r w:rsidR="009F6F48">
        <w:t xml:space="preserve"> guidance discussed in this supporting statement and codified under 21 CFR § 864.9245. </w:t>
      </w:r>
      <w:r>
        <w:t xml:space="preserve"> </w:t>
      </w:r>
    </w:p>
    <w:p w:rsidR="00D9328A" w14:paraId="528A6111" w14:textId="77777777"/>
    <w:p w:rsidR="00D244CC" w14:paraId="21BAB54D" w14:textId="77777777">
      <w:r>
        <w:t xml:space="preserve">2.  </w:t>
      </w:r>
      <w:r>
        <w:rPr>
          <w:u w:val="single"/>
        </w:rPr>
        <w:t>Purpose and Use of the Information Collection</w:t>
      </w:r>
    </w:p>
    <w:p w:rsidR="00D244CC" w14:paraId="12CA0293" w14:textId="77777777"/>
    <w:p w:rsidR="00AF6B22" w:rsidP="00AF6B22" w14:paraId="41E2369F" w14:textId="77777777">
      <w:r w:rsidRPr="00AB161E">
        <w:t xml:space="preserve">Reclassification of this device from class III to class II relieves manufacturers of the burden of complying with the premarket approval requirements of section 515 of the FD&amp;C Act (21 U.S.C. 360e) and may permit small potential competitors to enter the marketplace by reducing the burden.  Although the special control guidance recommends that manufacturers of these devices </w:t>
      </w:r>
      <w:r w:rsidRPr="00AB161E">
        <w:t>file with FDA an annual report for 3 consecutive years, this would be less burdensome than the current postapproval requirements under 21 CFR part 814, subpart E, including the submission of periodic reports under 21 CFR 814.84.</w:t>
      </w:r>
    </w:p>
    <w:p w:rsidR="0022410C" w:rsidP="00AF6B22" w14:paraId="311F32F6" w14:textId="77777777"/>
    <w:p w:rsidR="00C81DBF" w:rsidP="00683971" w14:paraId="6AD16C55" w14:textId="02A23B08">
      <w:r>
        <w:t xml:space="preserve">The reporting of adverse events summarized in an annual report will alert FDA to trends or clusters of events that might be a safety issue otherwise unreported under the MDR regulation.   </w:t>
      </w:r>
    </w:p>
    <w:p w:rsidR="00C81DBF" w:rsidP="00FA3415" w14:paraId="7F35FC26" w14:textId="77777777">
      <w:r>
        <w:t xml:space="preserve"> </w:t>
      </w:r>
    </w:p>
    <w:p w:rsidR="00C13DF7" w:rsidP="00C13DF7" w14:paraId="4C5E3932" w14:textId="3EA51702">
      <w:r>
        <w:t xml:space="preserve">In the special control guidance document, FDA recommends that manufacturers include in their three annual reports a summary of adverse reactions maintained by the collecting or transfusing facility or similar reports of adverse events collected.  </w:t>
      </w:r>
    </w:p>
    <w:p w:rsidR="009B39ED" w:rsidP="009B39ED" w14:paraId="55C50403" w14:textId="4C9E5BDE">
      <w:pPr>
        <w:ind w:firstLine="720"/>
      </w:pPr>
    </w:p>
    <w:p w:rsidR="0017091B" w:rsidP="0017091B" w14:paraId="3D71B63E" w14:textId="4E693985">
      <w:r w:rsidRPr="00E22EB8">
        <w:rPr>
          <w:i/>
          <w:iCs/>
        </w:rPr>
        <w:t>Description of Respondents:</w:t>
      </w:r>
      <w:r w:rsidRPr="00E22EB8">
        <w:t xml:space="preserve">  Respondents</w:t>
      </w:r>
      <w:r>
        <w:t xml:space="preserve"> to this information collection are manufacturers of automated blood cell separator devices.</w:t>
      </w:r>
      <w:r w:rsidRPr="00181506">
        <w:t xml:space="preserve"> </w:t>
      </w:r>
      <w:r>
        <w:t xml:space="preserve"> </w:t>
      </w:r>
    </w:p>
    <w:p w:rsidR="0017091B" w:rsidP="009B39ED" w14:paraId="0F65142B" w14:textId="77777777">
      <w:pPr>
        <w:ind w:firstLine="720"/>
      </w:pPr>
    </w:p>
    <w:p w:rsidR="00D244CC" w14:paraId="0237C08F" w14:textId="77777777">
      <w:r>
        <w:t xml:space="preserve">3.  </w:t>
      </w:r>
      <w:r>
        <w:rPr>
          <w:u w:val="single"/>
        </w:rPr>
        <w:t xml:space="preserve">Use of </w:t>
      </w:r>
      <w:r w:rsidRPr="00AD23F5" w:rsidR="004C51BF">
        <w:rPr>
          <w:u w:val="single"/>
        </w:rPr>
        <w:t>Improved Information Technology</w:t>
      </w:r>
      <w:r>
        <w:rPr>
          <w:u w:val="single"/>
        </w:rPr>
        <w:t xml:space="preserve"> and Burden Reduction</w:t>
      </w:r>
    </w:p>
    <w:p w:rsidR="00D244CC" w14:paraId="2FE2DCC8" w14:textId="77777777"/>
    <w:p w:rsidR="00D65762" w14:paraId="2D3CAC4B" w14:textId="10C37F14">
      <w:r>
        <w:t>The Center for Biologics Evaluation and Research</w:t>
      </w:r>
      <w:r w:rsidR="001C69DC">
        <w:t xml:space="preserve"> (CBER)</w:t>
      </w:r>
      <w:r>
        <w:t xml:space="preserve"> </w:t>
      </w:r>
      <w:r w:rsidR="0008781C">
        <w:t xml:space="preserve">currently accepts  </w:t>
      </w:r>
      <w:r w:rsidRPr="008306D1" w:rsidR="00277031">
        <w:t xml:space="preserve"> annual reports </w:t>
      </w:r>
      <w:r w:rsidR="00580005">
        <w:t xml:space="preserve">submitted </w:t>
      </w:r>
      <w:r w:rsidRPr="008306D1" w:rsidR="00277031">
        <w:t xml:space="preserve">as supplements to the original 510(k) via the electronic submission gateway at </w:t>
      </w:r>
      <w:hyperlink r:id="rId5" w:history="1">
        <w:r w:rsidRPr="00F1078D" w:rsidR="00277031">
          <w:rPr>
            <w:rStyle w:val="Hyperlink"/>
          </w:rPr>
          <w:t>https://www.fda.gov/electronic-submissions-gateway</w:t>
        </w:r>
      </w:hyperlink>
      <w:r w:rsidR="00277031">
        <w:rPr>
          <w:u w:val="single"/>
        </w:rPr>
        <w:t>.</w:t>
      </w:r>
      <w:r w:rsidR="00277031">
        <w:t xml:space="preserve">  The reports can also be submitted in paper format and sent to the CBER Document Control Center at </w:t>
      </w:r>
      <w:r w:rsidR="00277031">
        <w:rPr>
          <w:u w:val="single"/>
        </w:rPr>
        <w:t>https://www.fda.gov/about-fda/center-biologics-evaluation-and -research-</w:t>
      </w:r>
      <w:r w:rsidR="00277031">
        <w:rPr>
          <w:u w:val="single"/>
        </w:rPr>
        <w:t>cber</w:t>
      </w:r>
      <w:r w:rsidR="00277031">
        <w:rPr>
          <w:u w:val="single"/>
        </w:rPr>
        <w:t>/regulatory-submissions-electronic-and-paper.</w:t>
      </w:r>
      <w:r w:rsidR="00277031">
        <w:t xml:space="preserve"> </w:t>
      </w:r>
      <w:r w:rsidR="0008781C">
        <w:t xml:space="preserve"> </w:t>
      </w:r>
      <w:r w:rsidR="006F7827">
        <w:t>FDA is not aware of any other improved technology to reduce the burden.</w:t>
      </w:r>
      <w:r w:rsidR="00E22EB8">
        <w:t xml:space="preserve">  </w:t>
      </w:r>
      <w:r>
        <w:t xml:space="preserve">FDA continues to pursue methods of applying technology to reduce the burden to the respondents </w:t>
      </w:r>
      <w:r w:rsidR="00436354">
        <w:t>of its information collection</w:t>
      </w:r>
      <w:r>
        <w:t>.</w:t>
      </w:r>
      <w:r w:rsidRPr="00277219" w:rsidR="00277219">
        <w:t xml:space="preserve"> We estimate that </w:t>
      </w:r>
      <w:r w:rsidR="00277219">
        <w:t>100</w:t>
      </w:r>
      <w:r w:rsidRPr="00277219" w:rsidR="00277219">
        <w:t>% of the respondents will use electronic means to fulfill the agency’s requirement or request.</w:t>
      </w:r>
    </w:p>
    <w:p w:rsidR="0038615D" w14:paraId="0BAA763E" w14:textId="77777777"/>
    <w:p w:rsidR="00D244CC" w:rsidRPr="007B6DCE" w14:paraId="2586D675" w14:textId="77777777">
      <w:pPr>
        <w:rPr>
          <w:u w:val="single"/>
        </w:rPr>
      </w:pPr>
      <w:r>
        <w:t xml:space="preserve">4.  </w:t>
      </w:r>
      <w:r>
        <w:rPr>
          <w:u w:val="single"/>
        </w:rPr>
        <w:t>Efforts to Identify Duplication and Use of Similar Information</w:t>
      </w:r>
    </w:p>
    <w:p w:rsidR="00D244CC" w14:paraId="40DE073E" w14:textId="77777777"/>
    <w:p w:rsidR="001C69DC" w:rsidP="003367DF" w14:paraId="20C8ACF8" w14:textId="77777777">
      <w:r w:rsidRPr="005C71CA">
        <w:t>We are unaware of duplicative information collection</w:t>
      </w:r>
      <w:r>
        <w:t xml:space="preserve">.  </w:t>
      </w:r>
      <w:r w:rsidR="00FD61C2">
        <w:t>In the</w:t>
      </w:r>
      <w:r w:rsidR="00436354">
        <w:t xml:space="preserve"> special control</w:t>
      </w:r>
      <w:r w:rsidR="00FD61C2">
        <w:t xml:space="preserve"> guidance document, FDA</w:t>
      </w:r>
      <w:r w:rsidR="00D244CC">
        <w:t xml:space="preserve"> recommend</w:t>
      </w:r>
      <w:r w:rsidR="00FD61C2">
        <w:t>s</w:t>
      </w:r>
      <w:r w:rsidR="00D244CC">
        <w:t xml:space="preserve"> that manufacturers include in their three annual report</w:t>
      </w:r>
      <w:r>
        <w:t>s a summary of adverse events</w:t>
      </w:r>
      <w:r w:rsidR="00D244CC">
        <w:t xml:space="preserve"> maintained by the collecting or transfusing facility or similar reports of adverse events collected in addition to those required under the MDR regulation.  The guidance does not request duplicate MDR reporting</w:t>
      </w:r>
      <w:r w:rsidR="00EB40A2">
        <w:t xml:space="preserve"> </w:t>
      </w:r>
      <w:r>
        <w:t>in the annual report</w:t>
      </w:r>
      <w:r w:rsidR="00EB40A2">
        <w:t>.</w:t>
      </w:r>
    </w:p>
    <w:p w:rsidR="00D244CC" w:rsidP="003367DF" w14:paraId="4DA05898" w14:textId="77777777"/>
    <w:p w:rsidR="00D244CC" w14:paraId="1B73A965" w14:textId="77777777">
      <w:r>
        <w:t xml:space="preserve">5.  </w:t>
      </w:r>
      <w:r>
        <w:rPr>
          <w:u w:val="single"/>
        </w:rPr>
        <w:t>Impact on Small Businesses or Other Small Entities</w:t>
      </w:r>
    </w:p>
    <w:p w:rsidR="00D244CC" w14:paraId="3F3649EE" w14:textId="77777777"/>
    <w:p w:rsidR="00316C92" w:rsidP="002A1CBB" w14:paraId="20BEF8D1" w14:textId="69E4899E">
      <w:r w:rsidRPr="002A1CBB">
        <w:t>There is no impact on small businesses</w:t>
      </w:r>
      <w:r w:rsidR="00410E96">
        <w:t>.</w:t>
      </w:r>
    </w:p>
    <w:p w:rsidR="00316C92" w:rsidP="002A1CBB" w14:paraId="595C3D18" w14:textId="77777777"/>
    <w:p w:rsidR="002A1CBB" w:rsidRPr="002A1CBB" w:rsidP="002A1CBB" w14:paraId="42A0B363" w14:textId="77777777">
      <w:r w:rsidRPr="002A1CBB">
        <w:t>While FDA does not believe it can apply different standards with respect to regulatory and statutory requirements, FDA does provide special help to small busine</w:t>
      </w:r>
      <w:r w:rsidR="001C69DC">
        <w:t>sses.  CBER’s</w:t>
      </w:r>
      <w:r w:rsidR="00672C9E">
        <w:t xml:space="preserve"> Office of </w:t>
      </w:r>
      <w:r w:rsidR="00865DC7">
        <w:t>Communication, Outreach, and Development, Division of Manufacturer</w:t>
      </w:r>
      <w:r w:rsidR="00436354">
        <w:t>’</w:t>
      </w:r>
      <w:r w:rsidR="00865DC7">
        <w:t>s Assistance and Training</w:t>
      </w:r>
      <w:r w:rsidR="001C69DC">
        <w:t>,</w:t>
      </w:r>
      <w:r w:rsidRPr="002A1CBB">
        <w:t xml:space="preserve"> </w:t>
      </w:r>
      <w:r w:rsidRPr="002A1CBB">
        <w:t>provide</w:t>
      </w:r>
      <w:r>
        <w:t>s</w:t>
      </w:r>
      <w:r w:rsidRPr="002A1CBB">
        <w:t xml:space="preserve"> assistanc</w:t>
      </w:r>
      <w:r w:rsidR="00436354">
        <w:t>e to</w:t>
      </w:r>
      <w:r w:rsidR="00436354">
        <w:t xml:space="preserve"> small businesses concerning</w:t>
      </w:r>
      <w:r w:rsidRPr="002A1CBB">
        <w:t xml:space="preserve"> FDA’s regulatory requirements.</w:t>
      </w:r>
      <w:r w:rsidR="001D2C28">
        <w:t xml:space="preserve">  </w:t>
      </w:r>
      <w:r w:rsidRPr="001D2C28" w:rsidR="001D2C28">
        <w:t xml:space="preserve">We also provide a Small Business Guide on our website at  </w:t>
      </w:r>
      <w:hyperlink r:id="rId6" w:history="1">
        <w:r w:rsidRPr="00585AF1" w:rsidR="00FA3415">
          <w:rPr>
            <w:rStyle w:val="Hyperlink"/>
          </w:rPr>
          <w:t>http://www.fda.gov/ForIndustry/SmallBusinessAssistance/default.htm</w:t>
        </w:r>
      </w:hyperlink>
      <w:r w:rsidRPr="001D2C28" w:rsidR="001D2C28">
        <w:t>.</w:t>
      </w:r>
    </w:p>
    <w:p w:rsidR="00D244CC" w14:paraId="2A0EA57F" w14:textId="77777777"/>
    <w:p w:rsidR="00D244CC" w14:paraId="0EEFCC63" w14:textId="77777777">
      <w:r>
        <w:t xml:space="preserve">6.  </w:t>
      </w:r>
      <w:r w:rsidR="007A78EA">
        <w:rPr>
          <w:u w:val="single"/>
        </w:rPr>
        <w:t>Consequences of Collecting the Information Less Frequently</w:t>
      </w:r>
    </w:p>
    <w:p w:rsidR="00D244CC" w14:paraId="20809DE0" w14:textId="77777777"/>
    <w:p w:rsidR="00B23B2A" w:rsidP="00B23B2A" w14:paraId="7F76F579" w14:textId="77777777">
      <w:pPr>
        <w:spacing w:after="200" w:line="276" w:lineRule="auto"/>
        <w:rPr>
          <w:rFonts w:eastAsia="Calibri"/>
        </w:rPr>
      </w:pPr>
      <w:r>
        <w:rPr>
          <w:rFonts w:eastAsia="Calibri"/>
        </w:rPr>
        <w:t>The information collection schedule is consistent with statutory requirements and applicable regulations.</w:t>
      </w:r>
    </w:p>
    <w:p w:rsidR="00D244CC" w14:paraId="54F81A54" w14:textId="77777777">
      <w:r>
        <w:t xml:space="preserve">7.  </w:t>
      </w:r>
      <w:r w:rsidRPr="00AD23F5" w:rsidR="00AD23F5">
        <w:rPr>
          <w:u w:val="single"/>
        </w:rPr>
        <w:t>Special Circumstances</w:t>
      </w:r>
      <w:r w:rsidR="00391908">
        <w:rPr>
          <w:u w:val="single"/>
        </w:rPr>
        <w:t xml:space="preserve"> R</w:t>
      </w:r>
      <w:r>
        <w:rPr>
          <w:u w:val="single"/>
        </w:rPr>
        <w:t>elating to the Guidelines of 5 CFR 1320.5</w:t>
      </w:r>
    </w:p>
    <w:p w:rsidR="00D244CC" w14:paraId="4D16EA4C" w14:textId="77777777"/>
    <w:p w:rsidR="00D244CC" w14:paraId="03274107" w14:textId="77777777">
      <w:r>
        <w:t xml:space="preserve">There are no </w:t>
      </w:r>
      <w:r w:rsidR="00334A98">
        <w:t>special circumstances</w:t>
      </w:r>
      <w:r w:rsidRPr="001B0683" w:rsidR="001B0683">
        <w:rPr>
          <w:spacing w:val="-1"/>
        </w:rPr>
        <w:t xml:space="preserve"> </w:t>
      </w:r>
      <w:r w:rsidR="001B0683">
        <w:rPr>
          <w:spacing w:val="-1"/>
        </w:rPr>
        <w:t>associated with this information collection</w:t>
      </w:r>
      <w:r w:rsidRPr="00EA6CE9" w:rsidR="001B0683">
        <w:rPr>
          <w:spacing w:val="-1"/>
        </w:rPr>
        <w:t>.</w:t>
      </w:r>
    </w:p>
    <w:p w:rsidR="00D244CC" w14:paraId="13F64DBD" w14:textId="77777777"/>
    <w:p w:rsidR="00D244CC" w:rsidRPr="007A78EA" w:rsidP="007A78EA" w14:paraId="6B10F4DF" w14:textId="77777777">
      <w:pPr>
        <w:ind w:left="360" w:hanging="360"/>
      </w:pPr>
      <w:r>
        <w:t xml:space="preserve">8.  </w:t>
      </w:r>
      <w:r>
        <w:rPr>
          <w:u w:val="single"/>
        </w:rPr>
        <w:t>Comments in Response to the Federal Register Notice and Efforts to Consult Outside the Agency</w:t>
      </w:r>
    </w:p>
    <w:p w:rsidR="00D244CC" w14:paraId="048EFC1C" w14:textId="77777777"/>
    <w:p w:rsidR="003814DB" w14:paraId="7C6A83A1" w14:textId="23B2C7F3">
      <w:r>
        <w:t xml:space="preserve">In accordance with 5 CFR 1320.8(d), </w:t>
      </w:r>
      <w:r w:rsidR="005113A5">
        <w:t xml:space="preserve">FDA published </w:t>
      </w:r>
      <w:r>
        <w:t xml:space="preserve">a 60-day notice for public comment </w:t>
      </w:r>
      <w:r w:rsidR="005113A5">
        <w:t xml:space="preserve">in the </w:t>
      </w:r>
      <w:r w:rsidRPr="002160F9" w:rsidR="00BC02D7">
        <w:rPr>
          <w:i/>
        </w:rPr>
        <w:t>F</w:t>
      </w:r>
      <w:r w:rsidR="001B0683">
        <w:rPr>
          <w:i/>
        </w:rPr>
        <w:t>ederal</w:t>
      </w:r>
      <w:r w:rsidRPr="002160F9" w:rsidR="00BC02D7">
        <w:rPr>
          <w:i/>
        </w:rPr>
        <w:t xml:space="preserve"> R</w:t>
      </w:r>
      <w:r w:rsidR="001B0683">
        <w:rPr>
          <w:i/>
        </w:rPr>
        <w:t>egister</w:t>
      </w:r>
      <w:r w:rsidR="005113A5">
        <w:t xml:space="preserve"> </w:t>
      </w:r>
      <w:r w:rsidR="00E22EB8">
        <w:t>of</w:t>
      </w:r>
      <w:r w:rsidR="00436354">
        <w:t xml:space="preserve"> </w:t>
      </w:r>
      <w:r w:rsidR="001E40E3">
        <w:t xml:space="preserve">April </w:t>
      </w:r>
      <w:r w:rsidR="00DF77A4">
        <w:t>22</w:t>
      </w:r>
      <w:r w:rsidR="00391908">
        <w:t xml:space="preserve">, </w:t>
      </w:r>
      <w:r w:rsidR="00436354">
        <w:t>20</w:t>
      </w:r>
      <w:r w:rsidR="002160F9">
        <w:t>2</w:t>
      </w:r>
      <w:r w:rsidR="001E40E3">
        <w:t>4</w:t>
      </w:r>
      <w:r w:rsidR="00436354">
        <w:t xml:space="preserve"> (</w:t>
      </w:r>
      <w:r w:rsidR="00DF77A4">
        <w:t>89</w:t>
      </w:r>
      <w:r w:rsidR="00BD3892">
        <w:t xml:space="preserve"> FR </w:t>
      </w:r>
      <w:r w:rsidR="00DF77A4">
        <w:t>4</w:t>
      </w:r>
      <w:r w:rsidR="00BD3892">
        <w:t>4991</w:t>
      </w:r>
      <w:r w:rsidR="00710D99">
        <w:t>)</w:t>
      </w:r>
      <w:r>
        <w:t>.  No comments</w:t>
      </w:r>
      <w:r w:rsidR="00126113">
        <w:t xml:space="preserve"> </w:t>
      </w:r>
      <w:r w:rsidR="00FD61C2">
        <w:t>were received</w:t>
      </w:r>
      <w:r w:rsidR="005113A5">
        <w:t>.</w:t>
      </w:r>
    </w:p>
    <w:p w:rsidR="0038615D" w14:paraId="1D489FF1" w14:textId="77777777"/>
    <w:p w:rsidR="00D244CC" w14:paraId="062C9C1F" w14:textId="77777777">
      <w:r>
        <w:t xml:space="preserve">9.  </w:t>
      </w:r>
      <w:r>
        <w:rPr>
          <w:u w:val="single"/>
        </w:rPr>
        <w:t xml:space="preserve">Explanation of Any Payment or </w:t>
      </w:r>
      <w:r w:rsidRPr="00AD23F5" w:rsidR="00AD23F5">
        <w:rPr>
          <w:u w:val="single"/>
        </w:rPr>
        <w:t>Gift to Respondent</w:t>
      </w:r>
    </w:p>
    <w:p w:rsidR="00D244CC" w14:paraId="786E143F" w14:textId="77777777"/>
    <w:p w:rsidR="00D244CC" w14:paraId="320B9D90" w14:textId="77777777">
      <w:r w:rsidRPr="002074FE">
        <w:rPr>
          <w:rFonts w:eastAsia="Calibri"/>
        </w:rPr>
        <w:t xml:space="preserve">There are no incentives, payments or gifts associated with this </w:t>
      </w:r>
      <w:r w:rsidRPr="00EA6CE9">
        <w:rPr>
          <w:rFonts w:eastAsia="Calibri"/>
        </w:rPr>
        <w:t>information collection</w:t>
      </w:r>
      <w:r w:rsidRPr="00EA6CE9">
        <w:t>.</w:t>
      </w:r>
    </w:p>
    <w:p w:rsidR="00D244CC" w14:paraId="02A86DB7" w14:textId="77777777"/>
    <w:p w:rsidR="00D244CC" w14:paraId="1285B523" w14:textId="77777777">
      <w:r>
        <w:t xml:space="preserve">10.  </w:t>
      </w:r>
      <w:r>
        <w:rPr>
          <w:u w:val="single"/>
        </w:rPr>
        <w:t xml:space="preserve">Assurance of </w:t>
      </w:r>
      <w:r w:rsidRPr="000A753F" w:rsidR="000A753F">
        <w:rPr>
          <w:u w:val="single"/>
        </w:rPr>
        <w:t>Confidentiality</w:t>
      </w:r>
      <w:r>
        <w:rPr>
          <w:u w:val="single"/>
        </w:rPr>
        <w:t xml:space="preserve"> Provided to Respondents</w:t>
      </w:r>
    </w:p>
    <w:p w:rsidR="00D244CC" w14:paraId="2E82C746" w14:textId="77777777"/>
    <w:p w:rsidR="00272CF8" w:rsidP="00272CF8" w14:paraId="6A23A4D0" w14:textId="3E42C7BA">
      <w:pPr>
        <w:pStyle w:val="BodyText"/>
        <w:rPr>
          <w:b w:val="0"/>
          <w:i w:val="0"/>
          <w:sz w:val="24"/>
          <w:szCs w:val="24"/>
        </w:rPr>
      </w:pPr>
      <w:r w:rsidRPr="00272CF8">
        <w:rPr>
          <w:b w:val="0"/>
          <w:i w:val="0"/>
          <w:sz w:val="24"/>
          <w:szCs w:val="24"/>
        </w:rPr>
        <w:t>In preparing this Supporting Statement, we consulted our Privacy Office to ensure appropriate identification and handling of information collected.</w:t>
      </w:r>
      <w:r w:rsidR="00B23B2A">
        <w:rPr>
          <w:b w:val="0"/>
          <w:i w:val="0"/>
          <w:sz w:val="24"/>
          <w:szCs w:val="24"/>
        </w:rPr>
        <w:t xml:space="preserve">  Data will be kept private to the extent allowed by law.</w:t>
      </w:r>
    </w:p>
    <w:p w:rsidR="00D8678F" w:rsidP="00272CF8" w14:paraId="3F6EDFCE" w14:textId="77777777">
      <w:pPr>
        <w:pStyle w:val="BodyText"/>
        <w:rPr>
          <w:b w:val="0"/>
          <w:i w:val="0"/>
          <w:sz w:val="24"/>
          <w:szCs w:val="24"/>
        </w:rPr>
      </w:pPr>
    </w:p>
    <w:p w:rsidR="00B00C5E" w:rsidRPr="00B00C5E" w:rsidP="00272CF8" w14:paraId="5CC07847" w14:textId="5E20CC48">
      <w:pPr>
        <w:pStyle w:val="BodyText"/>
        <w:rPr>
          <w:b w:val="0"/>
          <w:iCs/>
          <w:sz w:val="24"/>
          <w:szCs w:val="24"/>
          <w:u w:val="single"/>
        </w:rPr>
      </w:pPr>
      <w:r>
        <w:rPr>
          <w:b w:val="0"/>
          <w:iCs/>
          <w:sz w:val="24"/>
          <w:szCs w:val="24"/>
          <w:u w:val="single"/>
        </w:rPr>
        <w:t>The Privacy Act of 1974</w:t>
      </w:r>
    </w:p>
    <w:p w:rsidR="00272CF8" w:rsidP="00272CF8" w14:paraId="7476BE57" w14:textId="67AA0DF6">
      <w:pPr>
        <w:pStyle w:val="BodyText"/>
        <w:rPr>
          <w:b w:val="0"/>
          <w:i w:val="0"/>
          <w:sz w:val="24"/>
          <w:szCs w:val="24"/>
        </w:rPr>
      </w:pPr>
    </w:p>
    <w:p w:rsidR="002C2BEC" w:rsidRPr="00272CF8" w:rsidP="00272CF8" w14:paraId="01E69094" w14:textId="07959E74">
      <w:pPr>
        <w:pStyle w:val="BodyText"/>
        <w:rPr>
          <w:b w:val="0"/>
          <w:i w:val="0"/>
          <w:sz w:val="24"/>
          <w:szCs w:val="24"/>
        </w:rPr>
      </w:pPr>
      <w:r w:rsidRPr="002C2BEC">
        <w:rPr>
          <w:b w:val="0"/>
          <w:i w:val="0"/>
          <w:sz w:val="24"/>
          <w:szCs w:val="24"/>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may include name, address, telephone number, email address and fax number when annual reports are collected. FDA determined that although PII is collected, the collection is not subject to the Privacy Act of 1974 and the </w:t>
      </w:r>
      <w:r w:rsidRPr="002C2BEC">
        <w:rPr>
          <w:b w:val="0"/>
          <w:i w:val="0"/>
          <w:sz w:val="24"/>
          <w:szCs w:val="24"/>
        </w:rPr>
        <w:t>particular notice</w:t>
      </w:r>
      <w:r w:rsidRPr="002C2BEC">
        <w:rPr>
          <w:b w:val="0"/>
          <w:i w:val="0"/>
          <w:sz w:val="24"/>
          <w:szCs w:val="24"/>
        </w:rPr>
        <w:t xml:space="preserve"> and other requirements of the </w:t>
      </w:r>
      <w:r w:rsidR="004662AE">
        <w:rPr>
          <w:b w:val="0"/>
          <w:i w:val="0"/>
          <w:sz w:val="24"/>
          <w:szCs w:val="24"/>
        </w:rPr>
        <w:t xml:space="preserve">Privacy </w:t>
      </w:r>
      <w:r w:rsidRPr="002C2BEC">
        <w:rPr>
          <w:b w:val="0"/>
          <w:i w:val="0"/>
          <w:sz w:val="24"/>
          <w:szCs w:val="24"/>
        </w:rPr>
        <w:t>Act do not apply. Specifically, FDA does not use name or any other personal identifier to retrieve records from the information collected. Through appropriate guidance, FDA limited submission fields and minimized the PII collected to protect the privacy of the individuals.</w:t>
      </w:r>
    </w:p>
    <w:p w:rsidR="00272CF8" w:rsidRPr="00272CF8" w:rsidP="00272CF8" w14:paraId="2AA6F5EB" w14:textId="77777777">
      <w:pPr>
        <w:pStyle w:val="BodyText"/>
        <w:rPr>
          <w:b w:val="0"/>
          <w:i w:val="0"/>
          <w:sz w:val="24"/>
          <w:szCs w:val="24"/>
        </w:rPr>
      </w:pPr>
    </w:p>
    <w:p w:rsidR="009543B9" w:rsidRPr="005841F6" w:rsidP="00272CF8" w14:paraId="3A925AC4" w14:textId="148B0B88">
      <w:pPr>
        <w:pStyle w:val="BodyText"/>
        <w:rPr>
          <w:b w:val="0"/>
          <w:iCs/>
          <w:sz w:val="24"/>
          <w:szCs w:val="24"/>
          <w:u w:val="single"/>
        </w:rPr>
      </w:pPr>
      <w:r>
        <w:rPr>
          <w:b w:val="0"/>
          <w:iCs/>
          <w:sz w:val="24"/>
          <w:szCs w:val="24"/>
          <w:u w:val="single"/>
        </w:rPr>
        <w:t>The Freedom of Information Act</w:t>
      </w:r>
    </w:p>
    <w:p w:rsidR="005841F6" w:rsidP="00272CF8" w14:paraId="39A71F15" w14:textId="77777777">
      <w:pPr>
        <w:pStyle w:val="BodyText"/>
        <w:rPr>
          <w:b w:val="0"/>
          <w:i w:val="0"/>
          <w:sz w:val="24"/>
          <w:szCs w:val="24"/>
        </w:rPr>
      </w:pPr>
    </w:p>
    <w:p w:rsidR="001F4143" w:rsidP="00616FFA" w14:paraId="27452798" w14:textId="18D6AD69">
      <w:pPr>
        <w:pStyle w:val="BodyText"/>
        <w:rPr>
          <w:b w:val="0"/>
          <w:i w:val="0"/>
          <w:sz w:val="24"/>
          <w:szCs w:val="24"/>
        </w:rPr>
      </w:pPr>
      <w:r w:rsidRPr="002C2BEC">
        <w:rPr>
          <w:b w:val="0"/>
          <w:i w:val="0"/>
          <w:sz w:val="24"/>
          <w:szCs w:val="24"/>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2C2BEC" w:rsidP="00616FFA" w14:paraId="7EC7440C" w14:textId="77777777">
      <w:pPr>
        <w:pStyle w:val="BodyText"/>
        <w:rPr>
          <w:b w:val="0"/>
          <w:i w:val="0"/>
          <w:sz w:val="24"/>
          <w:szCs w:val="24"/>
        </w:rPr>
      </w:pPr>
    </w:p>
    <w:p w:rsidR="00D244CC" w14:paraId="230CC671" w14:textId="77777777">
      <w:r>
        <w:t xml:space="preserve">11.  </w:t>
      </w:r>
      <w:r>
        <w:rPr>
          <w:u w:val="single"/>
        </w:rPr>
        <w:t xml:space="preserve">Justification for </w:t>
      </w:r>
      <w:r w:rsidRPr="000A753F" w:rsidR="000A753F">
        <w:rPr>
          <w:u w:val="single"/>
        </w:rPr>
        <w:t>Sensitive Questions</w:t>
      </w:r>
    </w:p>
    <w:p w:rsidR="00D244CC" w14:paraId="3C2596D2" w14:textId="77777777"/>
    <w:p w:rsidR="00D244CC" w:rsidP="00E42AFE" w14:paraId="0917D1DB" w14:textId="77777777">
      <w:r>
        <w:t>This information collection does not involve q</w:t>
      </w:r>
      <w:r w:rsidR="00E42AFE">
        <w:t>uestions of a sensitive nature</w:t>
      </w:r>
      <w:r>
        <w:t>.</w:t>
      </w:r>
    </w:p>
    <w:p w:rsidR="00D244CC" w14:paraId="71DA70AF" w14:textId="77777777"/>
    <w:p w:rsidR="00D244CC" w:rsidP="007F2AA5" w14:paraId="6421D744" w14:textId="77777777">
      <w:pPr>
        <w:rPr>
          <w:u w:val="single"/>
        </w:rPr>
      </w:pPr>
      <w:r>
        <w:t xml:space="preserve">12.  </w:t>
      </w:r>
      <w:r w:rsidR="00052BC6">
        <w:rPr>
          <w:u w:val="single"/>
        </w:rPr>
        <w:t>Estimates of Annualized Burden Hours and Cost</w:t>
      </w:r>
      <w:r w:rsidR="00632402">
        <w:rPr>
          <w:u w:val="single"/>
        </w:rPr>
        <w:t>s</w:t>
      </w:r>
    </w:p>
    <w:p w:rsidR="00D244CC" w14:paraId="1DDDE268" w14:textId="77777777"/>
    <w:p w:rsidR="00592C55" w:rsidRPr="00A254E5" w14:paraId="64437A7C" w14:textId="77777777">
      <w:pPr>
        <w:rPr>
          <w:u w:val="single"/>
        </w:rPr>
      </w:pPr>
      <w:r>
        <w:t xml:space="preserve">       </w:t>
      </w:r>
      <w:r w:rsidRPr="00545D65" w:rsidR="00A254E5">
        <w:t xml:space="preserve">12a. </w:t>
      </w:r>
      <w:r w:rsidRPr="00A254E5">
        <w:rPr>
          <w:u w:val="single"/>
        </w:rPr>
        <w:t>Annualized Hour Burden Estimate</w:t>
      </w:r>
    </w:p>
    <w:p w:rsidR="00592C55" w14:paraId="0BBEC490" w14:textId="77777777"/>
    <w:p w:rsidR="00CC0D71" w:rsidP="00CC0D71" w14:paraId="30876FCD" w14:textId="726382C5">
      <w:r w:rsidRPr="002937B2">
        <w:t xml:space="preserve">We estimate the burden </w:t>
      </w:r>
      <w:r>
        <w:t>of</w:t>
      </w:r>
      <w:r w:rsidRPr="002937B2">
        <w:t xml:space="preserve"> th</w:t>
      </w:r>
      <w:r>
        <w:t>is</w:t>
      </w:r>
      <w:r w:rsidRPr="002937B2">
        <w:t xml:space="preserve"> information collection as follows:</w:t>
      </w:r>
    </w:p>
    <w:p w:rsidR="004E6DB5" w:rsidRPr="0022410C" w:rsidP="004E6DB5" w14:paraId="1CA2B4E6" w14:textId="77777777">
      <w:pPr>
        <w:rPr>
          <w:sz w:val="20"/>
          <w:szCs w:val="20"/>
        </w:rPr>
      </w:pPr>
    </w:p>
    <w:p w:rsidR="00CC0D71" w:rsidRPr="0022410C" w:rsidP="0022410C" w14:paraId="56D8DABF" w14:textId="290293C1">
      <w:pPr>
        <w:jc w:val="center"/>
        <w:rPr>
          <w:sz w:val="20"/>
          <w:szCs w:val="20"/>
        </w:rPr>
      </w:pPr>
      <w:r w:rsidRPr="0022410C">
        <w:rPr>
          <w:sz w:val="20"/>
          <w:szCs w:val="20"/>
        </w:rPr>
        <w:t>Table 1.--Estimated Annual Reporting Burden</w:t>
      </w:r>
    </w:p>
    <w:tbl>
      <w:tblPr>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600"/>
      </w:tblPr>
      <w:tblGrid>
        <w:gridCol w:w="2703"/>
        <w:gridCol w:w="1247"/>
        <w:gridCol w:w="1441"/>
        <w:gridCol w:w="1069"/>
        <w:gridCol w:w="1119"/>
        <w:gridCol w:w="1185"/>
      </w:tblGrid>
      <w:tr w14:paraId="395FBC70" w14:textId="1E345CAF" w:rsidTr="0022410C">
        <w:tblPrEx>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600"/>
        </w:tblPrEx>
        <w:trPr>
          <w:cantSplit/>
        </w:trPr>
        <w:tc>
          <w:tcPr>
            <w:tcW w:w="2703" w:type="dxa"/>
          </w:tcPr>
          <w:p w:rsidR="004E6DB5" w:rsidRPr="0022410C" w14:paraId="771415FB" w14:textId="77777777">
            <w:pPr>
              <w:jc w:val="center"/>
              <w:rPr>
                <w:sz w:val="20"/>
                <w:szCs w:val="20"/>
              </w:rPr>
            </w:pPr>
          </w:p>
          <w:p w:rsidR="004E6DB5" w:rsidRPr="0022410C" w:rsidP="004E6DB5" w14:paraId="6A4A1088" w14:textId="1D64C162">
            <w:pPr>
              <w:spacing w:after="55"/>
              <w:jc w:val="center"/>
              <w:rPr>
                <w:sz w:val="20"/>
                <w:szCs w:val="20"/>
              </w:rPr>
            </w:pPr>
            <w:r w:rsidRPr="0022410C">
              <w:rPr>
                <w:sz w:val="20"/>
                <w:szCs w:val="20"/>
              </w:rPr>
              <w:t>21 CFR 846;</w:t>
            </w:r>
          </w:p>
          <w:p w:rsidR="004E6DB5" w:rsidRPr="0022410C" w:rsidP="004E6DB5" w14:paraId="589C2668" w14:textId="24870150">
            <w:pPr>
              <w:spacing w:after="55"/>
              <w:jc w:val="center"/>
              <w:rPr>
                <w:sz w:val="20"/>
                <w:szCs w:val="20"/>
              </w:rPr>
            </w:pPr>
            <w:r w:rsidRPr="0022410C">
              <w:rPr>
                <w:sz w:val="20"/>
                <w:szCs w:val="20"/>
              </w:rPr>
              <w:t>Recommended</w:t>
            </w:r>
          </w:p>
          <w:p w:rsidR="004E6DB5" w:rsidRPr="0022410C" w:rsidP="004E6DB5" w14:paraId="72D72914" w14:textId="2D60A527">
            <w:pPr>
              <w:spacing w:after="55"/>
              <w:jc w:val="center"/>
              <w:rPr>
                <w:sz w:val="20"/>
                <w:szCs w:val="20"/>
              </w:rPr>
            </w:pPr>
            <w:r w:rsidRPr="0022410C">
              <w:rPr>
                <w:sz w:val="20"/>
                <w:szCs w:val="20"/>
              </w:rPr>
              <w:t>Activity;</w:t>
            </w:r>
          </w:p>
          <w:p w:rsidR="004E6DB5" w:rsidRPr="0022410C" w:rsidP="004E6DB5" w14:paraId="797A5718" w14:textId="210A375A">
            <w:pPr>
              <w:spacing w:after="55"/>
              <w:jc w:val="center"/>
              <w:rPr>
                <w:sz w:val="20"/>
                <w:szCs w:val="20"/>
              </w:rPr>
            </w:pPr>
            <w:r w:rsidRPr="0022410C">
              <w:rPr>
                <w:sz w:val="20"/>
                <w:szCs w:val="20"/>
              </w:rPr>
              <w:t>Guidance Section</w:t>
            </w:r>
          </w:p>
        </w:tc>
        <w:tc>
          <w:tcPr>
            <w:tcW w:w="1247" w:type="dxa"/>
          </w:tcPr>
          <w:p w:rsidR="004E6DB5" w:rsidRPr="0022410C" w14:paraId="656C2276" w14:textId="77777777">
            <w:pPr>
              <w:jc w:val="center"/>
              <w:rPr>
                <w:sz w:val="20"/>
                <w:szCs w:val="20"/>
              </w:rPr>
            </w:pPr>
          </w:p>
          <w:p w:rsidR="004E6DB5" w:rsidRPr="0022410C" w14:paraId="0072F4B1" w14:textId="77777777">
            <w:pPr>
              <w:spacing w:after="55"/>
              <w:jc w:val="center"/>
              <w:rPr>
                <w:sz w:val="20"/>
                <w:szCs w:val="20"/>
              </w:rPr>
            </w:pPr>
            <w:r w:rsidRPr="0022410C">
              <w:rPr>
                <w:sz w:val="20"/>
                <w:szCs w:val="20"/>
              </w:rPr>
              <w:t>No. of Respondents</w:t>
            </w:r>
          </w:p>
        </w:tc>
        <w:tc>
          <w:tcPr>
            <w:tcW w:w="1441" w:type="dxa"/>
          </w:tcPr>
          <w:p w:rsidR="004E6DB5" w:rsidRPr="0022410C" w14:paraId="5521EC63" w14:textId="77777777">
            <w:pPr>
              <w:jc w:val="center"/>
              <w:rPr>
                <w:sz w:val="20"/>
                <w:szCs w:val="20"/>
              </w:rPr>
            </w:pPr>
          </w:p>
          <w:p w:rsidR="004E6DB5" w:rsidRPr="0022410C" w14:paraId="117673C0" w14:textId="77777777">
            <w:pPr>
              <w:spacing w:after="55"/>
              <w:jc w:val="center"/>
              <w:rPr>
                <w:sz w:val="20"/>
                <w:szCs w:val="20"/>
              </w:rPr>
            </w:pPr>
            <w:r w:rsidRPr="0022410C">
              <w:rPr>
                <w:sz w:val="20"/>
                <w:szCs w:val="20"/>
              </w:rPr>
              <w:t>No. of Responses per Response</w:t>
            </w:r>
          </w:p>
        </w:tc>
        <w:tc>
          <w:tcPr>
            <w:tcW w:w="1069" w:type="dxa"/>
          </w:tcPr>
          <w:p w:rsidR="004E6DB5" w:rsidRPr="0022410C" w14:paraId="08434D44" w14:textId="77777777">
            <w:pPr>
              <w:jc w:val="center"/>
              <w:rPr>
                <w:sz w:val="20"/>
                <w:szCs w:val="20"/>
              </w:rPr>
            </w:pPr>
          </w:p>
          <w:p w:rsidR="004E6DB5" w:rsidRPr="0022410C" w14:paraId="18F7EC3E" w14:textId="77777777">
            <w:pPr>
              <w:spacing w:after="55"/>
              <w:jc w:val="center"/>
              <w:rPr>
                <w:sz w:val="20"/>
                <w:szCs w:val="20"/>
              </w:rPr>
            </w:pPr>
            <w:r w:rsidRPr="0022410C">
              <w:rPr>
                <w:sz w:val="20"/>
                <w:szCs w:val="20"/>
              </w:rPr>
              <w:t>Total Annual Responses</w:t>
            </w:r>
          </w:p>
        </w:tc>
        <w:tc>
          <w:tcPr>
            <w:tcW w:w="1119" w:type="dxa"/>
          </w:tcPr>
          <w:p w:rsidR="004E6DB5" w:rsidRPr="0022410C" w14:paraId="7A2EC563" w14:textId="77777777">
            <w:pPr>
              <w:jc w:val="center"/>
              <w:rPr>
                <w:sz w:val="20"/>
                <w:szCs w:val="20"/>
              </w:rPr>
            </w:pPr>
          </w:p>
          <w:p w:rsidR="004E6DB5" w:rsidRPr="0022410C" w14:paraId="6F575003" w14:textId="77777777">
            <w:pPr>
              <w:spacing w:after="55"/>
              <w:jc w:val="center"/>
              <w:rPr>
                <w:sz w:val="20"/>
                <w:szCs w:val="20"/>
              </w:rPr>
            </w:pPr>
            <w:r w:rsidRPr="0022410C">
              <w:rPr>
                <w:sz w:val="20"/>
                <w:szCs w:val="20"/>
              </w:rPr>
              <w:t>Average Burden per Response</w:t>
            </w:r>
          </w:p>
        </w:tc>
        <w:tc>
          <w:tcPr>
            <w:tcW w:w="0" w:type="auto"/>
          </w:tcPr>
          <w:p w:rsidR="004E6DB5" w:rsidRPr="0022410C" w14:paraId="03A57669" w14:textId="77777777">
            <w:pPr>
              <w:jc w:val="center"/>
              <w:rPr>
                <w:sz w:val="20"/>
                <w:szCs w:val="20"/>
              </w:rPr>
            </w:pPr>
          </w:p>
          <w:p w:rsidR="004E6DB5" w:rsidRPr="0022410C" w14:paraId="7DBC3C3C" w14:textId="77777777">
            <w:pPr>
              <w:spacing w:after="55"/>
              <w:jc w:val="center"/>
              <w:rPr>
                <w:sz w:val="20"/>
                <w:szCs w:val="20"/>
              </w:rPr>
            </w:pPr>
            <w:r w:rsidRPr="0022410C">
              <w:rPr>
                <w:sz w:val="20"/>
                <w:szCs w:val="20"/>
              </w:rPr>
              <w:t>Total Hours</w:t>
            </w:r>
          </w:p>
        </w:tc>
      </w:tr>
      <w:tr w14:paraId="59D16A57" w14:textId="45F290A8" w:rsidTr="0022410C">
        <w:tblPrEx>
          <w:tblW w:w="0" w:type="auto"/>
          <w:tblInd w:w="112" w:type="dxa"/>
          <w:tblCellMar>
            <w:left w:w="112" w:type="dxa"/>
            <w:right w:w="112" w:type="dxa"/>
          </w:tblCellMar>
          <w:tblLook w:val="0600"/>
        </w:tblPrEx>
        <w:trPr>
          <w:cantSplit/>
          <w:trHeight w:val="1152"/>
        </w:trPr>
        <w:tc>
          <w:tcPr>
            <w:tcW w:w="2703" w:type="dxa"/>
          </w:tcPr>
          <w:p w:rsidR="004E6DB5" w:rsidRPr="0022410C" w14:paraId="28CCEB3B" w14:textId="77777777">
            <w:pPr>
              <w:rPr>
                <w:sz w:val="20"/>
                <w:szCs w:val="20"/>
              </w:rPr>
            </w:pPr>
          </w:p>
          <w:p w:rsidR="004E6DB5" w:rsidRPr="0022410C" w14:paraId="58690867" w14:textId="7CFEF414">
            <w:pPr>
              <w:spacing w:after="74"/>
              <w:rPr>
                <w:sz w:val="20"/>
                <w:szCs w:val="20"/>
              </w:rPr>
            </w:pPr>
            <w:r w:rsidRPr="0022410C">
              <w:rPr>
                <w:sz w:val="20"/>
                <w:szCs w:val="20"/>
              </w:rPr>
              <w:t>21 CFR 864.9245; Annual Report; Section VI, Special Controls</w:t>
            </w:r>
          </w:p>
          <w:p w:rsidR="004E6DB5" w:rsidRPr="0022410C" w14:paraId="50744CAE" w14:textId="6D43F179">
            <w:pPr>
              <w:spacing w:after="74"/>
              <w:rPr>
                <w:sz w:val="20"/>
                <w:szCs w:val="20"/>
              </w:rPr>
            </w:pPr>
          </w:p>
        </w:tc>
        <w:tc>
          <w:tcPr>
            <w:tcW w:w="1247" w:type="dxa"/>
          </w:tcPr>
          <w:p w:rsidR="004E6DB5" w:rsidRPr="0022410C" w14:paraId="18AE9351" w14:textId="77777777">
            <w:pPr>
              <w:jc w:val="center"/>
              <w:rPr>
                <w:sz w:val="20"/>
                <w:szCs w:val="20"/>
              </w:rPr>
            </w:pPr>
          </w:p>
          <w:p w:rsidR="004E6DB5" w:rsidRPr="0022410C" w14:paraId="7C5657AC" w14:textId="77777777">
            <w:pPr>
              <w:spacing w:after="74"/>
              <w:jc w:val="center"/>
              <w:rPr>
                <w:sz w:val="20"/>
                <w:szCs w:val="20"/>
              </w:rPr>
            </w:pPr>
            <w:r w:rsidRPr="0022410C">
              <w:rPr>
                <w:sz w:val="20"/>
                <w:szCs w:val="20"/>
              </w:rPr>
              <w:t>3</w:t>
            </w:r>
          </w:p>
        </w:tc>
        <w:tc>
          <w:tcPr>
            <w:tcW w:w="1441" w:type="dxa"/>
          </w:tcPr>
          <w:p w:rsidR="004E6DB5" w:rsidRPr="0022410C" w14:paraId="176E6C1B" w14:textId="77777777">
            <w:pPr>
              <w:jc w:val="center"/>
              <w:rPr>
                <w:iCs/>
                <w:sz w:val="20"/>
                <w:szCs w:val="20"/>
              </w:rPr>
            </w:pPr>
          </w:p>
          <w:p w:rsidR="004E6DB5" w:rsidRPr="0022410C" w14:paraId="0235FCC9" w14:textId="77777777">
            <w:pPr>
              <w:jc w:val="center"/>
              <w:rPr>
                <w:iCs/>
                <w:sz w:val="20"/>
                <w:szCs w:val="20"/>
              </w:rPr>
            </w:pPr>
            <w:r w:rsidRPr="0022410C">
              <w:rPr>
                <w:iCs/>
                <w:sz w:val="20"/>
                <w:szCs w:val="20"/>
              </w:rPr>
              <w:t>1</w:t>
            </w:r>
          </w:p>
        </w:tc>
        <w:tc>
          <w:tcPr>
            <w:tcW w:w="1069" w:type="dxa"/>
          </w:tcPr>
          <w:p w:rsidR="004E6DB5" w:rsidRPr="0022410C" w14:paraId="6C2F6E9A" w14:textId="77777777">
            <w:pPr>
              <w:jc w:val="center"/>
              <w:rPr>
                <w:iCs/>
                <w:sz w:val="20"/>
                <w:szCs w:val="20"/>
              </w:rPr>
            </w:pPr>
          </w:p>
          <w:p w:rsidR="004E6DB5" w:rsidRPr="0022410C" w14:paraId="72B30401" w14:textId="77777777">
            <w:pPr>
              <w:spacing w:after="74"/>
              <w:jc w:val="center"/>
              <w:rPr>
                <w:iCs/>
                <w:sz w:val="20"/>
                <w:szCs w:val="20"/>
              </w:rPr>
            </w:pPr>
            <w:r w:rsidRPr="0022410C">
              <w:rPr>
                <w:iCs/>
                <w:sz w:val="20"/>
                <w:szCs w:val="20"/>
              </w:rPr>
              <w:t>3</w:t>
            </w:r>
          </w:p>
        </w:tc>
        <w:tc>
          <w:tcPr>
            <w:tcW w:w="1119" w:type="dxa"/>
          </w:tcPr>
          <w:p w:rsidR="004E6DB5" w:rsidRPr="0022410C" w14:paraId="58AD8715" w14:textId="77777777">
            <w:pPr>
              <w:rPr>
                <w:iCs/>
                <w:sz w:val="20"/>
                <w:szCs w:val="20"/>
              </w:rPr>
            </w:pPr>
          </w:p>
          <w:p w:rsidR="004E6DB5" w:rsidRPr="0022410C" w14:paraId="1424200D" w14:textId="77777777">
            <w:pPr>
              <w:jc w:val="center"/>
              <w:rPr>
                <w:iCs/>
                <w:sz w:val="20"/>
                <w:szCs w:val="20"/>
              </w:rPr>
            </w:pPr>
            <w:r w:rsidRPr="0022410C">
              <w:rPr>
                <w:iCs/>
                <w:sz w:val="20"/>
                <w:szCs w:val="20"/>
              </w:rPr>
              <w:t>5</w:t>
            </w:r>
          </w:p>
        </w:tc>
        <w:tc>
          <w:tcPr>
            <w:tcW w:w="0" w:type="auto"/>
          </w:tcPr>
          <w:p w:rsidR="004E6DB5" w:rsidRPr="0022410C" w14:paraId="48EE4A05" w14:textId="77777777">
            <w:pPr>
              <w:rPr>
                <w:iCs/>
                <w:sz w:val="20"/>
                <w:szCs w:val="20"/>
              </w:rPr>
            </w:pPr>
          </w:p>
          <w:p w:rsidR="004E6DB5" w:rsidRPr="0022410C" w14:paraId="789A7D9A" w14:textId="77777777">
            <w:pPr>
              <w:jc w:val="center"/>
              <w:rPr>
                <w:iCs/>
                <w:sz w:val="20"/>
                <w:szCs w:val="20"/>
              </w:rPr>
            </w:pPr>
            <w:r w:rsidRPr="0022410C">
              <w:rPr>
                <w:iCs/>
                <w:sz w:val="20"/>
                <w:szCs w:val="20"/>
              </w:rPr>
              <w:t>15</w:t>
            </w:r>
          </w:p>
        </w:tc>
      </w:tr>
    </w:tbl>
    <w:p w:rsidR="00316C92" w14:paraId="51E96CF0" w14:textId="77777777"/>
    <w:p w:rsidR="00D244CC" w14:paraId="03050B28" w14:textId="160BE767">
      <w:r w:rsidRPr="00967668">
        <w:t>Based on</w:t>
      </w:r>
      <w:r w:rsidR="008E3341">
        <w:t xml:space="preserve"> submissions to FDA over the last few years</w:t>
      </w:r>
      <w:r w:rsidRPr="00967668">
        <w:t xml:space="preserve">, there are </w:t>
      </w:r>
      <w:r w:rsidR="00CC32C8">
        <w:t>three</w:t>
      </w:r>
      <w:r>
        <w:t xml:space="preserve"> manufacturers of automated b</w:t>
      </w:r>
      <w:r w:rsidR="007F2AA5">
        <w:t xml:space="preserve">lood cell separator devices.  </w:t>
      </w:r>
      <w:r w:rsidR="008E3341">
        <w:t xml:space="preserve">We estimate </w:t>
      </w:r>
      <w:r w:rsidR="002D1F01">
        <w:t>that the manufacturers will spend</w:t>
      </w:r>
      <w:r w:rsidR="00CC32C8">
        <w:t xml:space="preserve"> approximately 5 hours</w:t>
      </w:r>
      <w:r w:rsidR="002D1F01">
        <w:t xml:space="preserve"> preparing and submitting the annual report.  </w:t>
      </w:r>
      <w:r>
        <w:t xml:space="preserve">The total annual burden of this collection of information is </w:t>
      </w:r>
      <w:r w:rsidR="002160F9">
        <w:t>15</w:t>
      </w:r>
      <w:r>
        <w:t xml:space="preserve"> hours.</w:t>
      </w:r>
      <w:r w:rsidR="00AF0CB6">
        <w:t xml:space="preserve">  </w:t>
      </w:r>
    </w:p>
    <w:p w:rsidR="008E3341" w:rsidRPr="008E3341" w:rsidP="008E3341" w14:paraId="5B25E9F3" w14:textId="77777777">
      <w:pPr>
        <w:spacing w:before="100" w:beforeAutospacing="1" w:after="100" w:afterAutospacing="1"/>
      </w:pPr>
      <w:r w:rsidRPr="008E3341">
        <w:t>The annual report should include, at a minimum, a summary of anticipated and unanticipated adverse events that have occurred and that are not required to be reported by manufacturers under Medical Device Reporting (MDR) (part 803 (</w:t>
      </w:r>
      <w:hyperlink r:id="rId7" w:tgtFrame="_blank" w:history="1">
        <w:r w:rsidRPr="008E3341">
          <w:rPr>
            <w:color w:val="0000FF"/>
            <w:u w:val="single"/>
          </w:rPr>
          <w:t>21 CFR part 803</w:t>
        </w:r>
      </w:hyperlink>
      <w:r w:rsidRPr="008E3341">
        <w:t xml:space="preserve">)). The reporting of adverse device events summarized in an annual report will alert FDA to trends or clusters of events that might be a safety issue otherwise unreported under the MDR regulation. The report should also include any subsequent change to the </w:t>
      </w:r>
      <w:r w:rsidRPr="008E3341">
        <w:t>preamendments</w:t>
      </w:r>
      <w:r w:rsidRPr="008E3341">
        <w:t xml:space="preserve"> class III device requiring a 30-day notice in accordance with </w:t>
      </w:r>
      <w:hyperlink r:id="rId8" w:anchor="p-814.39(f)" w:tgtFrame="_blank" w:history="1">
        <w:r w:rsidRPr="008E3341">
          <w:rPr>
            <w:color w:val="0000FF"/>
            <w:u w:val="single"/>
          </w:rPr>
          <w:t>21 CFR 814.39(f)</w:t>
        </w:r>
      </w:hyperlink>
      <w:r w:rsidRPr="008E3341">
        <w:t>.</w:t>
      </w:r>
    </w:p>
    <w:p w:rsidR="008E3341" w:rsidRPr="008E3341" w:rsidP="008E3341" w14:paraId="588CFBB3" w14:textId="77777777">
      <w:r w:rsidRPr="008E3341">
        <w:t>Blood collection establishments and transfusion services, the intended users of the device, and the device manufacturers have certain responsibilities under the Federal regulations. For example, collection establishments and or transfusion services are required to maintain records of any reports of complaints of adverse reactions (</w:t>
      </w:r>
      <w:hyperlink r:id="rId9" w:tgtFrame="_blank" w:history="1">
        <w:r w:rsidRPr="008E3341">
          <w:rPr>
            <w:color w:val="0000FF"/>
            <w:u w:val="single"/>
          </w:rPr>
          <w:t>21 CFR 606.170</w:t>
        </w:r>
      </w:hyperlink>
      <w:r w:rsidRPr="008E3341">
        <w:t>), while the device manufacturer is responsible for conducting an investigation of each event that is reasonably known to the manufacturer and evaluating the cause of the event (§ 803.50(b) (</w:t>
      </w:r>
      <w:hyperlink r:id="rId10" w:anchor="p-803.50(b)" w:tgtFrame="_blank" w:history="1">
        <w:r w:rsidRPr="008E3341">
          <w:rPr>
            <w:color w:val="0000FF"/>
            <w:u w:val="single"/>
          </w:rPr>
          <w:t>21 CFR 803.50(b)</w:t>
        </w:r>
      </w:hyperlink>
      <w:r w:rsidRPr="008E3341">
        <w:t>)). In addition, manufacturers of medical devices are required to submit to FDA individual adverse event reports of death, serious injury, and malfunctions (§ 803.50).</w:t>
      </w:r>
    </w:p>
    <w:p w:rsidR="00D244CC" w14:paraId="7389BA72" w14:textId="77777777">
      <w:pPr>
        <w:pStyle w:val="BodyTextIndent"/>
      </w:pPr>
    </w:p>
    <w:p w:rsidR="009A132D" w:rsidP="003367DF" w14:paraId="46465B5D" w14:textId="77777777">
      <w:pPr>
        <w:pStyle w:val="BodyTextIndent"/>
        <w:ind w:firstLine="0"/>
      </w:pPr>
      <w:r w:rsidRPr="00126113">
        <w:t xml:space="preserve">Other burden hours </w:t>
      </w:r>
      <w:r w:rsidRPr="00126113" w:rsidR="00126113">
        <w:t>associated with</w:t>
      </w:r>
      <w:r w:rsidR="000C49CB">
        <w:t xml:space="preserve"> reporting under</w:t>
      </w:r>
      <w:r w:rsidR="00BC2A07">
        <w:t xml:space="preserve"> </w:t>
      </w:r>
      <w:r w:rsidRPr="00967668">
        <w:t>21</w:t>
      </w:r>
      <w:r w:rsidRPr="00126113">
        <w:t xml:space="preserve"> CFR 864.9245 are already reported and approved under OMB </w:t>
      </w:r>
      <w:r w:rsidR="00EA6112">
        <w:t>C</w:t>
      </w:r>
      <w:r w:rsidRPr="00126113">
        <w:t xml:space="preserve">ontrol </w:t>
      </w:r>
      <w:r w:rsidR="00EA6112">
        <w:t>N</w:t>
      </w:r>
      <w:r w:rsidRPr="00126113">
        <w:t>umber</w:t>
      </w:r>
      <w:r w:rsidR="00EA6112">
        <w:t>s</w:t>
      </w:r>
      <w:r w:rsidRPr="00126113">
        <w:t xml:space="preserve"> 0910-0120 (premarket notification submi</w:t>
      </w:r>
      <w:r w:rsidR="001F4143">
        <w:t xml:space="preserve">ssion 510(k), 21 CFR </w:t>
      </w:r>
      <w:r w:rsidR="00FA3415">
        <w:t>p</w:t>
      </w:r>
      <w:r w:rsidR="001F4143">
        <w:t>art 807, s</w:t>
      </w:r>
      <w:r w:rsidRPr="00126113">
        <w:t>ubpart E), and</w:t>
      </w:r>
      <w:r w:rsidR="002160F9">
        <w:t xml:space="preserve"> </w:t>
      </w:r>
      <w:r w:rsidRPr="00126113">
        <w:t xml:space="preserve">0910-0437 </w:t>
      </w:r>
      <w:r w:rsidR="0074013B">
        <w:t>(MDR)</w:t>
      </w:r>
      <w:r>
        <w:t xml:space="preserve"> </w:t>
      </w:r>
    </w:p>
    <w:p w:rsidR="00D244CC" w:rsidP="003367DF" w14:paraId="05C29B1C" w14:textId="1900944F">
      <w:pPr>
        <w:pStyle w:val="BodyTextIndent"/>
        <w:ind w:firstLine="0"/>
      </w:pPr>
      <w:r w:rsidRPr="00126113">
        <w:t>(</w:t>
      </w:r>
      <w:r w:rsidR="0074013B">
        <w:t xml:space="preserve">21 CFR </w:t>
      </w:r>
      <w:r w:rsidR="00EA6112">
        <w:t>P</w:t>
      </w:r>
      <w:r w:rsidR="0074013B">
        <w:t>art 803</w:t>
      </w:r>
      <w:r w:rsidRPr="00126113">
        <w:t>).</w:t>
      </w:r>
    </w:p>
    <w:p w:rsidR="00D244CC" w14:paraId="15C536C0" w14:textId="77777777">
      <w:pPr>
        <w:ind w:firstLine="720"/>
      </w:pPr>
    </w:p>
    <w:p w:rsidR="00430BE2" w:rsidRPr="00A254E5" w:rsidP="00A254E5" w14:paraId="49D2125B" w14:textId="77777777">
      <w:pPr>
        <w:tabs>
          <w:tab w:val="left" w:pos="720"/>
        </w:tabs>
        <w:rPr>
          <w:u w:val="single"/>
        </w:rPr>
      </w:pPr>
      <w:r>
        <w:t xml:space="preserve">       </w:t>
      </w:r>
      <w:r w:rsidRPr="00545D65">
        <w:t xml:space="preserve">12b. </w:t>
      </w:r>
      <w:r w:rsidRPr="00A254E5">
        <w:rPr>
          <w:u w:val="single"/>
        </w:rPr>
        <w:t>Annual</w:t>
      </w:r>
      <w:r w:rsidR="00CC0D71">
        <w:rPr>
          <w:u w:val="single"/>
        </w:rPr>
        <w:t>ized</w:t>
      </w:r>
      <w:r w:rsidRPr="00A254E5">
        <w:rPr>
          <w:u w:val="single"/>
        </w:rPr>
        <w:t xml:space="preserve"> Cost Burden Estimate</w:t>
      </w:r>
    </w:p>
    <w:p w:rsidR="00AF401E" w:rsidP="00430BE2" w14:paraId="1B170627" w14:textId="77777777">
      <w:pPr>
        <w:pStyle w:val="BodyText"/>
        <w:rPr>
          <w:b w:val="0"/>
          <w:i w:val="0"/>
          <w:sz w:val="24"/>
          <w:szCs w:val="24"/>
          <w:u w:val="single"/>
        </w:rPr>
      </w:pPr>
    </w:p>
    <w:p w:rsidR="00AF401E" w:rsidP="00AF401E" w14:paraId="5D53B885" w14:textId="1375AD24">
      <w:pPr>
        <w:pStyle w:val="BodyText"/>
        <w:rPr>
          <w:b w:val="0"/>
          <w:i w:val="0"/>
          <w:sz w:val="24"/>
          <w:szCs w:val="24"/>
        </w:rPr>
      </w:pPr>
      <w:r w:rsidRPr="00190B5C">
        <w:rPr>
          <w:b w:val="0"/>
          <w:i w:val="0"/>
          <w:sz w:val="24"/>
          <w:szCs w:val="24"/>
        </w:rPr>
        <w:t>The estimated annual cost to respondents is $</w:t>
      </w:r>
      <w:r w:rsidR="00D430CA">
        <w:rPr>
          <w:b w:val="0"/>
          <w:i w:val="0"/>
          <w:sz w:val="24"/>
          <w:szCs w:val="24"/>
        </w:rPr>
        <w:t>9</w:t>
      </w:r>
      <w:r w:rsidR="005C576B">
        <w:rPr>
          <w:b w:val="0"/>
          <w:i w:val="0"/>
          <w:sz w:val="24"/>
          <w:szCs w:val="24"/>
        </w:rPr>
        <w:t>6</w:t>
      </w:r>
      <w:r w:rsidR="007F2AA5">
        <w:rPr>
          <w:b w:val="0"/>
          <w:i w:val="0"/>
          <w:sz w:val="24"/>
          <w:szCs w:val="24"/>
        </w:rPr>
        <w:t>0</w:t>
      </w:r>
      <w:r w:rsidRPr="00190B5C">
        <w:rPr>
          <w:b w:val="0"/>
          <w:i w:val="0"/>
          <w:sz w:val="24"/>
          <w:szCs w:val="24"/>
        </w:rPr>
        <w:t>.00.</w:t>
      </w:r>
    </w:p>
    <w:p w:rsidR="005C576B" w:rsidP="00AF401E" w14:paraId="5BBEA21E" w14:textId="77777777">
      <w:pPr>
        <w:pStyle w:val="BodyText"/>
        <w:rPr>
          <w:b w:val="0"/>
          <w:i w:val="0"/>
          <w:sz w:val="24"/>
          <w:szCs w:val="24"/>
        </w:rPr>
      </w:pPr>
    </w:p>
    <w:p w:rsidR="00EA6112" w:rsidP="00AF401E" w14:paraId="2DE70EBA" w14:textId="77777777">
      <w:pPr>
        <w:pStyle w:val="BodyText"/>
        <w:rPr>
          <w:b w:val="0"/>
          <w:i w:val="0"/>
          <w:sz w:val="24"/>
          <w:szCs w:val="24"/>
        </w:rPr>
      </w:pPr>
    </w:p>
    <w:tbl>
      <w:tblPr>
        <w:tblW w:w="8640" w:type="dxa"/>
        <w:jc w:val="center"/>
        <w:tblLayout w:type="fixed"/>
        <w:tblCellMar>
          <w:left w:w="100" w:type="dxa"/>
          <w:right w:w="100" w:type="dxa"/>
        </w:tblCellMar>
        <w:tblLook w:val="0000"/>
      </w:tblPr>
      <w:tblGrid>
        <w:gridCol w:w="1980"/>
        <w:gridCol w:w="2340"/>
        <w:gridCol w:w="2340"/>
        <w:gridCol w:w="1980"/>
      </w:tblGrid>
      <w:tr w14:paraId="71E8E6F1" w14:textId="77777777">
        <w:tblPrEx>
          <w:tblW w:w="8640" w:type="dxa"/>
          <w:jc w:val="center"/>
          <w:tblLayout w:type="fixed"/>
          <w:tblCellMar>
            <w:left w:w="100" w:type="dxa"/>
            <w:right w:w="100" w:type="dxa"/>
          </w:tblCellMar>
          <w:tblLook w:val="0000"/>
        </w:tblPrEx>
        <w:trPr>
          <w:cantSplit/>
          <w:trHeight w:val="403"/>
          <w:jc w:val="center"/>
        </w:trPr>
        <w:tc>
          <w:tcPr>
            <w:tcW w:w="1980" w:type="dxa"/>
            <w:tcBorders>
              <w:top w:val="single" w:sz="6" w:space="0" w:color="auto"/>
              <w:left w:val="single" w:sz="6" w:space="0" w:color="auto"/>
              <w:bottom w:val="single" w:sz="6" w:space="0" w:color="auto"/>
              <w:right w:val="nil"/>
            </w:tcBorders>
          </w:tcPr>
          <w:p w:rsidR="00430BE2" w:rsidRPr="00430BE2" w:rsidP="00F43338" w14:paraId="6FDAA28D" w14:textId="77777777">
            <w:pPr>
              <w:pStyle w:val="BodyText"/>
              <w:rPr>
                <w:b w:val="0"/>
                <w:i w:val="0"/>
                <w:sz w:val="24"/>
                <w:szCs w:val="24"/>
              </w:rPr>
            </w:pPr>
            <w:r>
              <w:rPr>
                <w:b w:val="0"/>
                <w:i w:val="0"/>
                <w:sz w:val="24"/>
                <w:szCs w:val="24"/>
              </w:rPr>
              <w:t xml:space="preserve"> </w:t>
            </w:r>
            <w:r w:rsidRPr="00430BE2">
              <w:rPr>
                <w:b w:val="0"/>
                <w:i w:val="0"/>
                <w:sz w:val="24"/>
                <w:szCs w:val="24"/>
              </w:rPr>
              <w:t>Activity</w:t>
            </w:r>
          </w:p>
        </w:tc>
        <w:tc>
          <w:tcPr>
            <w:tcW w:w="2340" w:type="dxa"/>
            <w:tcBorders>
              <w:top w:val="single" w:sz="6" w:space="0" w:color="auto"/>
              <w:left w:val="single" w:sz="6" w:space="0" w:color="auto"/>
              <w:bottom w:val="single" w:sz="6" w:space="0" w:color="auto"/>
              <w:right w:val="nil"/>
            </w:tcBorders>
          </w:tcPr>
          <w:p w:rsidR="00430BE2" w:rsidRPr="00430BE2" w:rsidP="00F43338" w14:paraId="319AEC11" w14:textId="77777777">
            <w:pPr>
              <w:pStyle w:val="BodyText"/>
              <w:rPr>
                <w:b w:val="0"/>
                <w:i w:val="0"/>
                <w:sz w:val="24"/>
                <w:szCs w:val="24"/>
              </w:rPr>
            </w:pPr>
            <w:r>
              <w:rPr>
                <w:b w:val="0"/>
                <w:i w:val="0"/>
                <w:sz w:val="24"/>
                <w:szCs w:val="24"/>
              </w:rPr>
              <w:t>Total Burden</w:t>
            </w:r>
            <w:r w:rsidRPr="00430BE2">
              <w:rPr>
                <w:b w:val="0"/>
                <w:i w:val="0"/>
                <w:sz w:val="24"/>
                <w:szCs w:val="24"/>
              </w:rPr>
              <w:t xml:space="preserve"> Hours</w:t>
            </w:r>
          </w:p>
        </w:tc>
        <w:tc>
          <w:tcPr>
            <w:tcW w:w="2340" w:type="dxa"/>
            <w:tcBorders>
              <w:top w:val="single" w:sz="6" w:space="0" w:color="auto"/>
              <w:left w:val="single" w:sz="6" w:space="0" w:color="auto"/>
              <w:bottom w:val="single" w:sz="6" w:space="0" w:color="auto"/>
              <w:right w:val="nil"/>
            </w:tcBorders>
          </w:tcPr>
          <w:p w:rsidR="00430BE2" w:rsidRPr="00430BE2" w:rsidP="00F43338" w14:paraId="1F5F10EF" w14:textId="77777777">
            <w:pPr>
              <w:pStyle w:val="BodyText"/>
              <w:rPr>
                <w:b w:val="0"/>
                <w:i w:val="0"/>
                <w:sz w:val="24"/>
                <w:szCs w:val="24"/>
              </w:rPr>
            </w:pPr>
            <w:r>
              <w:rPr>
                <w:b w:val="0"/>
                <w:i w:val="0"/>
                <w:sz w:val="24"/>
                <w:szCs w:val="24"/>
              </w:rPr>
              <w:t>Hourly Wage Rate</w:t>
            </w:r>
          </w:p>
        </w:tc>
        <w:tc>
          <w:tcPr>
            <w:tcW w:w="1980" w:type="dxa"/>
            <w:tcBorders>
              <w:top w:val="single" w:sz="6" w:space="0" w:color="auto"/>
              <w:left w:val="single" w:sz="6" w:space="0" w:color="auto"/>
              <w:bottom w:val="single" w:sz="6" w:space="0" w:color="auto"/>
              <w:right w:val="single" w:sz="6" w:space="0" w:color="auto"/>
            </w:tcBorders>
          </w:tcPr>
          <w:p w:rsidR="00430BE2" w:rsidRPr="00430BE2" w:rsidP="00D9328A" w14:paraId="1D19629D" w14:textId="77777777">
            <w:pPr>
              <w:pStyle w:val="BodyText"/>
              <w:rPr>
                <w:b w:val="0"/>
                <w:i w:val="0"/>
                <w:sz w:val="24"/>
                <w:szCs w:val="24"/>
              </w:rPr>
            </w:pPr>
            <w:r w:rsidRPr="00430BE2">
              <w:rPr>
                <w:b w:val="0"/>
                <w:i w:val="0"/>
                <w:sz w:val="24"/>
                <w:szCs w:val="24"/>
              </w:rPr>
              <w:t>Total</w:t>
            </w:r>
            <w:r w:rsidR="00A254E5">
              <w:rPr>
                <w:b w:val="0"/>
                <w:i w:val="0"/>
                <w:sz w:val="24"/>
                <w:szCs w:val="24"/>
              </w:rPr>
              <w:t xml:space="preserve"> Respondent</w:t>
            </w:r>
            <w:r w:rsidRPr="00430BE2">
              <w:rPr>
                <w:b w:val="0"/>
                <w:i w:val="0"/>
                <w:sz w:val="24"/>
                <w:szCs w:val="24"/>
              </w:rPr>
              <w:t xml:space="preserve"> Cost</w:t>
            </w:r>
          </w:p>
        </w:tc>
      </w:tr>
      <w:tr w14:paraId="14473158" w14:textId="77777777">
        <w:tblPrEx>
          <w:tblW w:w="8640" w:type="dxa"/>
          <w:jc w:val="center"/>
          <w:tblLayout w:type="fixed"/>
          <w:tblCellMar>
            <w:left w:w="100" w:type="dxa"/>
            <w:right w:w="100" w:type="dxa"/>
          </w:tblCellMar>
          <w:tblLook w:val="0000"/>
        </w:tblPrEx>
        <w:trPr>
          <w:cantSplit/>
          <w:trHeight w:val="403"/>
          <w:jc w:val="center"/>
        </w:trPr>
        <w:tc>
          <w:tcPr>
            <w:tcW w:w="1980" w:type="dxa"/>
            <w:tcBorders>
              <w:top w:val="single" w:sz="6" w:space="0" w:color="auto"/>
              <w:left w:val="single" w:sz="4" w:space="0" w:color="auto"/>
              <w:bottom w:val="single" w:sz="6" w:space="0" w:color="auto"/>
              <w:right w:val="nil"/>
            </w:tcBorders>
          </w:tcPr>
          <w:p w:rsidR="00430BE2" w:rsidRPr="00430BE2" w:rsidP="00F43338" w14:paraId="0EF09773" w14:textId="77777777">
            <w:pPr>
              <w:pStyle w:val="BodyText"/>
              <w:rPr>
                <w:b w:val="0"/>
                <w:i w:val="0"/>
                <w:sz w:val="24"/>
                <w:szCs w:val="24"/>
              </w:rPr>
            </w:pPr>
            <w:r w:rsidRPr="00430BE2">
              <w:rPr>
                <w:b w:val="0"/>
                <w:i w:val="0"/>
                <w:sz w:val="24"/>
                <w:szCs w:val="24"/>
              </w:rPr>
              <w:t>Reporting</w:t>
            </w:r>
          </w:p>
        </w:tc>
        <w:tc>
          <w:tcPr>
            <w:tcW w:w="2340" w:type="dxa"/>
            <w:tcBorders>
              <w:top w:val="single" w:sz="6" w:space="0" w:color="auto"/>
              <w:left w:val="single" w:sz="6" w:space="0" w:color="auto"/>
              <w:bottom w:val="single" w:sz="6" w:space="0" w:color="auto"/>
              <w:right w:val="nil"/>
            </w:tcBorders>
          </w:tcPr>
          <w:p w:rsidR="00430BE2" w:rsidRPr="00430BE2" w:rsidP="00545D65" w14:paraId="3EEEDFD5" w14:textId="77777777">
            <w:pPr>
              <w:pStyle w:val="BodyText"/>
              <w:jc w:val="center"/>
              <w:rPr>
                <w:b w:val="0"/>
                <w:i w:val="0"/>
                <w:sz w:val="24"/>
                <w:szCs w:val="24"/>
              </w:rPr>
            </w:pPr>
            <w:r>
              <w:rPr>
                <w:b w:val="0"/>
                <w:i w:val="0"/>
                <w:sz w:val="24"/>
                <w:szCs w:val="24"/>
              </w:rPr>
              <w:t>15</w:t>
            </w:r>
          </w:p>
        </w:tc>
        <w:tc>
          <w:tcPr>
            <w:tcW w:w="2340" w:type="dxa"/>
            <w:tcBorders>
              <w:top w:val="single" w:sz="6" w:space="0" w:color="auto"/>
              <w:left w:val="single" w:sz="6" w:space="0" w:color="auto"/>
              <w:bottom w:val="single" w:sz="6" w:space="0" w:color="auto"/>
              <w:right w:val="nil"/>
            </w:tcBorders>
          </w:tcPr>
          <w:p w:rsidR="00430BE2" w:rsidRPr="00430BE2" w:rsidP="00545D65" w14:paraId="6D0DCC09" w14:textId="2AF7E9DD">
            <w:pPr>
              <w:pStyle w:val="BodyText"/>
              <w:jc w:val="center"/>
              <w:rPr>
                <w:b w:val="0"/>
                <w:i w:val="0"/>
                <w:sz w:val="24"/>
                <w:szCs w:val="24"/>
              </w:rPr>
            </w:pPr>
            <w:r>
              <w:rPr>
                <w:b w:val="0"/>
                <w:i w:val="0"/>
                <w:sz w:val="24"/>
                <w:szCs w:val="24"/>
              </w:rPr>
              <w:t>$</w:t>
            </w:r>
            <w:r w:rsidR="00F44CC5">
              <w:rPr>
                <w:b w:val="0"/>
                <w:i w:val="0"/>
                <w:sz w:val="24"/>
                <w:szCs w:val="24"/>
              </w:rPr>
              <w:t>6</w:t>
            </w:r>
            <w:r w:rsidR="005C576B">
              <w:rPr>
                <w:b w:val="0"/>
                <w:i w:val="0"/>
                <w:sz w:val="24"/>
                <w:szCs w:val="24"/>
              </w:rPr>
              <w:t>4</w:t>
            </w:r>
            <w:r w:rsidRPr="00430BE2">
              <w:rPr>
                <w:b w:val="0"/>
                <w:i w:val="0"/>
                <w:sz w:val="24"/>
                <w:szCs w:val="24"/>
              </w:rPr>
              <w:t>.00</w:t>
            </w:r>
          </w:p>
        </w:tc>
        <w:tc>
          <w:tcPr>
            <w:tcW w:w="1980" w:type="dxa"/>
            <w:tcBorders>
              <w:top w:val="single" w:sz="6" w:space="0" w:color="auto"/>
              <w:left w:val="single" w:sz="6" w:space="0" w:color="auto"/>
              <w:bottom w:val="single" w:sz="6" w:space="0" w:color="auto"/>
              <w:right w:val="single" w:sz="4" w:space="0" w:color="auto"/>
            </w:tcBorders>
          </w:tcPr>
          <w:p w:rsidR="00430BE2" w:rsidRPr="00430BE2" w:rsidP="00545D65" w14:paraId="4559776C" w14:textId="667F3A78">
            <w:pPr>
              <w:pStyle w:val="BodyText"/>
              <w:jc w:val="center"/>
              <w:rPr>
                <w:b w:val="0"/>
                <w:i w:val="0"/>
                <w:sz w:val="24"/>
                <w:szCs w:val="24"/>
              </w:rPr>
            </w:pPr>
            <w:r>
              <w:rPr>
                <w:b w:val="0"/>
                <w:i w:val="0"/>
                <w:sz w:val="24"/>
                <w:szCs w:val="24"/>
              </w:rPr>
              <w:t>$</w:t>
            </w:r>
            <w:r w:rsidR="00D430CA">
              <w:rPr>
                <w:b w:val="0"/>
                <w:i w:val="0"/>
                <w:sz w:val="24"/>
                <w:szCs w:val="24"/>
              </w:rPr>
              <w:t>9</w:t>
            </w:r>
            <w:r w:rsidR="005C576B">
              <w:rPr>
                <w:b w:val="0"/>
                <w:i w:val="0"/>
                <w:sz w:val="24"/>
                <w:szCs w:val="24"/>
              </w:rPr>
              <w:t>6</w:t>
            </w:r>
            <w:r w:rsidR="00EF6DC9">
              <w:rPr>
                <w:b w:val="0"/>
                <w:i w:val="0"/>
                <w:sz w:val="24"/>
                <w:szCs w:val="24"/>
              </w:rPr>
              <w:t>0</w:t>
            </w:r>
            <w:r w:rsidR="00190B5C">
              <w:rPr>
                <w:b w:val="0"/>
                <w:i w:val="0"/>
                <w:sz w:val="24"/>
                <w:szCs w:val="24"/>
              </w:rPr>
              <w:t>.00</w:t>
            </w:r>
          </w:p>
        </w:tc>
      </w:tr>
    </w:tbl>
    <w:p w:rsidR="00190B5C" w:rsidP="00190B5C" w14:paraId="0A3CBEE9" w14:textId="77777777">
      <w:pPr>
        <w:pStyle w:val="BodyText"/>
        <w:rPr>
          <w:b w:val="0"/>
          <w:i w:val="0"/>
          <w:sz w:val="24"/>
          <w:szCs w:val="24"/>
        </w:rPr>
      </w:pPr>
    </w:p>
    <w:p w:rsidR="00D84D43" w:rsidRPr="00D84D43" w:rsidP="00D84D43" w14:paraId="57749E20" w14:textId="1433D74F">
      <w:pPr>
        <w:pStyle w:val="BodyText"/>
        <w:rPr>
          <w:b w:val="0"/>
          <w:i w:val="0"/>
          <w:sz w:val="24"/>
          <w:szCs w:val="24"/>
        </w:rPr>
      </w:pPr>
      <w:r w:rsidRPr="00D84D43">
        <w:rPr>
          <w:b w:val="0"/>
          <w:i w:val="0"/>
          <w:sz w:val="24"/>
          <w:szCs w:val="24"/>
        </w:rPr>
        <w:t xml:space="preserve">The cost estimate is based on a regulatory affairs </w:t>
      </w:r>
      <w:r w:rsidR="00A254E5">
        <w:rPr>
          <w:b w:val="0"/>
          <w:i w:val="0"/>
          <w:sz w:val="24"/>
          <w:szCs w:val="24"/>
        </w:rPr>
        <w:t>specialist, at a pay rate of $</w:t>
      </w:r>
      <w:r w:rsidR="00D430CA">
        <w:rPr>
          <w:b w:val="0"/>
          <w:i w:val="0"/>
          <w:sz w:val="24"/>
          <w:szCs w:val="24"/>
        </w:rPr>
        <w:t>6</w:t>
      </w:r>
      <w:r w:rsidR="00340CA7">
        <w:rPr>
          <w:b w:val="0"/>
          <w:i w:val="0"/>
          <w:sz w:val="24"/>
          <w:szCs w:val="24"/>
        </w:rPr>
        <w:t>4</w:t>
      </w:r>
      <w:r w:rsidRPr="00D84D43">
        <w:rPr>
          <w:b w:val="0"/>
          <w:i w:val="0"/>
          <w:sz w:val="24"/>
          <w:szCs w:val="24"/>
        </w:rPr>
        <w:t xml:space="preserve">.00/hour, who would be responsible for preparing </w:t>
      </w:r>
      <w:r w:rsidR="00A72A8D">
        <w:rPr>
          <w:b w:val="0"/>
          <w:i w:val="0"/>
          <w:sz w:val="24"/>
          <w:szCs w:val="24"/>
        </w:rPr>
        <w:t xml:space="preserve">the </w:t>
      </w:r>
      <w:r w:rsidRPr="00D84D43">
        <w:rPr>
          <w:b w:val="0"/>
          <w:i w:val="0"/>
          <w:sz w:val="24"/>
          <w:szCs w:val="24"/>
        </w:rPr>
        <w:t>submission</w:t>
      </w:r>
      <w:r w:rsidR="00A72A8D">
        <w:rPr>
          <w:b w:val="0"/>
          <w:i w:val="0"/>
          <w:sz w:val="24"/>
          <w:szCs w:val="24"/>
        </w:rPr>
        <w:t xml:space="preserve"> to FDA</w:t>
      </w:r>
      <w:r w:rsidRPr="00D84D43">
        <w:rPr>
          <w:b w:val="0"/>
          <w:i w:val="0"/>
          <w:sz w:val="24"/>
          <w:szCs w:val="24"/>
        </w:rPr>
        <w:t>.  The estimated average hourly pay rate includes benefits but no overhead costs.</w:t>
      </w:r>
    </w:p>
    <w:p w:rsidR="00430BE2" w:rsidP="003367DF" w14:paraId="2FE31548" w14:textId="77777777"/>
    <w:p w:rsidR="00D244CC" w:rsidP="00C219E3" w14:paraId="35B434F6" w14:textId="77777777">
      <w:pPr>
        <w:ind w:left="360" w:hanging="360"/>
      </w:pPr>
      <w:r>
        <w:t xml:space="preserve">13. </w:t>
      </w:r>
      <w:r w:rsidR="00052BC6">
        <w:rPr>
          <w:u w:val="single"/>
        </w:rPr>
        <w:t xml:space="preserve">Estimates of Other Total </w:t>
      </w:r>
      <w:r w:rsidR="00632402">
        <w:rPr>
          <w:u w:val="single"/>
        </w:rPr>
        <w:t>Annual Cost</w:t>
      </w:r>
      <w:r w:rsidR="00B929AB">
        <w:rPr>
          <w:u w:val="single"/>
        </w:rPr>
        <w:t>s</w:t>
      </w:r>
      <w:r w:rsidR="00632402">
        <w:rPr>
          <w:u w:val="single"/>
        </w:rPr>
        <w:t xml:space="preserve"> to Respondent</w:t>
      </w:r>
      <w:r w:rsidR="00052BC6">
        <w:rPr>
          <w:u w:val="single"/>
        </w:rPr>
        <w:t>s and</w:t>
      </w:r>
      <w:r w:rsidR="00B929AB">
        <w:rPr>
          <w:u w:val="single"/>
        </w:rPr>
        <w:t>/or Recordk</w:t>
      </w:r>
      <w:r w:rsidR="00052BC6">
        <w:rPr>
          <w:u w:val="single"/>
        </w:rPr>
        <w:t>eepers</w:t>
      </w:r>
      <w:r w:rsidR="00EF6DC9">
        <w:rPr>
          <w:u w:val="single"/>
        </w:rPr>
        <w:t xml:space="preserve"> or </w:t>
      </w:r>
      <w:r w:rsidR="00B929AB">
        <w:rPr>
          <w:u w:val="single"/>
        </w:rPr>
        <w:t>Capito</w:t>
      </w:r>
      <w:r w:rsidR="001B6325">
        <w:rPr>
          <w:u w:val="single"/>
        </w:rPr>
        <w:t xml:space="preserve">l </w:t>
      </w:r>
      <w:r w:rsidR="00B929AB">
        <w:rPr>
          <w:u w:val="single"/>
        </w:rPr>
        <w:t>Costs</w:t>
      </w:r>
      <w:r w:rsidR="00EF6DC9">
        <w:rPr>
          <w:u w:val="single"/>
        </w:rPr>
        <w:t xml:space="preserve"> </w:t>
      </w:r>
    </w:p>
    <w:p w:rsidR="00D244CC" w14:paraId="5D6097FC" w14:textId="77777777"/>
    <w:p w:rsidR="00D244CC" w14:paraId="5DB3777C" w14:textId="77777777">
      <w:r>
        <w:t xml:space="preserve">There </w:t>
      </w:r>
      <w:r w:rsidR="003B68FE">
        <w:t xml:space="preserve">are no </w:t>
      </w:r>
      <w:r>
        <w:t>capital</w:t>
      </w:r>
      <w:r w:rsidR="00D9328A">
        <w:t xml:space="preserve">, start-up, </w:t>
      </w:r>
      <w:r>
        <w:t>operating</w:t>
      </w:r>
      <w:r w:rsidR="00D9328A">
        <w:t>, or</w:t>
      </w:r>
      <w:r>
        <w:t xml:space="preserve"> maintenance costs associated with this </w:t>
      </w:r>
      <w:r w:rsidR="00632402">
        <w:t>information</w:t>
      </w:r>
      <w:r w:rsidR="002937B2">
        <w:t xml:space="preserve"> collection</w:t>
      </w:r>
      <w:r>
        <w:t>.</w:t>
      </w:r>
    </w:p>
    <w:p w:rsidR="00D244CC" w14:paraId="48FBC130" w14:textId="77777777"/>
    <w:p w:rsidR="00D244CC" w14:paraId="7D2F32EA" w14:textId="77777777">
      <w:r>
        <w:t xml:space="preserve">14.  </w:t>
      </w:r>
      <w:r>
        <w:rPr>
          <w:u w:val="single"/>
        </w:rPr>
        <w:t xml:space="preserve">Annualized </w:t>
      </w:r>
      <w:r w:rsidRPr="000A753F" w:rsidR="000A753F">
        <w:rPr>
          <w:u w:val="single"/>
        </w:rPr>
        <w:t>Cost</w:t>
      </w:r>
      <w:r w:rsidRPr="000A753F">
        <w:rPr>
          <w:u w:val="single"/>
        </w:rPr>
        <w:t xml:space="preserve"> to Federal Government</w:t>
      </w:r>
    </w:p>
    <w:p w:rsidR="00D244CC" w14:paraId="16C12B1A" w14:textId="77777777"/>
    <w:p w:rsidR="008261CD" w:rsidRPr="008261CD" w:rsidP="008261CD" w14:paraId="0B9F5419" w14:textId="1C031F21">
      <w:pPr>
        <w:pStyle w:val="BodyText"/>
        <w:rPr>
          <w:b w:val="0"/>
          <w:i w:val="0"/>
          <w:sz w:val="24"/>
          <w:szCs w:val="24"/>
        </w:rPr>
      </w:pPr>
      <w:r w:rsidRPr="008261CD">
        <w:rPr>
          <w:b w:val="0"/>
          <w:i w:val="0"/>
          <w:sz w:val="24"/>
          <w:szCs w:val="24"/>
        </w:rPr>
        <w:t xml:space="preserve">The estimated annualized cost to the Federal Government is </w:t>
      </w:r>
      <w:r w:rsidR="00B929AB">
        <w:rPr>
          <w:b w:val="0"/>
          <w:i w:val="0"/>
          <w:sz w:val="24"/>
          <w:szCs w:val="24"/>
        </w:rPr>
        <w:t>$2</w:t>
      </w:r>
      <w:r w:rsidR="00340CA7">
        <w:rPr>
          <w:b w:val="0"/>
          <w:i w:val="0"/>
          <w:sz w:val="24"/>
          <w:szCs w:val="24"/>
        </w:rPr>
        <w:t>49</w:t>
      </w:r>
      <w:r w:rsidR="00126113">
        <w:rPr>
          <w:b w:val="0"/>
          <w:i w:val="0"/>
          <w:sz w:val="24"/>
          <w:szCs w:val="24"/>
        </w:rPr>
        <w:t>.00</w:t>
      </w:r>
      <w:r w:rsidRPr="008261CD">
        <w:rPr>
          <w:b w:val="0"/>
          <w:i w:val="0"/>
          <w:sz w:val="24"/>
          <w:szCs w:val="24"/>
        </w:rPr>
        <w:t xml:space="preserve">.  The estimate includes the </w:t>
      </w:r>
      <w:r w:rsidR="00126113">
        <w:rPr>
          <w:b w:val="0"/>
          <w:i w:val="0"/>
          <w:sz w:val="24"/>
          <w:szCs w:val="24"/>
        </w:rPr>
        <w:t xml:space="preserve">time </w:t>
      </w:r>
      <w:r w:rsidR="008E3341">
        <w:rPr>
          <w:b w:val="0"/>
          <w:i w:val="0"/>
          <w:sz w:val="24"/>
          <w:szCs w:val="24"/>
        </w:rPr>
        <w:t xml:space="preserve">it takes </w:t>
      </w:r>
      <w:r w:rsidR="00E109F3">
        <w:rPr>
          <w:b w:val="0"/>
          <w:i w:val="0"/>
          <w:sz w:val="24"/>
          <w:szCs w:val="24"/>
        </w:rPr>
        <w:t xml:space="preserve">FDA </w:t>
      </w:r>
      <w:r w:rsidRPr="008261CD">
        <w:rPr>
          <w:b w:val="0"/>
          <w:i w:val="0"/>
          <w:sz w:val="24"/>
          <w:szCs w:val="24"/>
        </w:rPr>
        <w:t xml:space="preserve">to review the </w:t>
      </w:r>
      <w:r w:rsidR="00E109F3">
        <w:rPr>
          <w:b w:val="0"/>
          <w:i w:val="0"/>
          <w:sz w:val="24"/>
          <w:szCs w:val="24"/>
        </w:rPr>
        <w:t xml:space="preserve">additional information requested in the </w:t>
      </w:r>
      <w:r w:rsidR="000401DB">
        <w:rPr>
          <w:b w:val="0"/>
          <w:i w:val="0"/>
          <w:sz w:val="24"/>
          <w:szCs w:val="24"/>
        </w:rPr>
        <w:t>annual report</w:t>
      </w:r>
      <w:r w:rsidRPr="008261CD">
        <w:rPr>
          <w:b w:val="0"/>
          <w:i w:val="0"/>
          <w:sz w:val="24"/>
          <w:szCs w:val="24"/>
        </w:rPr>
        <w:t>.  The estimated cost is based on an ave</w:t>
      </w:r>
      <w:r w:rsidR="00B929AB">
        <w:rPr>
          <w:b w:val="0"/>
          <w:i w:val="0"/>
          <w:sz w:val="24"/>
          <w:szCs w:val="24"/>
        </w:rPr>
        <w:t>rage grade scale of a GS-14 ($</w:t>
      </w:r>
      <w:r w:rsidR="00C909CA">
        <w:rPr>
          <w:b w:val="0"/>
          <w:i w:val="0"/>
          <w:sz w:val="24"/>
          <w:szCs w:val="24"/>
        </w:rPr>
        <w:t>83</w:t>
      </w:r>
      <w:r w:rsidRPr="008261CD">
        <w:rPr>
          <w:b w:val="0"/>
          <w:i w:val="0"/>
          <w:sz w:val="24"/>
          <w:szCs w:val="24"/>
        </w:rPr>
        <w:t>/hour) reviewer.  The salary estimate includes benefi</w:t>
      </w:r>
      <w:r w:rsidR="005932C4">
        <w:rPr>
          <w:b w:val="0"/>
          <w:i w:val="0"/>
          <w:sz w:val="24"/>
          <w:szCs w:val="24"/>
        </w:rPr>
        <w:t>ts but no overhead costs.</w:t>
      </w:r>
    </w:p>
    <w:p w:rsidR="008261CD" w:rsidRPr="008261CD" w:rsidP="008261CD" w14:paraId="7A69F9C7" w14:textId="77777777">
      <w:pPr>
        <w:pStyle w:val="BodyText"/>
        <w:rPr>
          <w:b w:val="0"/>
          <w:i w:val="0"/>
          <w:sz w:val="24"/>
          <w:szCs w:val="24"/>
        </w:rPr>
      </w:pPr>
    </w:p>
    <w:tbl>
      <w:tblPr>
        <w:tblW w:w="8640" w:type="dxa"/>
        <w:tblInd w:w="100" w:type="dxa"/>
        <w:tblLayout w:type="fixed"/>
        <w:tblCellMar>
          <w:left w:w="100" w:type="dxa"/>
          <w:right w:w="100" w:type="dxa"/>
        </w:tblCellMar>
        <w:tblLook w:val="0000"/>
      </w:tblPr>
      <w:tblGrid>
        <w:gridCol w:w="2610"/>
        <w:gridCol w:w="1620"/>
        <w:gridCol w:w="1440"/>
        <w:gridCol w:w="1710"/>
        <w:gridCol w:w="1260"/>
      </w:tblGrid>
      <w:tr w14:paraId="77EB4A17" w14:textId="77777777">
        <w:tblPrEx>
          <w:tblW w:w="8640" w:type="dxa"/>
          <w:tblInd w:w="100" w:type="dxa"/>
          <w:tblLayout w:type="fixed"/>
          <w:tblCellMar>
            <w:left w:w="100" w:type="dxa"/>
            <w:right w:w="100" w:type="dxa"/>
          </w:tblCellMar>
          <w:tblLook w:val="0000"/>
        </w:tblPrEx>
        <w:trPr>
          <w:cantSplit/>
          <w:trHeight w:val="647"/>
        </w:trPr>
        <w:tc>
          <w:tcPr>
            <w:tcW w:w="2610" w:type="dxa"/>
            <w:tcBorders>
              <w:top w:val="single" w:sz="4" w:space="0" w:color="auto"/>
              <w:left w:val="single" w:sz="4" w:space="0" w:color="auto"/>
              <w:bottom w:val="single" w:sz="4" w:space="0" w:color="auto"/>
              <w:right w:val="nil"/>
            </w:tcBorders>
          </w:tcPr>
          <w:p w:rsidR="008261CD" w:rsidRPr="008261CD" w:rsidP="000360DB" w14:paraId="4EA0380F" w14:textId="77777777">
            <w:pPr>
              <w:pStyle w:val="BodyText"/>
              <w:rPr>
                <w:b w:val="0"/>
                <w:i w:val="0"/>
                <w:sz w:val="24"/>
                <w:szCs w:val="24"/>
              </w:rPr>
            </w:pPr>
            <w:r w:rsidRPr="008261CD">
              <w:rPr>
                <w:b w:val="0"/>
                <w:i w:val="0"/>
                <w:sz w:val="24"/>
                <w:szCs w:val="24"/>
              </w:rPr>
              <w:t>Activity</w:t>
            </w:r>
          </w:p>
        </w:tc>
        <w:tc>
          <w:tcPr>
            <w:tcW w:w="1620" w:type="dxa"/>
            <w:tcBorders>
              <w:top w:val="single" w:sz="4" w:space="0" w:color="auto"/>
              <w:left w:val="single" w:sz="6" w:space="0" w:color="auto"/>
              <w:bottom w:val="single" w:sz="4" w:space="0" w:color="auto"/>
              <w:right w:val="nil"/>
            </w:tcBorders>
          </w:tcPr>
          <w:p w:rsidR="008261CD" w:rsidRPr="008261CD" w:rsidP="000360DB" w14:paraId="73937F86" w14:textId="77777777">
            <w:pPr>
              <w:pStyle w:val="BodyText"/>
              <w:rPr>
                <w:b w:val="0"/>
                <w:i w:val="0"/>
                <w:sz w:val="24"/>
                <w:szCs w:val="24"/>
              </w:rPr>
            </w:pPr>
            <w:r w:rsidRPr="008261CD">
              <w:rPr>
                <w:b w:val="0"/>
                <w:i w:val="0"/>
                <w:sz w:val="24"/>
                <w:szCs w:val="24"/>
              </w:rPr>
              <w:t>Number of Responses</w:t>
            </w:r>
          </w:p>
        </w:tc>
        <w:tc>
          <w:tcPr>
            <w:tcW w:w="1440" w:type="dxa"/>
            <w:tcBorders>
              <w:top w:val="single" w:sz="4" w:space="0" w:color="auto"/>
              <w:left w:val="single" w:sz="6" w:space="0" w:color="auto"/>
              <w:bottom w:val="single" w:sz="4" w:space="0" w:color="auto"/>
              <w:right w:val="nil"/>
            </w:tcBorders>
          </w:tcPr>
          <w:p w:rsidR="008261CD" w:rsidRPr="008261CD" w:rsidP="000360DB" w14:paraId="7C901CFB" w14:textId="77777777">
            <w:pPr>
              <w:pStyle w:val="BodyText"/>
              <w:rPr>
                <w:b w:val="0"/>
                <w:i w:val="0"/>
                <w:sz w:val="24"/>
                <w:szCs w:val="24"/>
              </w:rPr>
            </w:pPr>
            <w:r w:rsidRPr="008261CD">
              <w:rPr>
                <w:b w:val="0"/>
                <w:i w:val="0"/>
                <w:sz w:val="24"/>
                <w:szCs w:val="24"/>
              </w:rPr>
              <w:t>Hours per Response</w:t>
            </w:r>
          </w:p>
        </w:tc>
        <w:tc>
          <w:tcPr>
            <w:tcW w:w="1710" w:type="dxa"/>
            <w:tcBorders>
              <w:top w:val="single" w:sz="4" w:space="0" w:color="auto"/>
              <w:left w:val="single" w:sz="6" w:space="0" w:color="auto"/>
              <w:bottom w:val="single" w:sz="4" w:space="0" w:color="auto"/>
              <w:right w:val="single" w:sz="6" w:space="0" w:color="auto"/>
            </w:tcBorders>
          </w:tcPr>
          <w:p w:rsidR="008261CD" w:rsidRPr="008261CD" w:rsidP="000360DB" w14:paraId="3FB4B934" w14:textId="77777777">
            <w:pPr>
              <w:pStyle w:val="BodyText"/>
              <w:rPr>
                <w:b w:val="0"/>
                <w:i w:val="0"/>
                <w:sz w:val="24"/>
                <w:szCs w:val="24"/>
              </w:rPr>
            </w:pPr>
            <w:r w:rsidRPr="008261CD">
              <w:rPr>
                <w:b w:val="0"/>
                <w:i w:val="0"/>
                <w:sz w:val="24"/>
                <w:szCs w:val="24"/>
              </w:rPr>
              <w:t>Cost per Hour</w:t>
            </w:r>
          </w:p>
        </w:tc>
        <w:tc>
          <w:tcPr>
            <w:tcW w:w="1260" w:type="dxa"/>
            <w:tcBorders>
              <w:top w:val="single" w:sz="4" w:space="0" w:color="auto"/>
              <w:left w:val="single" w:sz="6" w:space="0" w:color="auto"/>
              <w:bottom w:val="single" w:sz="4" w:space="0" w:color="auto"/>
              <w:right w:val="single" w:sz="4" w:space="0" w:color="auto"/>
            </w:tcBorders>
          </w:tcPr>
          <w:p w:rsidR="008261CD" w:rsidRPr="008261CD" w:rsidP="000360DB" w14:paraId="1331C8A6" w14:textId="77777777">
            <w:pPr>
              <w:pStyle w:val="BodyText"/>
              <w:rPr>
                <w:b w:val="0"/>
                <w:i w:val="0"/>
                <w:sz w:val="24"/>
                <w:szCs w:val="24"/>
              </w:rPr>
            </w:pPr>
            <w:r w:rsidRPr="008261CD">
              <w:rPr>
                <w:b w:val="0"/>
                <w:i w:val="0"/>
                <w:sz w:val="24"/>
                <w:szCs w:val="24"/>
              </w:rPr>
              <w:t>Total Cost</w:t>
            </w:r>
          </w:p>
        </w:tc>
      </w:tr>
      <w:tr w14:paraId="4C6293A6" w14:textId="77777777">
        <w:tblPrEx>
          <w:tblW w:w="8640" w:type="dxa"/>
          <w:tblInd w:w="100" w:type="dxa"/>
          <w:tblLayout w:type="fixed"/>
          <w:tblCellMar>
            <w:left w:w="100" w:type="dxa"/>
            <w:right w:w="100" w:type="dxa"/>
          </w:tblCellMar>
          <w:tblLook w:val="0000"/>
        </w:tblPrEx>
        <w:trPr>
          <w:cantSplit/>
          <w:trHeight w:val="403"/>
        </w:trPr>
        <w:tc>
          <w:tcPr>
            <w:tcW w:w="2610" w:type="dxa"/>
            <w:tcBorders>
              <w:top w:val="single" w:sz="4" w:space="0" w:color="auto"/>
              <w:left w:val="single" w:sz="4" w:space="0" w:color="auto"/>
              <w:bottom w:val="single" w:sz="4" w:space="0" w:color="auto"/>
              <w:right w:val="single" w:sz="4" w:space="0" w:color="auto"/>
            </w:tcBorders>
          </w:tcPr>
          <w:p w:rsidR="008261CD" w:rsidRPr="008261CD" w:rsidP="000360DB" w14:paraId="188640A1" w14:textId="77777777">
            <w:pPr>
              <w:pStyle w:val="BodyText"/>
              <w:rPr>
                <w:b w:val="0"/>
                <w:i w:val="0"/>
                <w:sz w:val="24"/>
                <w:szCs w:val="24"/>
              </w:rPr>
            </w:pPr>
            <w:r w:rsidRPr="008261CD">
              <w:rPr>
                <w:b w:val="0"/>
                <w:i w:val="0"/>
                <w:sz w:val="24"/>
                <w:szCs w:val="24"/>
              </w:rPr>
              <w:t>Review</w:t>
            </w:r>
          </w:p>
        </w:tc>
        <w:tc>
          <w:tcPr>
            <w:tcW w:w="1620" w:type="dxa"/>
            <w:tcBorders>
              <w:top w:val="single" w:sz="4" w:space="0" w:color="auto"/>
              <w:left w:val="single" w:sz="4" w:space="0" w:color="auto"/>
              <w:bottom w:val="single" w:sz="4" w:space="0" w:color="auto"/>
              <w:right w:val="single" w:sz="4" w:space="0" w:color="auto"/>
            </w:tcBorders>
          </w:tcPr>
          <w:p w:rsidR="008261CD" w:rsidRPr="008261CD" w:rsidP="000360DB" w14:paraId="716A2618" w14:textId="77777777">
            <w:pPr>
              <w:pStyle w:val="BodyText"/>
              <w:rPr>
                <w:b w:val="0"/>
                <w:i w:val="0"/>
                <w:sz w:val="24"/>
                <w:szCs w:val="24"/>
              </w:rPr>
            </w:pPr>
            <w:r>
              <w:rPr>
                <w:b w:val="0"/>
                <w:i w:val="0"/>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8261CD" w:rsidRPr="008261CD" w:rsidP="000360DB" w14:paraId="10445D1C" w14:textId="77777777">
            <w:pPr>
              <w:pStyle w:val="BodyText"/>
              <w:rPr>
                <w:b w:val="0"/>
                <w:i w:val="0"/>
                <w:sz w:val="24"/>
                <w:szCs w:val="24"/>
              </w:rPr>
            </w:pPr>
            <w:r>
              <w:rPr>
                <w:b w:val="0"/>
                <w:i w:val="0"/>
                <w:sz w:val="24"/>
                <w:szCs w:val="24"/>
              </w:rPr>
              <w:t>1</w:t>
            </w:r>
          </w:p>
        </w:tc>
        <w:tc>
          <w:tcPr>
            <w:tcW w:w="1710" w:type="dxa"/>
            <w:tcBorders>
              <w:top w:val="single" w:sz="4" w:space="0" w:color="auto"/>
              <w:left w:val="single" w:sz="4" w:space="0" w:color="auto"/>
              <w:bottom w:val="single" w:sz="4" w:space="0" w:color="auto"/>
              <w:right w:val="single" w:sz="4" w:space="0" w:color="auto"/>
            </w:tcBorders>
          </w:tcPr>
          <w:p w:rsidR="008261CD" w:rsidRPr="008261CD" w:rsidP="000360DB" w14:paraId="29B4AE59" w14:textId="25B01D30">
            <w:pPr>
              <w:pStyle w:val="BodyText"/>
              <w:rPr>
                <w:b w:val="0"/>
                <w:i w:val="0"/>
                <w:sz w:val="24"/>
                <w:szCs w:val="24"/>
              </w:rPr>
            </w:pPr>
            <w:r>
              <w:rPr>
                <w:b w:val="0"/>
                <w:i w:val="0"/>
                <w:sz w:val="24"/>
                <w:szCs w:val="24"/>
              </w:rPr>
              <w:t xml:space="preserve">$ </w:t>
            </w:r>
            <w:r w:rsidR="006E7430">
              <w:rPr>
                <w:b w:val="0"/>
                <w:i w:val="0"/>
                <w:sz w:val="24"/>
                <w:szCs w:val="24"/>
              </w:rPr>
              <w:t>83</w:t>
            </w:r>
            <w:r w:rsidR="00126113">
              <w:rPr>
                <w:b w:val="0"/>
                <w:i w:val="0"/>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8261CD" w:rsidRPr="008261CD" w:rsidP="000360DB" w14:paraId="1391687F" w14:textId="69D301B9">
            <w:pPr>
              <w:pStyle w:val="BodyText"/>
              <w:rPr>
                <w:b w:val="0"/>
                <w:bCs/>
                <w:i w:val="0"/>
                <w:sz w:val="24"/>
                <w:szCs w:val="24"/>
              </w:rPr>
            </w:pPr>
            <w:r>
              <w:rPr>
                <w:b w:val="0"/>
                <w:i w:val="0"/>
                <w:sz w:val="24"/>
                <w:szCs w:val="24"/>
              </w:rPr>
              <w:t>$ 2</w:t>
            </w:r>
            <w:r w:rsidR="006E7430">
              <w:rPr>
                <w:b w:val="0"/>
                <w:i w:val="0"/>
                <w:sz w:val="24"/>
                <w:szCs w:val="24"/>
              </w:rPr>
              <w:t>49</w:t>
            </w:r>
            <w:r w:rsidR="00126113">
              <w:rPr>
                <w:b w:val="0"/>
                <w:i w:val="0"/>
                <w:sz w:val="24"/>
                <w:szCs w:val="24"/>
              </w:rPr>
              <w:t>.00</w:t>
            </w:r>
          </w:p>
        </w:tc>
      </w:tr>
    </w:tbl>
    <w:p w:rsidR="00D244CC" w:rsidRPr="008261CD" w14:paraId="7CC71407" w14:textId="77777777"/>
    <w:p w:rsidR="00D244CC" w14:paraId="7C5850BE" w14:textId="77777777">
      <w:r>
        <w:t xml:space="preserve">15.  </w:t>
      </w:r>
      <w:r>
        <w:rPr>
          <w:u w:val="single"/>
        </w:rPr>
        <w:t>Explanation for Program</w:t>
      </w:r>
      <w:r w:rsidRPr="000A753F" w:rsidR="000A753F">
        <w:rPr>
          <w:u w:val="single"/>
        </w:rPr>
        <w:t xml:space="preserve"> Changes</w:t>
      </w:r>
      <w:r>
        <w:rPr>
          <w:u w:val="single"/>
        </w:rPr>
        <w:t xml:space="preserve"> or Adjustments</w:t>
      </w:r>
    </w:p>
    <w:p w:rsidR="00D244CC" w14:paraId="631E8122" w14:textId="77777777"/>
    <w:p w:rsidR="00D244CC" w14:paraId="244CD5C9" w14:textId="690033D7">
      <w:r>
        <w:t xml:space="preserve">Based on </w:t>
      </w:r>
      <w:r w:rsidR="00CC0D71">
        <w:t>a</w:t>
      </w:r>
      <w:r>
        <w:t xml:space="preserve"> review of the information collection since our last request for OMB approval, </w:t>
      </w:r>
      <w:r w:rsidR="008E3341">
        <w:t xml:space="preserve">we estimate that the number of manufacturers of automated blood cell separator devices remains unchanged.  As a result, </w:t>
      </w:r>
      <w:r w:rsidR="00CC0D71">
        <w:t>we have made no adjustments to our burden estimate</w:t>
      </w:r>
      <w:r w:rsidR="000C7FA6">
        <w:t>.</w:t>
      </w:r>
    </w:p>
    <w:p w:rsidR="00D244CC" w14:paraId="32B25118" w14:textId="77777777"/>
    <w:p w:rsidR="00D244CC" w:rsidRPr="000A753F" w14:paraId="7DDDCDB9" w14:textId="5B0A65D9">
      <w:pPr>
        <w:rPr>
          <w:u w:val="single"/>
        </w:rPr>
      </w:pPr>
      <w:r>
        <w:t xml:space="preserve">16.  </w:t>
      </w:r>
      <w:r>
        <w:rPr>
          <w:u w:val="single"/>
        </w:rPr>
        <w:t>Plans for Tabulation and Publication and Project Time Schedule</w:t>
      </w:r>
    </w:p>
    <w:p w:rsidR="00D244CC" w14:paraId="412A2167" w14:textId="77777777"/>
    <w:p w:rsidR="00D244CC" w14:paraId="0814C123" w14:textId="673AC558">
      <w:r>
        <w:t>This information collected will not be published or tabulated.</w:t>
      </w:r>
    </w:p>
    <w:p w:rsidR="002A56E4" w14:paraId="54B1B9E7" w14:textId="77777777"/>
    <w:p w:rsidR="00D244CC" w14:paraId="1F4221A0" w14:textId="77777777">
      <w:r>
        <w:t xml:space="preserve">17.  </w:t>
      </w:r>
      <w:r>
        <w:rPr>
          <w:u w:val="single"/>
        </w:rPr>
        <w:t>Reason(s) Display of OMB Expiration</w:t>
      </w:r>
      <w:r w:rsidRPr="000A753F">
        <w:rPr>
          <w:u w:val="single"/>
        </w:rPr>
        <w:t xml:space="preserve"> Date</w:t>
      </w:r>
      <w:r>
        <w:rPr>
          <w:u w:val="single"/>
        </w:rPr>
        <w:t xml:space="preserve"> is Inappropriate</w:t>
      </w:r>
    </w:p>
    <w:p w:rsidR="00D244CC" w14:paraId="4710BCA9" w14:textId="77777777"/>
    <w:p w:rsidR="00D244CC" w:rsidP="0022410C" w14:paraId="68226873" w14:textId="791EAFB1">
      <w:pPr>
        <w:spacing w:after="200"/>
      </w:pPr>
      <w:r>
        <w:t xml:space="preserve">FDA </w:t>
      </w:r>
      <w:r w:rsidR="004134F8">
        <w:t>will</w:t>
      </w:r>
      <w:r w:rsidR="005C490D">
        <w:t xml:space="preserve"> display the OMB expiration date </w:t>
      </w:r>
      <w:r w:rsidR="003011B1">
        <w:t>in the guidance as required</w:t>
      </w:r>
      <w:r w:rsidR="00F43DBC">
        <w:t xml:space="preserve"> by 5 CFR 1320.8</w:t>
      </w:r>
      <w:r w:rsidR="003011B1">
        <w:t>.</w:t>
      </w:r>
      <w:r w:rsidRPr="00F43DBC" w:rsidR="00F43DBC">
        <w:rPr>
          <w:rFonts w:eastAsia="Calibri"/>
        </w:rPr>
        <w:t xml:space="preserve"> </w:t>
      </w:r>
      <w:r w:rsidR="00F43DBC">
        <w:rPr>
          <w:rFonts w:eastAsia="Calibri"/>
        </w:rPr>
        <w:t xml:space="preserve"> T</w:t>
      </w:r>
      <w:r w:rsidRPr="00703BC6" w:rsidR="00F43DBC">
        <w:rPr>
          <w:rFonts w:eastAsia="Calibri"/>
        </w:rPr>
        <w:t>he OMB control number will be displayed on the guidance document cover page and include a link to www.reginfo.gov to identify the current expiration date.</w:t>
      </w:r>
    </w:p>
    <w:p w:rsidR="005932C4" w14:paraId="0B0DE171" w14:textId="77777777"/>
    <w:p w:rsidR="00D244CC" w14:paraId="2E8E617A" w14:textId="77777777">
      <w:r>
        <w:t xml:space="preserve">18.  </w:t>
      </w:r>
      <w:r>
        <w:rPr>
          <w:u w:val="single"/>
        </w:rPr>
        <w:t xml:space="preserve">Exceptions to </w:t>
      </w:r>
      <w:r w:rsidRPr="00496755">
        <w:rPr>
          <w:u w:val="single"/>
        </w:rPr>
        <w:t>Certification for Paperwork Reduction Act Submissions</w:t>
      </w:r>
    </w:p>
    <w:p w:rsidR="00D244CC" w14:paraId="273E4C5B" w14:textId="77777777"/>
    <w:p w:rsidR="00D244CC" w14:paraId="1C03FA08" w14:textId="77777777">
      <w:r>
        <w:t>There are no exceptions to the certification.</w:t>
      </w:r>
    </w:p>
    <w:sectPr w:rsidSect="0022410C">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70" w14:paraId="098BF91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F5129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4D466A"/>
    <w:multiLevelType w:val="hybridMultilevel"/>
    <w:tmpl w:val="0422CF76"/>
    <w:lvl w:ilvl="0">
      <w:start w:val="12"/>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FFD0716"/>
    <w:multiLevelType w:val="hybridMultilevel"/>
    <w:tmpl w:val="DAD82E84"/>
    <w:lvl w:ilvl="0">
      <w:start w:val="1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B106ABB"/>
    <w:multiLevelType w:val="hybridMultilevel"/>
    <w:tmpl w:val="6C3CAA0E"/>
    <w:lvl w:ilvl="0">
      <w:start w:val="1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3411059">
    <w:abstractNumId w:val="0"/>
  </w:num>
  <w:num w:numId="2" w16cid:durableId="966086901">
    <w:abstractNumId w:val="2"/>
  </w:num>
  <w:num w:numId="3" w16cid:durableId="88764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11"/>
    <w:rsid w:val="000360DB"/>
    <w:rsid w:val="00037775"/>
    <w:rsid w:val="000401DB"/>
    <w:rsid w:val="00052BC6"/>
    <w:rsid w:val="00081CBA"/>
    <w:rsid w:val="000844FB"/>
    <w:rsid w:val="0008781C"/>
    <w:rsid w:val="0009031F"/>
    <w:rsid w:val="00090AD3"/>
    <w:rsid w:val="00091CB5"/>
    <w:rsid w:val="000A753F"/>
    <w:rsid w:val="000B0F97"/>
    <w:rsid w:val="000B4AF4"/>
    <w:rsid w:val="000B6048"/>
    <w:rsid w:val="000C0E98"/>
    <w:rsid w:val="000C3B88"/>
    <w:rsid w:val="000C3DF2"/>
    <w:rsid w:val="000C49CB"/>
    <w:rsid w:val="000C63E5"/>
    <w:rsid w:val="000C7FA6"/>
    <w:rsid w:val="000D2184"/>
    <w:rsid w:val="000E26A8"/>
    <w:rsid w:val="000E5918"/>
    <w:rsid w:val="00112677"/>
    <w:rsid w:val="00124333"/>
    <w:rsid w:val="00124803"/>
    <w:rsid w:val="00126113"/>
    <w:rsid w:val="00162930"/>
    <w:rsid w:val="00164279"/>
    <w:rsid w:val="00167660"/>
    <w:rsid w:val="0017091B"/>
    <w:rsid w:val="00171E40"/>
    <w:rsid w:val="00175B00"/>
    <w:rsid w:val="00175DC0"/>
    <w:rsid w:val="00181506"/>
    <w:rsid w:val="001852E4"/>
    <w:rsid w:val="00186337"/>
    <w:rsid w:val="00190B5C"/>
    <w:rsid w:val="00190C62"/>
    <w:rsid w:val="00194576"/>
    <w:rsid w:val="001953D5"/>
    <w:rsid w:val="001B0683"/>
    <w:rsid w:val="001B6325"/>
    <w:rsid w:val="001C69DC"/>
    <w:rsid w:val="001D2C28"/>
    <w:rsid w:val="001E40E3"/>
    <w:rsid w:val="001E662F"/>
    <w:rsid w:val="001F3D7D"/>
    <w:rsid w:val="001F4143"/>
    <w:rsid w:val="001F4FEE"/>
    <w:rsid w:val="00202F9D"/>
    <w:rsid w:val="002074FE"/>
    <w:rsid w:val="002160F9"/>
    <w:rsid w:val="002220D8"/>
    <w:rsid w:val="0022410C"/>
    <w:rsid w:val="00224926"/>
    <w:rsid w:val="00235F9A"/>
    <w:rsid w:val="002367F2"/>
    <w:rsid w:val="002451CA"/>
    <w:rsid w:val="00251A34"/>
    <w:rsid w:val="002610B8"/>
    <w:rsid w:val="00261C7D"/>
    <w:rsid w:val="00267099"/>
    <w:rsid w:val="00272CF8"/>
    <w:rsid w:val="00277031"/>
    <w:rsid w:val="00277219"/>
    <w:rsid w:val="002937B2"/>
    <w:rsid w:val="00297C9D"/>
    <w:rsid w:val="002A1CBB"/>
    <w:rsid w:val="002A56E4"/>
    <w:rsid w:val="002A6409"/>
    <w:rsid w:val="002B0F73"/>
    <w:rsid w:val="002B290F"/>
    <w:rsid w:val="002C2BEC"/>
    <w:rsid w:val="002C65EA"/>
    <w:rsid w:val="002D1F01"/>
    <w:rsid w:val="002E7E6C"/>
    <w:rsid w:val="002F0134"/>
    <w:rsid w:val="002F5ED3"/>
    <w:rsid w:val="003000BC"/>
    <w:rsid w:val="003011B1"/>
    <w:rsid w:val="003111C3"/>
    <w:rsid w:val="0031138E"/>
    <w:rsid w:val="00316C92"/>
    <w:rsid w:val="003179B8"/>
    <w:rsid w:val="00322551"/>
    <w:rsid w:val="003349BE"/>
    <w:rsid w:val="00334A98"/>
    <w:rsid w:val="003367DF"/>
    <w:rsid w:val="00340CA7"/>
    <w:rsid w:val="003601C9"/>
    <w:rsid w:val="00360844"/>
    <w:rsid w:val="0036167A"/>
    <w:rsid w:val="003701C1"/>
    <w:rsid w:val="003814DB"/>
    <w:rsid w:val="0038615D"/>
    <w:rsid w:val="00391908"/>
    <w:rsid w:val="003A291A"/>
    <w:rsid w:val="003A44D6"/>
    <w:rsid w:val="003B1E19"/>
    <w:rsid w:val="003B5FD4"/>
    <w:rsid w:val="003B68FE"/>
    <w:rsid w:val="003C5144"/>
    <w:rsid w:val="003E70A0"/>
    <w:rsid w:val="003F5615"/>
    <w:rsid w:val="00410E96"/>
    <w:rsid w:val="004134F8"/>
    <w:rsid w:val="00417682"/>
    <w:rsid w:val="0042203E"/>
    <w:rsid w:val="004246BF"/>
    <w:rsid w:val="00430BE2"/>
    <w:rsid w:val="00436354"/>
    <w:rsid w:val="00444BAA"/>
    <w:rsid w:val="004662AE"/>
    <w:rsid w:val="00496755"/>
    <w:rsid w:val="004A33C4"/>
    <w:rsid w:val="004B1BBB"/>
    <w:rsid w:val="004C51BF"/>
    <w:rsid w:val="004E0F26"/>
    <w:rsid w:val="004E6DB5"/>
    <w:rsid w:val="004F37DA"/>
    <w:rsid w:val="0050061A"/>
    <w:rsid w:val="0050508A"/>
    <w:rsid w:val="0050612B"/>
    <w:rsid w:val="005113A5"/>
    <w:rsid w:val="0051378A"/>
    <w:rsid w:val="0052127A"/>
    <w:rsid w:val="00545D65"/>
    <w:rsid w:val="005551EF"/>
    <w:rsid w:val="005566CB"/>
    <w:rsid w:val="00562B83"/>
    <w:rsid w:val="0056331B"/>
    <w:rsid w:val="005656F0"/>
    <w:rsid w:val="00567105"/>
    <w:rsid w:val="00571422"/>
    <w:rsid w:val="00580005"/>
    <w:rsid w:val="005841F6"/>
    <w:rsid w:val="00585AF1"/>
    <w:rsid w:val="005925F9"/>
    <w:rsid w:val="00592C55"/>
    <w:rsid w:val="005932C4"/>
    <w:rsid w:val="005A245B"/>
    <w:rsid w:val="005B33CA"/>
    <w:rsid w:val="005C490D"/>
    <w:rsid w:val="005C576B"/>
    <w:rsid w:val="005C71CA"/>
    <w:rsid w:val="005D6C8A"/>
    <w:rsid w:val="005E0AE3"/>
    <w:rsid w:val="005E5877"/>
    <w:rsid w:val="005E6207"/>
    <w:rsid w:val="00616FFA"/>
    <w:rsid w:val="00625D48"/>
    <w:rsid w:val="00625E70"/>
    <w:rsid w:val="00632402"/>
    <w:rsid w:val="00642A05"/>
    <w:rsid w:val="0064444D"/>
    <w:rsid w:val="00650ABB"/>
    <w:rsid w:val="006635CD"/>
    <w:rsid w:val="00670DA2"/>
    <w:rsid w:val="00672C9E"/>
    <w:rsid w:val="00680622"/>
    <w:rsid w:val="00683971"/>
    <w:rsid w:val="00693BA5"/>
    <w:rsid w:val="006B0876"/>
    <w:rsid w:val="006E7430"/>
    <w:rsid w:val="006F72FB"/>
    <w:rsid w:val="006F7827"/>
    <w:rsid w:val="00703BC6"/>
    <w:rsid w:val="00710D99"/>
    <w:rsid w:val="0071266E"/>
    <w:rsid w:val="00726076"/>
    <w:rsid w:val="0074013B"/>
    <w:rsid w:val="00742D32"/>
    <w:rsid w:val="0074476A"/>
    <w:rsid w:val="0075335C"/>
    <w:rsid w:val="0075432D"/>
    <w:rsid w:val="007555AC"/>
    <w:rsid w:val="00755C17"/>
    <w:rsid w:val="00762332"/>
    <w:rsid w:val="00765462"/>
    <w:rsid w:val="00767998"/>
    <w:rsid w:val="0077392B"/>
    <w:rsid w:val="007A36E4"/>
    <w:rsid w:val="007A78EA"/>
    <w:rsid w:val="007B2277"/>
    <w:rsid w:val="007B26FE"/>
    <w:rsid w:val="007B6DCE"/>
    <w:rsid w:val="007C0B9A"/>
    <w:rsid w:val="007C4A79"/>
    <w:rsid w:val="007D0067"/>
    <w:rsid w:val="007D3214"/>
    <w:rsid w:val="007D6292"/>
    <w:rsid w:val="007E1F7B"/>
    <w:rsid w:val="007F1110"/>
    <w:rsid w:val="007F2AA5"/>
    <w:rsid w:val="007F50AD"/>
    <w:rsid w:val="00804AEE"/>
    <w:rsid w:val="008240F2"/>
    <w:rsid w:val="008261CD"/>
    <w:rsid w:val="008262C2"/>
    <w:rsid w:val="008306D1"/>
    <w:rsid w:val="008644FF"/>
    <w:rsid w:val="00865DC7"/>
    <w:rsid w:val="00871379"/>
    <w:rsid w:val="00876E6D"/>
    <w:rsid w:val="00877E44"/>
    <w:rsid w:val="00887877"/>
    <w:rsid w:val="008917B6"/>
    <w:rsid w:val="0089705D"/>
    <w:rsid w:val="008A5E08"/>
    <w:rsid w:val="008B1442"/>
    <w:rsid w:val="008B2F57"/>
    <w:rsid w:val="008B4080"/>
    <w:rsid w:val="008B66A8"/>
    <w:rsid w:val="008B739E"/>
    <w:rsid w:val="008D6C11"/>
    <w:rsid w:val="008E1E1D"/>
    <w:rsid w:val="008E3341"/>
    <w:rsid w:val="008E576E"/>
    <w:rsid w:val="008F1271"/>
    <w:rsid w:val="008F33B0"/>
    <w:rsid w:val="008F56D2"/>
    <w:rsid w:val="008F7A4B"/>
    <w:rsid w:val="00900B05"/>
    <w:rsid w:val="0090278D"/>
    <w:rsid w:val="0090439F"/>
    <w:rsid w:val="00906666"/>
    <w:rsid w:val="00912788"/>
    <w:rsid w:val="00922222"/>
    <w:rsid w:val="0093322E"/>
    <w:rsid w:val="00936532"/>
    <w:rsid w:val="009502C9"/>
    <w:rsid w:val="009543B9"/>
    <w:rsid w:val="00966B04"/>
    <w:rsid w:val="00967668"/>
    <w:rsid w:val="009A132D"/>
    <w:rsid w:val="009A1479"/>
    <w:rsid w:val="009B39ED"/>
    <w:rsid w:val="009C1738"/>
    <w:rsid w:val="009C35D1"/>
    <w:rsid w:val="009D1147"/>
    <w:rsid w:val="009E23AA"/>
    <w:rsid w:val="009E574C"/>
    <w:rsid w:val="009E6231"/>
    <w:rsid w:val="009F0878"/>
    <w:rsid w:val="009F59D4"/>
    <w:rsid w:val="009F6F48"/>
    <w:rsid w:val="00A1751F"/>
    <w:rsid w:val="00A254E5"/>
    <w:rsid w:val="00A32EFE"/>
    <w:rsid w:val="00A462B8"/>
    <w:rsid w:val="00A505FF"/>
    <w:rsid w:val="00A5538E"/>
    <w:rsid w:val="00A57C0C"/>
    <w:rsid w:val="00A65A3B"/>
    <w:rsid w:val="00A709C4"/>
    <w:rsid w:val="00A72A8D"/>
    <w:rsid w:val="00A84296"/>
    <w:rsid w:val="00AA12B7"/>
    <w:rsid w:val="00AA1CF0"/>
    <w:rsid w:val="00AA3A6A"/>
    <w:rsid w:val="00AB161E"/>
    <w:rsid w:val="00AC3396"/>
    <w:rsid w:val="00AD23F5"/>
    <w:rsid w:val="00AE452F"/>
    <w:rsid w:val="00AF0CB6"/>
    <w:rsid w:val="00AF401E"/>
    <w:rsid w:val="00AF6B22"/>
    <w:rsid w:val="00B00AD8"/>
    <w:rsid w:val="00B00C5E"/>
    <w:rsid w:val="00B070E1"/>
    <w:rsid w:val="00B13F0A"/>
    <w:rsid w:val="00B158B7"/>
    <w:rsid w:val="00B23B2A"/>
    <w:rsid w:val="00B2616D"/>
    <w:rsid w:val="00B273DE"/>
    <w:rsid w:val="00B57A41"/>
    <w:rsid w:val="00B76E07"/>
    <w:rsid w:val="00B80BE6"/>
    <w:rsid w:val="00B91431"/>
    <w:rsid w:val="00B929AB"/>
    <w:rsid w:val="00B93E74"/>
    <w:rsid w:val="00BA0E28"/>
    <w:rsid w:val="00BA1AC1"/>
    <w:rsid w:val="00BC02D7"/>
    <w:rsid w:val="00BC2A07"/>
    <w:rsid w:val="00BD3892"/>
    <w:rsid w:val="00BD3965"/>
    <w:rsid w:val="00BE746F"/>
    <w:rsid w:val="00C00017"/>
    <w:rsid w:val="00C01927"/>
    <w:rsid w:val="00C0434F"/>
    <w:rsid w:val="00C04D0F"/>
    <w:rsid w:val="00C13DF7"/>
    <w:rsid w:val="00C16828"/>
    <w:rsid w:val="00C219E3"/>
    <w:rsid w:val="00C46852"/>
    <w:rsid w:val="00C50096"/>
    <w:rsid w:val="00C553EB"/>
    <w:rsid w:val="00C622B4"/>
    <w:rsid w:val="00C624B4"/>
    <w:rsid w:val="00C81DBF"/>
    <w:rsid w:val="00C852AD"/>
    <w:rsid w:val="00C909CA"/>
    <w:rsid w:val="00C97256"/>
    <w:rsid w:val="00CA0309"/>
    <w:rsid w:val="00CA10E7"/>
    <w:rsid w:val="00CB0286"/>
    <w:rsid w:val="00CB59FD"/>
    <w:rsid w:val="00CC0D71"/>
    <w:rsid w:val="00CC32C8"/>
    <w:rsid w:val="00CD45E0"/>
    <w:rsid w:val="00CE35B1"/>
    <w:rsid w:val="00CE4088"/>
    <w:rsid w:val="00CE432A"/>
    <w:rsid w:val="00CE64E0"/>
    <w:rsid w:val="00CE76F7"/>
    <w:rsid w:val="00CF0F76"/>
    <w:rsid w:val="00CF39B4"/>
    <w:rsid w:val="00D079F0"/>
    <w:rsid w:val="00D1489B"/>
    <w:rsid w:val="00D20FFD"/>
    <w:rsid w:val="00D22829"/>
    <w:rsid w:val="00D23D46"/>
    <w:rsid w:val="00D244CC"/>
    <w:rsid w:val="00D26360"/>
    <w:rsid w:val="00D32BE4"/>
    <w:rsid w:val="00D40066"/>
    <w:rsid w:val="00D430CA"/>
    <w:rsid w:val="00D452BC"/>
    <w:rsid w:val="00D611AC"/>
    <w:rsid w:val="00D61A1A"/>
    <w:rsid w:val="00D65762"/>
    <w:rsid w:val="00D75023"/>
    <w:rsid w:val="00D76B5F"/>
    <w:rsid w:val="00D84079"/>
    <w:rsid w:val="00D84D43"/>
    <w:rsid w:val="00D8678F"/>
    <w:rsid w:val="00D90136"/>
    <w:rsid w:val="00D9328A"/>
    <w:rsid w:val="00DA5670"/>
    <w:rsid w:val="00DB1490"/>
    <w:rsid w:val="00DC0D79"/>
    <w:rsid w:val="00DC1011"/>
    <w:rsid w:val="00DC14C6"/>
    <w:rsid w:val="00DD5337"/>
    <w:rsid w:val="00DF3460"/>
    <w:rsid w:val="00DF77A4"/>
    <w:rsid w:val="00DF7EB9"/>
    <w:rsid w:val="00E03A5F"/>
    <w:rsid w:val="00E06F63"/>
    <w:rsid w:val="00E109F3"/>
    <w:rsid w:val="00E135A8"/>
    <w:rsid w:val="00E22EB8"/>
    <w:rsid w:val="00E2398C"/>
    <w:rsid w:val="00E32FD0"/>
    <w:rsid w:val="00E40C4E"/>
    <w:rsid w:val="00E42AFE"/>
    <w:rsid w:val="00E504EA"/>
    <w:rsid w:val="00E564C6"/>
    <w:rsid w:val="00E6138A"/>
    <w:rsid w:val="00E62920"/>
    <w:rsid w:val="00E7072A"/>
    <w:rsid w:val="00E7292A"/>
    <w:rsid w:val="00E933C9"/>
    <w:rsid w:val="00EA112E"/>
    <w:rsid w:val="00EA3495"/>
    <w:rsid w:val="00EA6112"/>
    <w:rsid w:val="00EA6CE9"/>
    <w:rsid w:val="00EB1F4C"/>
    <w:rsid w:val="00EB2C01"/>
    <w:rsid w:val="00EB40A2"/>
    <w:rsid w:val="00EB62DF"/>
    <w:rsid w:val="00EB7538"/>
    <w:rsid w:val="00EC1BFE"/>
    <w:rsid w:val="00ED42C5"/>
    <w:rsid w:val="00EF16CB"/>
    <w:rsid w:val="00EF246F"/>
    <w:rsid w:val="00EF34FA"/>
    <w:rsid w:val="00EF6DC9"/>
    <w:rsid w:val="00F1078D"/>
    <w:rsid w:val="00F27CCD"/>
    <w:rsid w:val="00F35F04"/>
    <w:rsid w:val="00F43338"/>
    <w:rsid w:val="00F43DBC"/>
    <w:rsid w:val="00F44CC5"/>
    <w:rsid w:val="00F47314"/>
    <w:rsid w:val="00F51290"/>
    <w:rsid w:val="00F52116"/>
    <w:rsid w:val="00F555E5"/>
    <w:rsid w:val="00F57222"/>
    <w:rsid w:val="00F60C96"/>
    <w:rsid w:val="00F6587E"/>
    <w:rsid w:val="00F66E83"/>
    <w:rsid w:val="00F8505E"/>
    <w:rsid w:val="00FA3415"/>
    <w:rsid w:val="00FB129F"/>
    <w:rsid w:val="00FB28D4"/>
    <w:rsid w:val="00FD61C2"/>
    <w:rsid w:val="00FE1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ED2DC8"/>
  <w15:chartTrackingRefBased/>
  <w15:docId w15:val="{DC8E7BD6-737C-4527-A7E4-9A06D485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
    <w:name w:val="Body Text"/>
    <w:basedOn w:val="Normal"/>
    <w:pPr>
      <w:widowControl w:val="0"/>
    </w:pPr>
    <w:rPr>
      <w:b/>
      <w:i/>
      <w:snapToGrid w:val="0"/>
      <w:sz w:val="20"/>
      <w:szCs w:val="20"/>
    </w:rPr>
  </w:style>
  <w:style w:type="paragraph" w:styleId="BodyTextIndent">
    <w:name w:val="Body Text Indent"/>
    <w:basedOn w:val="Normal"/>
    <w:pPr>
      <w:ind w:firstLine="720"/>
    </w:pPr>
  </w:style>
  <w:style w:type="paragraph" w:styleId="Footer">
    <w:name w:val="footer"/>
    <w:basedOn w:val="Normal"/>
    <w:pPr>
      <w:tabs>
        <w:tab w:val="center" w:pos="4320"/>
        <w:tab w:val="right" w:pos="8640"/>
      </w:tabs>
    </w:pPr>
  </w:style>
  <w:style w:type="paragraph" w:styleId="BodyText2">
    <w:name w:val="Body Text 2"/>
    <w:basedOn w:val="Normal"/>
    <w:pPr>
      <w:jc w:val="center"/>
    </w:pPr>
    <w:rPr>
      <w:b/>
      <w:bCs/>
    </w:rPr>
  </w:style>
  <w:style w:type="table" w:styleId="TableGrid">
    <w:name w:val="Table Grid"/>
    <w:basedOn w:val="TableNormal"/>
    <w:rsid w:val="00ED4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49BE"/>
    <w:rPr>
      <w:rFonts w:ascii="Tahoma" w:hAnsi="Tahoma" w:cs="Tahoma"/>
      <w:sz w:val="16"/>
      <w:szCs w:val="16"/>
    </w:rPr>
  </w:style>
  <w:style w:type="character" w:styleId="FollowedHyperlink">
    <w:name w:val="FollowedHyperlink"/>
    <w:rsid w:val="00900B05"/>
    <w:rPr>
      <w:color w:val="800080"/>
      <w:u w:val="single"/>
    </w:rPr>
  </w:style>
  <w:style w:type="character" w:styleId="UnresolvedMention">
    <w:name w:val="Unresolved Mention"/>
    <w:uiPriority w:val="99"/>
    <w:semiHidden/>
    <w:unhideWhenUsed/>
    <w:rsid w:val="001B0683"/>
    <w:rPr>
      <w:color w:val="605E5C"/>
      <w:shd w:val="clear" w:color="auto" w:fill="E1DFDD"/>
    </w:rPr>
  </w:style>
  <w:style w:type="character" w:styleId="CommentReference">
    <w:name w:val="annotation reference"/>
    <w:uiPriority w:val="99"/>
    <w:unhideWhenUsed/>
    <w:rsid w:val="001B0683"/>
    <w:rPr>
      <w:sz w:val="16"/>
      <w:szCs w:val="16"/>
    </w:rPr>
  </w:style>
  <w:style w:type="paragraph" w:styleId="CommentText">
    <w:name w:val="annotation text"/>
    <w:basedOn w:val="Normal"/>
    <w:link w:val="CommentTextChar"/>
    <w:uiPriority w:val="99"/>
    <w:unhideWhenUsed/>
    <w:rsid w:val="001B0683"/>
    <w:pPr>
      <w:widowControl w:val="0"/>
    </w:pPr>
    <w:rPr>
      <w:rFonts w:ascii="Calibri" w:eastAsia="Calibri" w:hAnsi="Calibri"/>
      <w:sz w:val="20"/>
      <w:szCs w:val="20"/>
    </w:rPr>
  </w:style>
  <w:style w:type="character" w:customStyle="1" w:styleId="CommentTextChar">
    <w:name w:val="Comment Text Char"/>
    <w:link w:val="CommentText"/>
    <w:uiPriority w:val="99"/>
    <w:rsid w:val="001B0683"/>
    <w:rPr>
      <w:rFonts w:ascii="Calibri" w:eastAsia="Calibri" w:hAnsi="Calibri"/>
    </w:rPr>
  </w:style>
  <w:style w:type="paragraph" w:styleId="CommentSubject">
    <w:name w:val="annotation subject"/>
    <w:basedOn w:val="CommentText"/>
    <w:next w:val="CommentText"/>
    <w:link w:val="CommentSubjectChar"/>
    <w:rsid w:val="00E22EB8"/>
    <w:pPr>
      <w:widowControl/>
    </w:pPr>
    <w:rPr>
      <w:rFonts w:ascii="Times New Roman" w:eastAsia="Times New Roman" w:hAnsi="Times New Roman"/>
      <w:b/>
      <w:bCs/>
    </w:rPr>
  </w:style>
  <w:style w:type="character" w:customStyle="1" w:styleId="CommentSubjectChar">
    <w:name w:val="Comment Subject Char"/>
    <w:link w:val="CommentSubject"/>
    <w:rsid w:val="00E22EB8"/>
    <w:rPr>
      <w:rFonts w:ascii="Calibri" w:eastAsia="Calibri" w:hAnsi="Calibri"/>
      <w:b/>
      <w:bCs/>
    </w:rPr>
  </w:style>
  <w:style w:type="paragraph" w:styleId="Revision">
    <w:name w:val="Revision"/>
    <w:hidden/>
    <w:uiPriority w:val="99"/>
    <w:semiHidden/>
    <w:rsid w:val="004E6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1/section-803.5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media/124263/download" TargetMode="External" /><Relationship Id="rId5" Type="http://schemas.openxmlformats.org/officeDocument/2006/relationships/hyperlink" Target="https://www.fda.gov/electronic-submissions-gateway" TargetMode="External" /><Relationship Id="rId6" Type="http://schemas.openxmlformats.org/officeDocument/2006/relationships/hyperlink" Target="http://www.fda.gov/ForIndustry/SmallBusinessAssistance/default.htm" TargetMode="External" /><Relationship Id="rId7" Type="http://schemas.openxmlformats.org/officeDocument/2006/relationships/hyperlink" Target="https://www.ecfr.gov/current/title-21/part-803" TargetMode="External" /><Relationship Id="rId8" Type="http://schemas.openxmlformats.org/officeDocument/2006/relationships/hyperlink" Target="https://www.ecfr.gov/current/title-21/section-814.39" TargetMode="External" /><Relationship Id="rId9" Type="http://schemas.openxmlformats.org/officeDocument/2006/relationships/hyperlink" Target="https://www.ecfr.gov/current/title-21/section-606.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Swisher</dc:creator>
  <cp:lastModifiedBy>Showalter, Rachel</cp:lastModifiedBy>
  <cp:revision>3</cp:revision>
  <cp:lastPrinted>2021-03-18T01:51:00Z</cp:lastPrinted>
  <dcterms:created xsi:type="dcterms:W3CDTF">2024-07-23T18:50:00Z</dcterms:created>
  <dcterms:modified xsi:type="dcterms:W3CDTF">2024-07-23T18:51:00Z</dcterms:modified>
</cp:coreProperties>
</file>