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4528" w:rsidRPr="00097B03" w:rsidP="00A24630" w14:paraId="016BB6A0" w14:textId="5D5D74AF">
      <w:pPr>
        <w:jc w:val="center"/>
        <w:rPr>
          <w:rFonts w:ascii="Times New Roman" w:hAnsi="Times New Roman"/>
          <w:b/>
        </w:rPr>
      </w:pPr>
      <w:r w:rsidRPr="00097B03">
        <w:rPr>
          <w:rFonts w:ascii="Times New Roman" w:hAnsi="Times New Roman"/>
          <w:b/>
        </w:rPr>
        <w:t>Project Title</w:t>
      </w:r>
      <w:r w:rsidRPr="00097B03" w:rsidR="00043DC4">
        <w:rPr>
          <w:rFonts w:ascii="Times New Roman" w:hAnsi="Times New Roman"/>
          <w:b/>
        </w:rPr>
        <w:t>: Performance Monitoring of CDC’s Comprehensive Suicide Prevention P</w:t>
      </w:r>
      <w:r w:rsidRPr="00097B03" w:rsidR="0012158F">
        <w:rPr>
          <w:rFonts w:ascii="Times New Roman" w:hAnsi="Times New Roman"/>
          <w:b/>
        </w:rPr>
        <w:t>rogram</w:t>
      </w:r>
    </w:p>
    <w:p w:rsidR="000A4528" w:rsidP="00A24630" w14:paraId="52CE6C1D" w14:textId="32E51DFC">
      <w:pPr>
        <w:pStyle w:val="Heading1"/>
        <w:tabs>
          <w:tab w:val="right" w:pos="10080"/>
        </w:tabs>
        <w:jc w:val="center"/>
      </w:pPr>
      <w:r>
        <w:t>(OMB no. 0920-</w:t>
      </w:r>
      <w:r w:rsidR="007B42DE">
        <w:t>1368</w:t>
      </w:r>
      <w:r>
        <w:t xml:space="preserve"> exp. date </w:t>
      </w:r>
      <w:r w:rsidR="00A84C42">
        <w:t>9</w:t>
      </w:r>
      <w:r>
        <w:t>/</w:t>
      </w:r>
      <w:r w:rsidR="00A84C42">
        <w:t>30</w:t>
      </w:r>
      <w:r>
        <w:t>/20</w:t>
      </w:r>
      <w:r w:rsidR="00A84C42">
        <w:t>25</w:t>
      </w:r>
      <w:r>
        <w:t>)</w:t>
      </w:r>
    </w:p>
    <w:p w:rsidR="000A4528" w:rsidRPr="00AB1E18" w:rsidP="00A24630" w14:paraId="5DAB6C7B" w14:textId="77777777"/>
    <w:p w:rsidR="000A4528" w:rsidP="00A24630" w14:paraId="02CCAFBD" w14:textId="77777777">
      <w:pPr>
        <w:pStyle w:val="Heading1"/>
        <w:tabs>
          <w:tab w:val="right" w:pos="10080"/>
        </w:tabs>
        <w:jc w:val="center"/>
        <w:rPr>
          <w:b/>
          <w:bCs/>
          <w:szCs w:val="24"/>
        </w:rPr>
      </w:pPr>
      <w:r>
        <w:rPr>
          <w:b/>
          <w:bCs/>
          <w:szCs w:val="24"/>
        </w:rPr>
        <w:t>Proposed Changes: Justification and Overview</w:t>
      </w:r>
    </w:p>
    <w:p w:rsidR="000A4528" w:rsidRPr="00097B03" w:rsidP="00A24630" w14:paraId="51A28D9E" w14:textId="53093F83">
      <w:pPr>
        <w:jc w:val="center"/>
        <w:rPr>
          <w:rFonts w:ascii="Times New Roman" w:hAnsi="Times New Roman"/>
        </w:rPr>
      </w:pPr>
      <w:r>
        <w:rPr>
          <w:rFonts w:ascii="Times New Roman" w:hAnsi="Times New Roman"/>
        </w:rPr>
        <w:t>November 15, 2022</w:t>
      </w:r>
    </w:p>
    <w:p w:rsidR="000A4528" w:rsidRPr="00C348AD" w:rsidP="00A24630" w14:paraId="02EB378F" w14:textId="77777777"/>
    <w:p w:rsidR="000A4528" w:rsidRPr="00232807" w:rsidP="00232807" w14:paraId="2D134F98" w14:textId="77777777">
      <w:pPr>
        <w:pStyle w:val="Heading1"/>
        <w:tabs>
          <w:tab w:val="right" w:pos="10080"/>
        </w:tabs>
        <w:rPr>
          <w:b/>
          <w:szCs w:val="24"/>
        </w:rPr>
      </w:pPr>
      <w:r w:rsidRPr="00232807">
        <w:rPr>
          <w:b/>
          <w:szCs w:val="24"/>
        </w:rPr>
        <w:t>Justification</w:t>
      </w:r>
    </w:p>
    <w:p w:rsidR="00EC084A" w:rsidRPr="00232807" w:rsidP="00A24630" w14:paraId="65092C1A" w14:textId="612F540F">
      <w:pPr>
        <w:autoSpaceDE w:val="0"/>
        <w:autoSpaceDN w:val="0"/>
        <w:adjustRightInd w:val="0"/>
        <w:rPr>
          <w:rFonts w:ascii="Times New Roman" w:hAnsi="Times New Roman"/>
          <w:sz w:val="24"/>
          <w:szCs w:val="24"/>
        </w:rPr>
      </w:pPr>
      <w:r>
        <w:rPr>
          <w:rFonts w:ascii="Times New Roman" w:hAnsi="Times New Roman"/>
          <w:sz w:val="24"/>
          <w:szCs w:val="24"/>
        </w:rPr>
        <w:t>In September 2022, s</w:t>
      </w:r>
      <w:r w:rsidR="00D4492B">
        <w:rPr>
          <w:rFonts w:ascii="Times New Roman" w:hAnsi="Times New Roman"/>
          <w:sz w:val="24"/>
          <w:szCs w:val="24"/>
        </w:rPr>
        <w:t>ix additional recipients have been added to the Comprehensive Suicide Prevention (CSP) Program</w:t>
      </w:r>
      <w:r w:rsidR="0085681A">
        <w:rPr>
          <w:rFonts w:ascii="Times New Roman" w:hAnsi="Times New Roman"/>
          <w:sz w:val="24"/>
          <w:szCs w:val="24"/>
        </w:rPr>
        <w:t xml:space="preserve">, which requires the </w:t>
      </w:r>
      <w:r w:rsidR="002225EB">
        <w:rPr>
          <w:rFonts w:ascii="Times New Roman" w:hAnsi="Times New Roman"/>
          <w:sz w:val="24"/>
          <w:szCs w:val="24"/>
        </w:rPr>
        <w:t xml:space="preserve">OMB </w:t>
      </w:r>
      <w:r w:rsidR="000A2CEF">
        <w:rPr>
          <w:rFonts w:ascii="Times New Roman" w:hAnsi="Times New Roman"/>
          <w:sz w:val="24"/>
          <w:szCs w:val="24"/>
        </w:rPr>
        <w:t>package</w:t>
      </w:r>
      <w:r w:rsidR="002225EB">
        <w:rPr>
          <w:rFonts w:ascii="Times New Roman" w:hAnsi="Times New Roman"/>
          <w:sz w:val="24"/>
          <w:szCs w:val="24"/>
        </w:rPr>
        <w:t xml:space="preserve"> to reflect these additions in the</w:t>
      </w:r>
      <w:r w:rsidR="00AF3ED1">
        <w:rPr>
          <w:rFonts w:ascii="Times New Roman" w:hAnsi="Times New Roman"/>
          <w:sz w:val="24"/>
          <w:szCs w:val="24"/>
        </w:rPr>
        <w:t xml:space="preserve"> burden hours and cost.  </w:t>
      </w:r>
    </w:p>
    <w:p w:rsidR="000A4528" w:rsidRPr="00232807" w:rsidP="00A24630" w14:paraId="59BA78A1" w14:textId="77777777">
      <w:pPr>
        <w:pStyle w:val="Heading1"/>
        <w:tabs>
          <w:tab w:val="right" w:pos="10080"/>
        </w:tabs>
        <w:rPr>
          <w:b/>
          <w:szCs w:val="24"/>
        </w:rPr>
      </w:pPr>
      <w:r w:rsidRPr="00232807">
        <w:rPr>
          <w:b/>
          <w:szCs w:val="24"/>
        </w:rPr>
        <w:t>Project Description</w:t>
      </w:r>
    </w:p>
    <w:p w:rsidR="002D0772" w:rsidP="00A24630" w14:paraId="44F04E11" w14:textId="0F123201">
      <w:pPr>
        <w:rPr>
          <w:rFonts w:ascii="Times New Roman" w:hAnsi="Times New Roman"/>
          <w:sz w:val="24"/>
          <w:szCs w:val="24"/>
        </w:rPr>
      </w:pPr>
      <w:r w:rsidRPr="002D0772">
        <w:rPr>
          <w:rFonts w:ascii="Times New Roman" w:hAnsi="Times New Roman"/>
          <w:sz w:val="24"/>
          <w:szCs w:val="24"/>
        </w:rPr>
        <w:t>In January 2020, CDC received an appropriation for its Comprehensive Suicide Prevention (CSP) program. This program seeks to reduce suicide morbidity and mortality by 10% in populations disproportionately impacted by suicide in participating jurisdictions. Recipients are required to develop a strategic action plan that outlines their comprehensive approach to suicide prevention and then to implement and evaluate this approach. The comprehensive approach includes 1) convening of multi-sectoral partners, 2) using data to identify and learn about suicide in populations disproportionately impacted, 3) inventorying existing suicide prevention programs in the community, 4) selecting suicide prevention strategies and approaches with the best available evidence to complement existing programs, 5) creating a communication plan to keep stakeholders informed, and 6) ongoing implementation and evaluation. Evaluation will include monitoring of short-, intermediate-, and long-term outcomes</w:t>
      </w:r>
      <w:r w:rsidR="00EA3ABB">
        <w:rPr>
          <w:rFonts w:ascii="Times New Roman" w:hAnsi="Times New Roman"/>
          <w:sz w:val="24"/>
          <w:szCs w:val="24"/>
        </w:rPr>
        <w:t>.</w:t>
      </w:r>
    </w:p>
    <w:p w:rsidR="001D6E82" w:rsidP="00A24630" w14:paraId="3AD0EE49" w14:textId="7D691FA7">
      <w:pPr>
        <w:rPr>
          <w:rFonts w:ascii="Times New Roman" w:hAnsi="Times New Roman"/>
          <w:sz w:val="24"/>
          <w:szCs w:val="24"/>
        </w:rPr>
      </w:pPr>
      <w:r w:rsidRPr="001D6E82">
        <w:rPr>
          <w:rFonts w:ascii="Times New Roman" w:hAnsi="Times New Roman"/>
          <w:sz w:val="24"/>
          <w:szCs w:val="24"/>
        </w:rPr>
        <w:t>The goal of this ICR is to collect performance monitoring data via a web-based Partners’ Portal. This data is needed to monitor the cooperative agreement program funded under the Comprehensive Suicide Prevention Program (CE20-2001).</w:t>
      </w:r>
      <w:r w:rsidRPr="007C36E8" w:rsidR="007C36E8">
        <w:t xml:space="preserve"> </w:t>
      </w:r>
      <w:r w:rsidRPr="007C36E8" w:rsidR="007C36E8">
        <w:rPr>
          <w:rFonts w:ascii="Times New Roman" w:hAnsi="Times New Roman"/>
          <w:sz w:val="24"/>
          <w:szCs w:val="24"/>
        </w:rPr>
        <w:t>Data collected will be used to monitor progress toward program goals, identify technical assistance needs of recipients, and to provide accountability for funding to the Department of Health and Human Services (HHS), the White House, Congress, and other sources, upon request.</w:t>
      </w:r>
      <w:r w:rsidRPr="00E8431D" w:rsidR="00E8431D">
        <w:t xml:space="preserve"> </w:t>
      </w:r>
      <w:r w:rsidRPr="00E8431D" w:rsidR="00E8431D">
        <w:rPr>
          <w:rFonts w:ascii="Times New Roman" w:hAnsi="Times New Roman"/>
          <w:sz w:val="24"/>
          <w:szCs w:val="24"/>
        </w:rPr>
        <w:t>Recipients will report progress and activity information to CDC on an annual schedule using a web-based Partners’ Portal. No research design or human subjects involved.</w:t>
      </w:r>
    </w:p>
    <w:p w:rsidR="007B1320" w:rsidRPr="00232807" w:rsidP="00A24630" w14:paraId="6AB47104" w14:textId="5538F922">
      <w:pPr>
        <w:rPr>
          <w:rFonts w:ascii="Times New Roman" w:hAnsi="Times New Roman"/>
          <w:sz w:val="24"/>
          <w:szCs w:val="24"/>
        </w:rPr>
      </w:pPr>
      <w:r>
        <w:rPr>
          <w:rFonts w:ascii="Times New Roman" w:hAnsi="Times New Roman"/>
          <w:sz w:val="24"/>
          <w:szCs w:val="24"/>
        </w:rPr>
        <w:t xml:space="preserve">Since OMB approval was granted for the first 11 CSP recipients, 6 additional recipients have been added. </w:t>
      </w:r>
      <w:r w:rsidR="00037DC4">
        <w:rPr>
          <w:rFonts w:ascii="Times New Roman" w:hAnsi="Times New Roman"/>
          <w:sz w:val="24"/>
          <w:szCs w:val="24"/>
        </w:rPr>
        <w:t>This change request is being submitted to reflect the addition of these 6 recipients</w:t>
      </w:r>
      <w:r w:rsidR="00B126B1">
        <w:rPr>
          <w:rFonts w:ascii="Times New Roman" w:hAnsi="Times New Roman"/>
          <w:sz w:val="24"/>
          <w:szCs w:val="24"/>
        </w:rPr>
        <w:t xml:space="preserve"> with updated burden hours and costs.</w:t>
      </w:r>
    </w:p>
    <w:p w:rsidR="000A4528" w:rsidRPr="00232807" w:rsidP="00232807" w14:paraId="6BC35647" w14:textId="77777777">
      <w:pPr>
        <w:spacing w:after="0" w:line="240" w:lineRule="auto"/>
        <w:rPr>
          <w:rFonts w:ascii="Times New Roman" w:hAnsi="Times New Roman"/>
          <w:b/>
          <w:sz w:val="24"/>
          <w:szCs w:val="24"/>
        </w:rPr>
      </w:pPr>
      <w:r w:rsidRPr="00232807">
        <w:rPr>
          <w:rFonts w:ascii="Times New Roman" w:hAnsi="Times New Roman"/>
          <w:b/>
          <w:sz w:val="24"/>
          <w:szCs w:val="24"/>
        </w:rPr>
        <w:t>Proposed Changes</w:t>
      </w:r>
    </w:p>
    <w:p w:rsidR="00060463" w:rsidP="00060463" w14:paraId="0E9BA903" w14:textId="57782A26">
      <w:pPr>
        <w:pStyle w:val="ListParagraph"/>
        <w:numPr>
          <w:ilvl w:val="0"/>
          <w:numId w:val="4"/>
        </w:numPr>
        <w:rPr>
          <w:rFonts w:ascii="Times New Roman" w:hAnsi="Times New Roman"/>
          <w:sz w:val="24"/>
          <w:szCs w:val="24"/>
        </w:rPr>
      </w:pPr>
      <w:r w:rsidRPr="00060463">
        <w:rPr>
          <w:rFonts w:ascii="Times New Roman" w:hAnsi="Times New Roman"/>
          <w:sz w:val="24"/>
          <w:szCs w:val="24"/>
        </w:rPr>
        <w:t>A</w:t>
      </w:r>
      <w:r w:rsidRPr="00060463" w:rsidR="00B16364">
        <w:rPr>
          <w:rFonts w:ascii="Times New Roman" w:hAnsi="Times New Roman"/>
          <w:sz w:val="24"/>
          <w:szCs w:val="24"/>
        </w:rPr>
        <w:t>dd</w:t>
      </w:r>
      <w:r w:rsidRPr="00060463">
        <w:rPr>
          <w:rFonts w:ascii="Times New Roman" w:hAnsi="Times New Roman"/>
          <w:sz w:val="24"/>
          <w:szCs w:val="24"/>
        </w:rPr>
        <w:t>ing</w:t>
      </w:r>
      <w:r w:rsidRPr="00060463" w:rsidR="00B16364">
        <w:rPr>
          <w:rFonts w:ascii="Times New Roman" w:hAnsi="Times New Roman"/>
          <w:sz w:val="24"/>
          <w:szCs w:val="24"/>
        </w:rPr>
        <w:t xml:space="preserve"> 6</w:t>
      </w:r>
      <w:r w:rsidRPr="00060463" w:rsidR="00134FC7">
        <w:rPr>
          <w:rFonts w:ascii="Times New Roman" w:hAnsi="Times New Roman"/>
          <w:sz w:val="24"/>
          <w:szCs w:val="24"/>
        </w:rPr>
        <w:t xml:space="preserve"> new</w:t>
      </w:r>
      <w:r w:rsidRPr="00060463" w:rsidR="00586417">
        <w:rPr>
          <w:rFonts w:ascii="Times New Roman" w:hAnsi="Times New Roman"/>
          <w:sz w:val="24"/>
          <w:szCs w:val="24"/>
        </w:rPr>
        <w:t xml:space="preserve"> CSP</w:t>
      </w:r>
      <w:r w:rsidRPr="00060463" w:rsidR="00B16364">
        <w:rPr>
          <w:rFonts w:ascii="Times New Roman" w:hAnsi="Times New Roman"/>
          <w:sz w:val="24"/>
          <w:szCs w:val="24"/>
        </w:rPr>
        <w:t xml:space="preserve"> recipients</w:t>
      </w:r>
      <w:r w:rsidRPr="00060463" w:rsidR="00586417">
        <w:rPr>
          <w:rFonts w:ascii="Times New Roman" w:hAnsi="Times New Roman"/>
          <w:sz w:val="24"/>
          <w:szCs w:val="24"/>
        </w:rPr>
        <w:t xml:space="preserve"> and</w:t>
      </w:r>
      <w:r w:rsidRPr="00060463" w:rsidR="00134FC7">
        <w:rPr>
          <w:rFonts w:ascii="Times New Roman" w:hAnsi="Times New Roman"/>
          <w:sz w:val="24"/>
          <w:szCs w:val="24"/>
        </w:rPr>
        <w:t xml:space="preserve"> changing </w:t>
      </w:r>
      <w:r w:rsidRPr="00060463" w:rsidR="00586417">
        <w:rPr>
          <w:rFonts w:ascii="Times New Roman" w:hAnsi="Times New Roman"/>
          <w:sz w:val="24"/>
          <w:szCs w:val="24"/>
        </w:rPr>
        <w:t xml:space="preserve">the </w:t>
      </w:r>
      <w:r w:rsidRPr="00060463">
        <w:rPr>
          <w:rFonts w:ascii="Times New Roman" w:hAnsi="Times New Roman"/>
          <w:sz w:val="24"/>
          <w:szCs w:val="24"/>
        </w:rPr>
        <w:t>number of respondents</w:t>
      </w:r>
      <w:r w:rsidRPr="00060463" w:rsidR="00BB32F3">
        <w:rPr>
          <w:rFonts w:ascii="Times New Roman" w:hAnsi="Times New Roman"/>
          <w:sz w:val="24"/>
          <w:szCs w:val="24"/>
        </w:rPr>
        <w:t xml:space="preserve"> in the burden hours and cost tables</w:t>
      </w:r>
      <w:r w:rsidR="00876E10">
        <w:rPr>
          <w:rFonts w:ascii="Times New Roman" w:hAnsi="Times New Roman"/>
          <w:sz w:val="24"/>
          <w:szCs w:val="24"/>
        </w:rPr>
        <w:t xml:space="preserve"> (Table 1 and Table 2)</w:t>
      </w:r>
      <w:r w:rsidRPr="00060463">
        <w:rPr>
          <w:rFonts w:ascii="Times New Roman" w:hAnsi="Times New Roman"/>
          <w:sz w:val="24"/>
          <w:szCs w:val="24"/>
        </w:rPr>
        <w:t xml:space="preserve"> from 11 to 17. </w:t>
      </w:r>
      <w:r w:rsidRPr="00060463" w:rsidR="00B16364">
        <w:rPr>
          <w:rFonts w:ascii="Times New Roman" w:hAnsi="Times New Roman"/>
          <w:sz w:val="24"/>
          <w:szCs w:val="24"/>
        </w:rPr>
        <w:t xml:space="preserve"> </w:t>
      </w:r>
    </w:p>
    <w:p w:rsidR="000A4528" w:rsidP="00060463" w14:paraId="6A05A809" w14:textId="72B40E5B">
      <w:pPr>
        <w:pStyle w:val="ListParagraph"/>
        <w:numPr>
          <w:ilvl w:val="0"/>
          <w:numId w:val="4"/>
        </w:numPr>
        <w:rPr>
          <w:rFonts w:ascii="Times New Roman" w:hAnsi="Times New Roman"/>
          <w:sz w:val="24"/>
          <w:szCs w:val="24"/>
        </w:rPr>
      </w:pPr>
      <w:r w:rsidRPr="00060463">
        <w:rPr>
          <w:rFonts w:ascii="Times New Roman" w:hAnsi="Times New Roman"/>
          <w:sz w:val="24"/>
          <w:szCs w:val="24"/>
        </w:rPr>
        <w:t xml:space="preserve">Adding </w:t>
      </w:r>
      <w:r w:rsidRPr="00060463" w:rsidR="00B16364">
        <w:rPr>
          <w:rFonts w:ascii="Times New Roman" w:hAnsi="Times New Roman"/>
          <w:sz w:val="24"/>
          <w:szCs w:val="24"/>
        </w:rPr>
        <w:t xml:space="preserve">72 </w:t>
      </w:r>
      <w:r w:rsidRPr="00060463" w:rsidR="00B16364">
        <w:rPr>
          <w:rFonts w:ascii="Times New Roman" w:hAnsi="Times New Roman"/>
          <w:sz w:val="24"/>
          <w:szCs w:val="24"/>
        </w:rPr>
        <w:t>hrs</w:t>
      </w:r>
      <w:r w:rsidRPr="00060463">
        <w:rPr>
          <w:rFonts w:ascii="Times New Roman" w:hAnsi="Times New Roman"/>
          <w:sz w:val="24"/>
          <w:szCs w:val="24"/>
        </w:rPr>
        <w:t xml:space="preserve"> to the burden hours </w:t>
      </w:r>
      <w:r w:rsidR="005F3C41">
        <w:rPr>
          <w:rFonts w:ascii="Times New Roman" w:hAnsi="Times New Roman"/>
          <w:sz w:val="24"/>
          <w:szCs w:val="24"/>
        </w:rPr>
        <w:t>in T</w:t>
      </w:r>
      <w:r w:rsidRPr="00060463">
        <w:rPr>
          <w:rFonts w:ascii="Times New Roman" w:hAnsi="Times New Roman"/>
          <w:sz w:val="24"/>
          <w:szCs w:val="24"/>
        </w:rPr>
        <w:t>able</w:t>
      </w:r>
      <w:r w:rsidR="005F3C41">
        <w:rPr>
          <w:rFonts w:ascii="Times New Roman" w:hAnsi="Times New Roman"/>
          <w:sz w:val="24"/>
          <w:szCs w:val="24"/>
        </w:rPr>
        <w:t xml:space="preserve"> 1,</w:t>
      </w:r>
      <w:r w:rsidRPr="00060463" w:rsidR="00B16364">
        <w:rPr>
          <w:rFonts w:ascii="Times New Roman" w:hAnsi="Times New Roman"/>
          <w:sz w:val="24"/>
          <w:szCs w:val="24"/>
        </w:rPr>
        <w:t xml:space="preserve"> </w:t>
      </w:r>
      <w:r w:rsidRPr="00060463" w:rsidR="00060463">
        <w:rPr>
          <w:rFonts w:ascii="Times New Roman" w:hAnsi="Times New Roman"/>
          <w:sz w:val="24"/>
          <w:szCs w:val="24"/>
        </w:rPr>
        <w:t>which changes the total burden hours from 132</w:t>
      </w:r>
      <w:r w:rsidRPr="00060463" w:rsidR="00B16364">
        <w:rPr>
          <w:rFonts w:ascii="Times New Roman" w:hAnsi="Times New Roman"/>
          <w:sz w:val="24"/>
          <w:szCs w:val="24"/>
        </w:rPr>
        <w:t xml:space="preserve"> </w:t>
      </w:r>
      <w:r w:rsidRPr="00060463" w:rsidR="00060463">
        <w:rPr>
          <w:rFonts w:ascii="Times New Roman" w:hAnsi="Times New Roman"/>
          <w:sz w:val="24"/>
          <w:szCs w:val="24"/>
        </w:rPr>
        <w:t>to</w:t>
      </w:r>
      <w:r w:rsidRPr="00060463" w:rsidR="00B16364">
        <w:rPr>
          <w:rFonts w:ascii="Times New Roman" w:hAnsi="Times New Roman"/>
          <w:sz w:val="24"/>
          <w:szCs w:val="24"/>
        </w:rPr>
        <w:t xml:space="preserve"> 204 </w:t>
      </w:r>
      <w:r w:rsidRPr="00060463" w:rsidR="00060463">
        <w:rPr>
          <w:rFonts w:ascii="Times New Roman" w:hAnsi="Times New Roman"/>
          <w:sz w:val="24"/>
          <w:szCs w:val="24"/>
        </w:rPr>
        <w:t>hours</w:t>
      </w:r>
      <w:r w:rsidRPr="00060463" w:rsidR="00B16364">
        <w:rPr>
          <w:rFonts w:ascii="Times New Roman" w:hAnsi="Times New Roman"/>
          <w:sz w:val="24"/>
          <w:szCs w:val="24"/>
        </w:rPr>
        <w:t>.</w:t>
      </w:r>
    </w:p>
    <w:p w:rsidR="00060463" w:rsidRPr="00060463" w:rsidP="00060463" w14:paraId="5E8F9F94" w14:textId="3AE90EED">
      <w:pPr>
        <w:pStyle w:val="ListParagraph"/>
        <w:numPr>
          <w:ilvl w:val="0"/>
          <w:numId w:val="4"/>
        </w:numPr>
        <w:rPr>
          <w:rFonts w:ascii="Times New Roman" w:hAnsi="Times New Roman"/>
          <w:sz w:val="24"/>
          <w:szCs w:val="24"/>
        </w:rPr>
      </w:pPr>
      <w:r>
        <w:rPr>
          <w:rFonts w:ascii="Times New Roman" w:hAnsi="Times New Roman"/>
          <w:sz w:val="24"/>
          <w:szCs w:val="24"/>
        </w:rPr>
        <w:t xml:space="preserve">Adding </w:t>
      </w:r>
      <w:r w:rsidR="000D5406">
        <w:rPr>
          <w:rFonts w:ascii="Times New Roman" w:hAnsi="Times New Roman"/>
          <w:sz w:val="24"/>
          <w:szCs w:val="24"/>
        </w:rPr>
        <w:t xml:space="preserve">$2,232 to total respondent cost in Table 2, </w:t>
      </w:r>
      <w:r w:rsidR="00C871D2">
        <w:rPr>
          <w:rFonts w:ascii="Times New Roman" w:hAnsi="Times New Roman"/>
          <w:sz w:val="24"/>
          <w:szCs w:val="24"/>
        </w:rPr>
        <w:t>which changes the total respondent cost from $4,092 to $6,324</w:t>
      </w:r>
      <w:r w:rsidR="00571692">
        <w:rPr>
          <w:rFonts w:ascii="Times New Roman" w:hAnsi="Times New Roman"/>
          <w:sz w:val="24"/>
          <w:szCs w:val="24"/>
        </w:rPr>
        <w:t>.</w:t>
      </w:r>
    </w:p>
    <w:p w:rsidR="000A4528" w:rsidRPr="00232807" w:rsidP="00232807" w14:paraId="2D147549" w14:textId="77777777">
      <w:pPr>
        <w:spacing w:after="0" w:line="240" w:lineRule="auto"/>
        <w:rPr>
          <w:rFonts w:ascii="Times New Roman" w:hAnsi="Times New Roman"/>
          <w:b/>
          <w:sz w:val="24"/>
          <w:szCs w:val="24"/>
        </w:rPr>
      </w:pPr>
      <w:r w:rsidRPr="00232807">
        <w:rPr>
          <w:rFonts w:ascii="Times New Roman" w:hAnsi="Times New Roman"/>
          <w:b/>
          <w:sz w:val="24"/>
          <w:szCs w:val="24"/>
        </w:rPr>
        <w:t>Change to Burden and/or Cost</w:t>
      </w:r>
    </w:p>
    <w:p w:rsidR="00337DD5" w:rsidRPr="000C34CB" w:rsidP="000C34CB" w14:paraId="15100458" w14:textId="02509E9A">
      <w:pPr>
        <w:pStyle w:val="ListParagraph"/>
        <w:numPr>
          <w:ilvl w:val="0"/>
          <w:numId w:val="5"/>
        </w:numPr>
        <w:spacing w:line="240" w:lineRule="auto"/>
        <w:rPr>
          <w:rFonts w:ascii="Times New Roman" w:hAnsi="Times New Roman"/>
          <w:sz w:val="24"/>
          <w:szCs w:val="24"/>
          <w:u w:val="single"/>
        </w:rPr>
      </w:pPr>
      <w:r w:rsidRPr="000C34CB">
        <w:rPr>
          <w:rFonts w:ascii="Times New Roman" w:hAnsi="Times New Roman"/>
          <w:sz w:val="24"/>
          <w:szCs w:val="24"/>
        </w:rPr>
        <w:t xml:space="preserve">Currently approved burden and costs for </w:t>
      </w:r>
      <w:r w:rsidRPr="000C34CB" w:rsidR="00F80564">
        <w:rPr>
          <w:rFonts w:ascii="Times New Roman" w:hAnsi="Times New Roman"/>
          <w:sz w:val="24"/>
          <w:szCs w:val="24"/>
        </w:rPr>
        <w:t>11 CSP recipients</w:t>
      </w:r>
      <w:r w:rsidRPr="000C34CB">
        <w:rPr>
          <w:rFonts w:ascii="Times New Roman" w:hAnsi="Times New Roman"/>
          <w:sz w:val="24"/>
          <w:szCs w:val="24"/>
        </w:rPr>
        <w:t>:</w:t>
      </w:r>
    </w:p>
    <w:p w:rsidR="00732978" w:rsidP="00232807" w14:paraId="69FABD3B" w14:textId="3D91950E">
      <w:pPr>
        <w:spacing w:line="240" w:lineRule="auto"/>
        <w:rPr>
          <w:rFonts w:ascii="Times New Roman" w:hAnsi="Times New Roman"/>
          <w:sz w:val="24"/>
          <w:szCs w:val="24"/>
        </w:rPr>
      </w:pPr>
      <w:r w:rsidRPr="00337DD5">
        <w:rPr>
          <w:rFonts w:ascii="Times New Roman" w:hAnsi="Times New Roman"/>
          <w:sz w:val="24"/>
          <w:szCs w:val="24"/>
        </w:rPr>
        <w:t xml:space="preserve">The total annual burden for all grantees is 132 hours, as summarized in Table 1.  Estimates for burden were developed based on preliminary pilot tested by 9 current recipients and revisions to the portal made per feedback from similar programs at NCIPC. The estimate for the Annual Reporting Template includes time for reviewing instructions, searching sources, data collection, and completion of the templates.  </w:t>
      </w:r>
    </w:p>
    <w:p w:rsidR="005425FC" w:rsidRPr="005425FC" w:rsidP="005425FC" w14:paraId="50CBDCFB" w14:textId="4AD4E80F">
      <w:pPr>
        <w:pStyle w:val="Heading1"/>
        <w:tabs>
          <w:tab w:val="right" w:pos="10080"/>
        </w:tabs>
      </w:pPr>
      <w:r w:rsidRPr="00337DD5">
        <w:rPr>
          <w:szCs w:val="24"/>
        </w:rPr>
        <w:t xml:space="preserve">The total annual burden for all grantees is </w:t>
      </w:r>
      <w:r>
        <w:rPr>
          <w:szCs w:val="24"/>
        </w:rPr>
        <w:t xml:space="preserve">$4,092. </w:t>
      </w:r>
      <w:r w:rsidRPr="005425FC">
        <w:t>A program manager will prepare the progress reports for each area.  The average hourly wage for a program manager is $31. The hourly wage rates for program managers are based on wages for similar mid-to-high level positions in the public sector</w:t>
      </w:r>
      <w:r>
        <w:t xml:space="preserve">, </w:t>
      </w:r>
      <w:hyperlink r:id="rId8" w:history="1">
        <w:r w:rsidRPr="005425FC">
          <w:rPr>
            <w:rStyle w:val="Hyperlink"/>
          </w:rPr>
          <w:t>https://www.bls.gov/oes/current/oes_stru.htm</w:t>
        </w:r>
      </w:hyperlink>
      <w:r w:rsidRPr="005425FC">
        <w:t xml:space="preserve"> </w:t>
      </w:r>
    </w:p>
    <w:p w:rsidR="005425FC" w:rsidRPr="005425FC" w:rsidP="005425FC" w14:paraId="5F409A1F" w14:textId="77777777">
      <w:pPr>
        <w:pStyle w:val="Heading1"/>
        <w:tabs>
          <w:tab w:val="right" w:pos="10080"/>
        </w:tabs>
        <w:rPr>
          <w:b/>
        </w:rPr>
      </w:pPr>
    </w:p>
    <w:p w:rsidR="00520CF0" w:rsidP="00520CF0" w14:paraId="1FEFB35C" w14:textId="77777777">
      <w:pPr>
        <w:pStyle w:val="Heading1"/>
        <w:tabs>
          <w:tab w:val="right" w:pos="10080"/>
        </w:tabs>
      </w:pPr>
    </w:p>
    <w:p w:rsidR="00520CF0" w:rsidRPr="00520CF0" w:rsidP="000C34CB" w14:paraId="7E706818" w14:textId="51F6BCB2">
      <w:pPr>
        <w:pStyle w:val="Heading1"/>
        <w:numPr>
          <w:ilvl w:val="0"/>
          <w:numId w:val="5"/>
        </w:numPr>
        <w:tabs>
          <w:tab w:val="right" w:pos="10080"/>
        </w:tabs>
      </w:pPr>
      <w:r>
        <w:t>Change to</w:t>
      </w:r>
      <w:r w:rsidRPr="00A045F1" w:rsidR="00A045F1">
        <w:t xml:space="preserve"> burden and costs</w:t>
      </w:r>
      <w:r w:rsidR="00A045F1">
        <w:t>:</w:t>
      </w:r>
      <w:r>
        <w:br/>
      </w:r>
    </w:p>
    <w:p w:rsidR="006B0A1D" w:rsidRPr="006B0A1D" w:rsidP="006B0A1D" w14:paraId="2CC08C37" w14:textId="50B6B20F">
      <w:pPr>
        <w:spacing w:line="240" w:lineRule="auto"/>
        <w:rPr>
          <w:rFonts w:ascii="Times New Roman" w:hAnsi="Times New Roman"/>
          <w:sz w:val="24"/>
          <w:szCs w:val="24"/>
        </w:rPr>
      </w:pPr>
      <w:r w:rsidRPr="006B0A1D">
        <w:rPr>
          <w:rFonts w:ascii="Times New Roman" w:hAnsi="Times New Roman"/>
          <w:sz w:val="24"/>
          <w:szCs w:val="24"/>
        </w:rPr>
        <w:t xml:space="preserve">The total annual burden for all grantees is </w:t>
      </w:r>
      <w:r w:rsidRPr="0045653C" w:rsidR="007309AE">
        <w:rPr>
          <w:rFonts w:ascii="Times New Roman" w:hAnsi="Times New Roman"/>
          <w:sz w:val="24"/>
          <w:szCs w:val="24"/>
        </w:rPr>
        <w:t>204</w:t>
      </w:r>
      <w:r w:rsidRPr="006B0A1D">
        <w:rPr>
          <w:rFonts w:ascii="Times New Roman" w:hAnsi="Times New Roman"/>
          <w:sz w:val="24"/>
          <w:szCs w:val="24"/>
        </w:rPr>
        <w:t xml:space="preserve"> hours</w:t>
      </w:r>
      <w:r w:rsidR="000C34CB">
        <w:rPr>
          <w:rFonts w:ascii="Times New Roman" w:hAnsi="Times New Roman"/>
          <w:sz w:val="24"/>
          <w:szCs w:val="24"/>
        </w:rPr>
        <w:t xml:space="preserve">. </w:t>
      </w:r>
      <w:r w:rsidRPr="006B0A1D">
        <w:rPr>
          <w:rFonts w:ascii="Times New Roman" w:hAnsi="Times New Roman"/>
          <w:sz w:val="24"/>
          <w:szCs w:val="24"/>
        </w:rPr>
        <w:t xml:space="preserve">Estimates for burden were developed based on preliminary pilot tested by 9 current recipients and revisions to the portal made per feedback from similar programs at NCIPC. The estimate for the Annual Reporting Template includes time for reviewing instructions, searching sources, data collection, and completion of the templates.  </w:t>
      </w:r>
    </w:p>
    <w:p w:rsidR="006B0A1D" w:rsidRPr="006B0A1D" w:rsidP="006B0A1D" w14:paraId="71CFE7AE" w14:textId="77777777">
      <w:pPr>
        <w:spacing w:line="240" w:lineRule="auto"/>
        <w:rPr>
          <w:rFonts w:ascii="Times New Roman" w:hAnsi="Times New Roman"/>
          <w:sz w:val="24"/>
          <w:szCs w:val="24"/>
        </w:rPr>
      </w:pPr>
      <w:r w:rsidRPr="006B0A1D">
        <w:rPr>
          <w:rFonts w:ascii="Times New Roman" w:hAnsi="Times New Roman"/>
          <w:sz w:val="24"/>
          <w:szCs w:val="24"/>
        </w:rPr>
        <w:t xml:space="preserve">Table 1.  Estimated Annualized Burden Hours </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1822"/>
        <w:gridCol w:w="1620"/>
        <w:gridCol w:w="1620"/>
        <w:gridCol w:w="1710"/>
        <w:gridCol w:w="1170"/>
      </w:tblGrid>
      <w:tr w14:paraId="32A83316" w14:textId="77777777" w:rsidTr="001B19F8">
        <w:tblPrEx>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70"/>
        </w:trPr>
        <w:tc>
          <w:tcPr>
            <w:tcW w:w="1508" w:type="dxa"/>
            <w:vAlign w:val="center"/>
          </w:tcPr>
          <w:p w:rsidR="006B0A1D" w:rsidRPr="006B0A1D" w:rsidP="006B0A1D" w14:paraId="4FF7E5E9" w14:textId="77777777">
            <w:pPr>
              <w:spacing w:line="240" w:lineRule="auto"/>
              <w:rPr>
                <w:rFonts w:ascii="Times New Roman" w:hAnsi="Times New Roman"/>
                <w:sz w:val="24"/>
                <w:szCs w:val="24"/>
              </w:rPr>
            </w:pPr>
            <w:r w:rsidRPr="006B0A1D">
              <w:rPr>
                <w:rFonts w:ascii="Times New Roman" w:hAnsi="Times New Roman"/>
                <w:sz w:val="24"/>
                <w:szCs w:val="24"/>
              </w:rPr>
              <w:t>Type of Respondents</w:t>
            </w:r>
          </w:p>
        </w:tc>
        <w:tc>
          <w:tcPr>
            <w:tcW w:w="1822" w:type="dxa"/>
          </w:tcPr>
          <w:p w:rsidR="006B0A1D" w:rsidRPr="006B0A1D" w:rsidP="006B0A1D" w14:paraId="743C0477" w14:textId="77777777">
            <w:pPr>
              <w:spacing w:line="240" w:lineRule="auto"/>
              <w:rPr>
                <w:rFonts w:ascii="Times New Roman" w:hAnsi="Times New Roman"/>
                <w:sz w:val="24"/>
                <w:szCs w:val="24"/>
              </w:rPr>
            </w:pPr>
          </w:p>
          <w:p w:rsidR="006B0A1D" w:rsidRPr="006B0A1D" w:rsidP="006B0A1D" w14:paraId="3D844DDB" w14:textId="77777777">
            <w:pPr>
              <w:spacing w:line="240" w:lineRule="auto"/>
              <w:rPr>
                <w:rFonts w:ascii="Times New Roman" w:hAnsi="Times New Roman"/>
                <w:sz w:val="24"/>
                <w:szCs w:val="24"/>
              </w:rPr>
            </w:pPr>
            <w:r w:rsidRPr="006B0A1D">
              <w:rPr>
                <w:rFonts w:ascii="Times New Roman" w:hAnsi="Times New Roman"/>
                <w:sz w:val="24"/>
                <w:szCs w:val="24"/>
              </w:rPr>
              <w:t>Form Name</w:t>
            </w:r>
          </w:p>
        </w:tc>
        <w:tc>
          <w:tcPr>
            <w:tcW w:w="1620" w:type="dxa"/>
            <w:vAlign w:val="center"/>
          </w:tcPr>
          <w:p w:rsidR="006B0A1D" w:rsidRPr="006B0A1D" w:rsidP="006B0A1D" w14:paraId="17AB9185" w14:textId="77777777">
            <w:pPr>
              <w:spacing w:line="240" w:lineRule="auto"/>
              <w:rPr>
                <w:rFonts w:ascii="Times New Roman" w:hAnsi="Times New Roman"/>
                <w:sz w:val="24"/>
                <w:szCs w:val="24"/>
              </w:rPr>
            </w:pPr>
            <w:r w:rsidRPr="006B0A1D">
              <w:rPr>
                <w:rFonts w:ascii="Times New Roman" w:hAnsi="Times New Roman"/>
                <w:sz w:val="24"/>
                <w:szCs w:val="24"/>
              </w:rPr>
              <w:t>Number of Respondents</w:t>
            </w:r>
          </w:p>
        </w:tc>
        <w:tc>
          <w:tcPr>
            <w:tcW w:w="1620" w:type="dxa"/>
            <w:vAlign w:val="center"/>
          </w:tcPr>
          <w:p w:rsidR="006B0A1D" w:rsidRPr="006B0A1D" w:rsidP="006B0A1D" w14:paraId="2BFA4F51" w14:textId="77777777">
            <w:pPr>
              <w:spacing w:line="240" w:lineRule="auto"/>
              <w:rPr>
                <w:rFonts w:ascii="Times New Roman" w:hAnsi="Times New Roman"/>
                <w:sz w:val="24"/>
                <w:szCs w:val="24"/>
              </w:rPr>
            </w:pPr>
            <w:r w:rsidRPr="006B0A1D">
              <w:rPr>
                <w:rFonts w:ascii="Times New Roman" w:hAnsi="Times New Roman"/>
                <w:sz w:val="24"/>
                <w:szCs w:val="24"/>
              </w:rPr>
              <w:t>Number of Responses per Respondent</w:t>
            </w:r>
          </w:p>
        </w:tc>
        <w:tc>
          <w:tcPr>
            <w:tcW w:w="1710" w:type="dxa"/>
            <w:vAlign w:val="center"/>
          </w:tcPr>
          <w:p w:rsidR="006B0A1D" w:rsidRPr="006B0A1D" w:rsidP="006B0A1D" w14:paraId="3CC1B283" w14:textId="77777777">
            <w:pPr>
              <w:spacing w:line="240" w:lineRule="auto"/>
              <w:rPr>
                <w:rFonts w:ascii="Times New Roman" w:hAnsi="Times New Roman"/>
                <w:sz w:val="24"/>
                <w:szCs w:val="24"/>
              </w:rPr>
            </w:pPr>
            <w:r w:rsidRPr="006B0A1D">
              <w:rPr>
                <w:rFonts w:ascii="Times New Roman" w:hAnsi="Times New Roman"/>
                <w:sz w:val="24"/>
                <w:szCs w:val="24"/>
              </w:rPr>
              <w:t>Average Burden per Response</w:t>
            </w:r>
          </w:p>
          <w:p w:rsidR="006B0A1D" w:rsidRPr="006B0A1D" w:rsidP="006B0A1D" w14:paraId="6DEA2E7E" w14:textId="77777777">
            <w:pPr>
              <w:spacing w:line="240" w:lineRule="auto"/>
              <w:rPr>
                <w:rFonts w:ascii="Times New Roman" w:hAnsi="Times New Roman"/>
                <w:sz w:val="24"/>
                <w:szCs w:val="24"/>
              </w:rPr>
            </w:pPr>
            <w:r w:rsidRPr="006B0A1D">
              <w:rPr>
                <w:rFonts w:ascii="Times New Roman" w:hAnsi="Times New Roman"/>
                <w:sz w:val="24"/>
                <w:szCs w:val="24"/>
              </w:rPr>
              <w:t>(</w:t>
            </w:r>
            <w:r w:rsidRPr="006B0A1D">
              <w:rPr>
                <w:rFonts w:ascii="Times New Roman" w:hAnsi="Times New Roman"/>
                <w:sz w:val="24"/>
                <w:szCs w:val="24"/>
              </w:rPr>
              <w:t>in</w:t>
            </w:r>
            <w:r w:rsidRPr="006B0A1D">
              <w:rPr>
                <w:rFonts w:ascii="Times New Roman" w:hAnsi="Times New Roman"/>
                <w:sz w:val="24"/>
                <w:szCs w:val="24"/>
              </w:rPr>
              <w:t xml:space="preserve"> hours)</w:t>
            </w:r>
          </w:p>
        </w:tc>
        <w:tc>
          <w:tcPr>
            <w:tcW w:w="1170" w:type="dxa"/>
            <w:vAlign w:val="center"/>
          </w:tcPr>
          <w:p w:rsidR="006B0A1D" w:rsidRPr="006B0A1D" w:rsidP="006B0A1D" w14:paraId="4C068EFC" w14:textId="77777777">
            <w:pPr>
              <w:spacing w:line="240" w:lineRule="auto"/>
              <w:rPr>
                <w:rFonts w:ascii="Times New Roman" w:hAnsi="Times New Roman"/>
                <w:sz w:val="24"/>
                <w:szCs w:val="24"/>
              </w:rPr>
            </w:pPr>
            <w:r w:rsidRPr="006B0A1D">
              <w:rPr>
                <w:rFonts w:ascii="Times New Roman" w:hAnsi="Times New Roman"/>
                <w:sz w:val="24"/>
                <w:szCs w:val="24"/>
              </w:rPr>
              <w:t>Total Burden (in hours)</w:t>
            </w:r>
          </w:p>
        </w:tc>
      </w:tr>
      <w:tr w14:paraId="507CF513" w14:textId="77777777" w:rsidTr="001B19F8">
        <w:tblPrEx>
          <w:tblW w:w="9450" w:type="dxa"/>
          <w:tblInd w:w="-72" w:type="dxa"/>
          <w:tblLayout w:type="fixed"/>
          <w:tblLook w:val="01E0"/>
        </w:tblPrEx>
        <w:trPr>
          <w:trHeight w:val="1070"/>
        </w:trPr>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79BCAF27" w14:textId="77777777">
            <w:pPr>
              <w:spacing w:line="240" w:lineRule="auto"/>
              <w:rPr>
                <w:rFonts w:ascii="Times New Roman" w:hAnsi="Times New Roman"/>
                <w:sz w:val="24"/>
                <w:szCs w:val="24"/>
              </w:rPr>
            </w:pPr>
            <w:r w:rsidRPr="006B0A1D">
              <w:rPr>
                <w:rFonts w:ascii="Times New Roman" w:hAnsi="Times New Roman"/>
                <w:sz w:val="24"/>
                <w:szCs w:val="24"/>
              </w:rPr>
              <w:t>CSP Program Recipients </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6B0A1D" w:rsidRPr="006B0A1D" w:rsidP="006B0A1D" w14:paraId="5698550A" w14:textId="77777777">
            <w:pPr>
              <w:spacing w:line="240" w:lineRule="auto"/>
              <w:rPr>
                <w:rFonts w:ascii="Times New Roman" w:hAnsi="Times New Roman"/>
                <w:sz w:val="24"/>
                <w:szCs w:val="24"/>
              </w:rPr>
            </w:pPr>
            <w:r w:rsidRPr="006B0A1D">
              <w:rPr>
                <w:rFonts w:ascii="Times New Roman" w:hAnsi="Times New Roman"/>
                <w:sz w:val="24"/>
                <w:szCs w:val="24"/>
              </w:rPr>
              <w:t>Annual Progress Report (Attachment D)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2D0353CD" w14:textId="57AE3E4E">
            <w:pPr>
              <w:spacing w:line="240" w:lineRule="auto"/>
              <w:rPr>
                <w:rFonts w:ascii="Times New Roman" w:hAnsi="Times New Roman"/>
                <w:sz w:val="24"/>
                <w:szCs w:val="24"/>
              </w:rPr>
            </w:pPr>
            <w:r w:rsidRPr="006B0A1D">
              <w:rPr>
                <w:rFonts w:ascii="Times New Roman" w:hAnsi="Times New Roman"/>
                <w:sz w:val="24"/>
                <w:szCs w:val="24"/>
              </w:rPr>
              <w:t>1</w:t>
            </w:r>
            <w:r w:rsidRPr="0045653C" w:rsidR="00914AB5">
              <w:rPr>
                <w:rFonts w:ascii="Times New Roman" w:hAnsi="Times New Roman"/>
                <w:sz w:val="24"/>
                <w:szCs w:val="24"/>
              </w:rPr>
              <w:t>7</w:t>
            </w:r>
            <w:r w:rsidRPr="006B0A1D">
              <w:rPr>
                <w:rFonts w:ascii="Times New Roman" w:hAnsi="Times New Roman"/>
                <w:sz w:val="24"/>
                <w:szCs w:val="24"/>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73B299EA" w14:textId="77777777">
            <w:pPr>
              <w:spacing w:line="240" w:lineRule="auto"/>
              <w:rPr>
                <w:rFonts w:ascii="Times New Roman" w:hAnsi="Times New Roman"/>
                <w:sz w:val="24"/>
                <w:szCs w:val="24"/>
              </w:rPr>
            </w:pPr>
            <w:r w:rsidRPr="006B0A1D">
              <w:rPr>
                <w:rFonts w:ascii="Times New Roman" w:hAnsi="Times New Roman"/>
                <w:sz w:val="24"/>
                <w:szCs w:val="24"/>
              </w:rPr>
              <w:t>1 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25C799EC" w14:textId="77777777">
            <w:pPr>
              <w:spacing w:line="240" w:lineRule="auto"/>
              <w:rPr>
                <w:rFonts w:ascii="Times New Roman" w:hAnsi="Times New Roman"/>
                <w:sz w:val="24"/>
                <w:szCs w:val="24"/>
              </w:rPr>
            </w:pPr>
            <w:r w:rsidRPr="006B0A1D">
              <w:rPr>
                <w:rFonts w:ascii="Times New Roman" w:hAnsi="Times New Roman"/>
                <w:sz w:val="24"/>
                <w:szCs w:val="24"/>
              </w:rPr>
              <w:t>12 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7568CC92" w14:textId="5E0DF4FE">
            <w:pPr>
              <w:spacing w:line="240" w:lineRule="auto"/>
              <w:rPr>
                <w:rFonts w:ascii="Times New Roman" w:hAnsi="Times New Roman"/>
                <w:sz w:val="24"/>
                <w:szCs w:val="24"/>
              </w:rPr>
            </w:pPr>
            <w:r w:rsidRPr="0045653C">
              <w:rPr>
                <w:rFonts w:ascii="Times New Roman" w:hAnsi="Times New Roman"/>
                <w:sz w:val="24"/>
                <w:szCs w:val="24"/>
              </w:rPr>
              <w:t>204</w:t>
            </w:r>
          </w:p>
        </w:tc>
      </w:tr>
      <w:tr w14:paraId="259F4B7E" w14:textId="77777777" w:rsidTr="001B19F8">
        <w:tblPrEx>
          <w:tblW w:w="9450" w:type="dxa"/>
          <w:tblInd w:w="-72" w:type="dxa"/>
          <w:tblLayout w:type="fixed"/>
          <w:tblLook w:val="01E0"/>
        </w:tblPrEx>
        <w:trPr>
          <w:trHeight w:val="276"/>
        </w:trPr>
        <w:tc>
          <w:tcPr>
            <w:tcW w:w="8280" w:type="dxa"/>
            <w:gridSpan w:val="5"/>
          </w:tcPr>
          <w:p w:rsidR="006B0A1D" w:rsidRPr="006B0A1D" w:rsidP="006B0A1D" w14:paraId="64D2B371" w14:textId="77777777">
            <w:pPr>
              <w:spacing w:line="240" w:lineRule="auto"/>
              <w:rPr>
                <w:rFonts w:ascii="Times New Roman" w:hAnsi="Times New Roman"/>
                <w:b/>
                <w:sz w:val="24"/>
                <w:szCs w:val="24"/>
              </w:rPr>
            </w:pPr>
            <w:r w:rsidRPr="006B0A1D">
              <w:rPr>
                <w:rFonts w:ascii="Times New Roman" w:hAnsi="Times New Roman"/>
                <w:b/>
                <w:sz w:val="24"/>
                <w:szCs w:val="24"/>
              </w:rPr>
              <w:t>Total</w:t>
            </w:r>
          </w:p>
        </w:tc>
        <w:tc>
          <w:tcPr>
            <w:tcW w:w="1170" w:type="dxa"/>
          </w:tcPr>
          <w:p w:rsidR="006B0A1D" w:rsidRPr="006B0A1D" w:rsidP="006B0A1D" w14:paraId="023AD237" w14:textId="4361D4FF">
            <w:pPr>
              <w:spacing w:line="240" w:lineRule="auto"/>
              <w:rPr>
                <w:rFonts w:ascii="Times New Roman" w:hAnsi="Times New Roman"/>
                <w:sz w:val="24"/>
                <w:szCs w:val="24"/>
              </w:rPr>
            </w:pPr>
            <w:r w:rsidRPr="0045653C">
              <w:rPr>
                <w:rFonts w:ascii="Times New Roman" w:hAnsi="Times New Roman"/>
                <w:sz w:val="24"/>
                <w:szCs w:val="24"/>
              </w:rPr>
              <w:t>204</w:t>
            </w:r>
          </w:p>
        </w:tc>
      </w:tr>
    </w:tbl>
    <w:p w:rsidR="006B0A1D" w:rsidRPr="006B0A1D" w:rsidP="006B0A1D" w14:paraId="6B1FED80" w14:textId="77777777">
      <w:pPr>
        <w:spacing w:line="240" w:lineRule="auto"/>
        <w:rPr>
          <w:rFonts w:ascii="Times New Roman" w:hAnsi="Times New Roman"/>
          <w:sz w:val="24"/>
          <w:szCs w:val="24"/>
        </w:rPr>
      </w:pPr>
    </w:p>
    <w:p w:rsidR="006B0A1D" w:rsidRPr="006B0A1D" w:rsidP="006B0A1D" w14:paraId="42E73858"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bCs/>
          <w:sz w:val="24"/>
          <w:szCs w:val="20"/>
        </w:rPr>
        <w:t>Table 2.</w:t>
      </w:r>
      <w:r w:rsidRPr="006B0A1D">
        <w:rPr>
          <w:rFonts w:ascii="Times New Roman" w:eastAsia="Times New Roman" w:hAnsi="Times New Roman"/>
          <w:sz w:val="24"/>
          <w:szCs w:val="20"/>
        </w:rPr>
        <w:t xml:space="preserve"> Estimated Annualized Burden Costs </w:t>
      </w:r>
    </w:p>
    <w:p w:rsidR="006B0A1D" w:rsidRPr="006B0A1D" w:rsidP="006B0A1D" w14:paraId="3B6950BA" w14:textId="77777777">
      <w:pPr>
        <w:keepNext/>
        <w:tabs>
          <w:tab w:val="right" w:pos="10080"/>
        </w:tabs>
        <w:spacing w:after="0" w:line="240" w:lineRule="auto"/>
        <w:outlineLvl w:val="0"/>
        <w:rPr>
          <w:rFonts w:ascii="Times New Roman" w:eastAsia="Times New Roman" w:hAnsi="Times New Roman"/>
          <w:sz w:val="24"/>
          <w:szCs w:val="20"/>
        </w:rPr>
      </w:pPr>
    </w:p>
    <w:p w:rsidR="006B0A1D" w:rsidRPr="006B0A1D" w:rsidP="006B0A1D" w14:paraId="524AB15B" w14:textId="649FB514">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 xml:space="preserve">A program manager will prepare the progress reports for each area.  The average hourly wage for a program manager is $31. The hourly wage rates for program managers are based on wages for </w:t>
      </w:r>
      <w:r w:rsidRPr="006B0A1D">
        <w:rPr>
          <w:rFonts w:ascii="Times New Roman" w:eastAsia="Times New Roman" w:hAnsi="Times New Roman"/>
          <w:sz w:val="24"/>
          <w:szCs w:val="20"/>
        </w:rPr>
        <w:t xml:space="preserve">similar mid-to-high level positions in the public sector.  The total estimated annualized cost is </w:t>
      </w:r>
      <w:r w:rsidRPr="006B0A1D" w:rsidR="002A733A">
        <w:rPr>
          <w:rFonts w:ascii="Times New Roman" w:eastAsia="Times New Roman" w:hAnsi="Times New Roman"/>
          <w:sz w:val="24"/>
          <w:szCs w:val="20"/>
        </w:rPr>
        <w:t>$</w:t>
      </w:r>
      <w:r w:rsidRPr="0045653C" w:rsidR="002A733A">
        <w:rPr>
          <w:rFonts w:ascii="Times New Roman" w:eastAsia="Times New Roman" w:hAnsi="Times New Roman"/>
          <w:sz w:val="24"/>
          <w:szCs w:val="20"/>
        </w:rPr>
        <w:t>6,324</w:t>
      </w:r>
      <w:r w:rsidRPr="006B0A1D">
        <w:rPr>
          <w:rFonts w:ascii="Times New Roman" w:eastAsia="Times New Roman" w:hAnsi="Times New Roman"/>
          <w:sz w:val="24"/>
          <w:szCs w:val="20"/>
        </w:rPr>
        <w:t>, as summarized in Table A.12-2.</w:t>
      </w:r>
    </w:p>
    <w:p w:rsidR="006B0A1D" w:rsidRPr="006B0A1D" w:rsidP="006B0A1D" w14:paraId="1682DC55" w14:textId="77777777">
      <w:pPr>
        <w:keepNext/>
        <w:tabs>
          <w:tab w:val="right" w:pos="10080"/>
        </w:tabs>
        <w:spacing w:after="0" w:line="240" w:lineRule="auto"/>
        <w:outlineLvl w:val="0"/>
        <w:rPr>
          <w:rFonts w:ascii="Times New Roman" w:eastAsia="Times New Roman" w:hAnsi="Times New Roman"/>
          <w:sz w:val="24"/>
          <w:szCs w:val="20"/>
        </w:rPr>
      </w:pPr>
      <w:hyperlink r:id="rId8" w:history="1">
        <w:r w:rsidRPr="006B0A1D">
          <w:rPr>
            <w:rFonts w:ascii="Times New Roman" w:eastAsia="Times New Roman" w:hAnsi="Times New Roman"/>
            <w:color w:val="0000FF" w:themeColor="hyperlink"/>
            <w:sz w:val="24"/>
            <w:szCs w:val="20"/>
            <w:u w:val="single"/>
          </w:rPr>
          <w:t>https://www.bls.gov/oes/current/oes_stru.htm</w:t>
        </w:r>
      </w:hyperlink>
      <w:r w:rsidRPr="006B0A1D">
        <w:rPr>
          <w:rFonts w:ascii="Times New Roman" w:eastAsia="Times New Roman" w:hAnsi="Times New Roman"/>
          <w:sz w:val="24"/>
          <w:szCs w:val="20"/>
        </w:rPr>
        <w:t xml:space="preserve"> </w:t>
      </w:r>
    </w:p>
    <w:tbl>
      <w:tblPr>
        <w:tblpPr w:leftFromText="180" w:rightFromText="180" w:vertAnchor="text" w:horzAnchor="margin" w:tblpXSpec="center" w:tblpY="34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800"/>
        <w:gridCol w:w="1170"/>
        <w:gridCol w:w="1350"/>
        <w:gridCol w:w="1283"/>
        <w:gridCol w:w="1327"/>
        <w:gridCol w:w="1373"/>
      </w:tblGrid>
      <w:tr w14:paraId="372703A1" w14:textId="77777777" w:rsidTr="001B19F8">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5" w:type="dxa"/>
          </w:tcPr>
          <w:p w:rsidR="006B0A1D" w:rsidRPr="006B0A1D" w:rsidP="006B0A1D" w14:paraId="354B6E6A" w14:textId="77777777">
            <w:pPr>
              <w:keepNext/>
              <w:tabs>
                <w:tab w:val="right" w:pos="10080"/>
              </w:tabs>
              <w:spacing w:after="0" w:line="240" w:lineRule="auto"/>
              <w:outlineLvl w:val="0"/>
              <w:rPr>
                <w:rFonts w:ascii="Times New Roman" w:eastAsia="Times New Roman" w:hAnsi="Times New Roman"/>
                <w:sz w:val="24"/>
                <w:szCs w:val="20"/>
              </w:rPr>
            </w:pPr>
          </w:p>
          <w:p w:rsidR="006B0A1D" w:rsidRPr="006B0A1D" w:rsidP="006B0A1D" w14:paraId="29D7A191"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Type of Respondent</w:t>
            </w:r>
          </w:p>
        </w:tc>
        <w:tc>
          <w:tcPr>
            <w:tcW w:w="1800" w:type="dxa"/>
          </w:tcPr>
          <w:p w:rsidR="006B0A1D" w:rsidRPr="006B0A1D" w:rsidP="006B0A1D" w14:paraId="505DEEF9" w14:textId="77777777">
            <w:pPr>
              <w:keepNext/>
              <w:tabs>
                <w:tab w:val="right" w:pos="10080"/>
              </w:tabs>
              <w:spacing w:after="0" w:line="240" w:lineRule="auto"/>
              <w:outlineLvl w:val="0"/>
              <w:rPr>
                <w:rFonts w:ascii="Times New Roman" w:eastAsia="Times New Roman" w:hAnsi="Times New Roman"/>
                <w:sz w:val="24"/>
                <w:szCs w:val="20"/>
              </w:rPr>
            </w:pPr>
          </w:p>
          <w:p w:rsidR="006B0A1D" w:rsidRPr="006B0A1D" w:rsidP="006B0A1D" w14:paraId="3EA5A23F"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Form Name</w:t>
            </w:r>
          </w:p>
        </w:tc>
        <w:tc>
          <w:tcPr>
            <w:tcW w:w="1170" w:type="dxa"/>
            <w:shd w:val="clear" w:color="auto" w:fill="auto"/>
            <w:vAlign w:val="center"/>
          </w:tcPr>
          <w:p w:rsidR="006B0A1D" w:rsidRPr="006B0A1D" w:rsidP="006B0A1D" w14:paraId="734E11EA"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Number of Respondents</w:t>
            </w:r>
          </w:p>
        </w:tc>
        <w:tc>
          <w:tcPr>
            <w:tcW w:w="1350" w:type="dxa"/>
            <w:vAlign w:val="center"/>
          </w:tcPr>
          <w:p w:rsidR="006B0A1D" w:rsidRPr="006B0A1D" w:rsidP="006B0A1D" w14:paraId="151245B5"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Number of Responses per Respondent</w:t>
            </w:r>
          </w:p>
        </w:tc>
        <w:tc>
          <w:tcPr>
            <w:tcW w:w="1283" w:type="dxa"/>
            <w:vAlign w:val="center"/>
          </w:tcPr>
          <w:p w:rsidR="006B0A1D" w:rsidRPr="006B0A1D" w:rsidP="006B0A1D" w14:paraId="7908E26E"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Average Burden per Response</w:t>
            </w:r>
          </w:p>
        </w:tc>
        <w:tc>
          <w:tcPr>
            <w:tcW w:w="1327" w:type="dxa"/>
            <w:vAlign w:val="center"/>
          </w:tcPr>
          <w:p w:rsidR="006B0A1D" w:rsidRPr="006B0A1D" w:rsidP="006B0A1D" w14:paraId="64E38035"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Average Hourly Wage Rate (in dollars)</w:t>
            </w:r>
          </w:p>
        </w:tc>
        <w:tc>
          <w:tcPr>
            <w:tcW w:w="1373" w:type="dxa"/>
            <w:vAlign w:val="center"/>
          </w:tcPr>
          <w:p w:rsidR="006B0A1D" w:rsidRPr="006B0A1D" w:rsidP="006B0A1D" w14:paraId="06BA60FA"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Total Respondent Cost</w:t>
            </w:r>
          </w:p>
        </w:tc>
      </w:tr>
      <w:tr w14:paraId="5E687A36" w14:textId="77777777" w:rsidTr="001B19F8">
        <w:tblPrEx>
          <w:tblW w:w="9738" w:type="dxa"/>
          <w:tblLayout w:type="fixed"/>
          <w:tblLook w:val="01E0"/>
        </w:tblPrEx>
        <w:tc>
          <w:tcPr>
            <w:tcW w:w="1435" w:type="dxa"/>
          </w:tcPr>
          <w:p w:rsidR="006B0A1D" w:rsidRPr="006B0A1D" w:rsidP="006B0A1D" w14:paraId="6EC302CA"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CSP Program Recipients</w:t>
            </w:r>
          </w:p>
        </w:tc>
        <w:tc>
          <w:tcPr>
            <w:tcW w:w="1800" w:type="dxa"/>
          </w:tcPr>
          <w:p w:rsidR="006B0A1D" w:rsidRPr="006B0A1D" w:rsidP="006B0A1D" w14:paraId="4A4EEE47"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Annual Progress Report (Attachment B)</w:t>
            </w:r>
          </w:p>
        </w:tc>
        <w:tc>
          <w:tcPr>
            <w:tcW w:w="1170" w:type="dxa"/>
          </w:tcPr>
          <w:p w:rsidR="006B0A1D" w:rsidRPr="006B0A1D" w:rsidP="006B0A1D" w14:paraId="5117ED0A" w14:textId="61546E26">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1</w:t>
            </w:r>
            <w:r w:rsidRPr="0045653C" w:rsidR="00C8719C">
              <w:rPr>
                <w:rFonts w:ascii="Times New Roman" w:eastAsia="Times New Roman" w:hAnsi="Times New Roman"/>
                <w:sz w:val="24"/>
                <w:szCs w:val="20"/>
              </w:rPr>
              <w:t>7</w:t>
            </w:r>
          </w:p>
        </w:tc>
        <w:tc>
          <w:tcPr>
            <w:tcW w:w="1350" w:type="dxa"/>
          </w:tcPr>
          <w:p w:rsidR="006B0A1D" w:rsidRPr="006B0A1D" w:rsidP="006B0A1D" w14:paraId="1DED6AE8"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1</w:t>
            </w:r>
          </w:p>
        </w:tc>
        <w:tc>
          <w:tcPr>
            <w:tcW w:w="1283" w:type="dxa"/>
          </w:tcPr>
          <w:p w:rsidR="006B0A1D" w:rsidRPr="006B0A1D" w:rsidP="006B0A1D" w14:paraId="382B0AB1"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12</w:t>
            </w:r>
          </w:p>
        </w:tc>
        <w:tc>
          <w:tcPr>
            <w:tcW w:w="1327" w:type="dxa"/>
          </w:tcPr>
          <w:p w:rsidR="006B0A1D" w:rsidRPr="006B0A1D" w:rsidP="006B0A1D" w14:paraId="6645FBEB"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$31</w:t>
            </w:r>
          </w:p>
        </w:tc>
        <w:tc>
          <w:tcPr>
            <w:tcW w:w="1373" w:type="dxa"/>
          </w:tcPr>
          <w:p w:rsidR="006B0A1D" w:rsidRPr="006B0A1D" w:rsidP="006B0A1D" w14:paraId="25DE5B7C" w14:textId="0236A96D">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w:t>
            </w:r>
            <w:r w:rsidRPr="0045653C" w:rsidR="002A733A">
              <w:rPr>
                <w:rFonts w:ascii="Times New Roman" w:eastAsia="Times New Roman" w:hAnsi="Times New Roman"/>
                <w:sz w:val="24"/>
                <w:szCs w:val="20"/>
              </w:rPr>
              <w:t>6,324</w:t>
            </w:r>
          </w:p>
        </w:tc>
      </w:tr>
      <w:tr w14:paraId="150EAF1A" w14:textId="77777777" w:rsidTr="001B19F8">
        <w:tblPrEx>
          <w:tblW w:w="9738" w:type="dxa"/>
          <w:tblLayout w:type="fixed"/>
          <w:tblLook w:val="01E0"/>
        </w:tblPrEx>
        <w:tc>
          <w:tcPr>
            <w:tcW w:w="8365" w:type="dxa"/>
            <w:gridSpan w:val="6"/>
          </w:tcPr>
          <w:p w:rsidR="006B0A1D" w:rsidRPr="006B0A1D" w:rsidP="006B0A1D" w14:paraId="69256579"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Total</w:t>
            </w:r>
          </w:p>
        </w:tc>
        <w:tc>
          <w:tcPr>
            <w:tcW w:w="1373" w:type="dxa"/>
          </w:tcPr>
          <w:p w:rsidR="006B0A1D" w:rsidRPr="006B0A1D" w:rsidP="006B0A1D" w14:paraId="5AB2B676" w14:textId="4ECFEC9B">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w:t>
            </w:r>
            <w:r w:rsidRPr="0045653C">
              <w:rPr>
                <w:rFonts w:ascii="Times New Roman" w:eastAsia="Times New Roman" w:hAnsi="Times New Roman"/>
                <w:sz w:val="24"/>
                <w:szCs w:val="20"/>
              </w:rPr>
              <w:t>6,324</w:t>
            </w:r>
          </w:p>
        </w:tc>
      </w:tr>
    </w:tbl>
    <w:p w:rsidR="006B0A1D" w:rsidRPr="006B0A1D" w:rsidP="006B0A1D" w14:paraId="7FA33C92" w14:textId="77777777"/>
    <w:p w:rsidR="000A4528" w:rsidP="00A24630" w14:paraId="41C8F396" w14:textId="77777777"/>
    <w:p w:rsidR="000A4528" w:rsidRPr="00A24630" w:rsidP="00A24630" w14:paraId="72A3D3EC" w14:textId="77777777">
      <w:pPr>
        <w:autoSpaceDE w:val="0"/>
        <w:autoSpaceDN w:val="0"/>
        <w:adjustRightInd w:val="0"/>
        <w:spacing w:line="240" w:lineRule="auto"/>
        <w:rPr>
          <w:rFonts w:ascii="Arial" w:hAnsi="Arial" w:cs="Arial"/>
          <w:sz w:val="24"/>
          <w:szCs w:val="24"/>
        </w:rPr>
      </w:pPr>
    </w:p>
    <w:p w:rsidR="000A4528" w:rsidRPr="001046E8" w:rsidP="00083415" w14:paraId="0D0B940D" w14:textId="77777777">
      <w:pPr>
        <w:autoSpaceDE w:val="0"/>
        <w:autoSpaceDN w:val="0"/>
        <w:adjustRightInd w:val="0"/>
        <w:rPr>
          <w:rFonts w:ascii="Times New Roman" w:hAnsi="Times New Roman"/>
          <w:sz w:val="24"/>
          <w:szCs w:val="24"/>
        </w:rPr>
      </w:pPr>
    </w:p>
    <w:p w:rsidR="000A4528" w:rsidP="00083415" w14:paraId="0E27B00A" w14:textId="77777777">
      <w:pPr>
        <w:autoSpaceDE w:val="0"/>
        <w:autoSpaceDN w:val="0"/>
        <w:adjustRightInd w:val="0"/>
        <w:rPr>
          <w:rFonts w:ascii="Arial" w:hAnsi="Arial" w:cs="Arial"/>
          <w:color w:val="0000FF"/>
          <w:sz w:val="20"/>
          <w:szCs w:val="20"/>
        </w:rPr>
      </w:pPr>
    </w:p>
    <w:p w:rsidR="000A4528" w:rsidP="00B957D1" w14:paraId="60061E4C" w14:textId="77777777"/>
    <w:sectPr w:rsidSect="008824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4CB" w14:paraId="70823A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528" w14:paraId="2C2E5FCD" w14:textId="77777777">
    <w:pPr>
      <w:pStyle w:val="Footer"/>
    </w:pPr>
    <w:r>
      <w:t>Created:  7 December 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4CB" w14:paraId="2450A4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4CB" w14:paraId="5923A6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4CB" w14:paraId="0CF296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4CB" w14:paraId="76EE12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41267F"/>
    <w:multiLevelType w:val="hybridMultilevel"/>
    <w:tmpl w:val="59884934"/>
    <w:lvl w:ilvl="0">
      <w:start w:val="1"/>
      <w:numFmt w:val="decimal"/>
      <w:lvlText w:val="%1."/>
      <w:lvlJc w:val="left"/>
      <w:pPr>
        <w:ind w:left="720" w:hanging="360"/>
      </w:pPr>
      <w:rPr>
        <w:rFonts w:cs="Times New Roman"/>
      </w:rPr>
    </w:lvl>
    <w:lvl w:ilvl="1">
      <w:start w:val="1"/>
      <w:numFmt w:val="lowerLetter"/>
      <w:lvlText w:val="%2."/>
      <w:lvlJc w:val="left"/>
      <w:pPr>
        <w:ind w:left="189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353455FB"/>
    <w:multiLevelType w:val="hybridMultilevel"/>
    <w:tmpl w:val="42CAABEA"/>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2">
    <w:nsid w:val="41703A32"/>
    <w:multiLevelType w:val="hybridMultilevel"/>
    <w:tmpl w:val="C0CE1C44"/>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3">
    <w:nsid w:val="69E07FB3"/>
    <w:multiLevelType w:val="hybridMultilevel"/>
    <w:tmpl w:val="F92EDBD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0B5B55"/>
    <w:multiLevelType w:val="hybridMultilevel"/>
    <w:tmpl w:val="FA1A5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1"/>
    <w:rsid w:val="00037DC4"/>
    <w:rsid w:val="00043DC4"/>
    <w:rsid w:val="00060463"/>
    <w:rsid w:val="00083415"/>
    <w:rsid w:val="00097B03"/>
    <w:rsid w:val="000A2CEF"/>
    <w:rsid w:val="000A4528"/>
    <w:rsid w:val="000A6287"/>
    <w:rsid w:val="000C34CB"/>
    <w:rsid w:val="000C5410"/>
    <w:rsid w:val="000D5406"/>
    <w:rsid w:val="000E1AB7"/>
    <w:rsid w:val="000E68A3"/>
    <w:rsid w:val="001046E8"/>
    <w:rsid w:val="0012158F"/>
    <w:rsid w:val="00124F33"/>
    <w:rsid w:val="00134FC7"/>
    <w:rsid w:val="001D6E82"/>
    <w:rsid w:val="001F4DCD"/>
    <w:rsid w:val="002225EB"/>
    <w:rsid w:val="0022448F"/>
    <w:rsid w:val="00232807"/>
    <w:rsid w:val="00265CC5"/>
    <w:rsid w:val="00283AC1"/>
    <w:rsid w:val="00294EDE"/>
    <w:rsid w:val="002A733A"/>
    <w:rsid w:val="002D0772"/>
    <w:rsid w:val="003139AF"/>
    <w:rsid w:val="00337DD5"/>
    <w:rsid w:val="0045653C"/>
    <w:rsid w:val="004B385C"/>
    <w:rsid w:val="00520CF0"/>
    <w:rsid w:val="005425FC"/>
    <w:rsid w:val="00571692"/>
    <w:rsid w:val="005774AC"/>
    <w:rsid w:val="00586417"/>
    <w:rsid w:val="005E152A"/>
    <w:rsid w:val="005F3C41"/>
    <w:rsid w:val="00602C4D"/>
    <w:rsid w:val="006109EC"/>
    <w:rsid w:val="00636BF8"/>
    <w:rsid w:val="006552C1"/>
    <w:rsid w:val="0066047E"/>
    <w:rsid w:val="00680982"/>
    <w:rsid w:val="006B0A1D"/>
    <w:rsid w:val="006E26AB"/>
    <w:rsid w:val="007309AE"/>
    <w:rsid w:val="00732978"/>
    <w:rsid w:val="00750A96"/>
    <w:rsid w:val="00750DB9"/>
    <w:rsid w:val="00771EB8"/>
    <w:rsid w:val="007B1320"/>
    <w:rsid w:val="007B42DE"/>
    <w:rsid w:val="007C36E8"/>
    <w:rsid w:val="00803382"/>
    <w:rsid w:val="0085681A"/>
    <w:rsid w:val="00876E10"/>
    <w:rsid w:val="00882415"/>
    <w:rsid w:val="008D6D13"/>
    <w:rsid w:val="00914AB5"/>
    <w:rsid w:val="009D624B"/>
    <w:rsid w:val="009D7809"/>
    <w:rsid w:val="009F14E5"/>
    <w:rsid w:val="00A045F1"/>
    <w:rsid w:val="00A24630"/>
    <w:rsid w:val="00A443AB"/>
    <w:rsid w:val="00A5725A"/>
    <w:rsid w:val="00A65403"/>
    <w:rsid w:val="00A84C42"/>
    <w:rsid w:val="00A935A3"/>
    <w:rsid w:val="00A95CA5"/>
    <w:rsid w:val="00AB1E18"/>
    <w:rsid w:val="00AB73AA"/>
    <w:rsid w:val="00AD7CCC"/>
    <w:rsid w:val="00AF3ED1"/>
    <w:rsid w:val="00B06A8B"/>
    <w:rsid w:val="00B126B1"/>
    <w:rsid w:val="00B16364"/>
    <w:rsid w:val="00B411CB"/>
    <w:rsid w:val="00B430F2"/>
    <w:rsid w:val="00B47670"/>
    <w:rsid w:val="00B957D1"/>
    <w:rsid w:val="00BB32F3"/>
    <w:rsid w:val="00BE19E8"/>
    <w:rsid w:val="00BF0AE0"/>
    <w:rsid w:val="00C348AD"/>
    <w:rsid w:val="00C8719C"/>
    <w:rsid w:val="00C871D2"/>
    <w:rsid w:val="00CA56F2"/>
    <w:rsid w:val="00D4492B"/>
    <w:rsid w:val="00D5079E"/>
    <w:rsid w:val="00D5416B"/>
    <w:rsid w:val="00DA0E9C"/>
    <w:rsid w:val="00DB6329"/>
    <w:rsid w:val="00E56C5F"/>
    <w:rsid w:val="00E8431D"/>
    <w:rsid w:val="00EA3ABB"/>
    <w:rsid w:val="00EC084A"/>
    <w:rsid w:val="00ED5DBC"/>
    <w:rsid w:val="00F04959"/>
    <w:rsid w:val="00F80564"/>
    <w:rsid w:val="00FB06DA"/>
    <w:rsid w:val="00FB45BD"/>
    <w:rsid w:val="00FC7B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C45D9A7"/>
  <w15:docId w15:val="{50A18542-EEC5-4A8F-BFAA-3FABC1C6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A1D"/>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Hyperlink">
    <w:name w:val="Hyperlink"/>
    <w:basedOn w:val="DefaultParagraphFont"/>
    <w:uiPriority w:val="99"/>
    <w:unhideWhenUsed/>
    <w:rsid w:val="005425FC"/>
    <w:rPr>
      <w:color w:val="0000FF" w:themeColor="hyperlink"/>
      <w:u w:val="single"/>
    </w:rPr>
  </w:style>
  <w:style w:type="character" w:styleId="UnresolvedMention">
    <w:name w:val="Unresolved Mention"/>
    <w:basedOn w:val="DefaultParagraphFont"/>
    <w:uiPriority w:val="99"/>
    <w:semiHidden/>
    <w:unhideWhenUsed/>
    <w:rsid w:val="005425FC"/>
    <w:rPr>
      <w:color w:val="605E5C"/>
      <w:shd w:val="clear" w:color="auto" w:fill="E1DFDD"/>
    </w:rPr>
  </w:style>
  <w:style w:type="character" w:styleId="CommentReference">
    <w:name w:val="annotation reference"/>
    <w:basedOn w:val="DefaultParagraphFont"/>
    <w:uiPriority w:val="99"/>
    <w:semiHidden/>
    <w:unhideWhenUsed/>
    <w:rsid w:val="00B126B1"/>
    <w:rPr>
      <w:sz w:val="16"/>
      <w:szCs w:val="16"/>
    </w:rPr>
  </w:style>
  <w:style w:type="paragraph" w:styleId="CommentText">
    <w:name w:val="annotation text"/>
    <w:basedOn w:val="Normal"/>
    <w:link w:val="CommentTextChar"/>
    <w:uiPriority w:val="99"/>
    <w:semiHidden/>
    <w:unhideWhenUsed/>
    <w:rsid w:val="00B126B1"/>
    <w:pPr>
      <w:spacing w:line="240" w:lineRule="auto"/>
    </w:pPr>
    <w:rPr>
      <w:sz w:val="20"/>
      <w:szCs w:val="20"/>
    </w:rPr>
  </w:style>
  <w:style w:type="character" w:customStyle="1" w:styleId="CommentTextChar">
    <w:name w:val="Comment Text Char"/>
    <w:basedOn w:val="DefaultParagraphFont"/>
    <w:link w:val="CommentText"/>
    <w:uiPriority w:val="99"/>
    <w:semiHidden/>
    <w:rsid w:val="00B126B1"/>
    <w:rPr>
      <w:sz w:val="20"/>
      <w:szCs w:val="20"/>
    </w:rPr>
  </w:style>
  <w:style w:type="paragraph" w:styleId="CommentSubject">
    <w:name w:val="annotation subject"/>
    <w:basedOn w:val="CommentText"/>
    <w:next w:val="CommentText"/>
    <w:link w:val="CommentSubjectChar"/>
    <w:uiPriority w:val="99"/>
    <w:semiHidden/>
    <w:unhideWhenUsed/>
    <w:rsid w:val="00B126B1"/>
    <w:rPr>
      <w:b/>
      <w:bCs/>
    </w:rPr>
  </w:style>
  <w:style w:type="character" w:customStyle="1" w:styleId="CommentSubjectChar">
    <w:name w:val="Comment Subject Char"/>
    <w:basedOn w:val="CommentTextChar"/>
    <w:link w:val="CommentSubject"/>
    <w:uiPriority w:val="99"/>
    <w:semiHidden/>
    <w:rsid w:val="00B126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Props1.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333A7-FBE3-4E31-BE1E-D045C59A8E81}">
  <ds:schemaRefs>
    <ds:schemaRef ds:uri="http://schemas.microsoft.com/sharepoint/events"/>
  </ds:schemaRefs>
</ds:datastoreItem>
</file>

<file path=customXml/itemProps3.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4.xml><?xml version="1.0" encoding="utf-8"?>
<ds:datastoreItem xmlns:ds="http://schemas.openxmlformats.org/officeDocument/2006/customXml" ds:itemID="{F219B49B-A2C6-4020-A096-2783479EFB02}">
  <ds:schemaRefs>
    <ds:schemaRef ds:uri="http://www.w3.org/XML/1998/namespace"/>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004a172f-e16f-4887-a47b-3990e8128e1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732</Words>
  <Characters>4346</Characters>
  <Application>Microsoft Office Word</Application>
  <DocSecurity>0</DocSecurity>
  <Lines>36</Lines>
  <Paragraphs>10</Paragraphs>
  <ScaleCrop>false</ScaleCrop>
  <Company>CDC</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Zirger, Jeffrey (CDC/DDPHSS/OS/OSI)</cp:lastModifiedBy>
  <cp:revision>3</cp:revision>
  <cp:lastPrinted>2009-12-09T16:14:00Z</cp:lastPrinted>
  <dcterms:created xsi:type="dcterms:W3CDTF">2022-11-15T18:56:00Z</dcterms:created>
  <dcterms:modified xsi:type="dcterms:W3CDTF">2022-11-28T13:49:00Z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MSIP_Label_7b94a7b8-f06c-4dfe-bdcc-9b548fd58c31_ActionId">
    <vt:lpwstr>9cf4d84d-651e-44cc-a94a-d971883a30b4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2022-11-04T15:13:39Z</vt:lpwstr>
  </property>
  <property fmtid="{D5CDD505-2E9C-101B-9397-08002B2CF9AE}" pid="9" name="MSIP_Label_7b94a7b8-f06c-4dfe-bdcc-9b548fd58c31_SiteId">
    <vt:lpwstr>9ce70869-60db-44fd-abe8-d2767077fc8f</vt:lpwstr>
  </property>
  <property fmtid="{D5CDD505-2E9C-101B-9397-08002B2CF9AE}" pid="10" name="_dlc_DocIdItemGuid">
    <vt:lpwstr>09b0203d-38aa-4ad3-852c-d02389f4bf93</vt:lpwstr>
  </property>
</Properties>
</file>