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4E50" w:rsidP="00F132BB" w14:paraId="1716E478" w14:textId="77777777">
      <w:pPr>
        <w:jc w:val="center"/>
        <w:rPr>
          <w:smallCaps/>
        </w:rPr>
      </w:pPr>
    </w:p>
    <w:p w:rsidR="00D01158" w:rsidRPr="00F132BB" w:rsidP="00F132BB" w14:paraId="64478311" w14:textId="77777777">
      <w:pPr>
        <w:jc w:val="center"/>
        <w:rPr>
          <w:smallCaps/>
          <w:spacing w:val="20"/>
        </w:rPr>
      </w:pPr>
      <w:r>
        <w:rPr>
          <w:smallCaps/>
        </w:rPr>
        <w:t>Instituto Nacional para la Seguridad y Salud Ocupacional (NIOSH)</w:t>
      </w:r>
    </w:p>
    <w:p w:rsidR="00CC4E50" w:rsidP="00CC4E50" w14:paraId="267C1B36" w14:textId="77777777">
      <w:pPr>
        <w:autoSpaceDE w:val="0"/>
        <w:autoSpaceDN w:val="0"/>
        <w:adjustRightInd w:val="0"/>
        <w:jc w:val="center"/>
        <w:rPr>
          <w:smallCaps/>
        </w:rPr>
      </w:pPr>
      <w:r>
        <w:rPr>
          <w:smallCaps/>
        </w:rPr>
        <w:t xml:space="preserve">Evaluación de la fatiga y el manejo de la fatiga </w:t>
      </w:r>
    </w:p>
    <w:p w:rsidR="00FE1400" w:rsidP="00CC4E50" w14:paraId="022CC003" w14:textId="77777777">
      <w:pPr>
        <w:autoSpaceDE w:val="0"/>
        <w:autoSpaceDN w:val="0"/>
        <w:adjustRightInd w:val="0"/>
        <w:jc w:val="center"/>
        <w:rPr>
          <w:rStyle w:val="AnswerStandard"/>
          <w:rFonts w:eastAsia="Arial Unicode MS"/>
        </w:rPr>
      </w:pPr>
      <w:r>
        <w:rPr>
          <w:smallCaps/>
        </w:rPr>
        <w:t>en la extracción de gas y petróleo en tierra en los EE. UU.</w:t>
      </w:r>
      <w:r>
        <w:rPr>
          <w:rStyle w:val="AnswerStandard"/>
        </w:rPr>
        <w:tab/>
      </w:r>
    </w:p>
    <w:p w:rsidR="00CC4E50" w:rsidRPr="00CC4E50" w:rsidP="00D01158" w14:paraId="09CEDAF5" w14:textId="77777777">
      <w:pPr>
        <w:autoSpaceDE w:val="0"/>
        <w:autoSpaceDN w:val="0"/>
        <w:adjustRightInd w:val="0"/>
        <w:spacing w:before="235"/>
        <w:jc w:val="center"/>
        <w:rPr>
          <w:rStyle w:val="AnswerStandard"/>
          <w:b w:val="0"/>
          <w:color w:val="000000"/>
          <w:sz w:val="22"/>
        </w:rPr>
      </w:pPr>
      <w:r w:rsidRPr="00CC4E50">
        <w:rPr>
          <w:b/>
          <w:sz w:val="22"/>
          <w:szCs w:val="22"/>
        </w:rPr>
        <w:t>Funcionarios encargados del proyecto: Alejandra Ramírez-Cárdenas e Imelda Wong</w:t>
      </w:r>
      <w:r w:rsidRPr="00CC4E50">
        <w:rPr>
          <w:rStyle w:val="AnswerStandard"/>
          <w:b w:val="0"/>
          <w:color w:val="000000"/>
          <w:sz w:val="22"/>
        </w:rPr>
        <w:tab/>
      </w:r>
    </w:p>
    <w:p w:rsidR="00D01158" w:rsidRPr="00F132BB" w:rsidP="00D01158" w14:paraId="5FB28E65" w14:textId="77777777">
      <w:pPr>
        <w:autoSpaceDE w:val="0"/>
        <w:autoSpaceDN w:val="0"/>
        <w:adjustRightInd w:val="0"/>
        <w:spacing w:before="235"/>
        <w:jc w:val="center"/>
        <w:rPr>
          <w:rStyle w:val="AnswerStandard"/>
          <w:rFonts w:eastAsia="Arial Unicode MS"/>
          <w:b w:val="0"/>
          <w:bCs/>
          <w:color w:val="000000"/>
        </w:rPr>
      </w:pPr>
      <w:r>
        <w:rPr>
          <w:rStyle w:val="AnswerStandard"/>
          <w:b w:val="0"/>
          <w:color w:val="000000"/>
        </w:rPr>
        <w:t xml:space="preserve">  </w:t>
      </w:r>
    </w:p>
    <w:p w:rsidR="00D01158" w:rsidRPr="00F132BB" w:rsidP="00D01158" w14:paraId="600D9BA9" w14:textId="77777777">
      <w:pPr>
        <w:autoSpaceDE w:val="0"/>
        <w:autoSpaceDN w:val="0"/>
        <w:adjustRightInd w:val="0"/>
        <w:spacing w:before="235"/>
        <w:jc w:val="center"/>
        <w:rPr>
          <w:b/>
          <w:sz w:val="28"/>
          <w:szCs w:val="28"/>
        </w:rPr>
      </w:pPr>
      <w:r>
        <w:rPr>
          <w:b/>
          <w:sz w:val="28"/>
        </w:rPr>
        <w:t>Declaración de devolución del Actiwatch</w:t>
      </w:r>
    </w:p>
    <w:p w:rsidR="00D01158" w:rsidRPr="00824B94" w:rsidP="00D01158" w14:paraId="0519914B" w14:textId="77777777">
      <w:pPr>
        <w:autoSpaceDE w:val="0"/>
        <w:autoSpaceDN w:val="0"/>
        <w:adjustRightInd w:val="0"/>
        <w:spacing w:before="218"/>
        <w:jc w:val="both"/>
      </w:pPr>
      <w:r>
        <w:rPr>
          <w:u w:val="single"/>
        </w:rPr>
        <w:t>Actiwatch</w:t>
      </w:r>
      <w:r>
        <w:t>:</w:t>
      </w:r>
    </w:p>
    <w:p w:rsidR="00D01158" w:rsidRPr="00824B94" w:rsidP="00D01158" w14:paraId="40E79721" w14:textId="77777777">
      <w:pPr>
        <w:autoSpaceDE w:val="0"/>
        <w:autoSpaceDN w:val="0"/>
        <w:adjustRightInd w:val="0"/>
        <w:spacing w:before="144"/>
        <w:jc w:val="both"/>
      </w:pPr>
      <w:r>
        <w:t xml:space="preserve">Para el periodo de recolección de datos de este estudio, NIOSH le proporcionará un Actiwatch (un dispositivo similar a un reloj pulsera que mide los movimientos), le enseñará cómo usarlo y le pedirá usarlo de forma voluntaria durante el periodo de recolección de datos. Debido a que </w:t>
      </w:r>
      <w:r w:rsidR="00A63A33">
        <w:t xml:space="preserve">el </w:t>
      </w:r>
      <w:r>
        <w:t>Actiwatch es un dispositivo que se usa para la investigación y los datos recolectados solo se pueden descargar con software especializado, le agradeceríamos mucho que lo devuelva de forma segura.</w:t>
      </w:r>
    </w:p>
    <w:p w:rsidR="00D01158" w:rsidRPr="00824B94" w:rsidP="00D01158" w14:paraId="0F9D9F43" w14:textId="77777777">
      <w:pPr>
        <w:autoSpaceDE w:val="0"/>
        <w:autoSpaceDN w:val="0"/>
        <w:adjustRightInd w:val="0"/>
        <w:spacing w:before="314"/>
        <w:jc w:val="both"/>
      </w:pPr>
      <w:r>
        <w:rPr>
          <w:u w:val="single"/>
        </w:rPr>
        <w:t>Devolución del reloj pulsera Actiwatch</w:t>
      </w:r>
      <w:r>
        <w:t>:</w:t>
      </w:r>
    </w:p>
    <w:p w:rsidR="00D01158" w:rsidRPr="00F709A1" w:rsidP="00D01158" w14:paraId="2CF391C0" w14:textId="77777777">
      <w:pPr>
        <w:autoSpaceDE w:val="0"/>
        <w:autoSpaceDN w:val="0"/>
        <w:adjustRightInd w:val="0"/>
        <w:spacing w:before="134"/>
        <w:jc w:val="both"/>
      </w:pPr>
      <w:r>
        <w:rPr>
          <w:b/>
        </w:rPr>
        <w:t>Por favor devuélvale el Actiwatch al equipo del estudio de NIOSH o a su supervisor de salud y seguridad</w:t>
      </w:r>
      <w:r>
        <w:t xml:space="preserve"> después de que se termine el periodo de recolección de datos o dentro de una semana de decidir que va a dejar de participar en este estudio. Si no se devuelve el Actiwatch dentro de este periodo, los funcionarios encargados del proyecto lo contactarán por teléfono para coordinar la devolución. </w:t>
      </w:r>
    </w:p>
    <w:p w:rsidR="00F709A1" w:rsidP="00901E51" w14:paraId="172B465F" w14:textId="77777777">
      <w:pPr>
        <w:autoSpaceDE w:val="0"/>
        <w:autoSpaceDN w:val="0"/>
        <w:adjustRightInd w:val="0"/>
        <w:spacing w:before="403"/>
        <w:jc w:val="both"/>
        <w:rPr>
          <w:b/>
          <w:bCs/>
        </w:rPr>
      </w:pPr>
      <w:r>
        <w:t xml:space="preserve">Si tiene preguntas, inquietudes o problemas llame a la funcionaria principal, Alejandra Ramírez-Cárdenas, al 303-236-5957 o envíele un correo electrónico a </w:t>
      </w:r>
      <w:hyperlink r:id="rId4" w:history="1">
        <w:r>
          <w:rPr>
            <w:rStyle w:val="Hyperlink"/>
          </w:rPr>
          <w:t>nxa5@cdc.gov</w:t>
        </w:r>
      </w:hyperlink>
      <w:r>
        <w:t xml:space="preserve">. </w:t>
      </w:r>
    </w:p>
    <w:p w:rsidR="00D01158" w:rsidRPr="00F709A1" w:rsidP="00D01158" w14:paraId="72377942" w14:textId="77777777">
      <w:pPr>
        <w:autoSpaceDE w:val="0"/>
        <w:autoSpaceDN w:val="0"/>
        <w:adjustRightInd w:val="0"/>
        <w:spacing w:before="268"/>
        <w:jc w:val="both"/>
        <w:rPr>
          <w:b/>
          <w:bCs/>
        </w:rPr>
      </w:pPr>
      <w:r>
        <w:rPr>
          <w:b/>
        </w:rPr>
        <w:t xml:space="preserve">Entiendo la declaración anterior y devolveré el Actiwatch. </w:t>
      </w:r>
    </w:p>
    <w:p w:rsidR="00D01158" w:rsidP="00901E51" w14:paraId="5533D582" w14:textId="77777777">
      <w:pPr>
        <w:autoSpaceDE w:val="0"/>
        <w:autoSpaceDN w:val="0"/>
        <w:adjustRightInd w:val="0"/>
        <w:spacing w:before="120"/>
        <w:jc w:val="both"/>
      </w:pPr>
    </w:p>
    <w:p w:rsidR="00D01158" w:rsidP="00D01158" w14:paraId="4092B1DF" w14:textId="77777777">
      <w:pPr>
        <w:autoSpaceDE w:val="0"/>
        <w:autoSpaceDN w:val="0"/>
        <w:adjustRightInd w:val="0"/>
        <w:jc w:val="both"/>
      </w:pPr>
      <w:r>
        <w:t>__________________________________</w:t>
      </w:r>
      <w:r>
        <w:tab/>
        <w:t>______________________________</w:t>
      </w:r>
    </w:p>
    <w:p w:rsidR="00D01158" w:rsidP="00D01158" w14:paraId="56BE8317" w14:textId="77777777">
      <w:pPr>
        <w:autoSpaceDE w:val="0"/>
        <w:autoSpaceDN w:val="0"/>
        <w:adjustRightInd w:val="0"/>
        <w:jc w:val="both"/>
      </w:pPr>
      <w:r>
        <w:t>Nombre en letra de imprenta</w:t>
      </w:r>
      <w:r>
        <w:tab/>
      </w:r>
      <w:r>
        <w:tab/>
      </w:r>
      <w:r>
        <w:tab/>
      </w:r>
      <w:r>
        <w:tab/>
        <w:t>Número de teléfono</w:t>
      </w:r>
    </w:p>
    <w:p w:rsidR="00D01158" w:rsidP="00D01158" w14:paraId="65B7E358" w14:textId="77777777">
      <w:pPr>
        <w:autoSpaceDE w:val="0"/>
        <w:autoSpaceDN w:val="0"/>
        <w:adjustRightInd w:val="0"/>
        <w:spacing w:before="432"/>
        <w:jc w:val="both"/>
      </w:pPr>
    </w:p>
    <w:p w:rsidR="00D01158" w:rsidP="00D01158" w14:paraId="5A998693" w14:textId="77777777">
      <w:pPr>
        <w:autoSpaceDE w:val="0"/>
        <w:autoSpaceDN w:val="0"/>
        <w:adjustRightInd w:val="0"/>
        <w:jc w:val="both"/>
      </w:pPr>
      <w:r>
        <w:t>_______________________________</w:t>
      </w:r>
      <w:r w:rsidR="00EE71C9">
        <w:t xml:space="preserve">         </w:t>
      </w:r>
      <w:r>
        <w:t xml:space="preserve">  </w:t>
      </w:r>
      <w:r w:rsidR="00EE71C9">
        <w:t>N</w:t>
      </w:r>
      <w:r>
        <w:t>° serial del Actiwatch</w:t>
      </w:r>
      <w:r w:rsidR="00EE71C9">
        <w:t xml:space="preserve"> </w:t>
      </w:r>
      <w:r>
        <w:t>_______________</w:t>
      </w:r>
    </w:p>
    <w:p w:rsidR="00D01158" w:rsidP="00D01158" w14:paraId="4ECCACEA" w14:textId="77777777">
      <w:pPr>
        <w:autoSpaceDE w:val="0"/>
        <w:autoSpaceDN w:val="0"/>
        <w:adjustRightInd w:val="0"/>
        <w:jc w:val="both"/>
      </w:pPr>
      <w:r>
        <w:t>Fecha</w:t>
      </w:r>
    </w:p>
    <w:p w:rsidR="00D01158" w:rsidP="00F709A1" w14:paraId="1D125BFC" w14:textId="77777777">
      <w:pPr>
        <w:autoSpaceDE w:val="0"/>
        <w:autoSpaceDN w:val="0"/>
        <w:adjustRightInd w:val="0"/>
        <w:jc w:val="both"/>
      </w:pPr>
    </w:p>
    <w:p w:rsidR="00CC4E50" w14:paraId="645F9741" w14:textId="3EFE2F0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124460</wp:posOffset>
            </wp:positionV>
            <wp:extent cx="2108200" cy="787400"/>
            <wp:effectExtent l="0" t="0" r="0" b="0"/>
            <wp:wrapThrough wrapText="bothSides">
              <wp:wrapPolygon>
                <wp:start x="390" y="0"/>
                <wp:lineTo x="0" y="1568"/>
                <wp:lineTo x="0" y="19335"/>
                <wp:lineTo x="586" y="20903"/>
                <wp:lineTo x="21080" y="20903"/>
                <wp:lineTo x="21470" y="19335"/>
                <wp:lineTo x="21470" y="1568"/>
                <wp:lineTo x="21080" y="0"/>
                <wp:lineTo x="39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E50" w:rsidRPr="00CC4E50" w:rsidP="00CC4E50" w14:paraId="423A881B" w14:textId="77777777">
      <w:pPr>
        <w:jc w:val="right"/>
        <w:rPr>
          <w:i/>
          <w:iCs/>
          <w:color w:val="A6A6A6"/>
        </w:rPr>
      </w:pPr>
    </w:p>
    <w:p w:rsidR="00D01158" w:rsidP="00CC4E50" w14:paraId="5A845870" w14:textId="77777777">
      <w:pPr>
        <w:jc w:val="right"/>
      </w:pPr>
    </w:p>
    <w:sectPr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631" w:rsidRPr="00861631" w:rsidP="00861631" w14:paraId="49D39BB1" w14:textId="77777777">
    <w:pPr>
      <w:pStyle w:val="Footer"/>
      <w:rPr>
        <w:rFonts w:ascii="Arial" w:hAnsi="Arial" w:cs="Arial"/>
        <w:color w:val="7F7F7F"/>
        <w:sz w:val="12"/>
        <w:szCs w:val="12"/>
      </w:rPr>
    </w:pPr>
    <w:r>
      <w:rPr>
        <w:rFonts w:ascii="Arial" w:hAnsi="Arial" w:cs="Arial"/>
        <w:color w:val="7F7F7F"/>
        <w:sz w:val="12"/>
        <w:szCs w:val="12"/>
      </w:rPr>
      <w:t xml:space="preserve">Se estima que la carga del público para reportar esta recolección de información es un promedio </w:t>
    </w:r>
    <w:r w:rsidRPr="00861631">
      <w:rPr>
        <w:rFonts w:ascii="Arial" w:hAnsi="Arial" w:cs="Arial"/>
        <w:color w:val="7F7F7F"/>
        <w:sz w:val="12"/>
        <w:szCs w:val="12"/>
      </w:rPr>
      <w:t>de 15 minutos</w:t>
    </w:r>
    <w:r>
      <w:rPr>
        <w:rFonts w:ascii="Arial" w:hAnsi="Arial" w:cs="Arial"/>
        <w:color w:val="7F7F7F"/>
        <w:sz w:val="12"/>
        <w:szCs w:val="12"/>
      </w:rPr>
      <w:t xml:space="preserve"> por encuesta, e incluye el tiempo que lleva revisar las instrucciones, buscar en las fuentes de datos existentes, recolectar y mantener los datos necesarios, y completar y revisar la recolección de información. Una agencia no puede hacer ni patrocinar una recolección de información y las personas no están obligadas a responder, a menos que el formulario tenga un número de control de OMB válido y vigente. Envíe sus comentarios sobre la estimación de la carga —o sobre cualquier otro aspecto de esta recolección de información—, incluso sugerencias para reducirla, a CDC/ATSDR Information </w:t>
    </w:r>
    <w:r>
      <w:rPr>
        <w:rFonts w:ascii="Arial" w:hAnsi="Arial" w:cs="Arial"/>
        <w:color w:val="7F7F7F"/>
        <w:sz w:val="12"/>
        <w:szCs w:val="12"/>
      </w:rPr>
      <w:t>Collection</w:t>
    </w:r>
    <w:r>
      <w:rPr>
        <w:rFonts w:ascii="Arial" w:hAnsi="Arial" w:cs="Arial"/>
        <w:color w:val="7F7F7F"/>
        <w:sz w:val="12"/>
        <w:szCs w:val="12"/>
      </w:rPr>
      <w:t xml:space="preserve"> </w:t>
    </w:r>
    <w:r>
      <w:rPr>
        <w:rFonts w:ascii="Arial" w:hAnsi="Arial" w:cs="Arial"/>
        <w:color w:val="7F7F7F"/>
        <w:sz w:val="12"/>
        <w:szCs w:val="12"/>
      </w:rPr>
      <w:t>Review</w:t>
    </w:r>
    <w:r>
      <w:rPr>
        <w:rFonts w:ascii="Arial" w:hAnsi="Arial" w:cs="Arial"/>
        <w:color w:val="7F7F7F"/>
        <w:sz w:val="12"/>
        <w:szCs w:val="12"/>
      </w:rPr>
      <w:t xml:space="preserve"> Office, 1600 Clifton Road NE, MS D-74, Atlanta, Georgia 30333; ATTN: PRA (</w:t>
    </w:r>
    <w:r>
      <w:rPr>
        <w:rFonts w:ascii="Arial" w:hAnsi="Arial" w:cs="Arial"/>
        <w:color w:val="7F7F7F"/>
        <w:sz w:val="12"/>
        <w:szCs w:val="12"/>
        <w:highlight w:val="yellow"/>
      </w:rPr>
      <w:t>0920-XXXX</w:t>
    </w:r>
    <w:r>
      <w:rPr>
        <w:rFonts w:ascii="Arial" w:hAnsi="Arial" w:cs="Arial"/>
        <w:color w:val="7F7F7F"/>
        <w:sz w:val="12"/>
        <w:szCs w:val="12"/>
      </w:rPr>
      <w:t>).</w:t>
    </w:r>
    <w:r>
      <w:rPr>
        <w:rFonts w:ascii="Arial" w:hAnsi="Arial" w:cs="Arial"/>
        <w:color w:val="7F7F7F"/>
        <w:sz w:val="12"/>
        <w:szCs w:val="12"/>
      </w:rPr>
      <w:tab/>
    </w:r>
    <w:r>
      <w:rPr>
        <w:rFonts w:ascii="Arial" w:hAnsi="Arial" w:cs="Arial"/>
        <w:color w:val="7F7F7F"/>
        <w:sz w:val="12"/>
        <w:szCs w:val="12"/>
      </w:rPr>
      <w:tab/>
    </w:r>
    <w:r w:rsidRPr="00861631">
      <w:rPr>
        <w:rFonts w:ascii="Arial" w:hAnsi="Arial" w:cs="Arial"/>
        <w:i/>
        <w:iCs/>
        <w:color w:val="A6A6A6"/>
        <w:sz w:val="14"/>
        <w:szCs w:val="14"/>
      </w:rPr>
      <w:t>MLS - 342711</w:t>
    </w:r>
  </w:p>
  <w:p w:rsidR="00861631" w:rsidP="00861631" w14:paraId="5608A6E6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631" w:rsidP="00861631" w14:paraId="675A1702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  <w:lang w:val=""/>
      </w:rPr>
    </w:pPr>
    <w:r w:rsidRPr="00EE71C9">
      <w:rPr>
        <w:sz w:val="18"/>
        <w:szCs w:val="18"/>
      </w:rPr>
      <w:tab/>
    </w:r>
    <w:r w:rsidRPr="00EE71C9">
      <w:rPr>
        <w:sz w:val="18"/>
        <w:szCs w:val="18"/>
      </w:rPr>
      <w:tab/>
    </w:r>
    <w:r>
      <w:rPr>
        <w:rFonts w:ascii="Calibri" w:hAnsi="Calibri" w:cs="Calibri"/>
        <w:color w:val="7F7F7F"/>
        <w:sz w:val="16"/>
        <w:szCs w:val="16"/>
        <w:lang w:val=""/>
      </w:rPr>
      <w:t>Formulario Aprobado</w:t>
    </w:r>
  </w:p>
  <w:p w:rsidR="00861631" w:rsidP="00861631" w14:paraId="06319367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  <w:lang w:val=""/>
      </w:rPr>
    </w:pPr>
    <w:r>
      <w:rPr>
        <w:rFonts w:ascii="Calibri" w:hAnsi="Calibri" w:cs="Calibri"/>
        <w:color w:val="7F7F7F"/>
        <w:sz w:val="16"/>
        <w:szCs w:val="16"/>
        <w:lang w:val=""/>
      </w:rPr>
      <w:t>N.º de la OMB: 0920-</w:t>
    </w:r>
    <w:r>
      <w:rPr>
        <w:rFonts w:ascii="Calibri" w:hAnsi="Calibri" w:cs="Calibri"/>
        <w:color w:val="7F7F7F"/>
        <w:sz w:val="16"/>
        <w:szCs w:val="16"/>
        <w:highlight w:val="yellow"/>
        <w:lang w:val=""/>
      </w:rPr>
      <w:t>XXXX</w:t>
    </w:r>
  </w:p>
  <w:p w:rsidR="00F6586B" w:rsidRPr="00861631" w:rsidP="00861631" w14:paraId="36F08A92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  <w:lang w:val=""/>
      </w:rPr>
    </w:pPr>
    <w:r>
      <w:rPr>
        <w:rFonts w:ascii="Calibri" w:hAnsi="Calibri" w:cs="Calibri"/>
        <w:color w:val="7F7F7F"/>
        <w:sz w:val="16"/>
        <w:szCs w:val="16"/>
        <w:lang w:val=""/>
      </w:rPr>
      <w:t xml:space="preserve">Fecha de vencimiento: </w:t>
    </w:r>
    <w:r>
      <w:rPr>
        <w:rFonts w:ascii="Calibri" w:hAnsi="Calibri" w:cs="Calibri"/>
        <w:color w:val="7F7F7F"/>
        <w:sz w:val="16"/>
        <w:szCs w:val="16"/>
        <w:highlight w:val="yellow"/>
        <w:lang w:val=""/>
      </w:rPr>
      <w:t>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04"/>
    <w:rsid w:val="000119B4"/>
    <w:rsid w:val="000A7777"/>
    <w:rsid w:val="00144751"/>
    <w:rsid w:val="001953FF"/>
    <w:rsid w:val="001C2DC1"/>
    <w:rsid w:val="001E6837"/>
    <w:rsid w:val="00271C4B"/>
    <w:rsid w:val="00273D04"/>
    <w:rsid w:val="00284455"/>
    <w:rsid w:val="002A0D05"/>
    <w:rsid w:val="003536D1"/>
    <w:rsid w:val="00404939"/>
    <w:rsid w:val="0048369C"/>
    <w:rsid w:val="0048427F"/>
    <w:rsid w:val="00496BC2"/>
    <w:rsid w:val="004D57AD"/>
    <w:rsid w:val="00536847"/>
    <w:rsid w:val="00596696"/>
    <w:rsid w:val="00626BF6"/>
    <w:rsid w:val="0065676F"/>
    <w:rsid w:val="00691140"/>
    <w:rsid w:val="006A2A41"/>
    <w:rsid w:val="006C0717"/>
    <w:rsid w:val="00705108"/>
    <w:rsid w:val="00730C6F"/>
    <w:rsid w:val="007469A4"/>
    <w:rsid w:val="00762D55"/>
    <w:rsid w:val="007C7499"/>
    <w:rsid w:val="007D3F80"/>
    <w:rsid w:val="00824B94"/>
    <w:rsid w:val="00861631"/>
    <w:rsid w:val="008C70B8"/>
    <w:rsid w:val="008E586E"/>
    <w:rsid w:val="00901E51"/>
    <w:rsid w:val="00997E30"/>
    <w:rsid w:val="00A01EFB"/>
    <w:rsid w:val="00A10504"/>
    <w:rsid w:val="00A12027"/>
    <w:rsid w:val="00A15B63"/>
    <w:rsid w:val="00A63A33"/>
    <w:rsid w:val="00AC0F33"/>
    <w:rsid w:val="00B71DE3"/>
    <w:rsid w:val="00B727F5"/>
    <w:rsid w:val="00BB3C65"/>
    <w:rsid w:val="00BC5EEB"/>
    <w:rsid w:val="00CA2762"/>
    <w:rsid w:val="00CC4E50"/>
    <w:rsid w:val="00CF2282"/>
    <w:rsid w:val="00D01158"/>
    <w:rsid w:val="00D45589"/>
    <w:rsid w:val="00DA2F8B"/>
    <w:rsid w:val="00DA6B2C"/>
    <w:rsid w:val="00E15261"/>
    <w:rsid w:val="00EB42F5"/>
    <w:rsid w:val="00EE71C9"/>
    <w:rsid w:val="00F132BB"/>
    <w:rsid w:val="00F6586B"/>
    <w:rsid w:val="00F709A1"/>
    <w:rsid w:val="00FE1400"/>
    <w:rsid w:val="00FF53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463C7F"/>
  <w15:chartTrackingRefBased/>
  <w15:docId w15:val="{44FC1BAB-61B3-4594-AB9A-47DD53A9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1F04"/>
    <w:rPr>
      <w:sz w:val="24"/>
      <w:szCs w:val="24"/>
      <w:lang w:val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21F04"/>
    <w:pPr>
      <w:jc w:val="center"/>
    </w:pPr>
    <w:rPr>
      <w:caps/>
    </w:rPr>
  </w:style>
  <w:style w:type="character" w:customStyle="1" w:styleId="AnswerStandard">
    <w:name w:val="AnswerStandard"/>
    <w:rsid w:val="007E79BE"/>
    <w:rPr>
      <w:rFonts w:ascii="Arial" w:hAnsi="Arial" w:cs="Arial"/>
      <w:b/>
      <w:color w:val="008000"/>
      <w:sz w:val="20"/>
      <w:szCs w:val="22"/>
    </w:rPr>
  </w:style>
  <w:style w:type="paragraph" w:styleId="Header">
    <w:name w:val="header"/>
    <w:basedOn w:val="Normal"/>
    <w:link w:val="HeaderChar"/>
    <w:rsid w:val="000119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19B4"/>
    <w:rPr>
      <w:sz w:val="24"/>
      <w:szCs w:val="24"/>
    </w:rPr>
  </w:style>
  <w:style w:type="paragraph" w:styleId="Footer">
    <w:name w:val="footer"/>
    <w:basedOn w:val="Normal"/>
    <w:link w:val="FooterChar"/>
    <w:rsid w:val="000119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19B4"/>
    <w:rPr>
      <w:sz w:val="24"/>
      <w:szCs w:val="24"/>
    </w:rPr>
  </w:style>
  <w:style w:type="character" w:styleId="Hyperlink">
    <w:name w:val="Hyperlink"/>
    <w:rsid w:val="00CF228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E14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4751"/>
    <w:rPr>
      <w:sz w:val="24"/>
      <w:szCs w:val="24"/>
      <w:lang w:val="es-ES"/>
    </w:rPr>
  </w:style>
  <w:style w:type="character" w:styleId="CommentReference">
    <w:name w:val="annotation reference"/>
    <w:rsid w:val="00656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676F"/>
    <w:rPr>
      <w:sz w:val="20"/>
      <w:szCs w:val="20"/>
    </w:rPr>
  </w:style>
  <w:style w:type="character" w:customStyle="1" w:styleId="CommentTextChar">
    <w:name w:val="Comment Text Char"/>
    <w:link w:val="CommentText"/>
    <w:rsid w:val="006567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5676F"/>
    <w:rPr>
      <w:b/>
      <w:bCs/>
    </w:rPr>
  </w:style>
  <w:style w:type="character" w:customStyle="1" w:styleId="CommentSubjectChar">
    <w:name w:val="Comment Subject Char"/>
    <w:link w:val="CommentSubject"/>
    <w:rsid w:val="0065676F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861631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xa5@cdc.gov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1466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COLORADO</vt:lpstr>
    </vt:vector>
  </TitlesOfParts>
  <Company>CU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COLORADO</dc:title>
  <dc:creator>DF47</dc:creator>
  <cp:lastModifiedBy>Clunis, Odion (CDC/IOD/OS)</cp:lastModifiedBy>
  <cp:revision>2</cp:revision>
  <cp:lastPrinted>1601-01-01T00:00:00Z</cp:lastPrinted>
  <dcterms:created xsi:type="dcterms:W3CDTF">2024-03-27T14:57:00Z</dcterms:created>
  <dcterms:modified xsi:type="dcterms:W3CDTF">2024-03-27T14:57:00Z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b48fdbb58a690eccb1543ab5c5d6f983af4966525863e96789b706b9419bfce5</vt:lpwstr>
  </property>
  <property fmtid="{D5CDD505-2E9C-101B-9397-08002B2CF9AE}" pid="3" name="MSIP_Label_8af03ff0-41c5-4c41-b55e-fabb8fae94be_ActionId">
    <vt:lpwstr>6400912c-3b02-4a0a-938b-5004907d2ddc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2023-06-09T21:56:31Z</vt:lpwstr>
  </property>
  <property fmtid="{D5CDD505-2E9C-101B-9397-08002B2CF9AE}" pid="9" name="MSIP_Label_8af03ff0-41c5-4c41-b55e-fabb8fae94be_SiteId">
    <vt:lpwstr>9ce70869-60db-44fd-abe8-d2767077fc8f</vt:lpwstr>
  </property>
</Properties>
</file>