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21FA" w:rsidP="005721FA" w14:paraId="70FF40C4" w14:textId="77777777">
      <w:pPr>
        <w:tabs>
          <w:tab w:val="center" w:pos="4680"/>
        </w:tabs>
        <w:suppressAutoHyphens/>
        <w:jc w:val="center"/>
        <w:rPr>
          <w:rFonts w:ascii="Times New Roman" w:hAnsi="Times New Roman"/>
          <w:b/>
        </w:rPr>
      </w:pPr>
      <w:r>
        <w:rPr>
          <w:rFonts w:ascii="Times New Roman" w:hAnsi="Times New Roman"/>
          <w:b/>
        </w:rPr>
        <w:t xml:space="preserve">Supporting Statement for </w:t>
      </w:r>
    </w:p>
    <w:p w:rsidR="005721FA" w:rsidP="005721FA" w14:paraId="0B64A10F" w14:textId="77777777">
      <w:pPr>
        <w:tabs>
          <w:tab w:val="center" w:pos="4680"/>
        </w:tabs>
        <w:suppressAutoHyphens/>
        <w:jc w:val="center"/>
        <w:rPr>
          <w:rFonts w:ascii="Times New Roman" w:hAnsi="Times New Roman"/>
          <w:b/>
        </w:rPr>
      </w:pPr>
      <w:r w:rsidRPr="000238BE">
        <w:rPr>
          <w:rFonts w:ascii="Times New Roman" w:hAnsi="Times New Roman"/>
          <w:b/>
        </w:rPr>
        <w:t>Filing Claims Under the Federal Tort Claims Act</w:t>
      </w:r>
    </w:p>
    <w:p w:rsidR="00FE598A" w:rsidRPr="000564F5" w:rsidP="00FE598A" w14:paraId="22E21DF6" w14:textId="6D70D4A7">
      <w:pPr>
        <w:jc w:val="center"/>
        <w:rPr>
          <w:rFonts w:ascii="Times New Roman" w:hAnsi="Times New Roman"/>
          <w:b/>
          <w:bCs/>
          <w:iCs/>
          <w:color w:val="0000FF"/>
        </w:rPr>
      </w:pPr>
      <w:r w:rsidRPr="000564F5">
        <w:rPr>
          <w:rFonts w:ascii="Times New Roman" w:hAnsi="Times New Roman"/>
          <w:b/>
          <w:bCs/>
          <w:iCs/>
        </w:rPr>
        <w:t>20 CFR 429.101-110</w:t>
      </w:r>
    </w:p>
    <w:p w:rsidR="00FE598A" w:rsidRPr="00BC7F42" w:rsidP="00FE598A" w14:paraId="57A4314B"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Pr>
          <w:rFonts w:ascii="Times New Roman" w:hAnsi="Times New Roman" w:cs="Times New Roman"/>
        </w:rPr>
        <w:t>No.</w:t>
      </w:r>
      <w:r w:rsidRPr="00BC7F42">
        <w:rPr>
          <w:rFonts w:ascii="Times New Roman" w:hAnsi="Times New Roman" w:cs="Times New Roman"/>
        </w:rPr>
        <w:t xml:space="preserve"> 0960-</w:t>
      </w:r>
      <w:r>
        <w:rPr>
          <w:rFonts w:ascii="Times New Roman" w:hAnsi="Times New Roman" w:cs="Times New Roman"/>
        </w:rPr>
        <w:t>0667</w:t>
      </w:r>
    </w:p>
    <w:p w:rsidR="00A45D82" w:rsidRPr="00BC7F42" w:rsidP="00A45D82" w14:paraId="61E334AF" w14:textId="77777777">
      <w:pPr>
        <w:pStyle w:val="Header"/>
        <w:tabs>
          <w:tab w:val="clear" w:pos="4320"/>
          <w:tab w:val="clear" w:pos="8640"/>
        </w:tabs>
        <w:rPr>
          <w:rFonts w:ascii="Times New Roman" w:hAnsi="Times New Roman"/>
        </w:rPr>
      </w:pPr>
    </w:p>
    <w:p w:rsidR="00A45D82" w:rsidRPr="002321B0" w:rsidP="00A45D82" w14:paraId="6468FADC" w14:textId="77777777">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P="00A45D82" w14:paraId="2A6CC03C" w14:textId="77777777">
      <w:pPr>
        <w:pStyle w:val="Header"/>
        <w:tabs>
          <w:tab w:val="clear" w:pos="4320"/>
          <w:tab w:val="clear" w:pos="8640"/>
        </w:tabs>
        <w:rPr>
          <w:rFonts w:ascii="Times New Roman" w:hAnsi="Times New Roman"/>
        </w:rPr>
      </w:pPr>
    </w:p>
    <w:p w:rsidR="002321B0" w:rsidP="00623F5F" w14:paraId="2917905F" w14:textId="77777777">
      <w:pPr>
        <w:numPr>
          <w:ilvl w:val="0"/>
          <w:numId w:val="19"/>
        </w:numPr>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FE598A" w:rsidRPr="00F54D03" w:rsidP="00F54D03" w14:paraId="31AB3C57" w14:textId="37F7557D">
      <w:pPr>
        <w:pStyle w:val="ListParagraph"/>
        <w:tabs>
          <w:tab w:val="left" w:pos="-720"/>
          <w:tab w:val="left" w:pos="1440"/>
        </w:tabs>
        <w:suppressAutoHyphens/>
        <w:rPr>
          <w:rFonts w:ascii="Times New Roman" w:hAnsi="Times New Roman"/>
        </w:rPr>
      </w:pPr>
      <w:r w:rsidRPr="004E757A">
        <w:rPr>
          <w:rFonts w:ascii="Times New Roman" w:hAnsi="Times New Roman"/>
        </w:rPr>
        <w:t>The Federal Tort Claims Act (FTCA)</w:t>
      </w:r>
      <w:r w:rsidR="0025726E">
        <w:rPr>
          <w:rFonts w:ascii="Times New Roman" w:hAnsi="Times New Roman"/>
        </w:rPr>
        <w:t xml:space="preserve">, </w:t>
      </w:r>
      <w:r w:rsidRPr="001B7229" w:rsidR="0025726E">
        <w:rPr>
          <w:rFonts w:ascii="Times New Roman" w:hAnsi="Times New Roman"/>
          <w:i/>
          <w:iCs/>
        </w:rPr>
        <w:t>28 U.S.C. 2671-2680</w:t>
      </w:r>
      <w:r w:rsidR="001B7229">
        <w:rPr>
          <w:rFonts w:ascii="Times New Roman" w:hAnsi="Times New Roman"/>
        </w:rPr>
        <w:t xml:space="preserve"> of the </w:t>
      </w:r>
      <w:r w:rsidRPr="001B7229" w:rsidR="001B7229">
        <w:rPr>
          <w:rFonts w:ascii="Times New Roman" w:hAnsi="Times New Roman"/>
          <w:i/>
          <w:iCs/>
        </w:rPr>
        <w:t>United States Code</w:t>
      </w:r>
      <w:r w:rsidR="0025726E">
        <w:rPr>
          <w:rFonts w:ascii="Times New Roman" w:hAnsi="Times New Roman"/>
        </w:rPr>
        <w:t>,</w:t>
      </w:r>
      <w:r w:rsidRPr="004E757A">
        <w:rPr>
          <w:rFonts w:ascii="Times New Roman" w:hAnsi="Times New Roman"/>
        </w:rPr>
        <w:t xml:space="preserve"> is the legal mechanism for compensating persons injured by negligent or wrongful acts that occur during the performance of official duties by Federal employees.</w:t>
      </w:r>
      <w:r w:rsidRPr="00F54D03">
        <w:rPr>
          <w:rFonts w:ascii="Times New Roman" w:hAnsi="Times New Roman"/>
        </w:rPr>
        <w:t xml:space="preserve"> </w:t>
      </w:r>
      <w:r w:rsidRPr="00F54D03" w:rsidR="001B7229">
        <w:rPr>
          <w:rFonts w:ascii="Times New Roman" w:hAnsi="Times New Roman"/>
        </w:rPr>
        <w:t xml:space="preserve"> </w:t>
      </w:r>
      <w:r w:rsidR="00F54D03">
        <w:rPr>
          <w:rFonts w:ascii="Times New Roman" w:hAnsi="Times New Roman"/>
        </w:rPr>
        <w:t>Most i</w:t>
      </w:r>
      <w:r w:rsidRPr="00F54D03" w:rsidR="001B7229">
        <w:rPr>
          <w:rFonts w:ascii="Times New Roman" w:hAnsi="Times New Roman"/>
        </w:rPr>
        <w:t>ndividuals</w:t>
      </w:r>
      <w:r w:rsidRPr="00F54D03">
        <w:rPr>
          <w:rFonts w:ascii="Times New Roman" w:hAnsi="Times New Roman"/>
        </w:rPr>
        <w:t xml:space="preserve"> seeking to file a claim under the FTCA complete </w:t>
      </w:r>
      <w:r w:rsidR="00F54D03">
        <w:rPr>
          <w:rFonts w:ascii="Times New Roman" w:hAnsi="Times New Roman"/>
        </w:rPr>
        <w:t xml:space="preserve">Standard Form SF-95 (OMB Control No. 1105-0008), </w:t>
      </w:r>
      <w:r w:rsidRPr="00F54D03" w:rsidR="00F54D03">
        <w:rPr>
          <w:rFonts w:ascii="Times New Roman" w:hAnsi="Times New Roman"/>
        </w:rPr>
        <w:t xml:space="preserve">Claim for Damage, Injury, or Death, </w:t>
      </w:r>
      <w:r w:rsidR="00F54D03">
        <w:rPr>
          <w:rFonts w:ascii="Times New Roman" w:hAnsi="Times New Roman"/>
        </w:rPr>
        <w:t>or submit a written explanation of their</w:t>
      </w:r>
      <w:r w:rsidR="00F54D03">
        <w:rPr>
          <w:rFonts w:ascii="Times New Roman" w:hAnsi="Times New Roman"/>
        </w:rPr>
        <w:t xml:space="preserve"> FTCA claim</w:t>
      </w:r>
      <w:r w:rsidR="00F54D03">
        <w:rPr>
          <w:rFonts w:ascii="Times New Roman" w:hAnsi="Times New Roman"/>
        </w:rPr>
        <w:t>,</w:t>
      </w:r>
      <w:r w:rsidRPr="00F54D03" w:rsidR="00F54D03">
        <w:rPr>
          <w:rFonts w:ascii="Times New Roman" w:hAnsi="Times New Roman"/>
        </w:rPr>
        <w:t xml:space="preserve"> </w:t>
      </w:r>
      <w:r w:rsidRPr="00F54D03">
        <w:rPr>
          <w:rFonts w:ascii="Times New Roman" w:hAnsi="Times New Roman"/>
        </w:rPr>
        <w:t xml:space="preserve">and submit it to the Social Security Administration. </w:t>
      </w:r>
      <w:r w:rsidRPr="00F54D03" w:rsidR="001B7229">
        <w:rPr>
          <w:rFonts w:ascii="Times New Roman" w:hAnsi="Times New Roman"/>
        </w:rPr>
        <w:t xml:space="preserve"> </w:t>
      </w:r>
      <w:r w:rsidRPr="00F54D03">
        <w:rPr>
          <w:rFonts w:ascii="Times New Roman" w:hAnsi="Times New Roman"/>
        </w:rPr>
        <w:t>The FTCA</w:t>
      </w:r>
      <w:r w:rsidRPr="00F54D03" w:rsidR="0025726E">
        <w:rPr>
          <w:rFonts w:ascii="Times New Roman" w:hAnsi="Times New Roman"/>
        </w:rPr>
        <w:t xml:space="preserve"> </w:t>
      </w:r>
      <w:r w:rsidRPr="00F54D03">
        <w:rPr>
          <w:rFonts w:ascii="Times New Roman" w:hAnsi="Times New Roman"/>
        </w:rPr>
        <w:t xml:space="preserve">authorizes the collection of this information.  One can also find authorization in the Code of Federal Regulations, </w:t>
      </w:r>
      <w:r w:rsidRPr="00F54D03">
        <w:rPr>
          <w:rFonts w:ascii="Times New Roman" w:hAnsi="Times New Roman"/>
          <w:i/>
        </w:rPr>
        <w:t>20 CFR 429.101-110</w:t>
      </w:r>
      <w:r w:rsidRPr="00F54D03">
        <w:rPr>
          <w:rFonts w:ascii="Times New Roman" w:hAnsi="Times New Roman"/>
        </w:rPr>
        <w:t>.</w:t>
      </w:r>
      <w:r w:rsidRPr="00F54D03" w:rsidR="001B7229">
        <w:rPr>
          <w:rFonts w:ascii="Times New Roman" w:hAnsi="Times New Roman"/>
        </w:rPr>
        <w:t xml:space="preserve"> </w:t>
      </w:r>
    </w:p>
    <w:p w:rsidR="00FE598A" w:rsidP="00FE598A" w14:paraId="28CF3EDC" w14:textId="77777777">
      <w:pPr>
        <w:rPr>
          <w:rFonts w:ascii="Times New Roman" w:hAnsi="Times New Roman"/>
        </w:rPr>
      </w:pPr>
    </w:p>
    <w:p w:rsidR="002E18CF" w:rsidRPr="002E18CF" w:rsidP="00623F5F" w14:paraId="5E38F750" w14:textId="77777777">
      <w:pPr>
        <w:numPr>
          <w:ilvl w:val="0"/>
          <w:numId w:val="16"/>
        </w:numPr>
        <w:rPr>
          <w:rFonts w:ascii="Times New Roman" w:hAnsi="Times New Roman"/>
        </w:rPr>
      </w:pPr>
      <w:r>
        <w:rPr>
          <w:rFonts w:ascii="Times New Roman" w:hAnsi="Times New Roman"/>
          <w:b/>
        </w:rPr>
        <w:t xml:space="preserve">Description of Collection </w:t>
      </w:r>
    </w:p>
    <w:p w:rsidR="00FE598A" w:rsidP="00FE598A" w14:paraId="56A3C21B" w14:textId="14E99F4F">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napToGrid/>
        </w:rPr>
      </w:pPr>
      <w:r>
        <w:rPr>
          <w:rFonts w:ascii="Times New Roman" w:hAnsi="Times New Roman"/>
        </w:rPr>
        <w:t>The Social Security Administration (SSA) accepts monetary claims filed under the FTCA for damages against the United States; loss of property; personal injury; or death resulting from an SSA employee's wrongful act or omission.  The regulation sections cleared under this information collection request that claimants provide information SSA can use to investigate and determine whether to make an award, compromise, or settle under the FTCA.</w:t>
      </w:r>
    </w:p>
    <w:p w:rsidR="00FE598A" w:rsidP="00FE598A" w14:paraId="635A7719" w14:textId="77777777">
      <w:pPr>
        <w:pStyle w:val="ListParagraph"/>
        <w:rPr>
          <w:rFonts w:ascii="Times New Roman" w:hAnsi="Times New Roman"/>
          <w:lang w:bidi="en-US"/>
        </w:rPr>
      </w:pPr>
    </w:p>
    <w:p w:rsidR="00FE598A" w:rsidP="00FE598A" w14:paraId="2097EC80" w14:textId="5E8F905B">
      <w:pPr>
        <w:tabs>
          <w:tab w:val="left" w:pos="-720"/>
          <w:tab w:val="left" w:pos="1260"/>
        </w:tabs>
        <w:suppressAutoHyphens/>
        <w:ind w:left="720"/>
        <w:rPr>
          <w:rFonts w:ascii="Times New Roman" w:hAnsi="Times New Roman"/>
        </w:rPr>
      </w:pPr>
      <w:r>
        <w:rPr>
          <w:rFonts w:ascii="Times New Roman" w:hAnsi="Times New Roman"/>
        </w:rPr>
        <w:t xml:space="preserve">In accordance with the law, SSA accepts claims for money damages filed under the FTCA against the United States </w:t>
      </w:r>
      <w:r w:rsidR="0040733C">
        <w:rPr>
          <w:rFonts w:ascii="Times New Roman" w:hAnsi="Times New Roman"/>
        </w:rPr>
        <w:t>under the following regulations</w:t>
      </w:r>
      <w:r>
        <w:rPr>
          <w:rFonts w:ascii="Times New Roman" w:hAnsi="Times New Roman"/>
        </w:rPr>
        <w:t>:</w:t>
      </w:r>
    </w:p>
    <w:p w:rsidR="00FE598A" w:rsidP="00FE598A" w14:paraId="7F58ABFC" w14:textId="77777777">
      <w:pPr>
        <w:tabs>
          <w:tab w:val="left" w:pos="-720"/>
        </w:tabs>
        <w:suppressAutoHyphens/>
        <w:ind w:left="720"/>
        <w:rPr>
          <w:rFonts w:ascii="Times New Roman" w:hAnsi="Times New Roman"/>
        </w:rPr>
      </w:pPr>
    </w:p>
    <w:p w:rsidR="00FE598A" w:rsidP="00FE598A" w14:paraId="07CAD950" w14:textId="43619154">
      <w:pPr>
        <w:pStyle w:val="ListParagraph"/>
        <w:widowControl/>
        <w:numPr>
          <w:ilvl w:val="0"/>
          <w:numId w:val="38"/>
        </w:numPr>
        <w:tabs>
          <w:tab w:val="left" w:pos="-720"/>
        </w:tabs>
        <w:suppressAutoHyphens/>
        <w:ind w:left="1080"/>
        <w:rPr>
          <w:rFonts w:ascii="Times New Roman" w:hAnsi="Times New Roman"/>
        </w:rPr>
      </w:pPr>
      <w:r w:rsidRPr="00F54D03">
        <w:rPr>
          <w:rFonts w:ascii="Times New Roman" w:hAnsi="Times New Roman"/>
          <w:b/>
          <w:bCs/>
          <w:i/>
          <w:iCs/>
        </w:rPr>
        <w:t>20 CFR 429.102-103</w:t>
      </w:r>
      <w:r>
        <w:rPr>
          <w:rFonts w:ascii="Times New Roman" w:hAnsi="Times New Roman"/>
        </w:rPr>
        <w:t xml:space="preserve">:  Filing a Claim.  To file a claim, an individual or entity must complete the Department of Justice’s SF-95 or submit written notification of the incident accompanied by a claim for money damages in a certain sum for damage to or loss of property caused by the incident.  </w:t>
      </w:r>
    </w:p>
    <w:p w:rsidR="00FE598A" w:rsidP="00FE598A" w14:paraId="0BFF81CC" w14:textId="77777777">
      <w:pPr>
        <w:tabs>
          <w:tab w:val="left" w:pos="-720"/>
        </w:tabs>
        <w:suppressAutoHyphens/>
        <w:rPr>
          <w:rFonts w:ascii="Times New Roman" w:hAnsi="Times New Roman"/>
        </w:rPr>
      </w:pPr>
    </w:p>
    <w:p w:rsidR="00FE598A" w:rsidP="00FE598A" w14:paraId="64231745" w14:textId="6847162A">
      <w:pPr>
        <w:pStyle w:val="ListParagraph"/>
        <w:widowControl/>
        <w:numPr>
          <w:ilvl w:val="0"/>
          <w:numId w:val="38"/>
        </w:numPr>
        <w:tabs>
          <w:tab w:val="left" w:pos="-720"/>
        </w:tabs>
        <w:suppressAutoHyphens/>
        <w:ind w:left="1080"/>
        <w:rPr>
          <w:rFonts w:ascii="Times New Roman" w:hAnsi="Times New Roman"/>
        </w:rPr>
      </w:pPr>
      <w:r w:rsidRPr="00F54D03">
        <w:rPr>
          <w:rFonts w:ascii="Times New Roman" w:hAnsi="Times New Roman"/>
          <w:b/>
          <w:bCs/>
          <w:i/>
          <w:iCs/>
        </w:rPr>
        <w:t>20 CFR 429.104(a)</w:t>
      </w:r>
      <w:r>
        <w:rPr>
          <w:rFonts w:ascii="Times New Roman" w:hAnsi="Times New Roman"/>
        </w:rPr>
        <w:t>:  Damage to or loss of property.  To claim property damage, the individual or entity may submit the following types of evidence:  proof of ownership; itemized statements of the amount claimed; itemized receipt of payment for necessary repairs; statements listing purchase, purchase price, market value, and salvage value; or any other evidence bearing on the responsibility of the United States for the injury to, or loss of, property.</w:t>
      </w:r>
    </w:p>
    <w:p w:rsidR="00FE598A" w:rsidP="00FE598A" w14:paraId="314099B2" w14:textId="77777777">
      <w:pPr>
        <w:tabs>
          <w:tab w:val="left" w:pos="-720"/>
        </w:tabs>
        <w:suppressAutoHyphens/>
        <w:ind w:left="1440"/>
        <w:rPr>
          <w:rFonts w:ascii="Times New Roman" w:hAnsi="Times New Roman"/>
        </w:rPr>
      </w:pPr>
    </w:p>
    <w:p w:rsidR="00FE598A" w:rsidP="00FE598A" w14:paraId="1654FD29" w14:textId="12628747">
      <w:pPr>
        <w:pStyle w:val="ListParagraph"/>
        <w:widowControl/>
        <w:numPr>
          <w:ilvl w:val="0"/>
          <w:numId w:val="38"/>
        </w:numPr>
        <w:tabs>
          <w:tab w:val="left" w:pos="-720"/>
        </w:tabs>
        <w:suppressAutoHyphens/>
        <w:ind w:left="1080"/>
        <w:rPr>
          <w:rFonts w:ascii="Times New Roman" w:hAnsi="Times New Roman"/>
        </w:rPr>
      </w:pPr>
      <w:r w:rsidRPr="00F54D03">
        <w:rPr>
          <w:rFonts w:ascii="Times New Roman" w:hAnsi="Times New Roman"/>
          <w:b/>
          <w:bCs/>
          <w:i/>
          <w:iCs/>
        </w:rPr>
        <w:t>20 CFR 429.104(b)</w:t>
      </w:r>
      <w:r>
        <w:rPr>
          <w:rFonts w:ascii="Times New Roman" w:hAnsi="Times New Roman"/>
        </w:rPr>
        <w:t xml:space="preserve">:  Personal injury.  To claim personal injury, the individual or entity may submit a written report from a physician explaining the nature and extent of injury; nature and extent of treatment; any degree of temporary or permanent disability; the prognosis; period of hospitalization; any diminished earning capacity; itemized bills for treatment expenses; and a </w:t>
      </w:r>
      <w:r>
        <w:rPr>
          <w:rFonts w:ascii="Times New Roman" w:hAnsi="Times New Roman"/>
        </w:rPr>
        <w:t>statement of expected duration of, and expenses for, treatment.  We may also require the individual to submit a written statement from the individual’s employer showing actual time lost from employment, or, if self-employed, documentary evidence showing the amount of earnings actually lost.  The individual may also submit any other evidence bearing on the responsibility of the United States for the personal injury or damages claimed.</w:t>
      </w:r>
    </w:p>
    <w:p w:rsidR="00FE598A" w:rsidP="00FE598A" w14:paraId="5580C9E9" w14:textId="77777777">
      <w:pPr>
        <w:tabs>
          <w:tab w:val="left" w:pos="-720"/>
        </w:tabs>
        <w:suppressAutoHyphens/>
        <w:rPr>
          <w:rFonts w:ascii="Times New Roman" w:hAnsi="Times New Roman"/>
        </w:rPr>
      </w:pPr>
      <w:r>
        <w:rPr>
          <w:rFonts w:ascii="Times New Roman" w:hAnsi="Times New Roman"/>
        </w:rPr>
        <w:t xml:space="preserve"> </w:t>
      </w:r>
    </w:p>
    <w:p w:rsidR="00FE598A" w:rsidP="00FE598A" w14:paraId="48CEDC71" w14:textId="5359D682">
      <w:pPr>
        <w:pStyle w:val="ListParagraph"/>
        <w:widowControl/>
        <w:numPr>
          <w:ilvl w:val="0"/>
          <w:numId w:val="38"/>
        </w:numPr>
        <w:tabs>
          <w:tab w:val="left" w:pos="-720"/>
        </w:tabs>
        <w:suppressAutoHyphens/>
        <w:ind w:left="1080"/>
        <w:rPr>
          <w:rFonts w:ascii="Times New Roman" w:hAnsi="Times New Roman"/>
        </w:rPr>
      </w:pPr>
      <w:r w:rsidRPr="00F54D03">
        <w:rPr>
          <w:rFonts w:ascii="Times New Roman" w:hAnsi="Times New Roman"/>
          <w:b/>
          <w:bCs/>
          <w:i/>
          <w:iCs/>
        </w:rPr>
        <w:t>20 CFR 429.104(c)</w:t>
      </w:r>
      <w:r>
        <w:rPr>
          <w:rFonts w:ascii="Times New Roman" w:hAnsi="Times New Roman"/>
        </w:rPr>
        <w:t>:  Death that a negligent or wrongful act or omission an SSA employee caused.  To assert that an SSA employee caused a death, the claimant must submit evidence and information such as the following:  an authenticated death certificate showing cause of death, date of death, and age at time of death; the employment or occupation at time of death, including the deceased’s monthly or yearly salary or earnings (if any), and the duration of last employment or occupation.  We may also require information regarding the deceased’s survivors; the deceased’s general health before death; itemized bills for medical and burial expenses; a physician’s detailed statement specifying the injuries suffered; and the deceased’s physical condition.  In addition, the individual may submit any other evidence or information bearing on the responsibility of the United States for the death or damages claimed.</w:t>
      </w:r>
    </w:p>
    <w:p w:rsidR="00FE598A" w:rsidP="00FE598A" w14:paraId="42EBAB00" w14:textId="77777777">
      <w:pPr>
        <w:tabs>
          <w:tab w:val="left" w:pos="-720"/>
        </w:tabs>
        <w:suppressAutoHyphens/>
        <w:ind w:left="720"/>
        <w:rPr>
          <w:rFonts w:ascii="Times New Roman" w:hAnsi="Times New Roman"/>
        </w:rPr>
      </w:pPr>
    </w:p>
    <w:p w:rsidR="00FE598A" w:rsidP="00FE598A" w14:paraId="660BF192" w14:textId="22DA043A">
      <w:pPr>
        <w:tabs>
          <w:tab w:val="left" w:pos="-720"/>
        </w:tabs>
        <w:suppressAutoHyphens/>
        <w:ind w:left="720"/>
        <w:rPr>
          <w:rFonts w:ascii="Times New Roman" w:hAnsi="Times New Roman"/>
        </w:rPr>
      </w:pPr>
      <w:r>
        <w:rPr>
          <w:rFonts w:ascii="Times New Roman" w:hAnsi="Times New Roman"/>
        </w:rPr>
        <w:t xml:space="preserve">All of the above regulatory requirements pertain to the claims individuals or entities submit to SSA along with the appropriate evidence or information pertaining to their claims.  For the United States to be liable under the FTCA, the federal employee must cause the loss, damage, </w:t>
      </w:r>
      <w:r w:rsidR="00F54D03">
        <w:rPr>
          <w:rFonts w:ascii="Times New Roman" w:hAnsi="Times New Roman"/>
        </w:rPr>
        <w:t>injury,</w:t>
      </w:r>
      <w:r>
        <w:rPr>
          <w:rFonts w:ascii="Times New Roman" w:hAnsi="Times New Roman"/>
        </w:rPr>
        <w:t xml:space="preserve"> or death in the performance of official duties, under circumstances in which the United States, if a private person, would be liable in accordance with the law of the place where the act or omission occurred.  </w:t>
      </w:r>
    </w:p>
    <w:p w:rsidR="00FE598A" w:rsidP="00FE598A" w14:paraId="733F4E52" w14:textId="77777777">
      <w:pPr>
        <w:tabs>
          <w:tab w:val="left" w:pos="-720"/>
        </w:tabs>
        <w:suppressAutoHyphens/>
        <w:ind w:left="1440"/>
        <w:rPr>
          <w:rFonts w:ascii="Times New Roman" w:hAnsi="Times New Roman"/>
        </w:rPr>
      </w:pPr>
    </w:p>
    <w:p w:rsidR="00FE598A" w:rsidP="00FE598A" w14:paraId="5EAC8949" w14:textId="77777777">
      <w:pPr>
        <w:tabs>
          <w:tab w:val="left" w:pos="-720"/>
        </w:tabs>
        <w:suppressAutoHyphens/>
        <w:ind w:left="720"/>
        <w:rPr>
          <w:rFonts w:ascii="Times New Roman" w:hAnsi="Times New Roman"/>
        </w:rPr>
      </w:pPr>
      <w:r>
        <w:rPr>
          <w:rFonts w:ascii="Times New Roman" w:hAnsi="Times New Roman"/>
        </w:rPr>
        <w:t>If SSA denies the claim, before filing suit and before the expiration of the 6</w:t>
      </w:r>
      <w:r>
        <w:rPr>
          <w:rFonts w:ascii="Times New Roman" w:hAnsi="Times New Roman"/>
        </w:rPr>
        <w:noBreakHyphen/>
        <w:t>month period after the date of mailing the denial notice, the claimant may take the following action:</w:t>
      </w:r>
    </w:p>
    <w:p w:rsidR="00FE598A" w:rsidP="00FE598A" w14:paraId="1C1BAC22" w14:textId="77777777">
      <w:pPr>
        <w:tabs>
          <w:tab w:val="left" w:pos="-720"/>
        </w:tabs>
        <w:suppressAutoHyphens/>
        <w:ind w:left="1440"/>
        <w:rPr>
          <w:rFonts w:ascii="Times New Roman" w:hAnsi="Times New Roman"/>
        </w:rPr>
      </w:pPr>
    </w:p>
    <w:p w:rsidR="00FE598A" w:rsidP="00FE598A" w14:paraId="6CA75C6E" w14:textId="725265CE">
      <w:pPr>
        <w:pStyle w:val="ListParagraph"/>
        <w:widowControl/>
        <w:numPr>
          <w:ilvl w:val="0"/>
          <w:numId w:val="39"/>
        </w:numPr>
        <w:tabs>
          <w:tab w:val="left" w:pos="-720"/>
        </w:tabs>
        <w:suppressAutoHyphens/>
        <w:ind w:left="1080"/>
        <w:rPr>
          <w:rFonts w:ascii="Times New Roman" w:hAnsi="Times New Roman"/>
        </w:rPr>
      </w:pPr>
      <w:r w:rsidRPr="00F54D03">
        <w:rPr>
          <w:rFonts w:ascii="Times New Roman" w:hAnsi="Times New Roman"/>
          <w:b/>
          <w:bCs/>
          <w:i/>
          <w:iCs/>
        </w:rPr>
        <w:t>20 CFR</w:t>
      </w:r>
      <w:r w:rsidRPr="00F54D03" w:rsidR="005A77EB">
        <w:rPr>
          <w:rFonts w:ascii="Times New Roman" w:hAnsi="Times New Roman"/>
          <w:b/>
          <w:bCs/>
          <w:i/>
          <w:iCs/>
        </w:rPr>
        <w:t xml:space="preserve"> </w:t>
      </w:r>
      <w:r w:rsidRPr="00F54D03">
        <w:rPr>
          <w:rFonts w:ascii="Times New Roman" w:hAnsi="Times New Roman"/>
          <w:b/>
          <w:bCs/>
          <w:i/>
          <w:iCs/>
        </w:rPr>
        <w:t>429.106(b)</w:t>
      </w:r>
      <w:r>
        <w:rPr>
          <w:rFonts w:ascii="Times New Roman" w:hAnsi="Times New Roman"/>
        </w:rPr>
        <w:t>:  File a written request with SSA for reconsideration.  The individual must send this written request via certified or registered mail.</w:t>
      </w:r>
    </w:p>
    <w:p w:rsidR="00FE598A" w:rsidP="00FE598A" w14:paraId="6B91DE1F" w14:textId="77777777">
      <w:pPr>
        <w:tabs>
          <w:tab w:val="left" w:pos="-720"/>
        </w:tabs>
        <w:suppressAutoHyphens/>
        <w:ind w:left="1440"/>
        <w:rPr>
          <w:rFonts w:ascii="Times New Roman" w:hAnsi="Times New Roman"/>
        </w:rPr>
      </w:pPr>
    </w:p>
    <w:p w:rsidR="00560275" w:rsidP="00FE598A" w14:paraId="4DA632D6" w14:textId="6768EAC5">
      <w:pPr>
        <w:widowControl/>
        <w:ind w:left="720"/>
        <w:rPr>
          <w:rFonts w:ascii="Times New Roman" w:hAnsi="Times New Roman"/>
        </w:rPr>
      </w:pPr>
      <w:r>
        <w:rPr>
          <w:rFonts w:ascii="Times New Roman" w:hAnsi="Times New Roman"/>
        </w:rPr>
        <w:t>SSA employees collect the information voluntarily submitted by FTCA claimants.</w:t>
      </w:r>
    </w:p>
    <w:p w:rsidR="00C76EF1" w:rsidP="005A77EB" w14:paraId="725F30E9" w14:textId="269DE370">
      <w:pPr>
        <w:widowControl/>
        <w:rPr>
          <w:rFonts w:ascii="Times New Roman" w:hAnsi="Times New Roman"/>
        </w:rPr>
      </w:pPr>
    </w:p>
    <w:p w:rsidR="005A77EB" w:rsidRPr="005A77EB" w:rsidP="000564F5" w14:paraId="60B6EA16" w14:textId="226F6D48">
      <w:pPr>
        <w:widowControl/>
        <w:ind w:left="720"/>
        <w:rPr>
          <w:rFonts w:ascii="Times New Roman" w:hAnsi="Times New Roman"/>
        </w:rPr>
      </w:pPr>
      <w:r w:rsidRPr="005A77EB">
        <w:rPr>
          <w:rFonts w:ascii="Times New Roman" w:hAnsi="Times New Roman"/>
        </w:rPr>
        <w:t xml:space="preserve">Respondents learn about SSA’s administrative process for filing FTCA claims through </w:t>
      </w:r>
      <w:r w:rsidR="000564F5">
        <w:rPr>
          <w:rFonts w:ascii="Times New Roman" w:hAnsi="Times New Roman"/>
        </w:rPr>
        <w:t xml:space="preserve">SSA’s field office personnel who explain the process and direct them to our regulations </w:t>
      </w:r>
      <w:r w:rsidRPr="005A77EB">
        <w:rPr>
          <w:rFonts w:ascii="Times New Roman" w:hAnsi="Times New Roman"/>
        </w:rPr>
        <w:t xml:space="preserve">at </w:t>
      </w:r>
      <w:r w:rsidRPr="000564F5">
        <w:rPr>
          <w:rFonts w:ascii="Times New Roman" w:hAnsi="Times New Roman"/>
          <w:i/>
          <w:iCs/>
        </w:rPr>
        <w:t>20 C</w:t>
      </w:r>
      <w:r w:rsidRPr="000564F5" w:rsidR="000564F5">
        <w:rPr>
          <w:rFonts w:ascii="Times New Roman" w:hAnsi="Times New Roman"/>
          <w:i/>
          <w:iCs/>
        </w:rPr>
        <w:t>FR</w:t>
      </w:r>
      <w:r w:rsidRPr="000564F5">
        <w:rPr>
          <w:rFonts w:ascii="Times New Roman" w:hAnsi="Times New Roman"/>
          <w:i/>
          <w:iCs/>
        </w:rPr>
        <w:t xml:space="preserve"> Part 429</w:t>
      </w:r>
      <w:r w:rsidR="000564F5">
        <w:rPr>
          <w:rFonts w:ascii="Times New Roman" w:hAnsi="Times New Roman"/>
        </w:rPr>
        <w:t xml:space="preserve">.  The </w:t>
      </w:r>
      <w:r w:rsidRPr="005A77EB">
        <w:rPr>
          <w:rFonts w:ascii="Times New Roman" w:hAnsi="Times New Roman"/>
        </w:rPr>
        <w:t>SSA employees</w:t>
      </w:r>
      <w:r w:rsidR="000564F5">
        <w:rPr>
          <w:rFonts w:ascii="Times New Roman" w:hAnsi="Times New Roman"/>
        </w:rPr>
        <w:t xml:space="preserve"> also explain the process to respondents through</w:t>
      </w:r>
      <w:r w:rsidRPr="005A77EB">
        <w:rPr>
          <w:rFonts w:ascii="Times New Roman" w:hAnsi="Times New Roman"/>
        </w:rPr>
        <w:t xml:space="preserve"> SSA’s Administrative Instructions Manual System (AIMS) guide at AIMS Financial Management Manual Chapters 6.01.  This information enables respondents to learn </w:t>
      </w:r>
      <w:r w:rsidR="000564F5">
        <w:rPr>
          <w:rFonts w:ascii="Times New Roman" w:hAnsi="Times New Roman"/>
        </w:rPr>
        <w:t>about the information they need</w:t>
      </w:r>
      <w:r w:rsidRPr="005A77EB">
        <w:rPr>
          <w:rFonts w:ascii="Times New Roman" w:hAnsi="Times New Roman"/>
        </w:rPr>
        <w:t xml:space="preserve"> to file an FTCA claim with SSA, as well as where to send these claims for SSA’s review.</w:t>
      </w:r>
    </w:p>
    <w:p w:rsidR="005A77EB" w:rsidP="005A77EB" w14:paraId="5905A086" w14:textId="41D62903">
      <w:pPr>
        <w:widowControl/>
        <w:ind w:left="720"/>
        <w:rPr>
          <w:rFonts w:ascii="Times New Roman" w:hAnsi="Times New Roman"/>
        </w:rPr>
      </w:pPr>
      <w:r w:rsidRPr="005A77EB">
        <w:rPr>
          <w:rFonts w:ascii="Times New Roman" w:hAnsi="Times New Roman"/>
        </w:rPr>
        <w:t>Once SSA receives a</w:t>
      </w:r>
      <w:r w:rsidR="009B1789">
        <w:rPr>
          <w:rFonts w:ascii="Times New Roman" w:hAnsi="Times New Roman"/>
        </w:rPr>
        <w:t>n</w:t>
      </w:r>
      <w:r w:rsidRPr="005A77EB">
        <w:rPr>
          <w:rFonts w:ascii="Times New Roman" w:hAnsi="Times New Roman"/>
        </w:rPr>
        <w:t xml:space="preserve"> FTCA claim, we assign the claim to an attorney for review.  The attorney reviews the claim and contacts the claimant or their representative if information is needed to </w:t>
      </w:r>
      <w:r w:rsidRPr="005A77EB">
        <w:rPr>
          <w:rFonts w:ascii="Times New Roman" w:hAnsi="Times New Roman"/>
        </w:rPr>
        <w:t>make a decision</w:t>
      </w:r>
      <w:r w:rsidRPr="005A77EB">
        <w:rPr>
          <w:rFonts w:ascii="Times New Roman" w:hAnsi="Times New Roman"/>
        </w:rPr>
        <w:t xml:space="preserve"> on the claim</w:t>
      </w:r>
      <w:r w:rsidR="00F02E70">
        <w:rPr>
          <w:rFonts w:ascii="Times New Roman" w:hAnsi="Times New Roman"/>
        </w:rPr>
        <w:t xml:space="preserve"> that was not included with the form</w:t>
      </w:r>
      <w:r w:rsidRPr="005A77EB">
        <w:rPr>
          <w:rFonts w:ascii="Times New Roman" w:hAnsi="Times New Roman"/>
        </w:rPr>
        <w:t>.</w:t>
      </w:r>
      <w:r w:rsidR="00F02E70">
        <w:rPr>
          <w:rFonts w:ascii="Times New Roman" w:hAnsi="Times New Roman"/>
        </w:rPr>
        <w:t xml:space="preserve"> </w:t>
      </w:r>
      <w:r w:rsidR="000564F5">
        <w:rPr>
          <w:rFonts w:ascii="Times New Roman" w:hAnsi="Times New Roman"/>
        </w:rPr>
        <w:t xml:space="preserve"> </w:t>
      </w:r>
      <w:r w:rsidR="00F02E70">
        <w:rPr>
          <w:rFonts w:ascii="Times New Roman" w:hAnsi="Times New Roman"/>
        </w:rPr>
        <w:t xml:space="preserve">A respondent’s experience during this information collection varies greatly depending on the nature of the claim and whether the respondent has a representative. </w:t>
      </w:r>
      <w:r w:rsidR="000564F5">
        <w:rPr>
          <w:rFonts w:ascii="Times New Roman" w:hAnsi="Times New Roman"/>
        </w:rPr>
        <w:t xml:space="preserve"> </w:t>
      </w:r>
      <w:r w:rsidR="00F02E70">
        <w:rPr>
          <w:rFonts w:ascii="Times New Roman" w:hAnsi="Times New Roman"/>
        </w:rPr>
        <w:t xml:space="preserve">For example, a respondent submitting a claim for an alleged injury at an agency facility may need to submit a number of documents concerning the circumstances leading to the injury and the medical effects. </w:t>
      </w:r>
      <w:r w:rsidR="000564F5">
        <w:rPr>
          <w:rFonts w:ascii="Times New Roman" w:hAnsi="Times New Roman"/>
        </w:rPr>
        <w:t xml:space="preserve"> </w:t>
      </w:r>
      <w:r w:rsidR="00F02E70">
        <w:rPr>
          <w:rFonts w:ascii="Times New Roman" w:hAnsi="Times New Roman"/>
        </w:rPr>
        <w:t xml:space="preserve">The number and type of documents would depend on the individual facts alleged in the claim. </w:t>
      </w:r>
      <w:r w:rsidR="000564F5">
        <w:rPr>
          <w:rFonts w:ascii="Times New Roman" w:hAnsi="Times New Roman"/>
        </w:rPr>
        <w:t xml:space="preserve"> </w:t>
      </w:r>
      <w:r w:rsidR="00F02E70">
        <w:rPr>
          <w:rFonts w:ascii="Times New Roman" w:hAnsi="Times New Roman"/>
        </w:rPr>
        <w:t xml:space="preserve">This may be facilitated by a representative. </w:t>
      </w:r>
      <w:r w:rsidR="000564F5">
        <w:rPr>
          <w:rFonts w:ascii="Times New Roman" w:hAnsi="Times New Roman"/>
        </w:rPr>
        <w:t xml:space="preserve"> </w:t>
      </w:r>
      <w:r w:rsidR="00F02E70">
        <w:rPr>
          <w:rFonts w:ascii="Times New Roman" w:hAnsi="Times New Roman"/>
        </w:rPr>
        <w:t>On the other hand, a respondent alleging a tort based simply on poor customer service may have relatively few documents and information to submit.</w:t>
      </w:r>
    </w:p>
    <w:p w:rsidR="005A77EB" w:rsidP="005A77EB" w14:paraId="0A8D36A5" w14:textId="77777777">
      <w:pPr>
        <w:widowControl/>
        <w:rPr>
          <w:rFonts w:ascii="Times New Roman" w:hAnsi="Times New Roman"/>
        </w:rPr>
      </w:pPr>
    </w:p>
    <w:p w:rsidR="00FC435E" w:rsidP="00FC435E" w14:paraId="5CF30738" w14:textId="77777777">
      <w:pPr>
        <w:pStyle w:val="ListParagraph"/>
        <w:widowControl/>
        <w:contextualSpacing w:val="0"/>
        <w:rPr>
          <w:rFonts w:ascii="Times New Roman" w:hAnsi="Times New Roman"/>
          <w:color w:val="000000"/>
        </w:rPr>
      </w:pPr>
      <w:r>
        <w:rPr>
          <w:rFonts w:ascii="Times New Roman" w:hAnsi="Times New Roman"/>
          <w:color w:val="000000"/>
        </w:rPr>
        <w:t>We identified the following psychological costs based on the requirements for this information collection:</w:t>
      </w:r>
    </w:p>
    <w:p w:rsidR="00FC435E" w:rsidP="00FC435E" w14:paraId="7268C642" w14:textId="77777777">
      <w:pPr>
        <w:pStyle w:val="ListParagraph"/>
        <w:widowControl/>
        <w:contextualSpacing w:val="0"/>
        <w:rPr>
          <w:rFonts w:ascii="Times New Roman" w:hAnsi="Times New Roman"/>
          <w:color w:val="000000"/>
        </w:rPr>
      </w:pPr>
    </w:p>
    <w:p w:rsidR="00FC435E" w:rsidRPr="007051AB" w:rsidP="00FC435E" w14:paraId="388AC6CA" w14:textId="77777777">
      <w:pPr>
        <w:pStyle w:val="ListParagraph"/>
        <w:widowControl/>
        <w:numPr>
          <w:ilvl w:val="0"/>
          <w:numId w:val="42"/>
        </w:numPr>
        <w:contextualSpacing w:val="0"/>
        <w:rPr>
          <w:rFonts w:ascii="Times New Roman" w:hAnsi="Times New Roman"/>
          <w:b/>
          <w:bCs/>
          <w:color w:val="000000"/>
        </w:rPr>
      </w:pPr>
      <w:r w:rsidRPr="007051AB">
        <w:rPr>
          <w:rFonts w:ascii="Times New Roman" w:hAnsi="Times New Roman"/>
          <w:b/>
          <w:bCs/>
          <w:color w:val="000000"/>
          <w:u w:val="single"/>
        </w:rPr>
        <w:t>Psychological Cost #1</w:t>
      </w:r>
      <w:r w:rsidRPr="007051AB">
        <w:rPr>
          <w:rFonts w:ascii="Times New Roman" w:hAnsi="Times New Roman"/>
          <w:b/>
          <w:bCs/>
          <w:color w:val="000000"/>
        </w:rPr>
        <w:t xml:space="preserve">:  </w:t>
      </w:r>
    </w:p>
    <w:p w:rsidR="00FC435E" w:rsidRPr="00FC435E" w:rsidP="00FC435E" w14:paraId="296CC8B3" w14:textId="07FCE2C3">
      <w:pPr>
        <w:pStyle w:val="ListParagraph"/>
        <w:widowControl/>
        <w:numPr>
          <w:ilvl w:val="1"/>
          <w:numId w:val="42"/>
        </w:numPr>
        <w:ind w:left="1800"/>
        <w:contextualSpacing w:val="0"/>
        <w:rPr>
          <w:rFonts w:ascii="Times New Roman" w:hAnsi="Times New Roman"/>
          <w:color w:val="000000"/>
        </w:rPr>
      </w:pPr>
      <w:r w:rsidRPr="007051AB">
        <w:rPr>
          <w:rFonts w:ascii="Times New Roman" w:hAnsi="Times New Roman"/>
          <w:b/>
          <w:bCs/>
          <w:color w:val="000000"/>
        </w:rPr>
        <w:t>Requirement for the Program:</w:t>
      </w:r>
      <w:r>
        <w:rPr>
          <w:rFonts w:ascii="Times New Roman" w:hAnsi="Times New Roman"/>
          <w:color w:val="000000"/>
        </w:rPr>
        <w:t xml:space="preserve">  </w:t>
      </w:r>
      <w:r>
        <w:rPr>
          <w:rFonts w:ascii="Times New Roman" w:hAnsi="Times New Roman"/>
        </w:rPr>
        <w:t>The SF-95 and any supporting documentation may concern matters where a person has suffered a physical, emotional, or material loss</w:t>
      </w:r>
      <w:r>
        <w:rPr>
          <w:rFonts w:ascii="Times New Roman" w:hAnsi="Times New Roman"/>
        </w:rPr>
        <w:t xml:space="preserve">.  </w:t>
      </w:r>
    </w:p>
    <w:p w:rsidR="00FC435E" w:rsidP="00FC435E" w14:paraId="471C961C" w14:textId="77777777">
      <w:pPr>
        <w:pStyle w:val="ListParagraph"/>
        <w:widowControl/>
        <w:ind w:left="2160"/>
        <w:contextualSpacing w:val="0"/>
        <w:rPr>
          <w:rFonts w:ascii="Times New Roman" w:hAnsi="Times New Roman"/>
          <w:color w:val="000000"/>
        </w:rPr>
      </w:pPr>
    </w:p>
    <w:p w:rsidR="004178F8" w:rsidRPr="007051AB" w:rsidP="00FC435E" w14:paraId="122B0F57" w14:textId="2243070F">
      <w:pPr>
        <w:pStyle w:val="ListParagraph"/>
        <w:widowControl/>
        <w:numPr>
          <w:ilvl w:val="1"/>
          <w:numId w:val="42"/>
        </w:numPr>
        <w:ind w:left="1800"/>
        <w:contextualSpacing w:val="0"/>
        <w:rPr>
          <w:rFonts w:ascii="Times New Roman" w:hAnsi="Times New Roman"/>
          <w:color w:val="000000"/>
        </w:rPr>
      </w:pPr>
      <w:r w:rsidRPr="007051AB">
        <w:rPr>
          <w:rFonts w:ascii="Times New Roman" w:hAnsi="Times New Roman"/>
          <w:b/>
          <w:bCs/>
          <w:color w:val="000000"/>
        </w:rPr>
        <w:t>Psychological Cost:</w:t>
      </w:r>
      <w:r>
        <w:rPr>
          <w:rFonts w:ascii="Times New Roman" w:hAnsi="Times New Roman"/>
          <w:color w:val="000000"/>
        </w:rPr>
        <w:t xml:space="preserve">  </w:t>
      </w:r>
      <w:r>
        <w:rPr>
          <w:rFonts w:ascii="Times New Roman" w:hAnsi="Times New Roman"/>
        </w:rPr>
        <w:t xml:space="preserve">There may be a psychological cost to assembling and submitting the form and documentation because it may serve as a reminder to the person of the loss they suffered. </w:t>
      </w:r>
      <w:r w:rsidR="007051AB">
        <w:rPr>
          <w:rFonts w:ascii="Times New Roman" w:hAnsi="Times New Roman"/>
        </w:rPr>
        <w:t xml:space="preserve"> </w:t>
      </w:r>
      <w:r>
        <w:rPr>
          <w:rFonts w:ascii="Times New Roman" w:hAnsi="Times New Roman"/>
        </w:rPr>
        <w:t xml:space="preserve">The degree of psychological cost could vary greatly from a low level for a material loss to a very high level for the loss of a loved one. </w:t>
      </w:r>
      <w:r w:rsidR="007051AB">
        <w:rPr>
          <w:rFonts w:ascii="Times New Roman" w:hAnsi="Times New Roman"/>
        </w:rPr>
        <w:t xml:space="preserve"> </w:t>
      </w:r>
      <w:r>
        <w:rPr>
          <w:rFonts w:ascii="Times New Roman" w:hAnsi="Times New Roman"/>
        </w:rPr>
        <w:t>Further, there may be a psychological cost associated with providing personal information, which could include sensitive documents such as medical records</w:t>
      </w:r>
      <w:r w:rsidRPr="00FC435E" w:rsidR="00097D50">
        <w:rPr>
          <w:rFonts w:ascii="Times New Roman" w:hAnsi="Times New Roman"/>
        </w:rPr>
        <w:t>.</w:t>
      </w:r>
    </w:p>
    <w:p w:rsidR="007051AB" w:rsidRPr="007051AB" w:rsidP="007051AB" w14:paraId="62D172BF" w14:textId="77777777">
      <w:pPr>
        <w:pStyle w:val="ListParagraph"/>
        <w:rPr>
          <w:rFonts w:ascii="Times New Roman" w:hAnsi="Times New Roman"/>
          <w:color w:val="000000"/>
        </w:rPr>
      </w:pPr>
    </w:p>
    <w:p w:rsidR="007051AB" w:rsidP="007051AB" w14:paraId="337DCA2F" w14:textId="4873B664">
      <w:pPr>
        <w:widowControl/>
        <w:ind w:left="720"/>
        <w:rPr>
          <w:rFonts w:ascii="Times New Roman" w:hAnsi="Times New Roman"/>
          <w:color w:val="000000"/>
        </w:rPr>
      </w:pPr>
      <w:r>
        <w:rPr>
          <w:rFonts w:ascii="Times New Roman" w:hAnsi="Times New Roman"/>
          <w:color w:val="000000"/>
        </w:rPr>
        <w:t>We understand these psychological costs may cause respondents to delay their completion of the information collection or cause them to abandon the information collection entirely.  However, we require full completion of this collection to receive benefits.  Therefore, we have taken this potential psychological cost into account when calculating our burden in #12 below.</w:t>
      </w:r>
    </w:p>
    <w:p w:rsidR="007051AB" w:rsidP="007051AB" w14:paraId="67862C69" w14:textId="77777777">
      <w:pPr>
        <w:widowControl/>
        <w:ind w:left="720"/>
        <w:rPr>
          <w:rFonts w:ascii="Times New Roman" w:hAnsi="Times New Roman"/>
          <w:color w:val="000000"/>
        </w:rPr>
      </w:pPr>
    </w:p>
    <w:p w:rsidR="00FE598A" w:rsidP="007051AB" w14:paraId="095424B9" w14:textId="2F949393">
      <w:pPr>
        <w:widowControl/>
        <w:ind w:left="720"/>
        <w:rPr>
          <w:rFonts w:ascii="Times New Roman" w:hAnsi="Times New Roman"/>
        </w:rPr>
      </w:pPr>
      <w:r>
        <w:rPr>
          <w:rFonts w:ascii="Times New Roman" w:hAnsi="Times New Roman"/>
        </w:rPr>
        <w:t>The respondents are individuals or entities making a claim under the FTCA.</w:t>
      </w:r>
    </w:p>
    <w:p w:rsidR="007051AB" w:rsidRPr="007051AB" w:rsidP="007051AB" w14:paraId="6016A4BB" w14:textId="77777777">
      <w:pPr>
        <w:widowControl/>
        <w:ind w:left="720"/>
        <w:rPr>
          <w:rFonts w:ascii="Times New Roman" w:hAnsi="Times New Roman"/>
          <w:color w:val="000000"/>
        </w:rPr>
      </w:pPr>
    </w:p>
    <w:p w:rsidR="0036696D" w:rsidRPr="0036696D" w:rsidP="00623F5F" w14:paraId="6E99D7BF" w14:textId="77777777">
      <w:pPr>
        <w:numPr>
          <w:ilvl w:val="0"/>
          <w:numId w:val="16"/>
        </w:numPr>
        <w:rPr>
          <w:rFonts w:ascii="Times New Roman" w:hAnsi="Times New Roman"/>
        </w:rPr>
      </w:pPr>
      <w:r w:rsidRPr="00BC7F42">
        <w:rPr>
          <w:rFonts w:ascii="Times New Roman" w:hAnsi="Times New Roman"/>
          <w:b/>
        </w:rPr>
        <w:t>Use of Information Technology to Collect the Information</w:t>
      </w:r>
    </w:p>
    <w:p w:rsidR="005721FA" w:rsidRPr="005721FA" w:rsidP="005721FA" w14:paraId="307A031D" w14:textId="3A1839BE">
      <w:pPr>
        <w:pStyle w:val="ListParagraph"/>
        <w:tabs>
          <w:tab w:val="left" w:pos="-720"/>
          <w:tab w:val="left" w:pos="0"/>
        </w:tabs>
        <w:suppressAutoHyphens/>
        <w:rPr>
          <w:rFonts w:ascii="Times New Roman" w:hAnsi="Times New Roman"/>
        </w:rPr>
      </w:pPr>
      <w:r w:rsidRPr="000238BE">
        <w:rPr>
          <w:rFonts w:ascii="Times New Roman" w:hAnsi="Times New Roman"/>
        </w:rPr>
        <w:t>SSA collects t</w:t>
      </w:r>
      <w:r>
        <w:rPr>
          <w:rFonts w:ascii="Times New Roman" w:hAnsi="Times New Roman"/>
        </w:rPr>
        <w:t xml:space="preserve">he information through various means, including written submissions via USPS mail without the use of any form, or submissions using </w:t>
      </w:r>
      <w:r w:rsidRPr="000238BE">
        <w:rPr>
          <w:rFonts w:ascii="Times New Roman" w:hAnsi="Times New Roman"/>
        </w:rPr>
        <w:t xml:space="preserve">OMB-approved </w:t>
      </w:r>
      <w:r w:rsidR="00BD3F22">
        <w:rPr>
          <w:rFonts w:ascii="Times New Roman" w:hAnsi="Times New Roman"/>
        </w:rPr>
        <w:t>SF-95</w:t>
      </w:r>
      <w:r w:rsidR="00F54D03">
        <w:rPr>
          <w:rFonts w:ascii="Times New Roman" w:hAnsi="Times New Roman"/>
        </w:rPr>
        <w:t xml:space="preserve"> </w:t>
      </w:r>
      <w:r w:rsidR="00F54D03">
        <w:rPr>
          <w:rFonts w:ascii="Times New Roman" w:hAnsi="Times New Roman"/>
        </w:rPr>
        <w:t>(OMB Control No. 1105-0008)</w:t>
      </w:r>
      <w:r>
        <w:rPr>
          <w:rFonts w:ascii="Times New Roman" w:hAnsi="Times New Roman"/>
        </w:rPr>
        <w:t xml:space="preserve">.  </w:t>
      </w:r>
      <w:r w:rsidRPr="00425C6D">
        <w:rPr>
          <w:rFonts w:ascii="Times New Roman" w:hAnsi="Times New Roman"/>
        </w:rPr>
        <w:t xml:space="preserve">SSA did not create an electronic </w:t>
      </w:r>
      <w:r w:rsidR="00F54D03">
        <w:rPr>
          <w:rFonts w:ascii="Times New Roman" w:hAnsi="Times New Roman"/>
        </w:rPr>
        <w:t xml:space="preserve">version of the </w:t>
      </w:r>
      <w:r w:rsidRPr="00425C6D">
        <w:rPr>
          <w:rFonts w:ascii="Times New Roman" w:hAnsi="Times New Roman"/>
        </w:rPr>
        <w:t xml:space="preserve">form </w:t>
      </w:r>
      <w:r>
        <w:rPr>
          <w:rFonts w:ascii="Times New Roman" w:hAnsi="Times New Roman"/>
        </w:rPr>
        <w:t>under</w:t>
      </w:r>
      <w:r w:rsidRPr="00425C6D">
        <w:rPr>
          <w:rFonts w:ascii="Times New Roman" w:hAnsi="Times New Roman"/>
        </w:rPr>
        <w:t xml:space="preserve"> the agency’s Government Paperwork Elimination Act (GPEA) plan because o</w:t>
      </w:r>
      <w:r>
        <w:rPr>
          <w:rFonts w:ascii="Times New Roman" w:hAnsi="Times New Roman"/>
        </w:rPr>
        <w:t xml:space="preserve">n average </w:t>
      </w:r>
      <w:r w:rsidR="00325240">
        <w:rPr>
          <w:rFonts w:ascii="Times New Roman" w:hAnsi="Times New Roman"/>
        </w:rPr>
        <w:t>fewer</w:t>
      </w:r>
      <w:r>
        <w:rPr>
          <w:rFonts w:ascii="Times New Roman" w:hAnsi="Times New Roman"/>
        </w:rPr>
        <w:t xml:space="preserve"> than </w:t>
      </w:r>
      <w:r w:rsidRPr="00575200">
        <w:rPr>
          <w:rFonts w:ascii="Times New Roman" w:hAnsi="Times New Roman"/>
        </w:rPr>
        <w:t>200 respondents</w:t>
      </w:r>
      <w:r w:rsidRPr="00425C6D">
        <w:rPr>
          <w:rFonts w:ascii="Times New Roman" w:hAnsi="Times New Roman"/>
        </w:rPr>
        <w:t xml:space="preserve"> complete the form</w:t>
      </w:r>
      <w:r>
        <w:rPr>
          <w:rFonts w:ascii="Times New Roman" w:hAnsi="Times New Roman"/>
        </w:rPr>
        <w:t xml:space="preserve"> annually, and because respondents </w:t>
      </w:r>
      <w:r w:rsidR="00F54D03">
        <w:rPr>
          <w:rFonts w:ascii="Times New Roman" w:hAnsi="Times New Roman"/>
        </w:rPr>
        <w:t xml:space="preserve">often </w:t>
      </w:r>
      <w:r>
        <w:rPr>
          <w:rFonts w:ascii="Times New Roman" w:hAnsi="Times New Roman"/>
        </w:rPr>
        <w:t xml:space="preserve">use the Department of Justice’s standard form to submit the information.  We do not count the burden </w:t>
      </w:r>
      <w:r>
        <w:rPr>
          <w:rFonts w:ascii="Times New Roman" w:hAnsi="Times New Roman"/>
        </w:rPr>
        <w:t>for the use of the SF-95</w:t>
      </w:r>
      <w:r w:rsidR="00BD3F22">
        <w:rPr>
          <w:rFonts w:ascii="Times New Roman" w:hAnsi="Times New Roman"/>
        </w:rPr>
        <w:t>,</w:t>
      </w:r>
      <w:r>
        <w:rPr>
          <w:rFonts w:ascii="Times New Roman" w:hAnsi="Times New Roman"/>
        </w:rPr>
        <w:t xml:space="preserve"> as the Department of Justice owns the OMB approval for that standard form. </w:t>
      </w:r>
      <w:r w:rsidR="00F54D03">
        <w:rPr>
          <w:rFonts w:ascii="Times New Roman" w:hAnsi="Times New Roman"/>
        </w:rPr>
        <w:t xml:space="preserve"> </w:t>
      </w:r>
      <w:r>
        <w:rPr>
          <w:rFonts w:ascii="Times New Roman" w:hAnsi="Times New Roman"/>
        </w:rPr>
        <w:t xml:space="preserve">Rather, we only count the burden for those respondents who </w:t>
      </w:r>
      <w:r w:rsidR="00F54D03">
        <w:rPr>
          <w:rFonts w:ascii="Times New Roman" w:hAnsi="Times New Roman"/>
        </w:rPr>
        <w:t>s</w:t>
      </w:r>
      <w:r>
        <w:rPr>
          <w:rFonts w:ascii="Times New Roman" w:hAnsi="Times New Roman"/>
        </w:rPr>
        <w:t>ubmit written requests without the use of the standard form under this OMB approval. We noted the use of the SF-95 on the burden chart in #12 below with a one</w:t>
      </w:r>
      <w:r>
        <w:rPr>
          <w:rFonts w:ascii="Times New Roman" w:hAnsi="Times New Roman"/>
        </w:rPr>
        <w:noBreakHyphen/>
        <w:t>hour placeholder burden</w:t>
      </w:r>
      <w:r w:rsidR="00F54D03">
        <w:rPr>
          <w:rFonts w:ascii="Times New Roman" w:hAnsi="Times New Roman"/>
        </w:rPr>
        <w:t>, as the majority of respondents filing FTCA claims do so using the SF-95</w:t>
      </w:r>
      <w:r>
        <w:rPr>
          <w:rFonts w:ascii="Times New Roman" w:hAnsi="Times New Roman"/>
        </w:rPr>
        <w:t>.</w:t>
      </w:r>
    </w:p>
    <w:p w:rsidR="00E72331" w:rsidRPr="00E72331" w:rsidP="00E72331" w14:paraId="0FEBEA04" w14:textId="77777777">
      <w:pPr>
        <w:ind w:left="720"/>
        <w:rPr>
          <w:rFonts w:ascii="Times New Roman" w:hAnsi="Times New Roman"/>
          <w:color w:val="FF0000"/>
        </w:rPr>
      </w:pPr>
    </w:p>
    <w:p w:rsidR="000C1D18" w:rsidP="00623F5F" w14:paraId="04E8DD7F" w14:textId="77777777">
      <w:pPr>
        <w:numPr>
          <w:ilvl w:val="0"/>
          <w:numId w:val="16"/>
        </w:numPr>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5721FA" w:rsidP="005721FA" w14:paraId="102D7C8D" w14:textId="77777777">
      <w:pPr>
        <w:pStyle w:val="ListParagraph"/>
        <w:tabs>
          <w:tab w:val="left" w:pos="-720"/>
          <w:tab w:val="left" w:pos="0"/>
        </w:tabs>
        <w:suppressAutoHyphens/>
        <w:rPr>
          <w:rFonts w:ascii="Times New Roman" w:hAnsi="Times New Roman"/>
          <w:bCs/>
        </w:rPr>
      </w:pPr>
      <w:r w:rsidRPr="000238BE">
        <w:rPr>
          <w:rFonts w:ascii="Times New Roman" w:hAnsi="Times New Roman"/>
          <w:bCs/>
        </w:rPr>
        <w:t xml:space="preserve">The nature of the information we </w:t>
      </w:r>
      <w:r>
        <w:rPr>
          <w:rFonts w:ascii="Times New Roman" w:hAnsi="Times New Roman"/>
          <w:bCs/>
        </w:rPr>
        <w:t>collect and the manner in which we</w:t>
      </w:r>
      <w:r w:rsidRPr="000238BE">
        <w:rPr>
          <w:rFonts w:ascii="Times New Roman" w:hAnsi="Times New Roman"/>
          <w:bCs/>
        </w:rPr>
        <w:t xml:space="preserve"> collect it preclude duplication.  SSA does not use another collection instrument to obtain similar data</w:t>
      </w:r>
      <w:r>
        <w:rPr>
          <w:rFonts w:ascii="Times New Roman" w:hAnsi="Times New Roman"/>
          <w:bCs/>
        </w:rPr>
        <w:t>.</w:t>
      </w:r>
    </w:p>
    <w:p w:rsidR="000C1D18" w:rsidP="000C1D18" w14:paraId="624789BE" w14:textId="77777777">
      <w:pPr>
        <w:ind w:left="720"/>
        <w:rPr>
          <w:rFonts w:ascii="Times New Roman" w:hAnsi="Times New Roman"/>
        </w:rPr>
      </w:pPr>
    </w:p>
    <w:p w:rsidR="00077E0E" w:rsidRPr="00077E0E" w:rsidP="00623F5F" w14:paraId="3BDA7516" w14:textId="77777777">
      <w:pPr>
        <w:numPr>
          <w:ilvl w:val="0"/>
          <w:numId w:val="18"/>
        </w:numPr>
        <w:tabs>
          <w:tab w:val="clear" w:pos="360"/>
        </w:tabs>
        <w:ind w:left="720" w:hanging="720"/>
        <w:rPr>
          <w:rFonts w:ascii="Times New Roman" w:hAnsi="Times New Roman"/>
        </w:rPr>
      </w:pPr>
      <w:r>
        <w:rPr>
          <w:rFonts w:ascii="Times New Roman" w:hAnsi="Times New Roman"/>
          <w:b/>
        </w:rPr>
        <w:t>Minimizing Burden on Small Respondents</w:t>
      </w:r>
    </w:p>
    <w:p w:rsidR="005721FA" w:rsidP="005721FA" w14:paraId="03A8C190" w14:textId="6F373EEF">
      <w:pPr>
        <w:pStyle w:val="ListParagraph"/>
        <w:tabs>
          <w:tab w:val="left" w:pos="-720"/>
          <w:tab w:val="left" w:pos="0"/>
        </w:tabs>
        <w:suppressAutoHyphens/>
        <w:ind w:left="360"/>
        <w:rPr>
          <w:rFonts w:ascii="Times New Roman" w:hAnsi="Times New Roman"/>
        </w:rPr>
      </w:pPr>
      <w:r>
        <w:rPr>
          <w:rFonts w:ascii="Times New Roman" w:hAnsi="Times New Roman"/>
        </w:rPr>
        <w:tab/>
      </w:r>
      <w:r w:rsidRPr="000238BE">
        <w:rPr>
          <w:rFonts w:ascii="Times New Roman" w:hAnsi="Times New Roman"/>
        </w:rPr>
        <w:t>This collection does not affect small businesses or other small entities</w:t>
      </w:r>
      <w:r>
        <w:rPr>
          <w:rFonts w:ascii="Times New Roman" w:hAnsi="Times New Roman"/>
        </w:rPr>
        <w:t>.</w:t>
      </w:r>
    </w:p>
    <w:p w:rsidR="00E75DB0" w:rsidRPr="00077E0E" w:rsidP="00077E0E" w14:paraId="020A1B88" w14:textId="77777777">
      <w:pPr>
        <w:ind w:left="720"/>
        <w:rPr>
          <w:rFonts w:ascii="Times New Roman" w:hAnsi="Times New Roman"/>
          <w:b/>
          <w:u w:val="single"/>
        </w:rPr>
      </w:pPr>
    </w:p>
    <w:p w:rsidR="005721FA" w:rsidRPr="005721FA" w:rsidP="005721FA" w14:paraId="455EF596" w14:textId="69E6D991">
      <w:pPr>
        <w:tabs>
          <w:tab w:val="left" w:pos="-720"/>
          <w:tab w:val="left" w:pos="0"/>
        </w:tabs>
        <w:suppressAutoHyphens/>
        <w:ind w:left="720" w:hanging="720"/>
        <w:rPr>
          <w:rFonts w:ascii="Times New Roman" w:hAnsi="Times New Roman"/>
          <w:b/>
        </w:rPr>
      </w:pPr>
      <w:r w:rsidRPr="005721FA">
        <w:rPr>
          <w:rFonts w:ascii="Times New Roman" w:hAnsi="Times New Roman"/>
          <w:b/>
        </w:rPr>
        <w:t>6.</w:t>
      </w:r>
      <w:r w:rsidRPr="005721FA">
        <w:rPr>
          <w:rFonts w:ascii="Times New Roman" w:hAnsi="Times New Roman"/>
        </w:rPr>
        <w:tab/>
      </w:r>
      <w:r w:rsidRPr="005721FA">
        <w:rPr>
          <w:rFonts w:ascii="Times New Roman" w:hAnsi="Times New Roman"/>
          <w:b/>
        </w:rPr>
        <w:t xml:space="preserve">Consequence of Not Collecting Information or Collecting it Less Frequently </w:t>
      </w:r>
      <w:r w:rsidRPr="005721FA">
        <w:rPr>
          <w:rFonts w:ascii="Times New Roman" w:hAnsi="Times New Roman"/>
        </w:rPr>
        <w:t xml:space="preserve">If we did not collect this information, SSA would be unable to investigate and determine whether to make an award, compromise, or settlement under the FTCA. Because we only collect the information on an as needed basis, we cannot collect it less frequently. </w:t>
      </w:r>
      <w:r w:rsidR="00607922">
        <w:rPr>
          <w:rFonts w:ascii="Times New Roman" w:hAnsi="Times New Roman"/>
        </w:rPr>
        <w:t xml:space="preserve"> </w:t>
      </w:r>
      <w:r w:rsidRPr="005721FA">
        <w:rPr>
          <w:rFonts w:ascii="Times New Roman" w:hAnsi="Times New Roman"/>
        </w:rPr>
        <w:t>There are no technical or legal obstacles to burden reduction.</w:t>
      </w:r>
    </w:p>
    <w:p w:rsidR="00D15D80" w:rsidRPr="00BC7F42" w:rsidP="005721FA" w14:paraId="6BD18581" w14:textId="670042BF">
      <w:pPr>
        <w:ind w:left="720" w:hanging="720"/>
        <w:rPr>
          <w:rFonts w:ascii="Times New Roman" w:hAnsi="Times New Roman"/>
        </w:rPr>
      </w:pPr>
    </w:p>
    <w:p w:rsidR="00127980" w:rsidP="00A45D82" w14:paraId="17549282" w14:textId="77777777">
      <w:pPr>
        <w:ind w:left="72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5721FA" w:rsidRPr="005721FA" w:rsidP="005721FA" w14:paraId="121939D6" w14:textId="31744CD0">
      <w:pPr>
        <w:pStyle w:val="ListParagraph"/>
        <w:tabs>
          <w:tab w:val="left" w:pos="-720"/>
          <w:tab w:val="left" w:pos="0"/>
        </w:tabs>
        <w:suppressAutoHyphens/>
        <w:rPr>
          <w:rFonts w:ascii="Times New Roman" w:hAnsi="Times New Roman"/>
        </w:rPr>
      </w:pPr>
      <w:r w:rsidRPr="000238BE">
        <w:rPr>
          <w:rFonts w:ascii="Times New Roman" w:hAnsi="Times New Roman"/>
        </w:rPr>
        <w:t>There are no special cir</w:t>
      </w:r>
      <w:r>
        <w:rPr>
          <w:rFonts w:ascii="Times New Roman" w:hAnsi="Times New Roman"/>
        </w:rPr>
        <w:t>cumstances that would cause SSA to collect this information in a manner in</w:t>
      </w:r>
      <w:r w:rsidRPr="000238BE">
        <w:rPr>
          <w:rFonts w:ascii="Times New Roman" w:hAnsi="Times New Roman"/>
        </w:rPr>
        <w:t xml:space="preserve">consistent with </w:t>
      </w:r>
      <w:r w:rsidRPr="0075753D">
        <w:rPr>
          <w:rFonts w:ascii="Times New Roman" w:hAnsi="Times New Roman"/>
          <w:i/>
          <w:iCs/>
        </w:rPr>
        <w:t>5 CFR 1320.5</w:t>
      </w:r>
      <w:r w:rsidRPr="005721FA">
        <w:rPr>
          <w:rFonts w:ascii="Times New Roman" w:hAnsi="Times New Roman"/>
        </w:rPr>
        <w:t>.</w:t>
      </w:r>
    </w:p>
    <w:p w:rsidR="00A45D82" w:rsidRPr="00BC7F42" w:rsidP="00A45D82" w14:paraId="700962FC" w14:textId="77777777">
      <w:pPr>
        <w:rPr>
          <w:rFonts w:ascii="Times New Roman" w:hAnsi="Times New Roman"/>
          <w:b/>
          <w:i/>
        </w:rPr>
      </w:pPr>
    </w:p>
    <w:p w:rsidR="00D15D80" w:rsidRPr="00D15D80" w:rsidP="00623F5F" w14:paraId="706D698E" w14:textId="77777777">
      <w:pPr>
        <w:numPr>
          <w:ilvl w:val="0"/>
          <w:numId w:val="13"/>
        </w:numPr>
        <w:tabs>
          <w:tab w:val="clear" w:pos="720"/>
        </w:tabs>
        <w:rPr>
          <w:rFonts w:ascii="Times New Roman" w:hAnsi="Times New Roman"/>
        </w:rPr>
      </w:pPr>
      <w:r w:rsidRPr="00BC7F42">
        <w:rPr>
          <w:rFonts w:ascii="Times New Roman" w:hAnsi="Times New Roman"/>
          <w:b/>
        </w:rPr>
        <w:t xml:space="preserve">Solicitation of Public Comment and Other Consultations with the Public </w:t>
      </w:r>
    </w:p>
    <w:p w:rsidR="00607922" w:rsidRPr="00607922" w:rsidP="00607922" w14:paraId="4F588308" w14:textId="77777777">
      <w:pPr>
        <w:pStyle w:val="ListParagraph"/>
        <w:rPr>
          <w:rFonts w:ascii="Times New Roman" w:hAnsi="Times New Roman"/>
        </w:rPr>
      </w:pPr>
      <w:r w:rsidRPr="00607922">
        <w:rPr>
          <w:rFonts w:ascii="Times New Roman" w:hAnsi="Times New Roman"/>
        </w:rPr>
        <w:t xml:space="preserve">The 60-day advance Federal Register Notice published on April 9, 2024, at </w:t>
      </w:r>
    </w:p>
    <w:p w:rsidR="00A45D82" w:rsidP="00607922" w14:paraId="315CB818" w14:textId="11A7A4F3">
      <w:pPr>
        <w:pStyle w:val="ListParagraph"/>
        <w:rPr>
          <w:rFonts w:ascii="Times New Roman" w:hAnsi="Times New Roman"/>
        </w:rPr>
      </w:pPr>
      <w:r>
        <w:rPr>
          <w:rFonts w:ascii="Times New Roman" w:hAnsi="Times New Roman"/>
        </w:rPr>
        <w:t>89</w:t>
      </w:r>
      <w:r w:rsidRPr="00ED63AC">
        <w:rPr>
          <w:rFonts w:ascii="Times New Roman" w:hAnsi="Times New Roman"/>
        </w:rPr>
        <w:t xml:space="preserve"> FR </w:t>
      </w:r>
      <w:r>
        <w:rPr>
          <w:rFonts w:ascii="Times New Roman" w:hAnsi="Times New Roman"/>
        </w:rPr>
        <w:t>24886</w:t>
      </w:r>
      <w:r w:rsidRPr="00ED63AC">
        <w:rPr>
          <w:rFonts w:ascii="Times New Roman" w:hAnsi="Times New Roman"/>
        </w:rPr>
        <w:t>, and we received no public comments.  The 30-day FRN published on</w:t>
      </w:r>
      <w:r>
        <w:rPr>
          <w:rFonts w:ascii="Times New Roman" w:hAnsi="Times New Roman"/>
        </w:rPr>
        <w:t xml:space="preserve"> July 5, 2024,</w:t>
      </w:r>
      <w:r w:rsidRPr="00ED63AC">
        <w:rPr>
          <w:rFonts w:ascii="Times New Roman" w:hAnsi="Times New Roman"/>
        </w:rPr>
        <w:t xml:space="preserve"> at</w:t>
      </w:r>
      <w:r>
        <w:rPr>
          <w:rFonts w:ascii="Times New Roman" w:hAnsi="Times New Roman"/>
        </w:rPr>
        <w:t xml:space="preserve"> 89 FR 55666</w:t>
      </w:r>
      <w:r w:rsidRPr="00ED63AC">
        <w:rPr>
          <w:rFonts w:ascii="Times New Roman" w:hAnsi="Times New Roman"/>
        </w:rPr>
        <w:t>.</w:t>
      </w:r>
      <w:r>
        <w:rPr>
          <w:rFonts w:ascii="Times New Roman" w:hAnsi="Times New Roman"/>
        </w:rPr>
        <w:t xml:space="preserve">  </w:t>
      </w:r>
      <w:r w:rsidRPr="00ED63AC">
        <w:rPr>
          <w:rFonts w:ascii="Times New Roman" w:hAnsi="Times New Roman"/>
        </w:rPr>
        <w:t xml:space="preserve">If we receive any comments in response to this Notice, we will forward them to OMB. </w:t>
      </w:r>
      <w:r>
        <w:rPr>
          <w:rFonts w:ascii="Times New Roman" w:hAnsi="Times New Roman"/>
        </w:rPr>
        <w:t xml:space="preserve"> We did not consult with the public in the revision/maintenance of this form</w:t>
      </w:r>
      <w:r w:rsidR="00C57498">
        <w:rPr>
          <w:rFonts w:ascii="Times New Roman" w:hAnsi="Times New Roman"/>
        </w:rPr>
        <w:t xml:space="preserve">. </w:t>
      </w:r>
    </w:p>
    <w:p w:rsidR="00C57498" w:rsidRPr="00BC7F42" w:rsidP="00A45D82" w14:paraId="7CAFB324" w14:textId="77777777">
      <w:pPr>
        <w:rPr>
          <w:rFonts w:ascii="Times New Roman" w:hAnsi="Times New Roman"/>
        </w:rPr>
      </w:pPr>
    </w:p>
    <w:p w:rsidR="00640A26" w:rsidP="00623F5F" w14:paraId="4D0F4157" w14:textId="77777777">
      <w:pPr>
        <w:numPr>
          <w:ilvl w:val="0"/>
          <w:numId w:val="13"/>
        </w:numPr>
        <w:rPr>
          <w:rFonts w:ascii="Times New Roman" w:hAnsi="Times New Roman"/>
          <w:b/>
        </w:rPr>
      </w:pPr>
      <w:r w:rsidRPr="00BC7F42">
        <w:rPr>
          <w:rFonts w:ascii="Times New Roman" w:hAnsi="Times New Roman"/>
          <w:b/>
        </w:rPr>
        <w:t>Payment or Gifts to Respondents</w:t>
      </w:r>
    </w:p>
    <w:p w:rsidR="00C57498" w:rsidP="00C57498" w14:paraId="6255B1CE" w14:textId="7EEB443C">
      <w:pPr>
        <w:pStyle w:val="ListParagraph"/>
        <w:tabs>
          <w:tab w:val="left" w:pos="-720"/>
          <w:tab w:val="left" w:pos="0"/>
        </w:tabs>
        <w:suppressAutoHyphens/>
        <w:rPr>
          <w:rFonts w:ascii="Times New Roman" w:hAnsi="Times New Roman"/>
          <w:b/>
        </w:rPr>
      </w:pPr>
      <w:r>
        <w:rPr>
          <w:rFonts w:ascii="Times New Roman" w:hAnsi="Times New Roman"/>
        </w:rPr>
        <w:t xml:space="preserve">Other than settlement payments where SSA determines that it is liable for the damages alleged under the FTCA, and where the amount is under $2,500, SSA makes no payments to respondents. </w:t>
      </w:r>
      <w:r w:rsidR="00607922">
        <w:rPr>
          <w:rFonts w:ascii="Times New Roman" w:hAnsi="Times New Roman"/>
        </w:rPr>
        <w:t xml:space="preserve"> </w:t>
      </w:r>
      <w:r>
        <w:rPr>
          <w:rFonts w:ascii="Times New Roman" w:hAnsi="Times New Roman"/>
        </w:rPr>
        <w:t>SSA does not accept gifts from respondents, nor does SSA give gifts to respondents.</w:t>
      </w:r>
    </w:p>
    <w:p w:rsidR="00A45D82" w:rsidRPr="00BC7F42" w:rsidP="00A45D82" w14:paraId="186F1DFD" w14:textId="77777777">
      <w:pPr>
        <w:rPr>
          <w:rFonts w:ascii="Times New Roman" w:hAnsi="Times New Roman"/>
        </w:rPr>
      </w:pPr>
    </w:p>
    <w:p w:rsidR="00795BAB" w:rsidP="00623F5F" w14:paraId="79DE3392" w14:textId="77777777">
      <w:pPr>
        <w:numPr>
          <w:ilvl w:val="0"/>
          <w:numId w:val="13"/>
        </w:numPr>
        <w:rPr>
          <w:rFonts w:ascii="Times New Roman" w:hAnsi="Times New Roman"/>
          <w:b/>
        </w:rPr>
      </w:pPr>
      <w:r w:rsidRPr="00BC7F42">
        <w:rPr>
          <w:rFonts w:ascii="Times New Roman" w:hAnsi="Times New Roman"/>
          <w:b/>
        </w:rPr>
        <w:t>Assurances of Confidentiality</w:t>
      </w:r>
    </w:p>
    <w:p w:rsidR="00607922" w:rsidRPr="00607922" w:rsidP="00607922" w14:paraId="2CC4CD52" w14:textId="77777777">
      <w:pPr>
        <w:pStyle w:val="ListParagraph"/>
        <w:rPr>
          <w:rFonts w:ascii="Times New Roman" w:hAnsi="Times New Roman"/>
        </w:rPr>
      </w:pPr>
      <w:r w:rsidRPr="00607922">
        <w:rPr>
          <w:rFonts w:ascii="Times New Roman" w:hAnsi="Times New Roman"/>
        </w:rPr>
        <w:t xml:space="preserve">SSA protects and holds confidential the information it collects in accordance with </w:t>
      </w:r>
    </w:p>
    <w:p w:rsidR="00C57498" w:rsidRPr="00607922" w:rsidP="00607922" w14:paraId="440AD7C0" w14:textId="3E710573">
      <w:pPr>
        <w:pStyle w:val="ListParagraph"/>
        <w:rPr>
          <w:rFonts w:ascii="Times New Roman" w:hAnsi="Times New Roman"/>
          <w:i/>
        </w:rPr>
      </w:pPr>
      <w:r w:rsidRPr="00607922">
        <w:rPr>
          <w:rFonts w:ascii="Times New Roman" w:hAnsi="Times New Roman"/>
          <w:i/>
        </w:rPr>
        <w:t xml:space="preserve">42 U.S.C. 1306, 20 CFR 401 </w:t>
      </w:r>
      <w:r w:rsidRPr="00607922">
        <w:rPr>
          <w:rFonts w:ascii="Times New Roman" w:hAnsi="Times New Roman"/>
          <w:iCs/>
        </w:rPr>
        <w:t>and</w:t>
      </w:r>
      <w:r w:rsidRPr="00607922">
        <w:rPr>
          <w:rFonts w:ascii="Times New Roman" w:hAnsi="Times New Roman"/>
          <w:i/>
        </w:rPr>
        <w:t xml:space="preserve"> 402, 5 U.S.C. 552 </w:t>
      </w:r>
      <w:r w:rsidRPr="00607922">
        <w:rPr>
          <w:rFonts w:ascii="Times New Roman" w:hAnsi="Times New Roman"/>
          <w:iCs/>
        </w:rPr>
        <w:t>(Freedom of Information Act),</w:t>
      </w:r>
      <w:r>
        <w:rPr>
          <w:rFonts w:ascii="Times New Roman" w:hAnsi="Times New Roman"/>
          <w:iCs/>
        </w:rPr>
        <w:t xml:space="preserve"> </w:t>
      </w:r>
      <w:r w:rsidRPr="00607922">
        <w:rPr>
          <w:rFonts w:ascii="Times New Roman" w:hAnsi="Times New Roman"/>
          <w:i/>
        </w:rPr>
        <w:t xml:space="preserve">5 U.S.C. 552a </w:t>
      </w:r>
      <w:r w:rsidRPr="00607922">
        <w:rPr>
          <w:rFonts w:ascii="Times New Roman" w:hAnsi="Times New Roman"/>
          <w:iCs/>
        </w:rPr>
        <w:t>(Privacy Act of 1974), and OMB Circular No. A-130</w:t>
      </w:r>
      <w:r w:rsidRPr="00607922">
        <w:rPr>
          <w:rFonts w:ascii="Times New Roman" w:hAnsi="Times New Roman"/>
        </w:rPr>
        <w:t>.</w:t>
      </w:r>
    </w:p>
    <w:p w:rsidR="00A45D82" w:rsidRPr="00BC7F42" w:rsidP="00C57498" w14:paraId="6F36D59D" w14:textId="6F03BAF6">
      <w:pPr>
        <w:ind w:left="720"/>
        <w:rPr>
          <w:rFonts w:ascii="Times New Roman" w:hAnsi="Times New Roman"/>
        </w:rPr>
      </w:pPr>
    </w:p>
    <w:p w:rsidR="00607922" w:rsidP="00607922" w14:paraId="03120CBE" w14:textId="77777777">
      <w:pPr>
        <w:numPr>
          <w:ilvl w:val="0"/>
          <w:numId w:val="13"/>
        </w:numPr>
        <w:rPr>
          <w:rFonts w:ascii="Times New Roman" w:hAnsi="Times New Roman"/>
          <w:b/>
        </w:rPr>
      </w:pPr>
      <w:r w:rsidRPr="00BC7F42">
        <w:rPr>
          <w:rFonts w:ascii="Times New Roman" w:hAnsi="Times New Roman"/>
          <w:b/>
        </w:rPr>
        <w:t>Justification for Sensitive Questions</w:t>
      </w:r>
    </w:p>
    <w:p w:rsidR="00607922" w:rsidP="00607922" w14:paraId="7A8703FC" w14:textId="77777777">
      <w:pPr>
        <w:ind w:left="720"/>
        <w:rPr>
          <w:rFonts w:ascii="Times New Roman" w:hAnsi="Times New Roman"/>
          <w:b/>
        </w:rPr>
      </w:pPr>
      <w:r w:rsidRPr="00607922">
        <w:rPr>
          <w:rFonts w:ascii="Times New Roman" w:hAnsi="Times New Roman"/>
        </w:rPr>
        <w:t xml:space="preserve">The information collection sometimes contains questions or information of a sensitive nature, </w:t>
      </w:r>
      <w:r w:rsidRPr="00607922">
        <w:rPr>
          <w:rFonts w:ascii="Times New Roman" w:hAnsi="Times New Roman"/>
        </w:rPr>
        <w:t xml:space="preserve">including the potential need for </w:t>
      </w:r>
      <w:r w:rsidRPr="00607922">
        <w:rPr>
          <w:rFonts w:ascii="Times New Roman" w:hAnsi="Times New Roman"/>
        </w:rPr>
        <w:t xml:space="preserve">medical records, in reference to </w:t>
      </w:r>
      <w:r w:rsidRPr="00607922">
        <w:rPr>
          <w:rFonts w:ascii="Times New Roman" w:hAnsi="Times New Roman"/>
        </w:rPr>
        <w:t xml:space="preserve">an FTCA claim. </w:t>
      </w:r>
      <w:r w:rsidRPr="00607922">
        <w:rPr>
          <w:rFonts w:ascii="Times New Roman" w:hAnsi="Times New Roman"/>
        </w:rPr>
        <w:t xml:space="preserve"> </w:t>
      </w:r>
      <w:r w:rsidRPr="00607922">
        <w:rPr>
          <w:rFonts w:ascii="Times New Roman" w:hAnsi="Times New Roman"/>
        </w:rPr>
        <w:t xml:space="preserve">If information of a sensitive nature is necessary, SSA explains to the respondent the clear correlation for the purpose of the information and voluntary submission. </w:t>
      </w:r>
      <w:r w:rsidRPr="00607922">
        <w:rPr>
          <w:rFonts w:ascii="Times New Roman" w:hAnsi="Times New Roman"/>
        </w:rPr>
        <w:t xml:space="preserve"> </w:t>
      </w:r>
      <w:r w:rsidRPr="00607922">
        <w:rPr>
          <w:rFonts w:ascii="Times New Roman" w:hAnsi="Times New Roman"/>
        </w:rPr>
        <w:t>Those agency employees who need the information in the scope of their official duties are the only ones who use the information to make decisions in accordance with the law.</w:t>
      </w:r>
    </w:p>
    <w:p w:rsidR="00607922" w:rsidP="00607922" w14:paraId="2354AE78" w14:textId="77777777">
      <w:pPr>
        <w:ind w:left="720"/>
        <w:rPr>
          <w:rFonts w:ascii="Times New Roman" w:hAnsi="Times New Roman"/>
          <w:b/>
        </w:rPr>
      </w:pPr>
    </w:p>
    <w:p w:rsidR="003E145C" w:rsidRPr="00607922" w:rsidP="00607922" w14:paraId="6D799B2F" w14:textId="28B0D7D4">
      <w:pPr>
        <w:numPr>
          <w:ilvl w:val="0"/>
          <w:numId w:val="13"/>
        </w:numPr>
        <w:rPr>
          <w:rFonts w:ascii="Times New Roman" w:hAnsi="Times New Roman"/>
          <w:b/>
        </w:rPr>
      </w:pPr>
      <w:r w:rsidRPr="00607922">
        <w:rPr>
          <w:rFonts w:ascii="Times New Roman" w:hAnsi="Times New Roman"/>
          <w:b/>
        </w:rPr>
        <w:t>Estimates of Public Reporting Burden</w:t>
      </w:r>
    </w:p>
    <w:p w:rsidR="00BD3F22" w:rsidP="00BD3F22" w14:paraId="414E6FB8" w14:textId="1D489B17">
      <w:pPr>
        <w:ind w:left="720"/>
        <w:rPr>
          <w:rFonts w:ascii="Times New Roman" w:hAnsi="Times New Roman"/>
        </w:rPr>
      </w:pPr>
      <w:r>
        <w:rPr>
          <w:rFonts w:ascii="Times New Roman" w:hAnsi="Times New Roman"/>
        </w:rPr>
        <w:t>We</w:t>
      </w:r>
      <w:r w:rsidRPr="003A5078">
        <w:rPr>
          <w:rFonts w:ascii="Times New Roman" w:hAnsi="Times New Roman"/>
        </w:rPr>
        <w:t xml:space="preserve"> calculated the current burden based only on our management information data regarding how long it takes someone to either fill out the SF-95 or submit the information about their claim in writing, as it is difficult to assess how long it takes claimants to gather the evidence for these claims</w:t>
      </w:r>
      <w:r>
        <w:rPr>
          <w:rFonts w:ascii="Times New Roman" w:hAnsi="Times New Roman"/>
        </w:rPr>
        <w:t>, since those times can vary so widely (dependent on the claim)</w:t>
      </w:r>
      <w:r w:rsidRPr="003A5078">
        <w:rPr>
          <w:rFonts w:ascii="Times New Roman" w:hAnsi="Times New Roman"/>
        </w:rPr>
        <w:t xml:space="preserve">. </w:t>
      </w:r>
      <w:r>
        <w:rPr>
          <w:rFonts w:ascii="Times New Roman" w:hAnsi="Times New Roman"/>
        </w:rPr>
        <w:t xml:space="preserve"> </w:t>
      </w:r>
      <w:r w:rsidRPr="003A5078">
        <w:rPr>
          <w:rFonts w:ascii="Times New Roman" w:hAnsi="Times New Roman"/>
        </w:rPr>
        <w:t xml:space="preserve">Based on our current management information data, the time burden per claim for these </w:t>
      </w:r>
      <w:r>
        <w:rPr>
          <w:rFonts w:ascii="Times New Roman" w:hAnsi="Times New Roman"/>
        </w:rPr>
        <w:t>regulatory sections</w:t>
      </w:r>
      <w:r w:rsidRPr="003A5078">
        <w:rPr>
          <w:rFonts w:ascii="Times New Roman" w:hAnsi="Times New Roman"/>
        </w:rPr>
        <w:t xml:space="preserve"> can vary significantly, and claimants do not normally indicate how long it takes to gather the information.</w:t>
      </w:r>
      <w:r>
        <w:rPr>
          <w:rFonts w:ascii="Times New Roman" w:hAnsi="Times New Roman"/>
        </w:rPr>
        <w:t xml:space="preserve"> </w:t>
      </w:r>
      <w:r w:rsidRPr="003A5078">
        <w:rPr>
          <w:rFonts w:ascii="Times New Roman" w:hAnsi="Times New Roman"/>
        </w:rPr>
        <w:t xml:space="preserve"> However, based on the data we have, we believe the average claimant may take approximately one hour to gather supporting documentation for an FTCA claim, complete their claim, and submit it to SSA. </w:t>
      </w:r>
      <w:r>
        <w:rPr>
          <w:rFonts w:ascii="Times New Roman" w:hAnsi="Times New Roman"/>
        </w:rPr>
        <w:t xml:space="preserve"> </w:t>
      </w:r>
      <w:r w:rsidRPr="003A5078">
        <w:rPr>
          <w:rFonts w:ascii="Times New Roman" w:hAnsi="Times New Roman"/>
        </w:rPr>
        <w:t xml:space="preserve">This figure considers claimants who submit no supporting documentation at all, and claimants who submit significant paperwork with their claims. </w:t>
      </w:r>
      <w:r>
        <w:rPr>
          <w:rFonts w:ascii="Times New Roman" w:hAnsi="Times New Roman"/>
        </w:rPr>
        <w:t xml:space="preserve"> It also includes consideration of the psychological costs mentioned in #2 above</w:t>
      </w:r>
      <w:r>
        <w:rPr>
          <w:rFonts w:ascii="Times New Roman" w:hAnsi="Times New Roman"/>
        </w:rPr>
        <w:t>:</w:t>
      </w:r>
    </w:p>
    <w:p w:rsidR="00690F29" w:rsidP="00BD3F22" w14:paraId="142C7337" w14:textId="77777777">
      <w:pPr>
        <w:ind w:left="720"/>
        <w:rPr>
          <w:rFonts w:ascii="Times New Roman" w:hAnsi="Times New Roman"/>
          <w:b/>
        </w:rPr>
      </w:pPr>
    </w:p>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1440"/>
        <w:gridCol w:w="1530"/>
        <w:gridCol w:w="1350"/>
        <w:gridCol w:w="1260"/>
        <w:gridCol w:w="1530"/>
        <w:gridCol w:w="1530"/>
      </w:tblGrid>
      <w:tr w14:paraId="7111B385" w14:textId="77777777" w:rsidTr="00690F29">
        <w:tblPrEx>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60" w:type="dxa"/>
            <w:tcBorders>
              <w:top w:val="single" w:sz="4" w:space="0" w:color="auto"/>
              <w:left w:val="single" w:sz="4" w:space="0" w:color="auto"/>
              <w:bottom w:val="single" w:sz="4" w:space="0" w:color="auto"/>
              <w:right w:val="single" w:sz="4" w:space="0" w:color="auto"/>
            </w:tcBorders>
            <w:hideMark/>
          </w:tcPr>
          <w:p w:rsidR="00B30724" w:rsidRPr="00607922" w:rsidP="00607922" w14:paraId="58F1514D" w14:textId="77777777">
            <w:pPr>
              <w:pStyle w:val="Heading2"/>
              <w:rPr>
                <w:rFonts w:ascii="Times New Roman" w:hAnsi="Times New Roman"/>
                <w:b/>
                <w:bCs/>
                <w:iCs/>
                <w:snapToGrid/>
                <w:color w:val="000000" w:themeColor="text1"/>
                <w:sz w:val="24"/>
                <w:szCs w:val="24"/>
              </w:rPr>
            </w:pPr>
            <w:r w:rsidRPr="00607922">
              <w:rPr>
                <w:rFonts w:ascii="Times New Roman" w:hAnsi="Times New Roman"/>
                <w:b/>
                <w:bCs/>
                <w:iCs/>
                <w:color w:val="000000" w:themeColor="text1"/>
                <w:sz w:val="24"/>
                <w:szCs w:val="24"/>
              </w:rPr>
              <w:t>Modality of Completion</w:t>
            </w:r>
          </w:p>
        </w:tc>
        <w:tc>
          <w:tcPr>
            <w:tcW w:w="1440" w:type="dxa"/>
            <w:tcBorders>
              <w:top w:val="single" w:sz="4" w:space="0" w:color="auto"/>
              <w:left w:val="single" w:sz="4" w:space="0" w:color="auto"/>
              <w:bottom w:val="single" w:sz="4" w:space="0" w:color="auto"/>
              <w:right w:val="single" w:sz="4" w:space="0" w:color="auto"/>
            </w:tcBorders>
            <w:hideMark/>
          </w:tcPr>
          <w:p w:rsidR="00B30724" w:rsidRPr="00607922" w:rsidP="00607922" w14:paraId="3CC8CB6B" w14:textId="77777777">
            <w:pPr>
              <w:rPr>
                <w:rFonts w:ascii="Times New Roman" w:hAnsi="Times New Roman"/>
                <w:b/>
                <w:color w:val="000000" w:themeColor="text1"/>
              </w:rPr>
            </w:pPr>
            <w:r w:rsidRPr="00607922">
              <w:rPr>
                <w:rFonts w:ascii="Times New Roman" w:hAnsi="Times New Roman"/>
                <w:b/>
                <w:color w:val="000000" w:themeColor="text1"/>
              </w:rPr>
              <w:t>Number of Responses</w:t>
            </w:r>
          </w:p>
        </w:tc>
        <w:tc>
          <w:tcPr>
            <w:tcW w:w="1530" w:type="dxa"/>
            <w:tcBorders>
              <w:top w:val="single" w:sz="4" w:space="0" w:color="auto"/>
              <w:left w:val="single" w:sz="4" w:space="0" w:color="auto"/>
              <w:bottom w:val="single" w:sz="4" w:space="0" w:color="auto"/>
              <w:right w:val="single" w:sz="4" w:space="0" w:color="auto"/>
            </w:tcBorders>
            <w:hideMark/>
          </w:tcPr>
          <w:p w:rsidR="00B30724" w:rsidRPr="00607922" w:rsidP="00607922" w14:paraId="7E30968B" w14:textId="77777777">
            <w:pPr>
              <w:rPr>
                <w:rFonts w:ascii="Times New Roman" w:hAnsi="Times New Roman"/>
                <w:b/>
                <w:color w:val="000000" w:themeColor="text1"/>
              </w:rPr>
            </w:pPr>
            <w:r w:rsidRPr="00607922">
              <w:rPr>
                <w:rFonts w:ascii="Times New Roman" w:hAnsi="Times New Roman"/>
                <w:b/>
                <w:color w:val="000000" w:themeColor="text1"/>
              </w:rPr>
              <w:t>Frequency of Response</w:t>
            </w:r>
          </w:p>
        </w:tc>
        <w:tc>
          <w:tcPr>
            <w:tcW w:w="1350" w:type="dxa"/>
            <w:tcBorders>
              <w:top w:val="single" w:sz="4" w:space="0" w:color="auto"/>
              <w:left w:val="single" w:sz="4" w:space="0" w:color="auto"/>
              <w:bottom w:val="single" w:sz="4" w:space="0" w:color="auto"/>
              <w:right w:val="single" w:sz="4" w:space="0" w:color="auto"/>
            </w:tcBorders>
            <w:hideMark/>
          </w:tcPr>
          <w:p w:rsidR="00B30724" w:rsidRPr="00607922" w:rsidP="00607922" w14:paraId="290C480F" w14:textId="3CBE23B3">
            <w:pPr>
              <w:rPr>
                <w:rFonts w:ascii="Times New Roman" w:hAnsi="Times New Roman"/>
                <w:b/>
                <w:color w:val="000000" w:themeColor="text1"/>
              </w:rPr>
            </w:pPr>
            <w:r w:rsidRPr="00607922">
              <w:rPr>
                <w:rFonts w:ascii="Times New Roman" w:hAnsi="Times New Roman"/>
                <w:b/>
                <w:color w:val="000000" w:themeColor="text1"/>
              </w:rPr>
              <w:t>Average Burden Per Response (minutes)</w:t>
            </w:r>
            <w:r w:rsidRPr="00607922" w:rsidR="003A5078">
              <w:rPr>
                <w:rFonts w:ascii="Times New Roman" w:hAnsi="Times New Roman"/>
                <w:b/>
                <w:color w:val="000000" w:themeColor="text1"/>
              </w:rPr>
              <w:t>*</w:t>
            </w:r>
          </w:p>
        </w:tc>
        <w:tc>
          <w:tcPr>
            <w:tcW w:w="1260" w:type="dxa"/>
            <w:tcBorders>
              <w:top w:val="single" w:sz="4" w:space="0" w:color="auto"/>
              <w:left w:val="single" w:sz="4" w:space="0" w:color="auto"/>
              <w:bottom w:val="single" w:sz="4" w:space="0" w:color="auto"/>
              <w:right w:val="single" w:sz="4" w:space="0" w:color="auto"/>
            </w:tcBorders>
            <w:hideMark/>
          </w:tcPr>
          <w:p w:rsidR="00B30724" w:rsidRPr="00607922" w:rsidP="00607922" w14:paraId="57354123" w14:textId="77777777">
            <w:pPr>
              <w:rPr>
                <w:rFonts w:ascii="Times New Roman" w:hAnsi="Times New Roman"/>
                <w:b/>
                <w:color w:val="000000" w:themeColor="text1"/>
              </w:rPr>
            </w:pPr>
            <w:r w:rsidRPr="00607922">
              <w:rPr>
                <w:rFonts w:ascii="Times New Roman" w:hAnsi="Times New Roman"/>
                <w:b/>
                <w:color w:val="000000" w:themeColor="text1"/>
              </w:rPr>
              <w:t xml:space="preserve">Estimated Annual Burden </w:t>
            </w:r>
          </w:p>
          <w:p w:rsidR="00B30724" w:rsidRPr="00607922" w:rsidP="00607922" w14:paraId="3110C5D1" w14:textId="77777777">
            <w:pPr>
              <w:rPr>
                <w:rFonts w:ascii="Times New Roman" w:hAnsi="Times New Roman"/>
                <w:b/>
                <w:color w:val="000000" w:themeColor="text1"/>
              </w:rPr>
            </w:pPr>
            <w:r w:rsidRPr="00607922">
              <w:rPr>
                <w:rFonts w:ascii="Times New Roman" w:hAnsi="Times New Roman"/>
                <w:b/>
                <w:color w:val="000000" w:themeColor="text1"/>
              </w:rPr>
              <w:t>(hours)</w:t>
            </w:r>
          </w:p>
        </w:tc>
        <w:tc>
          <w:tcPr>
            <w:tcW w:w="1530" w:type="dxa"/>
            <w:tcBorders>
              <w:top w:val="single" w:sz="4" w:space="0" w:color="auto"/>
              <w:left w:val="single" w:sz="4" w:space="0" w:color="auto"/>
              <w:bottom w:val="single" w:sz="4" w:space="0" w:color="auto"/>
              <w:right w:val="single" w:sz="4" w:space="0" w:color="auto"/>
            </w:tcBorders>
            <w:hideMark/>
          </w:tcPr>
          <w:p w:rsidR="00B30724" w:rsidRPr="00607922" w:rsidP="00607922" w14:paraId="6B819E31" w14:textId="656C625E">
            <w:pPr>
              <w:rPr>
                <w:rFonts w:ascii="Times New Roman" w:hAnsi="Times New Roman"/>
                <w:b/>
                <w:color w:val="000000" w:themeColor="text1"/>
              </w:rPr>
            </w:pPr>
            <w:r w:rsidRPr="00607922">
              <w:rPr>
                <w:rFonts w:ascii="Times New Roman" w:hAnsi="Times New Roman"/>
                <w:b/>
                <w:color w:val="000000" w:themeColor="text1"/>
              </w:rPr>
              <w:t>Average Theoretical Hourly Cost Amount (dollars)*</w:t>
            </w:r>
            <w:r w:rsidRPr="00607922" w:rsidR="003A5078">
              <w:rPr>
                <w:rFonts w:ascii="Times New Roman" w:hAnsi="Times New Roman"/>
                <w:b/>
                <w:color w:val="000000" w:themeColor="text1"/>
              </w:rPr>
              <w:t>*</w:t>
            </w:r>
          </w:p>
        </w:tc>
        <w:tc>
          <w:tcPr>
            <w:tcW w:w="1530" w:type="dxa"/>
            <w:tcBorders>
              <w:top w:val="single" w:sz="4" w:space="0" w:color="auto"/>
              <w:left w:val="single" w:sz="4" w:space="0" w:color="auto"/>
              <w:bottom w:val="single" w:sz="4" w:space="0" w:color="auto"/>
              <w:right w:val="single" w:sz="4" w:space="0" w:color="auto"/>
            </w:tcBorders>
            <w:hideMark/>
          </w:tcPr>
          <w:p w:rsidR="00B30724" w:rsidRPr="00607922" w:rsidP="00607922" w14:paraId="669EB1A3" w14:textId="0A068FE9">
            <w:pPr>
              <w:rPr>
                <w:rFonts w:ascii="Times New Roman" w:hAnsi="Times New Roman"/>
                <w:b/>
                <w:color w:val="000000" w:themeColor="text1"/>
              </w:rPr>
            </w:pPr>
            <w:r w:rsidRPr="00607922">
              <w:rPr>
                <w:rFonts w:ascii="Times New Roman" w:hAnsi="Times New Roman"/>
                <w:b/>
                <w:color w:val="000000" w:themeColor="text1"/>
              </w:rPr>
              <w:t>Total Annual Opportunity Costs (dollars)**</w:t>
            </w:r>
            <w:r w:rsidRPr="00607922" w:rsidR="003A5078">
              <w:rPr>
                <w:rFonts w:ascii="Times New Roman" w:hAnsi="Times New Roman"/>
                <w:b/>
                <w:color w:val="000000" w:themeColor="text1"/>
              </w:rPr>
              <w:t>*</w:t>
            </w:r>
          </w:p>
        </w:tc>
      </w:tr>
      <w:tr w14:paraId="7878147E" w14:textId="77777777" w:rsidTr="00690F29">
        <w:tblPrEx>
          <w:tblW w:w="10800" w:type="dxa"/>
          <w:tblInd w:w="-725" w:type="dxa"/>
          <w:tblLayout w:type="fixed"/>
          <w:tblLook w:val="04A0"/>
        </w:tblPrEx>
        <w:tc>
          <w:tcPr>
            <w:tcW w:w="2160" w:type="dxa"/>
            <w:tcBorders>
              <w:top w:val="single" w:sz="4" w:space="0" w:color="auto"/>
              <w:left w:val="single" w:sz="4" w:space="0" w:color="auto"/>
              <w:bottom w:val="single" w:sz="4" w:space="0" w:color="auto"/>
              <w:right w:val="single" w:sz="4" w:space="0" w:color="auto"/>
            </w:tcBorders>
            <w:hideMark/>
          </w:tcPr>
          <w:p w:rsidR="00B30724" w:rsidRPr="00690F29" w:rsidP="00607922" w14:paraId="4F20F871" w14:textId="34832462">
            <w:pPr>
              <w:rPr>
                <w:rFonts w:ascii="Times New Roman" w:hAnsi="Times New Roman"/>
                <w:color w:val="000000" w:themeColor="text1"/>
              </w:rPr>
            </w:pPr>
            <w:r w:rsidRPr="00690F29">
              <w:rPr>
                <w:rFonts w:ascii="Times New Roman" w:eastAsia="SimSun" w:hAnsi="Times New Roman"/>
                <w:snapToGrid/>
              </w:rPr>
              <w:t>429.102; 429.103</w:t>
            </w:r>
            <w:r w:rsidR="001C7A8B">
              <w:rPr>
                <w:rFonts w:ascii="Times New Roman" w:eastAsia="SimSun" w:hAnsi="Times New Roman"/>
                <w:snapToGrid/>
              </w:rPr>
              <w:t xml:space="preserve"> (SF-95)</w:t>
            </w:r>
            <w:r w:rsidRPr="00690F29">
              <w:rPr>
                <w:rFonts w:ascii="Times New Roman" w:eastAsia="SimSun" w:hAnsi="Times New Roman"/>
                <w:snapToGrid/>
              </w:rPr>
              <w:t>*</w:t>
            </w:r>
          </w:p>
        </w:tc>
        <w:tc>
          <w:tcPr>
            <w:tcW w:w="1440" w:type="dxa"/>
            <w:tcBorders>
              <w:top w:val="single" w:sz="4" w:space="0" w:color="auto"/>
              <w:left w:val="single" w:sz="4" w:space="0" w:color="auto"/>
              <w:bottom w:val="single" w:sz="4" w:space="0" w:color="auto"/>
              <w:right w:val="single" w:sz="4" w:space="0" w:color="auto"/>
            </w:tcBorders>
            <w:hideMark/>
          </w:tcPr>
          <w:p w:rsidR="00B30724" w:rsidRPr="00607922" w:rsidP="00690F29" w14:paraId="3EE7DC18" w14:textId="0AFE0389">
            <w:pPr>
              <w:jc w:val="right"/>
              <w:rPr>
                <w:rFonts w:ascii="Times New Roman" w:hAnsi="Times New Roman"/>
                <w:color w:val="000000" w:themeColor="text1"/>
              </w:rPr>
            </w:pPr>
            <w:r>
              <w:rPr>
                <w:rFonts w:ascii="Times New Roman" w:hAnsi="Times New Roman"/>
                <w:color w:val="000000" w:themeColor="text1"/>
              </w:rPr>
              <w:t>1</w:t>
            </w:r>
          </w:p>
        </w:tc>
        <w:tc>
          <w:tcPr>
            <w:tcW w:w="1530" w:type="dxa"/>
            <w:tcBorders>
              <w:top w:val="single" w:sz="4" w:space="0" w:color="auto"/>
              <w:left w:val="single" w:sz="4" w:space="0" w:color="auto"/>
              <w:bottom w:val="single" w:sz="4" w:space="0" w:color="auto"/>
              <w:right w:val="single" w:sz="4" w:space="0" w:color="auto"/>
            </w:tcBorders>
            <w:hideMark/>
          </w:tcPr>
          <w:p w:rsidR="00B30724" w:rsidRPr="00607922" w:rsidP="00690F29" w14:paraId="5FF364C6" w14:textId="4E9469E6">
            <w:pPr>
              <w:jc w:val="right"/>
              <w:rPr>
                <w:rFonts w:ascii="Times New Roman" w:hAnsi="Times New Roman"/>
                <w:color w:val="000000" w:themeColor="text1"/>
              </w:rPr>
            </w:pPr>
            <w:r>
              <w:rPr>
                <w:rFonts w:ascii="Times New Roman" w:hAnsi="Times New Roman"/>
                <w:color w:val="000000" w:themeColor="text1"/>
              </w:rPr>
              <w:t>1</w:t>
            </w:r>
          </w:p>
        </w:tc>
        <w:tc>
          <w:tcPr>
            <w:tcW w:w="1350" w:type="dxa"/>
            <w:tcBorders>
              <w:top w:val="single" w:sz="4" w:space="0" w:color="auto"/>
              <w:left w:val="single" w:sz="4" w:space="0" w:color="auto"/>
              <w:bottom w:val="single" w:sz="4" w:space="0" w:color="auto"/>
              <w:right w:val="single" w:sz="4" w:space="0" w:color="auto"/>
            </w:tcBorders>
            <w:hideMark/>
          </w:tcPr>
          <w:p w:rsidR="00B30724" w:rsidRPr="00607922" w:rsidP="00690F29" w14:paraId="176DFAE4" w14:textId="1D83052D">
            <w:pPr>
              <w:jc w:val="right"/>
              <w:rPr>
                <w:rFonts w:ascii="Times New Roman" w:hAnsi="Times New Roman"/>
                <w:color w:val="000000" w:themeColor="text1"/>
              </w:rPr>
            </w:pPr>
            <w:r>
              <w:rPr>
                <w:rFonts w:ascii="Times New Roman" w:hAnsi="Times New Roman"/>
                <w:color w:val="000000" w:themeColor="text1"/>
              </w:rPr>
              <w:t>1</w:t>
            </w:r>
          </w:p>
        </w:tc>
        <w:tc>
          <w:tcPr>
            <w:tcW w:w="1260" w:type="dxa"/>
            <w:tcBorders>
              <w:top w:val="single" w:sz="4" w:space="0" w:color="auto"/>
              <w:left w:val="single" w:sz="4" w:space="0" w:color="auto"/>
              <w:bottom w:val="single" w:sz="4" w:space="0" w:color="auto"/>
              <w:right w:val="single" w:sz="4" w:space="0" w:color="auto"/>
            </w:tcBorders>
            <w:hideMark/>
          </w:tcPr>
          <w:p w:rsidR="00B30724" w:rsidRPr="00607922" w:rsidP="00690F29" w14:paraId="713EB313" w14:textId="64C834AF">
            <w:pPr>
              <w:jc w:val="right"/>
              <w:rPr>
                <w:rFonts w:ascii="Times New Roman" w:hAnsi="Times New Roman"/>
                <w:color w:val="000000" w:themeColor="text1"/>
              </w:rPr>
            </w:pPr>
            <w:r>
              <w:rPr>
                <w:rFonts w:ascii="Times New Roman" w:hAnsi="Times New Roman"/>
                <w:color w:val="000000" w:themeColor="text1"/>
              </w:rPr>
              <w:t>1</w:t>
            </w:r>
          </w:p>
        </w:tc>
        <w:tc>
          <w:tcPr>
            <w:tcW w:w="1530" w:type="dxa"/>
            <w:tcBorders>
              <w:top w:val="single" w:sz="4" w:space="0" w:color="auto"/>
              <w:left w:val="single" w:sz="4" w:space="0" w:color="auto"/>
              <w:bottom w:val="single" w:sz="4" w:space="0" w:color="auto"/>
              <w:right w:val="single" w:sz="4" w:space="0" w:color="auto"/>
            </w:tcBorders>
            <w:hideMark/>
          </w:tcPr>
          <w:p w:rsidR="00B30724" w:rsidRPr="00607922" w:rsidP="00690F29" w14:paraId="0D68CD3A" w14:textId="2137085F">
            <w:pPr>
              <w:jc w:val="right"/>
              <w:rPr>
                <w:rStyle w:val="FootnoteReference"/>
                <w:color w:val="000000" w:themeColor="text1"/>
              </w:rPr>
            </w:pPr>
            <w:r w:rsidRPr="00607922">
              <w:rPr>
                <w:rFonts w:ascii="Times New Roman" w:hAnsi="Times New Roman"/>
                <w:color w:val="000000" w:themeColor="text1"/>
              </w:rPr>
              <w:t>$</w:t>
            </w:r>
            <w:r w:rsidR="00690F29">
              <w:rPr>
                <w:rFonts w:ascii="Times New Roman" w:hAnsi="Times New Roman"/>
                <w:color w:val="000000" w:themeColor="text1"/>
              </w:rPr>
              <w:t>31.48**</w:t>
            </w:r>
          </w:p>
        </w:tc>
        <w:tc>
          <w:tcPr>
            <w:tcW w:w="1530" w:type="dxa"/>
            <w:tcBorders>
              <w:top w:val="single" w:sz="4" w:space="0" w:color="auto"/>
              <w:left w:val="single" w:sz="4" w:space="0" w:color="auto"/>
              <w:bottom w:val="single" w:sz="4" w:space="0" w:color="auto"/>
              <w:right w:val="single" w:sz="4" w:space="0" w:color="auto"/>
            </w:tcBorders>
            <w:hideMark/>
          </w:tcPr>
          <w:p w:rsidR="00B30724" w:rsidRPr="00607922" w:rsidP="00690F29" w14:paraId="0895DE26" w14:textId="62A60721">
            <w:pPr>
              <w:jc w:val="right"/>
              <w:rPr>
                <w:rStyle w:val="FootnoteReference"/>
                <w:rFonts w:ascii="Times New Roman" w:hAnsi="Times New Roman"/>
                <w:color w:val="000000" w:themeColor="text1"/>
              </w:rPr>
            </w:pPr>
            <w:r>
              <w:rPr>
                <w:rFonts w:ascii="Times New Roman" w:hAnsi="Times New Roman"/>
                <w:color w:val="000000" w:themeColor="text1"/>
              </w:rPr>
              <w:t>$</w:t>
            </w:r>
            <w:r w:rsidR="001C7A8B">
              <w:rPr>
                <w:rFonts w:ascii="Times New Roman" w:hAnsi="Times New Roman"/>
                <w:color w:val="000000" w:themeColor="text1"/>
              </w:rPr>
              <w:t>32</w:t>
            </w:r>
            <w:r>
              <w:rPr>
                <w:rFonts w:ascii="Times New Roman" w:hAnsi="Times New Roman"/>
                <w:color w:val="000000" w:themeColor="text1"/>
              </w:rPr>
              <w:t>***</w:t>
            </w:r>
          </w:p>
        </w:tc>
      </w:tr>
      <w:tr w14:paraId="2EA5C869" w14:textId="77777777" w:rsidTr="00690F29">
        <w:tblPrEx>
          <w:tblW w:w="10800" w:type="dxa"/>
          <w:tblInd w:w="-725" w:type="dxa"/>
          <w:tblLayout w:type="fixed"/>
          <w:tblLook w:val="04A0"/>
        </w:tblPrEx>
        <w:tc>
          <w:tcPr>
            <w:tcW w:w="2160" w:type="dxa"/>
            <w:tcBorders>
              <w:top w:val="single" w:sz="4" w:space="0" w:color="auto"/>
              <w:left w:val="single" w:sz="4" w:space="0" w:color="auto"/>
              <w:bottom w:val="single" w:sz="4" w:space="0" w:color="auto"/>
              <w:right w:val="single" w:sz="4" w:space="0" w:color="auto"/>
            </w:tcBorders>
          </w:tcPr>
          <w:p w:rsidR="00690F29" w:rsidRPr="00690F29" w:rsidP="00690F29" w14:paraId="4A5136E4" w14:textId="05247176">
            <w:pPr>
              <w:rPr>
                <w:rFonts w:ascii="Times New Roman" w:hAnsi="Times New Roman"/>
                <w:color w:val="000000" w:themeColor="text1"/>
              </w:rPr>
            </w:pPr>
            <w:r w:rsidRPr="00690F29">
              <w:rPr>
                <w:rFonts w:ascii="Times New Roman" w:eastAsia="SimSun" w:hAnsi="Times New Roman"/>
                <w:snapToGrid/>
              </w:rPr>
              <w:t>429.104(a)</w:t>
            </w:r>
          </w:p>
        </w:tc>
        <w:tc>
          <w:tcPr>
            <w:tcW w:w="1440" w:type="dxa"/>
            <w:tcBorders>
              <w:top w:val="single" w:sz="4" w:space="0" w:color="auto"/>
              <w:left w:val="single" w:sz="4" w:space="0" w:color="auto"/>
              <w:bottom w:val="single" w:sz="4" w:space="0" w:color="auto"/>
              <w:right w:val="single" w:sz="4" w:space="0" w:color="auto"/>
            </w:tcBorders>
          </w:tcPr>
          <w:p w:rsidR="00690F29" w:rsidRPr="00607922" w:rsidP="00690F29" w14:paraId="28B399AD" w14:textId="7F012511">
            <w:pPr>
              <w:jc w:val="right"/>
              <w:rPr>
                <w:rFonts w:ascii="Times New Roman" w:hAnsi="Times New Roman"/>
                <w:color w:val="000000" w:themeColor="text1"/>
              </w:rPr>
            </w:pPr>
            <w:r>
              <w:rPr>
                <w:rFonts w:ascii="Times New Roman" w:hAnsi="Times New Roman"/>
                <w:color w:val="000000" w:themeColor="text1"/>
              </w:rPr>
              <w:t>8</w:t>
            </w:r>
          </w:p>
        </w:tc>
        <w:tc>
          <w:tcPr>
            <w:tcW w:w="1530" w:type="dxa"/>
            <w:tcBorders>
              <w:top w:val="single" w:sz="4" w:space="0" w:color="auto"/>
              <w:left w:val="single" w:sz="4" w:space="0" w:color="auto"/>
              <w:bottom w:val="single" w:sz="4" w:space="0" w:color="auto"/>
              <w:right w:val="single" w:sz="4" w:space="0" w:color="auto"/>
            </w:tcBorders>
          </w:tcPr>
          <w:p w:rsidR="00690F29" w:rsidRPr="00607922" w:rsidP="00690F29" w14:paraId="0D1B5B51" w14:textId="69F7E9AB">
            <w:pPr>
              <w:jc w:val="right"/>
              <w:rPr>
                <w:rFonts w:ascii="Times New Roman" w:hAnsi="Times New Roman"/>
                <w:color w:val="000000" w:themeColor="text1"/>
              </w:rPr>
            </w:pPr>
            <w:r>
              <w:rPr>
                <w:rFonts w:ascii="Times New Roman" w:hAnsi="Times New Roman"/>
                <w:color w:val="000000" w:themeColor="text1"/>
              </w:rPr>
              <w:t>1</w:t>
            </w:r>
          </w:p>
        </w:tc>
        <w:tc>
          <w:tcPr>
            <w:tcW w:w="1350" w:type="dxa"/>
            <w:tcBorders>
              <w:top w:val="single" w:sz="4" w:space="0" w:color="auto"/>
              <w:left w:val="single" w:sz="4" w:space="0" w:color="auto"/>
              <w:bottom w:val="single" w:sz="4" w:space="0" w:color="auto"/>
              <w:right w:val="single" w:sz="4" w:space="0" w:color="auto"/>
            </w:tcBorders>
          </w:tcPr>
          <w:p w:rsidR="00690F29" w:rsidRPr="00607922" w:rsidP="00690F29" w14:paraId="6D8AE141" w14:textId="45A351CA">
            <w:pPr>
              <w:jc w:val="right"/>
              <w:rPr>
                <w:rFonts w:ascii="Times New Roman" w:hAnsi="Times New Roman"/>
                <w:color w:val="000000" w:themeColor="text1"/>
              </w:rPr>
            </w:pPr>
            <w:r>
              <w:rPr>
                <w:rFonts w:ascii="Times New Roman" w:hAnsi="Times New Roman"/>
                <w:color w:val="000000" w:themeColor="text1"/>
              </w:rPr>
              <w:t>60</w:t>
            </w:r>
          </w:p>
        </w:tc>
        <w:tc>
          <w:tcPr>
            <w:tcW w:w="1260" w:type="dxa"/>
            <w:tcBorders>
              <w:top w:val="single" w:sz="4" w:space="0" w:color="auto"/>
              <w:left w:val="single" w:sz="4" w:space="0" w:color="auto"/>
              <w:bottom w:val="single" w:sz="4" w:space="0" w:color="auto"/>
              <w:right w:val="single" w:sz="4" w:space="0" w:color="auto"/>
            </w:tcBorders>
          </w:tcPr>
          <w:p w:rsidR="00690F29" w:rsidRPr="00607922" w:rsidP="00690F29" w14:paraId="03F0689D" w14:textId="3CBF52BC">
            <w:pPr>
              <w:ind w:left="220"/>
              <w:jc w:val="right"/>
              <w:rPr>
                <w:rFonts w:ascii="Times New Roman" w:hAnsi="Times New Roman"/>
                <w:color w:val="000000" w:themeColor="text1"/>
              </w:rPr>
            </w:pPr>
            <w:r>
              <w:rPr>
                <w:rFonts w:ascii="Times New Roman" w:hAnsi="Times New Roman"/>
                <w:color w:val="000000" w:themeColor="text1"/>
              </w:rPr>
              <w:t>8</w:t>
            </w:r>
          </w:p>
        </w:tc>
        <w:tc>
          <w:tcPr>
            <w:tcW w:w="1530" w:type="dxa"/>
            <w:tcBorders>
              <w:top w:val="single" w:sz="4" w:space="0" w:color="auto"/>
              <w:left w:val="single" w:sz="4" w:space="0" w:color="auto"/>
              <w:bottom w:val="single" w:sz="4" w:space="0" w:color="auto"/>
              <w:right w:val="single" w:sz="4" w:space="0" w:color="auto"/>
            </w:tcBorders>
          </w:tcPr>
          <w:p w:rsidR="00690F29" w:rsidRPr="00607922" w:rsidP="00690F29" w14:paraId="38E9F506" w14:textId="07B9C161">
            <w:pPr>
              <w:jc w:val="right"/>
              <w:rPr>
                <w:rFonts w:ascii="Times New Roman" w:hAnsi="Times New Roman"/>
                <w:color w:val="000000" w:themeColor="text1"/>
              </w:rPr>
            </w:pPr>
            <w:r w:rsidRPr="00CB1AF4">
              <w:rPr>
                <w:rFonts w:ascii="Times New Roman" w:hAnsi="Times New Roman"/>
                <w:color w:val="000000" w:themeColor="text1"/>
              </w:rPr>
              <w:t>$31.48**</w:t>
            </w:r>
          </w:p>
        </w:tc>
        <w:tc>
          <w:tcPr>
            <w:tcW w:w="1530" w:type="dxa"/>
            <w:tcBorders>
              <w:top w:val="single" w:sz="4" w:space="0" w:color="auto"/>
              <w:left w:val="single" w:sz="4" w:space="0" w:color="auto"/>
              <w:bottom w:val="single" w:sz="4" w:space="0" w:color="auto"/>
              <w:right w:val="single" w:sz="4" w:space="0" w:color="auto"/>
            </w:tcBorders>
          </w:tcPr>
          <w:p w:rsidR="00690F29" w:rsidRPr="00607922" w:rsidP="00690F29" w14:paraId="0269C48B" w14:textId="35F582E6">
            <w:pPr>
              <w:jc w:val="right"/>
              <w:rPr>
                <w:rFonts w:ascii="Times New Roman" w:hAnsi="Times New Roman"/>
                <w:color w:val="000000" w:themeColor="text1"/>
              </w:rPr>
            </w:pPr>
            <w:r>
              <w:rPr>
                <w:rFonts w:ascii="Times New Roman" w:hAnsi="Times New Roman"/>
                <w:color w:val="000000" w:themeColor="text1"/>
              </w:rPr>
              <w:t>$252***</w:t>
            </w:r>
          </w:p>
        </w:tc>
      </w:tr>
      <w:tr w14:paraId="2AE614CD" w14:textId="77777777" w:rsidTr="00690F29">
        <w:tblPrEx>
          <w:tblW w:w="10800" w:type="dxa"/>
          <w:tblInd w:w="-725" w:type="dxa"/>
          <w:tblLayout w:type="fixed"/>
          <w:tblLook w:val="04A0"/>
        </w:tblPrEx>
        <w:tc>
          <w:tcPr>
            <w:tcW w:w="2160" w:type="dxa"/>
            <w:tcBorders>
              <w:top w:val="single" w:sz="4" w:space="0" w:color="auto"/>
              <w:left w:val="single" w:sz="4" w:space="0" w:color="auto"/>
              <w:bottom w:val="single" w:sz="4" w:space="0" w:color="auto"/>
              <w:right w:val="single" w:sz="4" w:space="0" w:color="auto"/>
            </w:tcBorders>
          </w:tcPr>
          <w:p w:rsidR="00690F29" w:rsidRPr="00690F29" w:rsidP="00690F29" w14:paraId="7E129D4C" w14:textId="1D7CD9F6">
            <w:pPr>
              <w:rPr>
                <w:rFonts w:ascii="Times New Roman" w:hAnsi="Times New Roman"/>
                <w:color w:val="000000" w:themeColor="text1"/>
              </w:rPr>
            </w:pPr>
            <w:r w:rsidRPr="00690F29">
              <w:rPr>
                <w:rFonts w:ascii="Times New Roman" w:eastAsia="SimSun" w:hAnsi="Times New Roman"/>
                <w:snapToGrid/>
              </w:rPr>
              <w:t>429.104(b)</w:t>
            </w:r>
          </w:p>
        </w:tc>
        <w:tc>
          <w:tcPr>
            <w:tcW w:w="1440" w:type="dxa"/>
            <w:tcBorders>
              <w:top w:val="single" w:sz="4" w:space="0" w:color="auto"/>
              <w:left w:val="single" w:sz="4" w:space="0" w:color="auto"/>
              <w:bottom w:val="single" w:sz="4" w:space="0" w:color="auto"/>
              <w:right w:val="single" w:sz="4" w:space="0" w:color="auto"/>
            </w:tcBorders>
          </w:tcPr>
          <w:p w:rsidR="00690F29" w:rsidRPr="00607922" w:rsidP="00690F29" w14:paraId="2B296FBC" w14:textId="7B369DB2">
            <w:pPr>
              <w:jc w:val="right"/>
              <w:rPr>
                <w:rFonts w:ascii="Times New Roman" w:hAnsi="Times New Roman"/>
                <w:color w:val="000000" w:themeColor="text1"/>
              </w:rPr>
            </w:pPr>
            <w:r>
              <w:rPr>
                <w:rFonts w:ascii="Times New Roman" w:hAnsi="Times New Roman"/>
                <w:color w:val="000000" w:themeColor="text1"/>
              </w:rPr>
              <w:t>30</w:t>
            </w:r>
          </w:p>
        </w:tc>
        <w:tc>
          <w:tcPr>
            <w:tcW w:w="1530" w:type="dxa"/>
            <w:tcBorders>
              <w:top w:val="single" w:sz="4" w:space="0" w:color="auto"/>
              <w:left w:val="single" w:sz="4" w:space="0" w:color="auto"/>
              <w:bottom w:val="single" w:sz="4" w:space="0" w:color="auto"/>
              <w:right w:val="single" w:sz="4" w:space="0" w:color="auto"/>
            </w:tcBorders>
          </w:tcPr>
          <w:p w:rsidR="00690F29" w:rsidRPr="00607922" w:rsidP="00690F29" w14:paraId="6FB05457" w14:textId="0F936FD8">
            <w:pPr>
              <w:jc w:val="right"/>
              <w:rPr>
                <w:rFonts w:ascii="Times New Roman" w:hAnsi="Times New Roman"/>
                <w:color w:val="000000" w:themeColor="text1"/>
              </w:rPr>
            </w:pPr>
            <w:r>
              <w:rPr>
                <w:rFonts w:ascii="Times New Roman" w:hAnsi="Times New Roman"/>
                <w:color w:val="000000" w:themeColor="text1"/>
              </w:rPr>
              <w:t>1</w:t>
            </w:r>
          </w:p>
        </w:tc>
        <w:tc>
          <w:tcPr>
            <w:tcW w:w="1350" w:type="dxa"/>
            <w:tcBorders>
              <w:top w:val="single" w:sz="4" w:space="0" w:color="auto"/>
              <w:left w:val="single" w:sz="4" w:space="0" w:color="auto"/>
              <w:bottom w:val="single" w:sz="4" w:space="0" w:color="auto"/>
              <w:right w:val="single" w:sz="4" w:space="0" w:color="auto"/>
            </w:tcBorders>
          </w:tcPr>
          <w:p w:rsidR="00690F29" w:rsidRPr="00607922" w:rsidP="00690F29" w14:paraId="5AA06DAA" w14:textId="35F9EFB9">
            <w:pPr>
              <w:jc w:val="right"/>
              <w:rPr>
                <w:rFonts w:ascii="Times New Roman" w:hAnsi="Times New Roman"/>
                <w:color w:val="000000" w:themeColor="text1"/>
              </w:rPr>
            </w:pPr>
            <w:r w:rsidRPr="00873B87">
              <w:rPr>
                <w:rFonts w:ascii="Times New Roman" w:hAnsi="Times New Roman"/>
                <w:color w:val="000000" w:themeColor="text1"/>
              </w:rPr>
              <w:t>60</w:t>
            </w:r>
          </w:p>
        </w:tc>
        <w:tc>
          <w:tcPr>
            <w:tcW w:w="1260" w:type="dxa"/>
            <w:tcBorders>
              <w:top w:val="single" w:sz="4" w:space="0" w:color="auto"/>
              <w:left w:val="single" w:sz="4" w:space="0" w:color="auto"/>
              <w:bottom w:val="single" w:sz="4" w:space="0" w:color="auto"/>
              <w:right w:val="single" w:sz="4" w:space="0" w:color="auto"/>
            </w:tcBorders>
          </w:tcPr>
          <w:p w:rsidR="00690F29" w:rsidRPr="00607922" w:rsidP="00690F29" w14:paraId="579BE780" w14:textId="6E68014C">
            <w:pPr>
              <w:ind w:left="220"/>
              <w:jc w:val="right"/>
              <w:rPr>
                <w:rFonts w:ascii="Times New Roman" w:hAnsi="Times New Roman"/>
                <w:color w:val="000000" w:themeColor="text1"/>
              </w:rPr>
            </w:pPr>
            <w:r>
              <w:rPr>
                <w:rFonts w:ascii="Times New Roman" w:hAnsi="Times New Roman"/>
                <w:color w:val="000000" w:themeColor="text1"/>
              </w:rPr>
              <w:t>30</w:t>
            </w:r>
          </w:p>
        </w:tc>
        <w:tc>
          <w:tcPr>
            <w:tcW w:w="1530" w:type="dxa"/>
            <w:tcBorders>
              <w:top w:val="single" w:sz="4" w:space="0" w:color="auto"/>
              <w:left w:val="single" w:sz="4" w:space="0" w:color="auto"/>
              <w:bottom w:val="single" w:sz="4" w:space="0" w:color="auto"/>
              <w:right w:val="single" w:sz="4" w:space="0" w:color="auto"/>
            </w:tcBorders>
          </w:tcPr>
          <w:p w:rsidR="00690F29" w:rsidRPr="00607922" w:rsidP="00690F29" w14:paraId="130D040D" w14:textId="7C3C5EE1">
            <w:pPr>
              <w:jc w:val="right"/>
              <w:rPr>
                <w:rFonts w:ascii="Times New Roman" w:hAnsi="Times New Roman"/>
                <w:color w:val="000000" w:themeColor="text1"/>
              </w:rPr>
            </w:pPr>
            <w:r w:rsidRPr="00CB1AF4">
              <w:rPr>
                <w:rFonts w:ascii="Times New Roman" w:hAnsi="Times New Roman"/>
                <w:color w:val="000000" w:themeColor="text1"/>
              </w:rPr>
              <w:t>$31.48**</w:t>
            </w:r>
          </w:p>
        </w:tc>
        <w:tc>
          <w:tcPr>
            <w:tcW w:w="1530" w:type="dxa"/>
            <w:tcBorders>
              <w:top w:val="single" w:sz="4" w:space="0" w:color="auto"/>
              <w:left w:val="single" w:sz="4" w:space="0" w:color="auto"/>
              <w:bottom w:val="single" w:sz="4" w:space="0" w:color="auto"/>
              <w:right w:val="single" w:sz="4" w:space="0" w:color="auto"/>
            </w:tcBorders>
          </w:tcPr>
          <w:p w:rsidR="00690F29" w:rsidRPr="00607922" w:rsidP="00690F29" w14:paraId="7561256F" w14:textId="1CBECA27">
            <w:pPr>
              <w:jc w:val="right"/>
              <w:rPr>
                <w:rFonts w:ascii="Times New Roman" w:hAnsi="Times New Roman"/>
                <w:color w:val="000000" w:themeColor="text1"/>
              </w:rPr>
            </w:pPr>
            <w:r>
              <w:rPr>
                <w:rFonts w:ascii="Times New Roman" w:hAnsi="Times New Roman"/>
                <w:color w:val="000000" w:themeColor="text1"/>
              </w:rPr>
              <w:t>$944***</w:t>
            </w:r>
          </w:p>
        </w:tc>
      </w:tr>
      <w:tr w14:paraId="2196AB9F" w14:textId="77777777" w:rsidTr="00690F29">
        <w:tblPrEx>
          <w:tblW w:w="10800" w:type="dxa"/>
          <w:tblInd w:w="-725" w:type="dxa"/>
          <w:tblLayout w:type="fixed"/>
          <w:tblLook w:val="04A0"/>
        </w:tblPrEx>
        <w:tc>
          <w:tcPr>
            <w:tcW w:w="2160" w:type="dxa"/>
            <w:tcBorders>
              <w:top w:val="single" w:sz="4" w:space="0" w:color="auto"/>
              <w:left w:val="single" w:sz="4" w:space="0" w:color="auto"/>
              <w:bottom w:val="single" w:sz="4" w:space="0" w:color="auto"/>
              <w:right w:val="single" w:sz="4" w:space="0" w:color="auto"/>
            </w:tcBorders>
          </w:tcPr>
          <w:p w:rsidR="00690F29" w:rsidRPr="00690F29" w:rsidP="00690F29" w14:paraId="6E9079C0" w14:textId="5AE34662">
            <w:pPr>
              <w:rPr>
                <w:rFonts w:ascii="Times New Roman" w:hAnsi="Times New Roman"/>
                <w:color w:val="000000" w:themeColor="text1"/>
              </w:rPr>
            </w:pPr>
            <w:r w:rsidRPr="00690F29">
              <w:rPr>
                <w:rFonts w:ascii="Times New Roman" w:eastAsia="SimSun" w:hAnsi="Times New Roman"/>
                <w:snapToGrid/>
              </w:rPr>
              <w:t>429.104(c)</w:t>
            </w:r>
          </w:p>
        </w:tc>
        <w:tc>
          <w:tcPr>
            <w:tcW w:w="1440" w:type="dxa"/>
            <w:tcBorders>
              <w:top w:val="single" w:sz="4" w:space="0" w:color="auto"/>
              <w:left w:val="single" w:sz="4" w:space="0" w:color="auto"/>
              <w:bottom w:val="single" w:sz="4" w:space="0" w:color="auto"/>
              <w:right w:val="single" w:sz="4" w:space="0" w:color="auto"/>
            </w:tcBorders>
          </w:tcPr>
          <w:p w:rsidR="00690F29" w:rsidRPr="00607922" w:rsidP="00690F29" w14:paraId="379BAAC5" w14:textId="794CBA49">
            <w:pPr>
              <w:jc w:val="right"/>
              <w:rPr>
                <w:rFonts w:ascii="Times New Roman" w:hAnsi="Times New Roman"/>
                <w:color w:val="000000" w:themeColor="text1"/>
              </w:rPr>
            </w:pPr>
            <w:r>
              <w:rPr>
                <w:rFonts w:ascii="Times New Roman" w:hAnsi="Times New Roman"/>
                <w:color w:val="000000" w:themeColor="text1"/>
              </w:rPr>
              <w:t>1</w:t>
            </w:r>
          </w:p>
        </w:tc>
        <w:tc>
          <w:tcPr>
            <w:tcW w:w="1530" w:type="dxa"/>
            <w:tcBorders>
              <w:top w:val="single" w:sz="4" w:space="0" w:color="auto"/>
              <w:left w:val="single" w:sz="4" w:space="0" w:color="auto"/>
              <w:bottom w:val="single" w:sz="4" w:space="0" w:color="auto"/>
              <w:right w:val="single" w:sz="4" w:space="0" w:color="auto"/>
            </w:tcBorders>
          </w:tcPr>
          <w:p w:rsidR="00690F29" w:rsidRPr="00607922" w:rsidP="00690F29" w14:paraId="69F31052" w14:textId="2636658C">
            <w:pPr>
              <w:jc w:val="right"/>
              <w:rPr>
                <w:rFonts w:ascii="Times New Roman" w:hAnsi="Times New Roman"/>
                <w:color w:val="000000" w:themeColor="text1"/>
              </w:rPr>
            </w:pPr>
            <w:r>
              <w:rPr>
                <w:rFonts w:ascii="Times New Roman" w:hAnsi="Times New Roman"/>
                <w:color w:val="000000" w:themeColor="text1"/>
              </w:rPr>
              <w:t>1</w:t>
            </w:r>
          </w:p>
        </w:tc>
        <w:tc>
          <w:tcPr>
            <w:tcW w:w="1350" w:type="dxa"/>
            <w:tcBorders>
              <w:top w:val="single" w:sz="4" w:space="0" w:color="auto"/>
              <w:left w:val="single" w:sz="4" w:space="0" w:color="auto"/>
              <w:bottom w:val="single" w:sz="4" w:space="0" w:color="auto"/>
              <w:right w:val="single" w:sz="4" w:space="0" w:color="auto"/>
            </w:tcBorders>
          </w:tcPr>
          <w:p w:rsidR="00690F29" w:rsidRPr="00607922" w:rsidP="00690F29" w14:paraId="2CC601F1" w14:textId="506E6AD7">
            <w:pPr>
              <w:jc w:val="right"/>
              <w:rPr>
                <w:rFonts w:ascii="Times New Roman" w:hAnsi="Times New Roman"/>
                <w:color w:val="000000" w:themeColor="text1"/>
              </w:rPr>
            </w:pPr>
            <w:r w:rsidRPr="00873B87">
              <w:rPr>
                <w:rFonts w:ascii="Times New Roman" w:hAnsi="Times New Roman"/>
                <w:color w:val="000000" w:themeColor="text1"/>
              </w:rPr>
              <w:t>60</w:t>
            </w:r>
          </w:p>
        </w:tc>
        <w:tc>
          <w:tcPr>
            <w:tcW w:w="1260" w:type="dxa"/>
            <w:tcBorders>
              <w:top w:val="single" w:sz="4" w:space="0" w:color="auto"/>
              <w:left w:val="single" w:sz="4" w:space="0" w:color="auto"/>
              <w:bottom w:val="single" w:sz="4" w:space="0" w:color="auto"/>
              <w:right w:val="single" w:sz="4" w:space="0" w:color="auto"/>
            </w:tcBorders>
          </w:tcPr>
          <w:p w:rsidR="00690F29" w:rsidRPr="00607922" w:rsidP="00690F29" w14:paraId="43454076" w14:textId="2706A6D0">
            <w:pPr>
              <w:ind w:left="220"/>
              <w:jc w:val="right"/>
              <w:rPr>
                <w:rFonts w:ascii="Times New Roman" w:hAnsi="Times New Roman"/>
                <w:color w:val="000000" w:themeColor="text1"/>
              </w:rPr>
            </w:pPr>
            <w:r>
              <w:rPr>
                <w:rFonts w:ascii="Times New Roman" w:hAnsi="Times New Roman"/>
                <w:color w:val="000000" w:themeColor="text1"/>
              </w:rPr>
              <w:t>1</w:t>
            </w:r>
          </w:p>
        </w:tc>
        <w:tc>
          <w:tcPr>
            <w:tcW w:w="1530" w:type="dxa"/>
            <w:tcBorders>
              <w:top w:val="single" w:sz="4" w:space="0" w:color="auto"/>
              <w:left w:val="single" w:sz="4" w:space="0" w:color="auto"/>
              <w:bottom w:val="single" w:sz="4" w:space="0" w:color="auto"/>
              <w:right w:val="single" w:sz="4" w:space="0" w:color="auto"/>
            </w:tcBorders>
          </w:tcPr>
          <w:p w:rsidR="00690F29" w:rsidRPr="00607922" w:rsidP="00690F29" w14:paraId="52C6B466" w14:textId="3310EA3B">
            <w:pPr>
              <w:jc w:val="right"/>
              <w:rPr>
                <w:rFonts w:ascii="Times New Roman" w:hAnsi="Times New Roman"/>
                <w:color w:val="000000" w:themeColor="text1"/>
              </w:rPr>
            </w:pPr>
            <w:r w:rsidRPr="00CB1AF4">
              <w:rPr>
                <w:rFonts w:ascii="Times New Roman" w:hAnsi="Times New Roman"/>
                <w:color w:val="000000" w:themeColor="text1"/>
              </w:rPr>
              <w:t>$31.48**</w:t>
            </w:r>
          </w:p>
        </w:tc>
        <w:tc>
          <w:tcPr>
            <w:tcW w:w="1530" w:type="dxa"/>
            <w:tcBorders>
              <w:top w:val="single" w:sz="4" w:space="0" w:color="auto"/>
              <w:left w:val="single" w:sz="4" w:space="0" w:color="auto"/>
              <w:bottom w:val="single" w:sz="4" w:space="0" w:color="auto"/>
              <w:right w:val="single" w:sz="4" w:space="0" w:color="auto"/>
            </w:tcBorders>
          </w:tcPr>
          <w:p w:rsidR="00690F29" w:rsidRPr="00607922" w:rsidP="00690F29" w14:paraId="2C039C79" w14:textId="3AC9C16A">
            <w:pPr>
              <w:jc w:val="right"/>
              <w:rPr>
                <w:rFonts w:ascii="Times New Roman" w:hAnsi="Times New Roman"/>
                <w:color w:val="000000" w:themeColor="text1"/>
              </w:rPr>
            </w:pPr>
            <w:r>
              <w:rPr>
                <w:rFonts w:ascii="Times New Roman" w:hAnsi="Times New Roman"/>
                <w:color w:val="000000" w:themeColor="text1"/>
              </w:rPr>
              <w:t>$32***</w:t>
            </w:r>
          </w:p>
        </w:tc>
      </w:tr>
      <w:tr w14:paraId="4ECDC5FE" w14:textId="77777777" w:rsidTr="00690F29">
        <w:tblPrEx>
          <w:tblW w:w="10800" w:type="dxa"/>
          <w:tblInd w:w="-725" w:type="dxa"/>
          <w:tblLayout w:type="fixed"/>
          <w:tblLook w:val="04A0"/>
        </w:tblPrEx>
        <w:tc>
          <w:tcPr>
            <w:tcW w:w="2160" w:type="dxa"/>
            <w:tcBorders>
              <w:top w:val="single" w:sz="4" w:space="0" w:color="auto"/>
              <w:left w:val="single" w:sz="4" w:space="0" w:color="auto"/>
              <w:bottom w:val="single" w:sz="4" w:space="0" w:color="auto"/>
              <w:right w:val="single" w:sz="4" w:space="0" w:color="auto"/>
            </w:tcBorders>
            <w:hideMark/>
          </w:tcPr>
          <w:p w:rsidR="00690F29" w:rsidRPr="00690F29" w:rsidP="00690F29" w14:paraId="31B72AEC" w14:textId="6CF056CC">
            <w:pPr>
              <w:rPr>
                <w:rFonts w:ascii="Times New Roman" w:hAnsi="Times New Roman"/>
                <w:color w:val="000000" w:themeColor="text1"/>
              </w:rPr>
            </w:pPr>
            <w:r w:rsidRPr="00690F29">
              <w:rPr>
                <w:rFonts w:ascii="Times New Roman" w:eastAsia="SimSun" w:hAnsi="Times New Roman"/>
                <w:snapToGrid/>
              </w:rPr>
              <w:t>429.106(b)</w:t>
            </w:r>
          </w:p>
        </w:tc>
        <w:tc>
          <w:tcPr>
            <w:tcW w:w="1440" w:type="dxa"/>
            <w:tcBorders>
              <w:top w:val="single" w:sz="4" w:space="0" w:color="auto"/>
              <w:left w:val="single" w:sz="4" w:space="0" w:color="auto"/>
              <w:bottom w:val="single" w:sz="4" w:space="0" w:color="auto"/>
              <w:right w:val="single" w:sz="4" w:space="0" w:color="auto"/>
            </w:tcBorders>
            <w:hideMark/>
          </w:tcPr>
          <w:p w:rsidR="00690F29" w:rsidRPr="00607922" w:rsidP="00690F29" w14:paraId="5AF67108" w14:textId="77777777">
            <w:pPr>
              <w:jc w:val="right"/>
              <w:rPr>
                <w:rFonts w:ascii="Times New Roman" w:hAnsi="Times New Roman"/>
                <w:color w:val="000000" w:themeColor="text1"/>
              </w:rPr>
            </w:pPr>
            <w:r w:rsidRPr="00607922">
              <w:rPr>
                <w:rFonts w:ascii="Times New Roman" w:hAnsi="Times New Roman"/>
                <w:color w:val="000000" w:themeColor="text1"/>
              </w:rPr>
              <w:t>1</w:t>
            </w:r>
          </w:p>
        </w:tc>
        <w:tc>
          <w:tcPr>
            <w:tcW w:w="1530" w:type="dxa"/>
            <w:tcBorders>
              <w:top w:val="single" w:sz="4" w:space="0" w:color="auto"/>
              <w:left w:val="single" w:sz="4" w:space="0" w:color="auto"/>
              <w:bottom w:val="single" w:sz="4" w:space="0" w:color="auto"/>
              <w:right w:val="single" w:sz="4" w:space="0" w:color="auto"/>
            </w:tcBorders>
            <w:hideMark/>
          </w:tcPr>
          <w:p w:rsidR="00690F29" w:rsidRPr="00607922" w:rsidP="00690F29" w14:paraId="3B5B1CD1" w14:textId="77777777">
            <w:pPr>
              <w:jc w:val="right"/>
              <w:rPr>
                <w:rFonts w:ascii="Times New Roman" w:hAnsi="Times New Roman"/>
                <w:color w:val="000000" w:themeColor="text1"/>
              </w:rPr>
            </w:pPr>
            <w:r w:rsidRPr="00607922">
              <w:rPr>
                <w:rFonts w:ascii="Times New Roman" w:hAnsi="Times New Roman"/>
                <w:color w:val="000000" w:themeColor="text1"/>
              </w:rPr>
              <w:t>1</w:t>
            </w:r>
          </w:p>
        </w:tc>
        <w:tc>
          <w:tcPr>
            <w:tcW w:w="1350" w:type="dxa"/>
            <w:tcBorders>
              <w:top w:val="single" w:sz="4" w:space="0" w:color="auto"/>
              <w:left w:val="single" w:sz="4" w:space="0" w:color="auto"/>
              <w:bottom w:val="single" w:sz="4" w:space="0" w:color="auto"/>
              <w:right w:val="single" w:sz="4" w:space="0" w:color="auto"/>
            </w:tcBorders>
            <w:hideMark/>
          </w:tcPr>
          <w:p w:rsidR="00690F29" w:rsidRPr="00607922" w:rsidP="00690F29" w14:paraId="316D60C2" w14:textId="0CBF34B9">
            <w:pPr>
              <w:jc w:val="right"/>
              <w:rPr>
                <w:rFonts w:ascii="Times New Roman" w:hAnsi="Times New Roman"/>
                <w:color w:val="000000" w:themeColor="text1"/>
              </w:rPr>
            </w:pPr>
            <w:r w:rsidRPr="00607922">
              <w:rPr>
                <w:rFonts w:ascii="Times New Roman" w:hAnsi="Times New Roman"/>
                <w:color w:val="000000" w:themeColor="text1"/>
              </w:rPr>
              <w:t>60</w:t>
            </w:r>
          </w:p>
        </w:tc>
        <w:tc>
          <w:tcPr>
            <w:tcW w:w="1260" w:type="dxa"/>
            <w:tcBorders>
              <w:top w:val="single" w:sz="4" w:space="0" w:color="auto"/>
              <w:left w:val="single" w:sz="4" w:space="0" w:color="auto"/>
              <w:bottom w:val="single" w:sz="4" w:space="0" w:color="auto"/>
              <w:right w:val="single" w:sz="4" w:space="0" w:color="auto"/>
            </w:tcBorders>
            <w:hideMark/>
          </w:tcPr>
          <w:p w:rsidR="00690F29" w:rsidRPr="00607922" w:rsidP="00690F29" w14:paraId="4C25BC5B" w14:textId="11CD9EBA">
            <w:pPr>
              <w:ind w:left="220"/>
              <w:jc w:val="right"/>
              <w:rPr>
                <w:rFonts w:ascii="Times New Roman" w:hAnsi="Times New Roman"/>
                <w:color w:val="000000" w:themeColor="text1"/>
              </w:rPr>
            </w:pPr>
            <w:r w:rsidRPr="00607922">
              <w:rPr>
                <w:rFonts w:ascii="Times New Roman" w:hAnsi="Times New Roman"/>
                <w:color w:val="000000" w:themeColor="text1"/>
              </w:rPr>
              <w:t xml:space="preserve">           1</w:t>
            </w:r>
          </w:p>
        </w:tc>
        <w:tc>
          <w:tcPr>
            <w:tcW w:w="1530" w:type="dxa"/>
            <w:tcBorders>
              <w:top w:val="single" w:sz="4" w:space="0" w:color="auto"/>
              <w:left w:val="single" w:sz="4" w:space="0" w:color="auto"/>
              <w:bottom w:val="single" w:sz="4" w:space="0" w:color="auto"/>
              <w:right w:val="single" w:sz="4" w:space="0" w:color="auto"/>
            </w:tcBorders>
            <w:hideMark/>
          </w:tcPr>
          <w:p w:rsidR="00690F29" w:rsidRPr="00607922" w:rsidP="00690F29" w14:paraId="5EB7CCA4" w14:textId="52DB7209">
            <w:pPr>
              <w:jc w:val="right"/>
              <w:rPr>
                <w:rFonts w:ascii="Times New Roman" w:hAnsi="Times New Roman"/>
                <w:color w:val="000000" w:themeColor="text1"/>
              </w:rPr>
            </w:pPr>
            <w:r w:rsidRPr="00CB1AF4">
              <w:rPr>
                <w:rFonts w:ascii="Times New Roman" w:hAnsi="Times New Roman"/>
                <w:color w:val="000000" w:themeColor="text1"/>
              </w:rPr>
              <w:t>$31.48**</w:t>
            </w:r>
          </w:p>
        </w:tc>
        <w:tc>
          <w:tcPr>
            <w:tcW w:w="1530" w:type="dxa"/>
            <w:tcBorders>
              <w:top w:val="single" w:sz="4" w:space="0" w:color="auto"/>
              <w:left w:val="single" w:sz="4" w:space="0" w:color="auto"/>
              <w:bottom w:val="single" w:sz="4" w:space="0" w:color="auto"/>
              <w:right w:val="single" w:sz="4" w:space="0" w:color="auto"/>
            </w:tcBorders>
            <w:hideMark/>
          </w:tcPr>
          <w:p w:rsidR="00690F29" w:rsidRPr="00607922" w:rsidP="00690F29" w14:paraId="4C32AAC3" w14:textId="3B2B7628">
            <w:pPr>
              <w:jc w:val="right"/>
              <w:rPr>
                <w:rFonts w:ascii="Times New Roman" w:hAnsi="Times New Roman"/>
                <w:color w:val="000000" w:themeColor="text1"/>
              </w:rPr>
            </w:pPr>
            <w:r>
              <w:rPr>
                <w:rFonts w:ascii="Times New Roman" w:hAnsi="Times New Roman"/>
                <w:color w:val="000000" w:themeColor="text1"/>
              </w:rPr>
              <w:t>$32***</w:t>
            </w:r>
          </w:p>
        </w:tc>
      </w:tr>
      <w:tr w14:paraId="60DB3942" w14:textId="77777777" w:rsidTr="00690F29">
        <w:tblPrEx>
          <w:tblW w:w="10800" w:type="dxa"/>
          <w:tblInd w:w="-725" w:type="dxa"/>
          <w:tblLayout w:type="fixed"/>
          <w:tblLook w:val="04A0"/>
        </w:tblPrEx>
        <w:tc>
          <w:tcPr>
            <w:tcW w:w="2160" w:type="dxa"/>
            <w:tcBorders>
              <w:top w:val="single" w:sz="4" w:space="0" w:color="auto"/>
              <w:left w:val="single" w:sz="4" w:space="0" w:color="auto"/>
              <w:bottom w:val="single" w:sz="4" w:space="0" w:color="auto"/>
              <w:right w:val="single" w:sz="4" w:space="0" w:color="auto"/>
            </w:tcBorders>
            <w:hideMark/>
          </w:tcPr>
          <w:p w:rsidR="00B30724" w:rsidRPr="00607922" w:rsidP="00607922" w14:paraId="4731823B" w14:textId="77777777">
            <w:pPr>
              <w:rPr>
                <w:rFonts w:ascii="Times New Roman" w:hAnsi="Times New Roman"/>
                <w:color w:val="000000" w:themeColor="text1"/>
              </w:rPr>
            </w:pPr>
            <w:r w:rsidRPr="00607922">
              <w:rPr>
                <w:rFonts w:ascii="Times New Roman" w:hAnsi="Times New Roman"/>
                <w:b/>
                <w:color w:val="000000" w:themeColor="text1"/>
              </w:rPr>
              <w:t>Totals</w:t>
            </w:r>
          </w:p>
        </w:tc>
        <w:tc>
          <w:tcPr>
            <w:tcW w:w="1440" w:type="dxa"/>
            <w:tcBorders>
              <w:top w:val="single" w:sz="4" w:space="0" w:color="auto"/>
              <w:left w:val="single" w:sz="4" w:space="0" w:color="auto"/>
              <w:bottom w:val="single" w:sz="4" w:space="0" w:color="auto"/>
              <w:right w:val="single" w:sz="4" w:space="0" w:color="auto"/>
            </w:tcBorders>
            <w:hideMark/>
          </w:tcPr>
          <w:p w:rsidR="00B30724" w:rsidRPr="00607922" w:rsidP="00690F29" w14:paraId="515DECEC" w14:textId="682B5EAE">
            <w:pPr>
              <w:jc w:val="right"/>
              <w:rPr>
                <w:rFonts w:ascii="Times New Roman" w:hAnsi="Times New Roman"/>
                <w:color w:val="000000" w:themeColor="text1"/>
              </w:rPr>
            </w:pPr>
            <w:r w:rsidRPr="00607922">
              <w:rPr>
                <w:rFonts w:ascii="Times New Roman" w:hAnsi="Times New Roman"/>
                <w:b/>
                <w:color w:val="000000" w:themeColor="text1"/>
              </w:rPr>
              <w:t>41</w:t>
            </w:r>
          </w:p>
        </w:tc>
        <w:tc>
          <w:tcPr>
            <w:tcW w:w="1530" w:type="dxa"/>
            <w:tcBorders>
              <w:top w:val="single" w:sz="4" w:space="0" w:color="auto"/>
              <w:left w:val="single" w:sz="4" w:space="0" w:color="auto"/>
              <w:bottom w:val="single" w:sz="4" w:space="0" w:color="auto"/>
              <w:right w:val="single" w:sz="4" w:space="0" w:color="auto"/>
            </w:tcBorders>
            <w:hideMark/>
          </w:tcPr>
          <w:p w:rsidR="00B30724" w:rsidRPr="00607922" w:rsidP="00690F29" w14:paraId="1B56EB42" w14:textId="4A016F02">
            <w:pPr>
              <w:jc w:val="right"/>
              <w:rPr>
                <w:rFonts w:ascii="Times New Roman" w:hAnsi="Times New Roman"/>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B30724" w:rsidRPr="00607922" w:rsidP="00690F29" w14:paraId="708C0E6D" w14:textId="272E15C9">
            <w:pPr>
              <w:jc w:val="right"/>
              <w:rPr>
                <w:rFonts w:ascii="Times New Roman" w:hAnsi="Times New Roman"/>
                <w:color w:val="000000" w:themeColor="text1"/>
              </w:rPr>
            </w:pPr>
          </w:p>
        </w:tc>
        <w:tc>
          <w:tcPr>
            <w:tcW w:w="1260" w:type="dxa"/>
            <w:tcBorders>
              <w:top w:val="single" w:sz="4" w:space="0" w:color="auto"/>
              <w:left w:val="single" w:sz="4" w:space="0" w:color="auto"/>
              <w:bottom w:val="single" w:sz="4" w:space="0" w:color="auto"/>
              <w:right w:val="single" w:sz="4" w:space="0" w:color="auto"/>
            </w:tcBorders>
            <w:hideMark/>
          </w:tcPr>
          <w:p w:rsidR="00B30724" w:rsidRPr="00B231CC" w:rsidP="00690F29" w14:paraId="4812686E" w14:textId="0389CE98">
            <w:pPr>
              <w:jc w:val="right"/>
              <w:rPr>
                <w:rFonts w:ascii="Times New Roman" w:hAnsi="Times New Roman"/>
                <w:b/>
                <w:bCs/>
                <w:color w:val="000000" w:themeColor="text1"/>
              </w:rPr>
            </w:pPr>
            <w:r w:rsidRPr="00B231CC">
              <w:rPr>
                <w:rFonts w:ascii="Times New Roman" w:hAnsi="Times New Roman"/>
                <w:b/>
                <w:bCs/>
                <w:color w:val="000000" w:themeColor="text1"/>
              </w:rPr>
              <w:t>4</w:t>
            </w:r>
            <w:r w:rsidR="001C7A8B">
              <w:rPr>
                <w:rFonts w:ascii="Times New Roman" w:hAnsi="Times New Roman"/>
                <w:b/>
                <w:bCs/>
                <w:color w:val="000000" w:themeColor="text1"/>
              </w:rPr>
              <w:t>1</w:t>
            </w:r>
          </w:p>
        </w:tc>
        <w:tc>
          <w:tcPr>
            <w:tcW w:w="1530" w:type="dxa"/>
            <w:tcBorders>
              <w:top w:val="single" w:sz="4" w:space="0" w:color="auto"/>
              <w:left w:val="single" w:sz="4" w:space="0" w:color="auto"/>
              <w:bottom w:val="single" w:sz="4" w:space="0" w:color="auto"/>
              <w:right w:val="single" w:sz="4" w:space="0" w:color="auto"/>
            </w:tcBorders>
          </w:tcPr>
          <w:p w:rsidR="00B30724" w:rsidRPr="00B231CC" w:rsidP="00690F29" w14:paraId="053D0F1E" w14:textId="77777777">
            <w:pPr>
              <w:jc w:val="right"/>
              <w:rPr>
                <w:rFonts w:ascii="Times New Roman" w:hAnsi="Times New Roman"/>
                <w:b/>
                <w:bCs/>
                <w:color w:val="000000" w:themeColor="text1"/>
              </w:rPr>
            </w:pPr>
          </w:p>
        </w:tc>
        <w:tc>
          <w:tcPr>
            <w:tcW w:w="1530" w:type="dxa"/>
            <w:tcBorders>
              <w:top w:val="single" w:sz="4" w:space="0" w:color="auto"/>
              <w:left w:val="single" w:sz="4" w:space="0" w:color="auto"/>
              <w:bottom w:val="single" w:sz="4" w:space="0" w:color="auto"/>
              <w:right w:val="single" w:sz="4" w:space="0" w:color="auto"/>
            </w:tcBorders>
            <w:hideMark/>
          </w:tcPr>
          <w:p w:rsidR="00B30724" w:rsidRPr="00B231CC" w:rsidP="00690F29" w14:paraId="1279AC7F" w14:textId="4AB61E85">
            <w:pPr>
              <w:jc w:val="right"/>
              <w:rPr>
                <w:rFonts w:ascii="Times New Roman" w:hAnsi="Times New Roman"/>
                <w:b/>
                <w:bCs/>
                <w:color w:val="000000" w:themeColor="text1"/>
              </w:rPr>
            </w:pPr>
            <w:r w:rsidRPr="00B231CC">
              <w:rPr>
                <w:rFonts w:ascii="Times New Roman" w:hAnsi="Times New Roman"/>
                <w:b/>
                <w:bCs/>
                <w:color w:val="000000" w:themeColor="text1"/>
              </w:rPr>
              <w:t>$</w:t>
            </w:r>
            <w:r w:rsidRPr="00B231CC" w:rsidR="008B7321">
              <w:rPr>
                <w:rFonts w:ascii="Times New Roman" w:hAnsi="Times New Roman"/>
                <w:b/>
                <w:bCs/>
                <w:color w:val="000000" w:themeColor="text1"/>
              </w:rPr>
              <w:t>1</w:t>
            </w:r>
            <w:r w:rsidR="00B231CC">
              <w:rPr>
                <w:rFonts w:ascii="Times New Roman" w:hAnsi="Times New Roman"/>
                <w:b/>
                <w:bCs/>
                <w:color w:val="000000" w:themeColor="text1"/>
              </w:rPr>
              <w:t>,</w:t>
            </w:r>
            <w:r w:rsidRPr="00B231CC" w:rsidR="008B7321">
              <w:rPr>
                <w:rFonts w:ascii="Times New Roman" w:hAnsi="Times New Roman"/>
                <w:b/>
                <w:bCs/>
                <w:color w:val="000000" w:themeColor="text1"/>
              </w:rPr>
              <w:t>2</w:t>
            </w:r>
            <w:r w:rsidR="001C7A8B">
              <w:rPr>
                <w:rFonts w:ascii="Times New Roman" w:hAnsi="Times New Roman"/>
                <w:b/>
                <w:bCs/>
                <w:color w:val="000000" w:themeColor="text1"/>
              </w:rPr>
              <w:t>92</w:t>
            </w:r>
            <w:r w:rsidRPr="00B231CC" w:rsidR="00690F29">
              <w:rPr>
                <w:rFonts w:ascii="Times New Roman" w:hAnsi="Times New Roman"/>
                <w:b/>
                <w:bCs/>
                <w:color w:val="000000" w:themeColor="text1"/>
              </w:rPr>
              <w:t>***</w:t>
            </w:r>
          </w:p>
        </w:tc>
      </w:tr>
    </w:tbl>
    <w:p w:rsidR="00690F29" w:rsidP="00690F29" w14:paraId="56BC0A2D" w14:textId="66199F06">
      <w:pPr>
        <w:tabs>
          <w:tab w:val="left" w:pos="-720"/>
        </w:tabs>
        <w:suppressAutoHyphens/>
        <w:ind w:left="720"/>
        <w:rPr>
          <w:rFonts w:ascii="Times New Roman" w:eastAsia="SimSun" w:hAnsi="Times New Roman"/>
          <w:snapToGrid/>
        </w:rPr>
      </w:pPr>
      <w:r>
        <w:rPr>
          <w:rFonts w:ascii="Times New Roman" w:hAnsi="Times New Roman"/>
        </w:rPr>
        <w:t>*</w:t>
      </w:r>
      <w:r w:rsidRPr="00690F29">
        <w:rPr>
          <w:rFonts w:ascii="Times New Roman" w:eastAsia="SimSun" w:hAnsi="Times New Roman"/>
          <w:snapToGrid/>
        </w:rPr>
        <w:t>We are including a one-hour placeholder burden for 20 CFR 429.102 and 429.103, as respondents complete OMB-approved Form SF</w:t>
      </w:r>
      <w:r w:rsidR="0075753D">
        <w:rPr>
          <w:rFonts w:ascii="Times New Roman" w:eastAsia="SimSun" w:hAnsi="Times New Roman"/>
          <w:snapToGrid/>
        </w:rPr>
        <w:t>-</w:t>
      </w:r>
      <w:r w:rsidRPr="00690F29">
        <w:rPr>
          <w:rFonts w:ascii="Times New Roman" w:eastAsia="SimSun" w:hAnsi="Times New Roman"/>
          <w:snapToGrid/>
        </w:rPr>
        <w:t>95</w:t>
      </w:r>
      <w:r>
        <w:rPr>
          <w:rFonts w:ascii="Times New Roman" w:eastAsia="SimSun" w:hAnsi="Times New Roman"/>
          <w:snapToGrid/>
        </w:rPr>
        <w:t xml:space="preserve"> (</w:t>
      </w:r>
      <w:r w:rsidRPr="00690F29">
        <w:rPr>
          <w:rFonts w:ascii="Times New Roman" w:eastAsia="SimSun" w:hAnsi="Times New Roman"/>
          <w:snapToGrid/>
        </w:rPr>
        <w:t>OMB No. 1105</w:t>
      </w:r>
      <w:r>
        <w:rPr>
          <w:rFonts w:ascii="Times New Roman" w:eastAsia="SimSun" w:hAnsi="Times New Roman"/>
          <w:snapToGrid/>
        </w:rPr>
        <w:noBreakHyphen/>
      </w:r>
      <w:r w:rsidRPr="00690F29">
        <w:rPr>
          <w:rFonts w:ascii="Times New Roman" w:eastAsia="SimSun" w:hAnsi="Times New Roman"/>
          <w:snapToGrid/>
        </w:rPr>
        <w:t>0008</w:t>
      </w:r>
      <w:r>
        <w:rPr>
          <w:rFonts w:ascii="Times New Roman" w:eastAsia="SimSun" w:hAnsi="Times New Roman"/>
          <w:snapToGrid/>
        </w:rPr>
        <w:t>)</w:t>
      </w:r>
      <w:r w:rsidRPr="00690F29">
        <w:rPr>
          <w:rFonts w:ascii="Times New Roman" w:eastAsia="SimSun" w:hAnsi="Times New Roman"/>
          <w:snapToGrid/>
        </w:rPr>
        <w:t>.</w:t>
      </w:r>
      <w:r>
        <w:rPr>
          <w:rFonts w:ascii="Times New Roman" w:hAnsi="Times New Roman"/>
        </w:rPr>
        <w:t xml:space="preserve">  </w:t>
      </w:r>
      <w:r w:rsidRPr="00690F29">
        <w:rPr>
          <w:rFonts w:ascii="Times New Roman" w:eastAsia="SimSun" w:hAnsi="Times New Roman"/>
          <w:snapToGrid/>
        </w:rPr>
        <w:t xml:space="preserve">Since the burden for these citations is covered under a separate OMB number, we are not </w:t>
      </w:r>
      <w:r w:rsidRPr="00690F29">
        <w:rPr>
          <w:rFonts w:ascii="Times New Roman" w:eastAsia="SimSun" w:hAnsi="Times New Roman"/>
          <w:snapToGrid/>
        </w:rPr>
        <w:t>double-counting</w:t>
      </w:r>
      <w:r w:rsidRPr="00690F29">
        <w:rPr>
          <w:rFonts w:ascii="Times New Roman" w:eastAsia="SimSun" w:hAnsi="Times New Roman"/>
          <w:snapToGrid/>
        </w:rPr>
        <w:t xml:space="preserve"> the burden here.</w:t>
      </w:r>
    </w:p>
    <w:p w:rsidR="00690F29" w:rsidP="00690F29" w14:paraId="05CDDBC6" w14:textId="77777777">
      <w:pPr>
        <w:tabs>
          <w:tab w:val="left" w:pos="-720"/>
        </w:tabs>
        <w:suppressAutoHyphens/>
        <w:ind w:left="720"/>
        <w:rPr>
          <w:rFonts w:ascii="Times New Roman" w:eastAsia="SimSun" w:hAnsi="Times New Roman"/>
          <w:snapToGrid/>
        </w:rPr>
      </w:pPr>
    </w:p>
    <w:p w:rsidR="00690F29" w:rsidP="00690F29" w14:paraId="5EB2E210" w14:textId="4B8AB3C6">
      <w:pPr>
        <w:tabs>
          <w:tab w:val="left" w:pos="-720"/>
        </w:tabs>
        <w:suppressAutoHyphens/>
        <w:ind w:left="720"/>
        <w:rPr>
          <w:rFonts w:ascii="Times New Roman" w:hAnsi="Times New Roman"/>
        </w:rPr>
      </w:pPr>
      <w:r>
        <w:rPr>
          <w:rFonts w:ascii="Times New Roman" w:hAnsi="Times New Roman"/>
        </w:rPr>
        <w:t>**</w:t>
      </w:r>
      <w:r w:rsidRPr="00607922">
        <w:rPr>
          <w:rFonts w:ascii="Times New Roman" w:eastAsia="SimSun" w:hAnsi="Times New Roman"/>
          <w:snapToGrid/>
        </w:rPr>
        <w:t xml:space="preserve"> </w:t>
      </w:r>
      <w:r w:rsidRPr="002D3E09">
        <w:rPr>
          <w:rFonts w:ascii="Times New Roman" w:eastAsia="SimSun" w:hAnsi="Times New Roman"/>
          <w:snapToGrid/>
        </w:rPr>
        <w:t xml:space="preserve">We based this figure on the average U.S. citizen’s hourly salary, as reported by the </w:t>
      </w:r>
      <w:r>
        <w:rPr>
          <w:rFonts w:ascii="Times New Roman" w:eastAsia="SimSun" w:hAnsi="Times New Roman"/>
          <w:snapToGrid/>
        </w:rPr>
        <w:t xml:space="preserve">U.S. Bureau of Labor Statistics </w:t>
      </w:r>
      <w:r w:rsidRPr="002D3E09">
        <w:rPr>
          <w:rFonts w:ascii="Times New Roman" w:eastAsia="SimSun" w:hAnsi="Times New Roman"/>
          <w:snapToGrid/>
        </w:rPr>
        <w:t>(</w:t>
      </w:r>
      <w:hyperlink r:id="rId5" w:history="1">
        <w:r w:rsidRPr="00987CED">
          <w:rPr>
            <w:rStyle w:val="Hyperlink"/>
            <w:rFonts w:ascii="Times New Roman" w:eastAsia="SimSun" w:hAnsi="Times New Roman"/>
            <w:iCs/>
            <w:snapToGrid/>
          </w:rPr>
          <w:t>https://www.bls.gov/oes/current/oes</w:t>
        </w:r>
        <w:r w:rsidRPr="00987CED">
          <w:rPr>
            <w:rStyle w:val="Hyperlink"/>
            <w:rFonts w:ascii="Times New Roman" w:eastAsia="SimSun" w:hAnsi="Times New Roman" w:hint="eastAsia"/>
            <w:snapToGrid/>
          </w:rPr>
          <w:t>_</w:t>
        </w:r>
        <w:r w:rsidRPr="00987CED">
          <w:rPr>
            <w:rStyle w:val="Hyperlink"/>
            <w:rFonts w:ascii="Times New Roman" w:eastAsia="SimSun" w:hAnsi="Times New Roman"/>
            <w:iCs/>
            <w:snapToGrid/>
          </w:rPr>
          <w:t>nat.htm</w:t>
        </w:r>
      </w:hyperlink>
      <w:r>
        <w:rPr>
          <w:rFonts w:ascii="Times New Roman" w:eastAsia="SimSun" w:hAnsi="Times New Roman"/>
          <w:iCs/>
          <w:snapToGrid/>
        </w:rPr>
        <w:t>)</w:t>
      </w:r>
      <w:r>
        <w:rPr>
          <w:rFonts w:ascii="Times New Roman" w:hAnsi="Times New Roman"/>
        </w:rPr>
        <w:t>.</w:t>
      </w:r>
    </w:p>
    <w:p w:rsidR="00690F29" w:rsidP="00690F29" w14:paraId="32FB4782" w14:textId="77777777">
      <w:pPr>
        <w:tabs>
          <w:tab w:val="left" w:pos="-720"/>
        </w:tabs>
        <w:suppressAutoHyphens/>
        <w:ind w:left="720"/>
        <w:rPr>
          <w:rFonts w:ascii="Times New Roman" w:hAnsi="Times New Roman"/>
        </w:rPr>
      </w:pPr>
    </w:p>
    <w:p w:rsidR="00690F29" w:rsidP="00690F29" w14:paraId="4B8EC797" w14:textId="77777777">
      <w:pPr>
        <w:tabs>
          <w:tab w:val="left" w:pos="-720"/>
        </w:tabs>
        <w:suppressAutoHyphens/>
        <w:ind w:left="720"/>
        <w:rPr>
          <w:rFonts w:ascii="Times New Roman" w:hAnsi="Times New Roman"/>
        </w:rPr>
      </w:pPr>
      <w:r>
        <w:rPr>
          <w:rFonts w:ascii="Times New Roman" w:hAnsi="Times New Roman"/>
        </w:rPr>
        <w:t xml:space="preserve">***This figure does not represent actual costs that SSA is imposing on respondents to complete this application; rather, these are theoretical opportunity costs for the additional time respondents will spend to complete the application. </w:t>
      </w:r>
      <w:r>
        <w:rPr>
          <w:rFonts w:ascii="Times New Roman" w:hAnsi="Times New Roman"/>
          <w:b/>
          <w:u w:val="single"/>
        </w:rPr>
        <w:t>There is no actual charge to respondents to complete the application.</w:t>
      </w:r>
    </w:p>
    <w:p w:rsidR="00727A05" w:rsidP="00690F29" w14:paraId="10F9BE33" w14:textId="42393A37">
      <w:pPr>
        <w:tabs>
          <w:tab w:val="left" w:pos="-720"/>
        </w:tabs>
        <w:suppressAutoHyphens/>
        <w:ind w:left="720"/>
        <w:rPr>
          <w:rFonts w:ascii="Times New Roman" w:hAnsi="Times New Roman"/>
        </w:rPr>
      </w:pPr>
      <w:r>
        <w:rPr>
          <w:rFonts w:ascii="Times New Roman" w:hAnsi="Times New Roman"/>
        </w:rPr>
        <w:t xml:space="preserve">We </w:t>
      </w:r>
      <w:r>
        <w:rPr>
          <w:rFonts w:ascii="Times New Roman" w:hAnsi="Times New Roman"/>
        </w:rPr>
        <w:t xml:space="preserve">did not </w:t>
      </w:r>
      <w:r>
        <w:rPr>
          <w:rFonts w:ascii="Times New Roman" w:hAnsi="Times New Roman"/>
        </w:rPr>
        <w:t>calculate</w:t>
      </w:r>
      <w:r>
        <w:rPr>
          <w:rFonts w:ascii="Times New Roman" w:hAnsi="Times New Roman"/>
        </w:rPr>
        <w:t xml:space="preserve"> a separate</w:t>
      </w:r>
      <w:r>
        <w:rPr>
          <w:rFonts w:ascii="Times New Roman" w:hAnsi="Times New Roman"/>
        </w:rPr>
        <w:t xml:space="preserve"> Learning Cost time burden </w:t>
      </w:r>
      <w:r>
        <w:rPr>
          <w:rFonts w:ascii="Times New Roman" w:hAnsi="Times New Roman"/>
        </w:rPr>
        <w:t>for</w:t>
      </w:r>
      <w:r>
        <w:rPr>
          <w:rFonts w:ascii="Times New Roman" w:hAnsi="Times New Roman"/>
        </w:rPr>
        <w:t xml:space="preserve"> this program, </w:t>
      </w:r>
      <w:r>
        <w:rPr>
          <w:rFonts w:ascii="Times New Roman" w:hAnsi="Times New Roman"/>
        </w:rPr>
        <w:t xml:space="preserve">as we </w:t>
      </w:r>
      <w:r>
        <w:rPr>
          <w:rFonts w:ascii="Times New Roman" w:hAnsi="Times New Roman"/>
        </w:rPr>
        <w:t>incorporated</w:t>
      </w:r>
      <w:r>
        <w:rPr>
          <w:rFonts w:ascii="Times New Roman" w:hAnsi="Times New Roman"/>
        </w:rPr>
        <w:t xml:space="preserve"> the Learning Cost</w:t>
      </w:r>
      <w:r>
        <w:rPr>
          <w:rFonts w:ascii="Times New Roman" w:hAnsi="Times New Roman"/>
        </w:rPr>
        <w:t xml:space="preserve"> into the total estimate above. </w:t>
      </w:r>
      <w:r>
        <w:rPr>
          <w:rFonts w:ascii="Times New Roman" w:hAnsi="Times New Roman"/>
        </w:rPr>
        <w:t xml:space="preserve"> </w:t>
      </w:r>
      <w:r w:rsidR="008A5092">
        <w:rPr>
          <w:rFonts w:ascii="Times New Roman" w:hAnsi="Times New Roman"/>
        </w:rPr>
        <w:t xml:space="preserve">We do not have management information </w:t>
      </w:r>
      <w:r>
        <w:rPr>
          <w:rFonts w:ascii="Times New Roman" w:hAnsi="Times New Roman"/>
        </w:rPr>
        <w:t xml:space="preserve">which </w:t>
      </w:r>
      <w:r w:rsidR="008A5092">
        <w:rPr>
          <w:rFonts w:ascii="Times New Roman" w:hAnsi="Times New Roman"/>
        </w:rPr>
        <w:t>separate</w:t>
      </w:r>
      <w:r>
        <w:rPr>
          <w:rFonts w:ascii="Times New Roman" w:hAnsi="Times New Roman"/>
        </w:rPr>
        <w:t>s</w:t>
      </w:r>
      <w:r w:rsidR="008A5092">
        <w:rPr>
          <w:rFonts w:ascii="Times New Roman" w:hAnsi="Times New Roman"/>
        </w:rPr>
        <w:t xml:space="preserve"> the learning cost</w:t>
      </w:r>
      <w:r>
        <w:rPr>
          <w:rFonts w:ascii="Times New Roman" w:hAnsi="Times New Roman"/>
        </w:rPr>
        <w:t xml:space="preserve"> for this program</w:t>
      </w:r>
      <w:r w:rsidR="008A5092">
        <w:rPr>
          <w:rFonts w:ascii="Times New Roman" w:hAnsi="Times New Roman"/>
        </w:rPr>
        <w:t xml:space="preserve"> from the cost of completing the form.</w:t>
      </w:r>
    </w:p>
    <w:p w:rsidR="00690F29" w:rsidP="00690F29" w14:paraId="098FC702" w14:textId="77777777">
      <w:pPr>
        <w:tabs>
          <w:tab w:val="left" w:pos="-720"/>
        </w:tabs>
        <w:suppressAutoHyphens/>
        <w:ind w:left="720"/>
        <w:rPr>
          <w:rFonts w:ascii="Times New Roman" w:hAnsi="Times New Roman"/>
        </w:rPr>
      </w:pPr>
    </w:p>
    <w:p w:rsidR="00690F29" w:rsidRPr="00CC20FB" w:rsidP="00B231CC" w14:paraId="56132323" w14:textId="218CFDFF">
      <w:pPr>
        <w:tabs>
          <w:tab w:val="left" w:pos="-720"/>
        </w:tabs>
        <w:suppressAutoHyphens/>
        <w:ind w:left="720"/>
        <w:rPr>
          <w:rFonts w:ascii="Times New Roman" w:hAnsi="Times New Roman"/>
        </w:rPr>
      </w:pPr>
      <w:r w:rsidRPr="00690F29">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w:t>
      </w:r>
      <w:r>
        <w:rPr>
          <w:rFonts w:ascii="Times New Roman" w:hAnsi="Times New Roman"/>
          <w:b/>
          <w:bCs/>
          <w:noProof/>
        </w:rPr>
        <w:t>60</w:t>
      </w:r>
      <w:r w:rsidRPr="00690F29">
        <w:rPr>
          <w:rFonts w:ascii="Times New Roman" w:hAnsi="Times New Roman"/>
          <w:noProof/>
        </w:rPr>
        <w:t xml:space="preserve"> minutes accurately shows the average burden per response for </w:t>
      </w:r>
      <w:r w:rsidRPr="00690F29">
        <w:rPr>
          <w:rFonts w:ascii="Times New Roman" w:hAnsi="Times New Roman"/>
        </w:rPr>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690F29">
        <w:rPr>
          <w:rFonts w:ascii="Times New Roman" w:hAnsi="Times New Roman"/>
          <w:noProof/>
        </w:rPr>
        <w:t>.  Based on our current management information data, the current burden information we provided is accurate</w:t>
      </w:r>
      <w:r w:rsidRPr="00690F29">
        <w:rPr>
          <w:rFonts w:ascii="Times New Roman" w:hAnsi="Times New Roman"/>
        </w:rPr>
        <w:t xml:space="preserve">.  The total burden for this ICR is </w:t>
      </w:r>
      <w:r w:rsidR="00B231CC">
        <w:rPr>
          <w:rFonts w:ascii="Times New Roman" w:hAnsi="Times New Roman"/>
          <w:b/>
        </w:rPr>
        <w:t>4</w:t>
      </w:r>
      <w:r w:rsidR="001C7A8B">
        <w:rPr>
          <w:rFonts w:ascii="Times New Roman" w:hAnsi="Times New Roman"/>
          <w:b/>
        </w:rPr>
        <w:t>1</w:t>
      </w:r>
      <w:r w:rsidRPr="00690F29">
        <w:rPr>
          <w:rFonts w:ascii="Times New Roman" w:hAnsi="Times New Roman"/>
        </w:rPr>
        <w:t xml:space="preserve"> burden hours (reflecting SSA management information data), which results in an associated theoretical (not actual) opportunity cost financial burden of </w:t>
      </w:r>
      <w:r w:rsidRPr="00690F29">
        <w:rPr>
          <w:rFonts w:ascii="Times New Roman" w:hAnsi="Times New Roman"/>
          <w:b/>
        </w:rPr>
        <w:t>$</w:t>
      </w:r>
      <w:r w:rsidRPr="00B231CC" w:rsidR="00B231CC">
        <w:rPr>
          <w:rFonts w:ascii="Times New Roman" w:hAnsi="Times New Roman"/>
          <w:b/>
          <w:bCs/>
          <w:color w:val="000000" w:themeColor="text1"/>
        </w:rPr>
        <w:t>1</w:t>
      </w:r>
      <w:r w:rsidR="00B231CC">
        <w:rPr>
          <w:rFonts w:ascii="Times New Roman" w:hAnsi="Times New Roman"/>
          <w:b/>
          <w:bCs/>
          <w:color w:val="000000" w:themeColor="text1"/>
        </w:rPr>
        <w:t>,</w:t>
      </w:r>
      <w:r w:rsidRPr="00B231CC" w:rsidR="00B231CC">
        <w:rPr>
          <w:rFonts w:ascii="Times New Roman" w:hAnsi="Times New Roman"/>
          <w:b/>
          <w:bCs/>
          <w:color w:val="000000" w:themeColor="text1"/>
        </w:rPr>
        <w:t>2</w:t>
      </w:r>
      <w:r w:rsidR="001C7A8B">
        <w:rPr>
          <w:rFonts w:ascii="Times New Roman" w:hAnsi="Times New Roman"/>
          <w:b/>
          <w:bCs/>
          <w:color w:val="000000" w:themeColor="text1"/>
        </w:rPr>
        <w:t>92</w:t>
      </w:r>
      <w:r w:rsidRPr="00690F29">
        <w:rPr>
          <w:rFonts w:ascii="Times New Roman" w:hAnsi="Times New Roman"/>
        </w:rPr>
        <w:t>.  SSA does not charge respondents to complete our applications</w:t>
      </w:r>
      <w:r>
        <w:rPr>
          <w:rFonts w:ascii="Times New Roman" w:hAnsi="Times New Roman"/>
        </w:rPr>
        <w:t>.</w:t>
      </w:r>
    </w:p>
    <w:p w:rsidR="00B30724" w:rsidP="00B30724" w14:paraId="37EA65F4" w14:textId="77777777">
      <w:pPr>
        <w:rPr>
          <w:rFonts w:ascii="Times New Roman" w:hAnsi="Times New Roman"/>
          <w:snapToGrid/>
          <w:sz w:val="22"/>
          <w:szCs w:val="22"/>
        </w:rPr>
      </w:pPr>
    </w:p>
    <w:p w:rsidR="00A45D82" w:rsidRPr="00B30724" w:rsidP="00B30724" w14:paraId="3A40A4EE" w14:textId="023E7A79">
      <w:pPr>
        <w:pStyle w:val="ListParagraph"/>
        <w:numPr>
          <w:ilvl w:val="0"/>
          <w:numId w:val="13"/>
        </w:numPr>
        <w:tabs>
          <w:tab w:val="clear" w:pos="720"/>
        </w:tabs>
        <w:ind w:left="0" w:firstLine="0"/>
        <w:rPr>
          <w:rFonts w:ascii="Times New Roman" w:hAnsi="Times New Roman"/>
          <w:snapToGrid/>
          <w:sz w:val="22"/>
          <w:szCs w:val="22"/>
        </w:rPr>
      </w:pPr>
      <w:r w:rsidRPr="00B30724">
        <w:rPr>
          <w:rFonts w:ascii="Times New Roman" w:hAnsi="Times New Roman"/>
          <w:b/>
        </w:rPr>
        <w:t>Annual</w:t>
      </w:r>
      <w:r w:rsidRPr="00B30724">
        <w:rPr>
          <w:rFonts w:ascii="Times New Roman" w:hAnsi="Times New Roman"/>
        </w:rPr>
        <w:t xml:space="preserve"> </w:t>
      </w:r>
      <w:r w:rsidRPr="00B30724">
        <w:rPr>
          <w:rFonts w:ascii="Times New Roman" w:hAnsi="Times New Roman"/>
          <w:b/>
        </w:rPr>
        <w:t>Cost to the Respondents (Other)</w:t>
      </w:r>
      <w:r w:rsidRPr="00B30724">
        <w:rPr>
          <w:rFonts w:ascii="Times New Roman" w:hAnsi="Times New Roman"/>
        </w:rPr>
        <w:t xml:space="preserve"> </w:t>
      </w:r>
    </w:p>
    <w:p w:rsidR="00C11C91" w:rsidP="00C11C91" w14:paraId="03498A08" w14:textId="77777777">
      <w:pPr>
        <w:tabs>
          <w:tab w:val="left" w:pos="630"/>
        </w:tabs>
        <w:ind w:left="720"/>
        <w:rPr>
          <w:rFonts w:ascii="Times New Roman" w:hAnsi="Times New Roman"/>
        </w:rPr>
      </w:pPr>
      <w:r>
        <w:rPr>
          <w:rFonts w:ascii="Times New Roman" w:hAnsi="Times New Roman"/>
        </w:rPr>
        <w:t xml:space="preserve">This collection does not impose a known </w:t>
      </w:r>
      <w:r w:rsidRPr="000238BE">
        <w:rPr>
          <w:rFonts w:ascii="Times New Roman" w:hAnsi="Times New Roman"/>
        </w:rPr>
        <w:t>cost burden to the respondents.</w:t>
      </w:r>
    </w:p>
    <w:p w:rsidR="00C11C91" w:rsidP="00C11C91" w14:paraId="32DD7DF6" w14:textId="77777777">
      <w:pPr>
        <w:tabs>
          <w:tab w:val="left" w:pos="630"/>
        </w:tabs>
        <w:ind w:left="720"/>
        <w:rPr>
          <w:rFonts w:ascii="Times New Roman" w:hAnsi="Times New Roman"/>
        </w:rPr>
      </w:pPr>
    </w:p>
    <w:p w:rsidR="004F21F7" w:rsidRPr="00B231CC" w:rsidP="00B231CC" w14:paraId="3AA4399A" w14:textId="7E6926E2">
      <w:pPr>
        <w:numPr>
          <w:ilvl w:val="0"/>
          <w:numId w:val="17"/>
        </w:numPr>
        <w:tabs>
          <w:tab w:val="clear" w:pos="360"/>
          <w:tab w:val="left" w:pos="720"/>
        </w:tabs>
        <w:ind w:left="720" w:hanging="720"/>
        <w:rPr>
          <w:rFonts w:ascii="Times New Roman" w:hAnsi="Times New Roman"/>
        </w:rPr>
      </w:pPr>
      <w:r w:rsidRPr="00BC7F42">
        <w:rPr>
          <w:rFonts w:ascii="Times New Roman" w:hAnsi="Times New Roman"/>
          <w:b/>
        </w:rPr>
        <w:t xml:space="preserve">Annual Cost </w:t>
      </w:r>
      <w:r w:rsidRPr="00BC7F42">
        <w:rPr>
          <w:rFonts w:ascii="Times New Roman" w:hAnsi="Times New Roman"/>
          <w:b/>
        </w:rPr>
        <w:t>To</w:t>
      </w:r>
      <w:r w:rsidRPr="00BC7F42">
        <w:rPr>
          <w:rFonts w:ascii="Times New Roman" w:hAnsi="Times New Roman"/>
          <w:b/>
        </w:rPr>
        <w:t xml:space="preserve"> Federal Government</w:t>
      </w:r>
    </w:p>
    <w:p w:rsidR="004F21F7" w:rsidP="004F21F7" w14:paraId="0FF726F5" w14:textId="1980E869">
      <w:pPr>
        <w:ind w:left="720"/>
        <w:rPr>
          <w:rFonts w:ascii="Times New Roman" w:hAnsi="Times New Roman"/>
          <w:color w:val="000000"/>
        </w:rPr>
      </w:pPr>
      <w:r w:rsidRPr="0047588F">
        <w:rPr>
          <w:rFonts w:ascii="Times New Roman" w:hAnsi="Times New Roman"/>
          <w:color w:val="000000"/>
        </w:rPr>
        <w:t>The annual cost to the Federal Government is approximately $</w:t>
      </w:r>
      <w:r>
        <w:rPr>
          <w:rFonts w:ascii="Times New Roman" w:hAnsi="Times New Roman"/>
          <w:color w:val="000000"/>
        </w:rPr>
        <w:t>550</w:t>
      </w:r>
      <w:r w:rsidRPr="0047588F">
        <w:rPr>
          <w:rFonts w:ascii="Times New Roman" w:hAnsi="Times New Roman"/>
          <w:color w:val="000000"/>
        </w:rPr>
        <w:t>.  This estimate accounts for costs from the following areas:</w:t>
      </w:r>
    </w:p>
    <w:p w:rsidR="004F21F7" w:rsidP="004F21F7" w14:paraId="179E2CA5" w14:textId="77777777">
      <w:pPr>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9"/>
        <w:gridCol w:w="2899"/>
        <w:gridCol w:w="2832"/>
      </w:tblGrid>
      <w:tr w14:paraId="4ED4FBD0" w14:textId="77777777" w:rsidTr="00B231C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99" w:type="dxa"/>
            <w:shd w:val="clear" w:color="auto" w:fill="auto"/>
          </w:tcPr>
          <w:p w:rsidR="004F21F7" w:rsidRPr="00003983" w:rsidP="00673DC8" w14:paraId="2A236CCA" w14:textId="77777777">
            <w:pPr>
              <w:pStyle w:val="ListParagraph"/>
              <w:ind w:left="0"/>
              <w:rPr>
                <w:rFonts w:ascii="Times New Roman" w:hAnsi="Times New Roman"/>
                <w:b/>
                <w:bCs/>
                <w:color w:val="000000"/>
              </w:rPr>
            </w:pPr>
            <w:r w:rsidRPr="00003983">
              <w:rPr>
                <w:rFonts w:ascii="Times New Roman" w:hAnsi="Times New Roman"/>
                <w:b/>
                <w:bCs/>
                <w:color w:val="000000"/>
              </w:rPr>
              <w:t>Description of Cost Factor</w:t>
            </w:r>
          </w:p>
        </w:tc>
        <w:tc>
          <w:tcPr>
            <w:tcW w:w="2899" w:type="dxa"/>
            <w:shd w:val="clear" w:color="auto" w:fill="auto"/>
          </w:tcPr>
          <w:p w:rsidR="004F21F7" w:rsidRPr="00003983" w:rsidP="00673DC8" w14:paraId="2C1159BA" w14:textId="77777777">
            <w:pPr>
              <w:pStyle w:val="ListParagraph"/>
              <w:ind w:left="0"/>
              <w:rPr>
                <w:rFonts w:ascii="Times New Roman" w:hAnsi="Times New Roman"/>
                <w:b/>
                <w:bCs/>
                <w:color w:val="000000"/>
              </w:rPr>
            </w:pPr>
            <w:r w:rsidRPr="00003983">
              <w:rPr>
                <w:rFonts w:ascii="Times New Roman" w:hAnsi="Times New Roman"/>
                <w:b/>
                <w:bCs/>
                <w:color w:val="000000"/>
              </w:rPr>
              <w:t>Methodology for Estimating Cost</w:t>
            </w:r>
          </w:p>
        </w:tc>
        <w:tc>
          <w:tcPr>
            <w:tcW w:w="2832" w:type="dxa"/>
            <w:shd w:val="clear" w:color="auto" w:fill="auto"/>
          </w:tcPr>
          <w:p w:rsidR="004F21F7" w:rsidRPr="00003983" w:rsidP="00673DC8" w14:paraId="30ABEDF7" w14:textId="77777777">
            <w:pPr>
              <w:pStyle w:val="ListParagraph"/>
              <w:ind w:left="0"/>
              <w:rPr>
                <w:rFonts w:ascii="Times New Roman" w:hAnsi="Times New Roman"/>
                <w:b/>
                <w:bCs/>
                <w:color w:val="000000"/>
              </w:rPr>
            </w:pPr>
            <w:r w:rsidRPr="00003983">
              <w:rPr>
                <w:rFonts w:ascii="Times New Roman" w:hAnsi="Times New Roman"/>
                <w:b/>
                <w:bCs/>
                <w:color w:val="000000"/>
              </w:rPr>
              <w:t>Cost in Dollars*</w:t>
            </w:r>
          </w:p>
        </w:tc>
      </w:tr>
      <w:tr w14:paraId="46A13DDF" w14:textId="77777777" w:rsidTr="00B231CC">
        <w:tblPrEx>
          <w:tblW w:w="0" w:type="auto"/>
          <w:tblLook w:val="04A0"/>
        </w:tblPrEx>
        <w:tc>
          <w:tcPr>
            <w:tcW w:w="2899" w:type="dxa"/>
            <w:shd w:val="clear" w:color="auto" w:fill="auto"/>
          </w:tcPr>
          <w:p w:rsidR="004F21F7" w:rsidRPr="00003983" w:rsidP="00673DC8" w14:paraId="5BCD47A8" w14:textId="77777777">
            <w:pPr>
              <w:pStyle w:val="ListParagraph"/>
              <w:ind w:left="0"/>
              <w:rPr>
                <w:rFonts w:ascii="Times New Roman" w:hAnsi="Times New Roman"/>
                <w:color w:val="000000"/>
              </w:rPr>
            </w:pPr>
            <w:r w:rsidRPr="00003983">
              <w:rPr>
                <w:rFonts w:ascii="Times New Roman" w:hAnsi="Times New Roman"/>
                <w:color w:val="000000"/>
              </w:rPr>
              <w:t>Designing and Printing the Form</w:t>
            </w:r>
          </w:p>
        </w:tc>
        <w:tc>
          <w:tcPr>
            <w:tcW w:w="2899" w:type="dxa"/>
            <w:shd w:val="clear" w:color="auto" w:fill="auto"/>
          </w:tcPr>
          <w:p w:rsidR="004F21F7" w:rsidRPr="00003983" w:rsidP="00673DC8" w14:paraId="6D42E3DA" w14:textId="77777777">
            <w:pPr>
              <w:pStyle w:val="ListParagraph"/>
              <w:ind w:left="0"/>
              <w:rPr>
                <w:rFonts w:ascii="Times New Roman" w:hAnsi="Times New Roman"/>
                <w:color w:val="000000"/>
              </w:rPr>
            </w:pPr>
            <w:r w:rsidRPr="00003983">
              <w:rPr>
                <w:rFonts w:ascii="Times New Roman" w:hAnsi="Times New Roman"/>
                <w:color w:val="000000"/>
              </w:rPr>
              <w:t>Design Cost + Printing Cost</w:t>
            </w:r>
          </w:p>
        </w:tc>
        <w:tc>
          <w:tcPr>
            <w:tcW w:w="2832" w:type="dxa"/>
            <w:shd w:val="clear" w:color="auto" w:fill="auto"/>
          </w:tcPr>
          <w:p w:rsidR="004F21F7" w:rsidRPr="00003983" w:rsidP="00B231CC" w14:paraId="3A2C0AA5" w14:textId="42985011">
            <w:pPr>
              <w:pStyle w:val="ListParagraph"/>
              <w:ind w:left="0"/>
              <w:jc w:val="right"/>
              <w:rPr>
                <w:rFonts w:ascii="Times New Roman" w:hAnsi="Times New Roman"/>
                <w:color w:val="000000"/>
              </w:rPr>
            </w:pPr>
            <w:r>
              <w:rPr>
                <w:rFonts w:ascii="Times New Roman" w:hAnsi="Times New Roman"/>
                <w:color w:val="000000"/>
              </w:rPr>
              <w:t>$0</w:t>
            </w:r>
            <w:r w:rsidR="00B231CC">
              <w:rPr>
                <w:rFonts w:ascii="Times New Roman" w:hAnsi="Times New Roman"/>
                <w:color w:val="000000"/>
              </w:rPr>
              <w:t>*</w:t>
            </w:r>
          </w:p>
        </w:tc>
      </w:tr>
      <w:tr w14:paraId="4F6F8AD4" w14:textId="77777777" w:rsidTr="00B231CC">
        <w:tblPrEx>
          <w:tblW w:w="0" w:type="auto"/>
          <w:tblLook w:val="04A0"/>
        </w:tblPrEx>
        <w:tc>
          <w:tcPr>
            <w:tcW w:w="2899" w:type="dxa"/>
            <w:shd w:val="clear" w:color="auto" w:fill="auto"/>
          </w:tcPr>
          <w:p w:rsidR="004F21F7" w:rsidRPr="00003983" w:rsidP="00673DC8" w14:paraId="32CF7D5D" w14:textId="77777777">
            <w:pPr>
              <w:pStyle w:val="ListParagraph"/>
              <w:ind w:left="0"/>
              <w:rPr>
                <w:rFonts w:ascii="Times New Roman" w:hAnsi="Times New Roman"/>
                <w:color w:val="000000"/>
              </w:rPr>
            </w:pPr>
            <w:r w:rsidRPr="00003983">
              <w:rPr>
                <w:rFonts w:ascii="Times New Roman" w:hAnsi="Times New Roman"/>
                <w:color w:val="000000"/>
              </w:rPr>
              <w:t>Distributing, Shipping, and Material Costs for the Form</w:t>
            </w:r>
          </w:p>
        </w:tc>
        <w:tc>
          <w:tcPr>
            <w:tcW w:w="2899" w:type="dxa"/>
            <w:shd w:val="clear" w:color="auto" w:fill="auto"/>
          </w:tcPr>
          <w:p w:rsidR="004F21F7" w:rsidRPr="00003983" w:rsidP="00673DC8" w14:paraId="5D091B18" w14:textId="77777777">
            <w:pPr>
              <w:pStyle w:val="ListParagraph"/>
              <w:ind w:left="0"/>
              <w:rPr>
                <w:rFonts w:ascii="Times New Roman" w:hAnsi="Times New Roman"/>
                <w:color w:val="000000"/>
              </w:rPr>
            </w:pPr>
            <w:r w:rsidRPr="00003983">
              <w:rPr>
                <w:rFonts w:ascii="Times New Roman" w:hAnsi="Times New Roman"/>
                <w:color w:val="000000"/>
              </w:rPr>
              <w:t>Distribution + Shipping + Material Cost</w:t>
            </w:r>
          </w:p>
        </w:tc>
        <w:tc>
          <w:tcPr>
            <w:tcW w:w="2832" w:type="dxa"/>
            <w:shd w:val="clear" w:color="auto" w:fill="auto"/>
          </w:tcPr>
          <w:p w:rsidR="004F21F7" w:rsidRPr="00003983" w:rsidP="00B231CC" w14:paraId="41615E68" w14:textId="2B734510">
            <w:pPr>
              <w:pStyle w:val="ListParagraph"/>
              <w:ind w:left="0"/>
              <w:jc w:val="right"/>
              <w:rPr>
                <w:rFonts w:ascii="Times New Roman" w:hAnsi="Times New Roman"/>
                <w:color w:val="000000"/>
              </w:rPr>
            </w:pPr>
            <w:r>
              <w:rPr>
                <w:rFonts w:ascii="Times New Roman" w:hAnsi="Times New Roman"/>
                <w:color w:val="000000"/>
              </w:rPr>
              <w:t>$</w:t>
            </w:r>
            <w:r w:rsidR="00B231CC">
              <w:rPr>
                <w:rFonts w:ascii="Times New Roman" w:hAnsi="Times New Roman"/>
                <w:color w:val="000000"/>
              </w:rPr>
              <w:t>0</w:t>
            </w:r>
            <w:r>
              <w:rPr>
                <w:rFonts w:ascii="Times New Roman" w:hAnsi="Times New Roman"/>
                <w:color w:val="000000"/>
              </w:rPr>
              <w:t>**</w:t>
            </w:r>
          </w:p>
        </w:tc>
      </w:tr>
      <w:tr w14:paraId="10874960" w14:textId="77777777" w:rsidTr="00B231CC">
        <w:tblPrEx>
          <w:tblW w:w="0" w:type="auto"/>
          <w:tblLook w:val="04A0"/>
        </w:tblPrEx>
        <w:tc>
          <w:tcPr>
            <w:tcW w:w="2899" w:type="dxa"/>
            <w:shd w:val="clear" w:color="auto" w:fill="auto"/>
          </w:tcPr>
          <w:p w:rsidR="004F21F7" w:rsidRPr="00003983" w:rsidP="00673DC8" w14:paraId="052DD90F" w14:textId="77777777">
            <w:pPr>
              <w:pStyle w:val="ListParagraph"/>
              <w:ind w:left="0"/>
              <w:rPr>
                <w:rFonts w:ascii="Times New Roman" w:hAnsi="Times New Roman"/>
                <w:color w:val="000000"/>
              </w:rPr>
            </w:pPr>
            <w:r w:rsidRPr="00003983">
              <w:rPr>
                <w:rFonts w:ascii="Times New Roman" w:hAnsi="Times New Roman"/>
                <w:color w:val="000000"/>
              </w:rPr>
              <w:t>SSA Employee (e.g., field office, 800 number, DDS staff) Information Collection and Processing Time</w:t>
            </w:r>
          </w:p>
        </w:tc>
        <w:tc>
          <w:tcPr>
            <w:tcW w:w="2899" w:type="dxa"/>
            <w:shd w:val="clear" w:color="auto" w:fill="auto"/>
          </w:tcPr>
          <w:p w:rsidR="004F21F7" w:rsidRPr="00003983" w:rsidP="00673DC8" w14:paraId="4AECD975" w14:textId="77777777">
            <w:pPr>
              <w:pStyle w:val="ListParagraph"/>
              <w:ind w:left="0"/>
              <w:rPr>
                <w:rFonts w:ascii="Times New Roman" w:hAnsi="Times New Roman"/>
                <w:color w:val="000000"/>
              </w:rPr>
            </w:pPr>
            <w:r w:rsidRPr="00003983">
              <w:rPr>
                <w:rFonts w:ascii="Times New Roman" w:hAnsi="Times New Roman"/>
                <w:color w:val="000000"/>
              </w:rPr>
              <w:t>GS-9 employee x # of responses x processing time</w:t>
            </w:r>
          </w:p>
        </w:tc>
        <w:tc>
          <w:tcPr>
            <w:tcW w:w="2832" w:type="dxa"/>
            <w:shd w:val="clear" w:color="auto" w:fill="auto"/>
          </w:tcPr>
          <w:p w:rsidR="004F21F7" w:rsidRPr="00003983" w:rsidP="00B231CC" w14:paraId="7B5F4281" w14:textId="6A3409B4">
            <w:pPr>
              <w:pStyle w:val="ListParagraph"/>
              <w:ind w:left="0"/>
              <w:jc w:val="right"/>
              <w:rPr>
                <w:rFonts w:ascii="Times New Roman" w:hAnsi="Times New Roman"/>
                <w:color w:val="000000"/>
              </w:rPr>
            </w:pPr>
            <w:r>
              <w:rPr>
                <w:rFonts w:ascii="Times New Roman" w:hAnsi="Times New Roman"/>
                <w:color w:val="000000"/>
              </w:rPr>
              <w:t>$550**</w:t>
            </w:r>
          </w:p>
        </w:tc>
      </w:tr>
      <w:tr w14:paraId="1DC812BD" w14:textId="77777777" w:rsidTr="00B231CC">
        <w:tblPrEx>
          <w:tblW w:w="0" w:type="auto"/>
          <w:tblLook w:val="04A0"/>
        </w:tblPrEx>
        <w:tc>
          <w:tcPr>
            <w:tcW w:w="2899" w:type="dxa"/>
            <w:shd w:val="clear" w:color="auto" w:fill="auto"/>
          </w:tcPr>
          <w:p w:rsidR="004F21F7" w:rsidRPr="00003983" w:rsidP="00673DC8" w14:paraId="31169AC1" w14:textId="77777777">
            <w:pPr>
              <w:pStyle w:val="ListParagraph"/>
              <w:ind w:left="0"/>
              <w:rPr>
                <w:rFonts w:ascii="Times New Roman" w:hAnsi="Times New Roman"/>
                <w:color w:val="000000"/>
              </w:rPr>
            </w:pPr>
            <w:r w:rsidRPr="00003983">
              <w:rPr>
                <w:rFonts w:ascii="Times New Roman" w:hAnsi="Times New Roman"/>
                <w:color w:val="000000"/>
              </w:rPr>
              <w:t>Full-Time Equivalent Costs</w:t>
            </w:r>
          </w:p>
        </w:tc>
        <w:tc>
          <w:tcPr>
            <w:tcW w:w="2899" w:type="dxa"/>
            <w:shd w:val="clear" w:color="auto" w:fill="auto"/>
          </w:tcPr>
          <w:p w:rsidR="004F21F7" w:rsidRPr="00003983" w:rsidP="00673DC8" w14:paraId="4B3B9E67" w14:textId="77777777">
            <w:pPr>
              <w:pStyle w:val="ListParagraph"/>
              <w:ind w:left="0"/>
              <w:rPr>
                <w:rFonts w:ascii="Times New Roman" w:hAnsi="Times New Roman"/>
                <w:color w:val="000000"/>
              </w:rPr>
            </w:pPr>
            <w:r w:rsidRPr="00003983">
              <w:rPr>
                <w:rFonts w:ascii="Times New Roman" w:hAnsi="Times New Roman"/>
                <w:color w:val="000000"/>
              </w:rPr>
              <w:t>Out of pocket costs + Other expenses for providing this service</w:t>
            </w:r>
          </w:p>
        </w:tc>
        <w:tc>
          <w:tcPr>
            <w:tcW w:w="2832" w:type="dxa"/>
            <w:shd w:val="clear" w:color="auto" w:fill="auto"/>
          </w:tcPr>
          <w:p w:rsidR="004F21F7" w:rsidRPr="00003983" w:rsidP="00B231CC" w14:paraId="4938A96A" w14:textId="6844715E">
            <w:pPr>
              <w:pStyle w:val="ListParagraph"/>
              <w:ind w:left="0"/>
              <w:jc w:val="right"/>
              <w:rPr>
                <w:rFonts w:ascii="Times New Roman" w:hAnsi="Times New Roman"/>
                <w:color w:val="000000"/>
              </w:rPr>
            </w:pPr>
            <w:r>
              <w:rPr>
                <w:rFonts w:ascii="Times New Roman" w:hAnsi="Times New Roman"/>
                <w:color w:val="000000"/>
              </w:rPr>
              <w:t>$0</w:t>
            </w:r>
            <w:r w:rsidR="00B231CC">
              <w:rPr>
                <w:rFonts w:ascii="Times New Roman" w:hAnsi="Times New Roman"/>
                <w:color w:val="000000"/>
              </w:rPr>
              <w:t>*</w:t>
            </w:r>
          </w:p>
        </w:tc>
      </w:tr>
      <w:tr w14:paraId="193E4A68" w14:textId="77777777" w:rsidTr="00B231CC">
        <w:tblPrEx>
          <w:tblW w:w="0" w:type="auto"/>
          <w:tblLook w:val="04A0"/>
        </w:tblPrEx>
        <w:tc>
          <w:tcPr>
            <w:tcW w:w="2899" w:type="dxa"/>
            <w:shd w:val="clear" w:color="auto" w:fill="auto"/>
          </w:tcPr>
          <w:p w:rsidR="004F21F7" w:rsidRPr="00003983" w:rsidP="00673DC8" w14:paraId="1F839E3A" w14:textId="77777777">
            <w:pPr>
              <w:pStyle w:val="ListParagraph"/>
              <w:ind w:left="0"/>
              <w:rPr>
                <w:rFonts w:ascii="Times New Roman" w:hAnsi="Times New Roman"/>
                <w:color w:val="000000"/>
              </w:rPr>
            </w:pPr>
            <w:r w:rsidRPr="00003983">
              <w:rPr>
                <w:rFonts w:ascii="Times New Roman" w:hAnsi="Times New Roman"/>
                <w:color w:val="000000"/>
              </w:rPr>
              <w:t>Systems Development, Updating, and Maintenance</w:t>
            </w:r>
          </w:p>
        </w:tc>
        <w:tc>
          <w:tcPr>
            <w:tcW w:w="2899" w:type="dxa"/>
            <w:shd w:val="clear" w:color="auto" w:fill="auto"/>
          </w:tcPr>
          <w:p w:rsidR="004F21F7" w:rsidRPr="00003983" w:rsidP="00673DC8" w14:paraId="1759C814" w14:textId="778DB3A1">
            <w:pPr>
              <w:pStyle w:val="ListParagraph"/>
              <w:ind w:left="0"/>
              <w:rPr>
                <w:rFonts w:ascii="Times New Roman" w:hAnsi="Times New Roman"/>
                <w:color w:val="000000"/>
              </w:rPr>
            </w:pPr>
            <w:r w:rsidRPr="00003983">
              <w:rPr>
                <w:rFonts w:ascii="Times New Roman" w:hAnsi="Times New Roman"/>
                <w:color w:val="000000"/>
              </w:rPr>
              <w:t xml:space="preserve">GS-9 employee </w:t>
            </w:r>
            <w:r>
              <w:rPr>
                <w:rFonts w:ascii="Times New Roman" w:hAnsi="Times New Roman"/>
                <w:color w:val="000000"/>
              </w:rPr>
              <w:t>0</w:t>
            </w:r>
            <w:r w:rsidRPr="00003983">
              <w:rPr>
                <w:rFonts w:ascii="Times New Roman" w:hAnsi="Times New Roman"/>
                <w:color w:val="000000"/>
              </w:rPr>
              <w:t xml:space="preserve"> man</w:t>
            </w:r>
            <w:r w:rsidRPr="00003983">
              <w:rPr>
                <w:rFonts w:ascii="Times New Roman" w:hAnsi="Times New Roman"/>
                <w:color w:val="000000"/>
              </w:rPr>
              <w:t xml:space="preserve"> hours for development, updating, maintenance</w:t>
            </w:r>
          </w:p>
        </w:tc>
        <w:tc>
          <w:tcPr>
            <w:tcW w:w="2832" w:type="dxa"/>
            <w:shd w:val="clear" w:color="auto" w:fill="auto"/>
          </w:tcPr>
          <w:p w:rsidR="004F21F7" w:rsidRPr="00003983" w:rsidP="00B231CC" w14:paraId="6A5D52CC" w14:textId="24BE1125">
            <w:pPr>
              <w:pStyle w:val="ListParagraph"/>
              <w:ind w:left="0"/>
              <w:jc w:val="right"/>
              <w:rPr>
                <w:rFonts w:ascii="Times New Roman" w:hAnsi="Times New Roman"/>
                <w:color w:val="000000"/>
              </w:rPr>
            </w:pPr>
            <w:r>
              <w:rPr>
                <w:rFonts w:ascii="Times New Roman" w:hAnsi="Times New Roman"/>
                <w:color w:val="000000"/>
              </w:rPr>
              <w:t>$0</w:t>
            </w:r>
            <w:r w:rsidR="00B231CC">
              <w:rPr>
                <w:rFonts w:ascii="Times New Roman" w:hAnsi="Times New Roman"/>
                <w:color w:val="000000"/>
              </w:rPr>
              <w:t>*</w:t>
            </w:r>
          </w:p>
        </w:tc>
      </w:tr>
      <w:tr w14:paraId="5538CAD2" w14:textId="77777777" w:rsidTr="00B231CC">
        <w:tblPrEx>
          <w:tblW w:w="0" w:type="auto"/>
          <w:tblLook w:val="04A0"/>
        </w:tblPrEx>
        <w:tc>
          <w:tcPr>
            <w:tcW w:w="2899" w:type="dxa"/>
            <w:shd w:val="clear" w:color="auto" w:fill="auto"/>
          </w:tcPr>
          <w:p w:rsidR="004F21F7" w:rsidRPr="00003983" w:rsidP="00673DC8" w14:paraId="05B939A6" w14:textId="77777777">
            <w:pPr>
              <w:pStyle w:val="ListParagraph"/>
              <w:ind w:left="0"/>
              <w:rPr>
                <w:rFonts w:ascii="Times New Roman" w:hAnsi="Times New Roman"/>
                <w:color w:val="000000"/>
              </w:rPr>
            </w:pPr>
            <w:r w:rsidRPr="00003983">
              <w:rPr>
                <w:rFonts w:ascii="Times New Roman" w:hAnsi="Times New Roman"/>
                <w:color w:val="000000"/>
              </w:rPr>
              <w:t>Quantifiable IT Costs</w:t>
            </w:r>
          </w:p>
        </w:tc>
        <w:tc>
          <w:tcPr>
            <w:tcW w:w="2899" w:type="dxa"/>
            <w:shd w:val="clear" w:color="auto" w:fill="auto"/>
          </w:tcPr>
          <w:p w:rsidR="004F21F7" w:rsidRPr="00003983" w:rsidP="00673DC8" w14:paraId="2DE53BD2" w14:textId="77777777">
            <w:pPr>
              <w:pStyle w:val="ListParagraph"/>
              <w:ind w:left="0"/>
              <w:rPr>
                <w:rFonts w:ascii="Times New Roman" w:hAnsi="Times New Roman"/>
                <w:color w:val="000000"/>
              </w:rPr>
            </w:pPr>
            <w:r w:rsidRPr="00003983">
              <w:rPr>
                <w:rFonts w:ascii="Times New Roman" w:hAnsi="Times New Roman"/>
                <w:color w:val="000000"/>
              </w:rPr>
              <w:t>Any additional IT costs</w:t>
            </w:r>
          </w:p>
        </w:tc>
        <w:tc>
          <w:tcPr>
            <w:tcW w:w="2832" w:type="dxa"/>
            <w:shd w:val="clear" w:color="auto" w:fill="auto"/>
          </w:tcPr>
          <w:p w:rsidR="004F21F7" w:rsidRPr="00003983" w:rsidP="00B231CC" w14:paraId="4E34A8B3" w14:textId="2AA484CC">
            <w:pPr>
              <w:pStyle w:val="ListParagraph"/>
              <w:ind w:left="0"/>
              <w:jc w:val="right"/>
              <w:rPr>
                <w:rFonts w:ascii="Times New Roman" w:hAnsi="Times New Roman"/>
                <w:color w:val="000000"/>
              </w:rPr>
            </w:pPr>
            <w:r>
              <w:rPr>
                <w:rFonts w:ascii="Times New Roman" w:hAnsi="Times New Roman"/>
                <w:color w:val="000000"/>
              </w:rPr>
              <w:t>$0</w:t>
            </w:r>
            <w:r w:rsidR="00B231CC">
              <w:rPr>
                <w:rFonts w:ascii="Times New Roman" w:hAnsi="Times New Roman"/>
                <w:color w:val="000000"/>
              </w:rPr>
              <w:t>*</w:t>
            </w:r>
          </w:p>
        </w:tc>
      </w:tr>
      <w:tr w14:paraId="03E6A662" w14:textId="77777777" w:rsidTr="00B231CC">
        <w:tblPrEx>
          <w:tblW w:w="0" w:type="auto"/>
          <w:tblLook w:val="04A0"/>
        </w:tblPrEx>
        <w:tc>
          <w:tcPr>
            <w:tcW w:w="2899" w:type="dxa"/>
            <w:shd w:val="clear" w:color="auto" w:fill="auto"/>
          </w:tcPr>
          <w:p w:rsidR="004F21F7" w:rsidRPr="00003983" w:rsidP="00673DC8" w14:paraId="6E29D5E5" w14:textId="77777777">
            <w:pPr>
              <w:pStyle w:val="ListParagraph"/>
              <w:ind w:left="0"/>
              <w:rPr>
                <w:rFonts w:ascii="Times New Roman" w:hAnsi="Times New Roman"/>
                <w:b/>
                <w:bCs/>
                <w:color w:val="000000"/>
              </w:rPr>
            </w:pPr>
            <w:r w:rsidRPr="00003983">
              <w:rPr>
                <w:rFonts w:ascii="Times New Roman" w:hAnsi="Times New Roman"/>
                <w:b/>
                <w:bCs/>
                <w:color w:val="000000"/>
              </w:rPr>
              <w:t>Total</w:t>
            </w:r>
          </w:p>
        </w:tc>
        <w:tc>
          <w:tcPr>
            <w:tcW w:w="2899" w:type="dxa"/>
            <w:shd w:val="clear" w:color="auto" w:fill="auto"/>
          </w:tcPr>
          <w:p w:rsidR="004F21F7" w:rsidRPr="00003983" w:rsidP="00673DC8" w14:paraId="55FF9FA9" w14:textId="77777777">
            <w:pPr>
              <w:pStyle w:val="ListParagraph"/>
              <w:ind w:left="0"/>
              <w:rPr>
                <w:rFonts w:ascii="Times New Roman" w:hAnsi="Times New Roman"/>
                <w:b/>
                <w:bCs/>
                <w:color w:val="000000"/>
              </w:rPr>
            </w:pPr>
          </w:p>
        </w:tc>
        <w:tc>
          <w:tcPr>
            <w:tcW w:w="2832" w:type="dxa"/>
            <w:shd w:val="clear" w:color="auto" w:fill="auto"/>
          </w:tcPr>
          <w:p w:rsidR="004F21F7" w:rsidRPr="00003983" w:rsidP="00B231CC" w14:paraId="4A9CFEC5" w14:textId="78A0A211">
            <w:pPr>
              <w:pStyle w:val="ListParagraph"/>
              <w:ind w:left="0"/>
              <w:jc w:val="right"/>
              <w:rPr>
                <w:rFonts w:ascii="Times New Roman" w:hAnsi="Times New Roman"/>
                <w:b/>
                <w:bCs/>
                <w:color w:val="000000"/>
              </w:rPr>
            </w:pPr>
            <w:r>
              <w:rPr>
                <w:rFonts w:ascii="Times New Roman" w:hAnsi="Times New Roman"/>
                <w:b/>
                <w:bCs/>
                <w:color w:val="000000"/>
              </w:rPr>
              <w:t>$550</w:t>
            </w:r>
          </w:p>
        </w:tc>
      </w:tr>
    </w:tbl>
    <w:p w:rsidR="00B231CC" w:rsidP="00B231CC" w14:paraId="159CE093" w14:textId="77777777">
      <w:pPr>
        <w:ind w:left="720"/>
        <w:rPr>
          <w:rFonts w:ascii="Times New Roman" w:hAnsi="Times New Roman"/>
          <w:color w:val="000000"/>
        </w:rPr>
      </w:pPr>
      <w:r>
        <w:rPr>
          <w:rFonts w:ascii="Times New Roman" w:hAnsi="Times New Roman"/>
          <w:color w:val="000000"/>
        </w:rPr>
        <w:t>* We have inserted a $0 amount for cost factors that do not apply to this collection.</w:t>
      </w:r>
    </w:p>
    <w:p w:rsidR="00B231CC" w:rsidP="00B231CC" w14:paraId="08F0F008" w14:textId="77777777">
      <w:pPr>
        <w:ind w:left="720"/>
        <w:rPr>
          <w:rFonts w:ascii="Times New Roman" w:hAnsi="Times New Roman"/>
          <w:color w:val="000000"/>
        </w:rPr>
      </w:pPr>
    </w:p>
    <w:p w:rsidR="004F21F7" w:rsidP="00B231CC" w14:paraId="79585902" w14:textId="3E602179">
      <w:pPr>
        <w:ind w:left="720"/>
        <w:rPr>
          <w:rFonts w:ascii="Times New Roman" w:hAnsi="Times New Roman"/>
          <w:color w:val="000000"/>
        </w:rPr>
      </w:pPr>
      <w:r>
        <w:rPr>
          <w:rFonts w:ascii="Times New Roman" w:hAnsi="Times New Roman"/>
          <w:color w:val="000000"/>
        </w:rPr>
        <w:t xml:space="preserve">** The collective cost for employee time is $550. </w:t>
      </w:r>
      <w:r w:rsidR="00B231CC">
        <w:rPr>
          <w:rFonts w:ascii="Times New Roman" w:hAnsi="Times New Roman"/>
          <w:color w:val="000000"/>
        </w:rPr>
        <w:t xml:space="preserve"> </w:t>
      </w:r>
      <w:r>
        <w:rPr>
          <w:rFonts w:ascii="Times New Roman" w:hAnsi="Times New Roman"/>
          <w:color w:val="000000"/>
        </w:rPr>
        <w:t>We do not have a breakdown between those categories.</w:t>
      </w:r>
    </w:p>
    <w:p w:rsidR="00B231CC" w:rsidP="00B231CC" w14:paraId="79271325" w14:textId="77777777">
      <w:pPr>
        <w:ind w:left="720"/>
        <w:rPr>
          <w:rFonts w:ascii="Times New Roman" w:hAnsi="Times New Roman"/>
          <w:color w:val="000000"/>
        </w:rPr>
      </w:pPr>
    </w:p>
    <w:p w:rsidR="00B231CC" w:rsidP="00B231CC" w14:paraId="5547AC23" w14:textId="2C8D5D4F">
      <w:pPr>
        <w:ind w:left="720"/>
        <w:rPr>
          <w:rFonts w:ascii="Times New Roman" w:hAnsi="Times New Roman"/>
          <w:color w:val="000000"/>
        </w:rPr>
      </w:pPr>
      <w:r>
        <w:rPr>
          <w:rFonts w:ascii="Times New Roman" w:hAnsi="Times New Roman"/>
          <w:color w:val="000000"/>
        </w:rPr>
        <w:t>SSA is unable to break down the costs to the Federal government further than we already have,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Pr>
          <w:rFonts w:ascii="Times New Roman" w:hAnsi="Times New Roman"/>
          <w:color w:val="000000"/>
        </w:rPr>
        <w:t>.</w:t>
      </w:r>
    </w:p>
    <w:p w:rsidR="005623CF" w:rsidRPr="0047588F" w:rsidP="005623CF" w14:paraId="763CD846" w14:textId="77777777">
      <w:pPr>
        <w:rPr>
          <w:rFonts w:ascii="Times New Roman" w:hAnsi="Times New Roman"/>
        </w:rPr>
      </w:pPr>
    </w:p>
    <w:p w:rsidR="00063A05" w:rsidP="00500891" w14:paraId="1741DC9C" w14:textId="77777777">
      <w:pPr>
        <w:ind w:left="72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Pr>
          <w:rFonts w:ascii="Times New Roman" w:hAnsi="Times New Roman"/>
          <w:b/>
        </w:rPr>
        <w:t>Request</w:t>
      </w:r>
    </w:p>
    <w:p w:rsidR="00500891" w:rsidP="00500891" w14:paraId="5CE77EB7" w14:textId="71187A44">
      <w:pPr>
        <w:tabs>
          <w:tab w:val="left" w:pos="-720"/>
        </w:tabs>
        <w:suppressAutoHyphens/>
        <w:ind w:left="720"/>
        <w:rPr>
          <w:rFonts w:ascii="Times New Roman" w:hAnsi="Times New Roman"/>
        </w:rPr>
      </w:pPr>
      <w:r w:rsidRPr="000E794B">
        <w:rPr>
          <w:rFonts w:ascii="Times New Roman" w:hAnsi="Times New Roman"/>
          <w:iCs/>
        </w:rPr>
        <w:t xml:space="preserve">When we last cleared this IC in 2021, the burden was </w:t>
      </w:r>
      <w:r>
        <w:rPr>
          <w:rFonts w:ascii="Times New Roman" w:eastAsia="SimSun" w:hAnsi="Times New Roman"/>
          <w:iCs/>
          <w:snapToGrid/>
        </w:rPr>
        <w:t>64</w:t>
      </w:r>
      <w:r w:rsidRPr="000E794B">
        <w:rPr>
          <w:rFonts w:ascii="Times New Roman" w:hAnsi="Times New Roman"/>
          <w:iCs/>
        </w:rPr>
        <w:t xml:space="preserve"> hours.  However, we are currently reporting a burden of </w:t>
      </w:r>
      <w:r>
        <w:rPr>
          <w:rFonts w:ascii="Times New Roman" w:hAnsi="Times New Roman"/>
          <w:iCs/>
        </w:rPr>
        <w:t>41</w:t>
      </w:r>
      <w:r w:rsidRPr="000E794B">
        <w:rPr>
          <w:rFonts w:ascii="Times New Roman" w:hAnsi="Times New Roman"/>
          <w:iCs/>
        </w:rPr>
        <w:t xml:space="preserve"> hours</w:t>
      </w:r>
      <w:r w:rsidR="0040733C">
        <w:rPr>
          <w:rFonts w:ascii="Times New Roman" w:hAnsi="Times New Roman"/>
        </w:rPr>
        <w:t>.</w:t>
      </w:r>
      <w:r>
        <w:rPr>
          <w:rFonts w:ascii="Times New Roman" w:hAnsi="Times New Roman"/>
        </w:rPr>
        <w:t xml:space="preserve">  This stems from a </w:t>
      </w:r>
      <w:r w:rsidR="00AB7369">
        <w:rPr>
          <w:rFonts w:ascii="Times New Roman" w:hAnsi="Times New Roman"/>
        </w:rPr>
        <w:t xml:space="preserve">minor </w:t>
      </w:r>
      <w:r>
        <w:rPr>
          <w:rFonts w:ascii="Times New Roman" w:hAnsi="Times New Roman"/>
        </w:rPr>
        <w:t xml:space="preserve">decrease in respondents choosing to respond via written statement instead of using the SF-95 </w:t>
      </w:r>
      <w:r>
        <w:rPr>
          <w:rFonts w:ascii="Times New Roman" w:eastAsia="SimSun" w:hAnsi="Times New Roman"/>
          <w:snapToGrid/>
        </w:rPr>
        <w:t>(</w:t>
      </w:r>
      <w:r w:rsidRPr="00690F29">
        <w:rPr>
          <w:rFonts w:ascii="Times New Roman" w:eastAsia="SimSun" w:hAnsi="Times New Roman"/>
          <w:snapToGrid/>
        </w:rPr>
        <w:t>OMB No. 1105</w:t>
      </w:r>
      <w:r>
        <w:rPr>
          <w:rFonts w:ascii="Times New Roman" w:eastAsia="SimSun" w:hAnsi="Times New Roman"/>
          <w:snapToGrid/>
        </w:rPr>
        <w:noBreakHyphen/>
      </w:r>
      <w:r w:rsidRPr="00690F29">
        <w:rPr>
          <w:rFonts w:ascii="Times New Roman" w:eastAsia="SimSun" w:hAnsi="Times New Roman"/>
          <w:snapToGrid/>
        </w:rPr>
        <w:t>0008</w:t>
      </w:r>
      <w:r>
        <w:rPr>
          <w:rFonts w:ascii="Times New Roman" w:eastAsia="SimSun" w:hAnsi="Times New Roman"/>
          <w:snapToGrid/>
        </w:rPr>
        <w:t>)</w:t>
      </w:r>
      <w:r>
        <w:rPr>
          <w:rFonts w:ascii="Times New Roman" w:hAnsi="Times New Roman"/>
        </w:rPr>
        <w:t xml:space="preserve">.  </w:t>
      </w:r>
      <w:r w:rsidRPr="000E794B">
        <w:rPr>
          <w:rFonts w:ascii="Times New Roman" w:hAnsi="Times New Roman"/>
          <w:iCs/>
        </w:rPr>
        <w:t>There is no change to the burden time per response.  Although the number of responses changed, SSA did not take any actions to cause this change.  These figures represent current Management Information data.</w:t>
      </w:r>
    </w:p>
    <w:p w:rsidR="00FA640B" w:rsidRPr="00BC7F42" w:rsidP="00A45D82" w14:paraId="03DD7277" w14:textId="77777777">
      <w:pPr>
        <w:rPr>
          <w:rFonts w:ascii="Times New Roman" w:hAnsi="Times New Roman"/>
        </w:rPr>
      </w:pPr>
    </w:p>
    <w:p w:rsidR="00063A05" w:rsidP="00500891" w14:paraId="617D01D7" w14:textId="77777777">
      <w:pPr>
        <w:ind w:left="72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500891" w:rsidP="00500891" w14:paraId="3E2D1CD2" w14:textId="77777777">
      <w:pPr>
        <w:ind w:left="720"/>
        <w:rPr>
          <w:rFonts w:ascii="Times New Roman" w:hAnsi="Times New Roman"/>
        </w:rPr>
      </w:pPr>
      <w:r>
        <w:rPr>
          <w:rFonts w:ascii="Times New Roman" w:hAnsi="Times New Roman"/>
        </w:rPr>
        <w:t>SSA will not publish t</w:t>
      </w:r>
      <w:r w:rsidRPr="00DA050C">
        <w:rPr>
          <w:rFonts w:ascii="Times New Roman" w:hAnsi="Times New Roman"/>
        </w:rPr>
        <w:t xml:space="preserve">he results of the information </w:t>
      </w:r>
      <w:r>
        <w:rPr>
          <w:rFonts w:ascii="Times New Roman" w:hAnsi="Times New Roman"/>
        </w:rPr>
        <w:t>collection</w:t>
      </w:r>
      <w:r w:rsidRPr="00DA050C">
        <w:rPr>
          <w:rFonts w:ascii="Times New Roman" w:hAnsi="Times New Roman"/>
        </w:rPr>
        <w:t>.</w:t>
      </w:r>
    </w:p>
    <w:p w:rsidR="00A45D82" w:rsidRPr="00BC7F42" w:rsidP="00A45D82" w14:paraId="32EEC39F" w14:textId="77777777">
      <w:pPr>
        <w:pStyle w:val="Header"/>
        <w:tabs>
          <w:tab w:val="clear" w:pos="4320"/>
          <w:tab w:val="clear" w:pos="8640"/>
        </w:tabs>
        <w:rPr>
          <w:rFonts w:ascii="Times New Roman" w:hAnsi="Times New Roman"/>
        </w:rPr>
      </w:pPr>
    </w:p>
    <w:p w:rsidR="003B30B4" w:rsidP="00500891" w14:paraId="0CD37E76" w14:textId="77777777">
      <w:pPr>
        <w:rPr>
          <w:rFonts w:ascii="Times New Roman" w:hAnsi="Times New Roman"/>
        </w:rPr>
      </w:pPr>
      <w:r w:rsidRPr="003B30B4">
        <w:rPr>
          <w:rFonts w:ascii="Times New Roman" w:hAnsi="Times New Roman"/>
          <w:b/>
        </w:rPr>
        <w:t>17.</w:t>
      </w:r>
      <w:r w:rsidRPr="00BC7F42">
        <w:rPr>
          <w:rFonts w:ascii="Times New Roman" w:hAnsi="Times New Roman"/>
        </w:rPr>
        <w:tab/>
      </w:r>
      <w:r>
        <w:rPr>
          <w:rFonts w:ascii="Times New Roman" w:hAnsi="Times New Roman"/>
          <w:b/>
        </w:rPr>
        <w:t>Displaying the OMB Approval Expiration Date</w:t>
      </w:r>
    </w:p>
    <w:p w:rsidR="00A45D82" w:rsidP="00500891" w14:paraId="507633EE" w14:textId="2638BDB3">
      <w:pPr>
        <w:pStyle w:val="NoSpacing"/>
        <w:ind w:left="720"/>
        <w:rPr>
          <w:b/>
          <w:bCs/>
          <w:iCs/>
          <w:u w:val="single"/>
        </w:rPr>
      </w:pPr>
      <w:r w:rsidRPr="00500891">
        <w:rPr>
          <w:bCs/>
          <w:iCs/>
        </w:rPr>
        <w:t>SSA is not requesting an exemption from the requirement to display an expiration date.</w:t>
      </w:r>
      <w:r w:rsidR="00351255">
        <w:rPr>
          <w:b/>
          <w:bCs/>
          <w:iCs/>
          <w:u w:val="single"/>
        </w:rPr>
        <w:t xml:space="preserve"> </w:t>
      </w:r>
      <w:r w:rsidR="00DC013B">
        <w:rPr>
          <w:b/>
          <w:bCs/>
          <w:iCs/>
          <w:u w:val="single"/>
        </w:rPr>
        <w:t xml:space="preserve"> </w:t>
      </w:r>
    </w:p>
    <w:p w:rsidR="00500891" w:rsidRPr="00BC7F42" w:rsidP="00500891" w14:paraId="250FF9B9" w14:textId="77777777">
      <w:pPr>
        <w:pStyle w:val="NoSpacing"/>
        <w:ind w:left="720"/>
        <w:rPr>
          <w:b/>
          <w:i/>
        </w:rPr>
      </w:pPr>
    </w:p>
    <w:p w:rsidR="003B30B4" w:rsidP="00500891" w14:paraId="61B30AB3" w14:textId="77777777">
      <w:pPr>
        <w:numPr>
          <w:ilvl w:val="0"/>
          <w:numId w:val="26"/>
        </w:numPr>
        <w:tabs>
          <w:tab w:val="left" w:pos="1260"/>
        </w:tabs>
        <w:rPr>
          <w:rFonts w:ascii="Times New Roman" w:hAnsi="Times New Roman"/>
          <w:b/>
        </w:rPr>
      </w:pPr>
      <w:r w:rsidRPr="00BC7F42">
        <w:rPr>
          <w:rFonts w:ascii="Times New Roman" w:hAnsi="Times New Roman"/>
          <w:b/>
        </w:rPr>
        <w:t>Exceptions to Certification Statement</w:t>
      </w:r>
    </w:p>
    <w:p w:rsidR="00500891" w:rsidRPr="00500891" w:rsidP="00500891" w14:paraId="27A4C110" w14:textId="4CD07DF8">
      <w:pPr>
        <w:pStyle w:val="BodyText2"/>
        <w:tabs>
          <w:tab w:val="clear" w:pos="720"/>
          <w:tab w:val="clear" w:pos="1440"/>
        </w:tabs>
        <w:ind w:left="720"/>
        <w:rPr>
          <w:rFonts w:ascii="Times New Roman" w:hAnsi="Times New Roman"/>
          <w:b w:val="0"/>
          <w:bCs w:val="0"/>
          <w:i w:val="0"/>
          <w:iCs w:val="0"/>
        </w:rPr>
      </w:pPr>
      <w:r w:rsidRPr="00CB122F">
        <w:rPr>
          <w:rFonts w:ascii="Times New Roman" w:hAnsi="Times New Roman"/>
          <w:b w:val="0"/>
          <w:i w:val="0"/>
        </w:rPr>
        <w:t xml:space="preserve">SSA is not requesting an exception to the certification requirements at </w:t>
      </w:r>
      <w:r w:rsidRPr="003B78C2">
        <w:rPr>
          <w:rFonts w:ascii="Times New Roman" w:hAnsi="Times New Roman"/>
          <w:b w:val="0"/>
          <w:iCs w:val="0"/>
        </w:rPr>
        <w:t>5 CFR 1320.9</w:t>
      </w:r>
      <w:r w:rsidRPr="00CB122F">
        <w:rPr>
          <w:rFonts w:ascii="Times New Roman" w:hAnsi="Times New Roman"/>
          <w:b w:val="0"/>
          <w:i w:val="0"/>
        </w:rPr>
        <w:t xml:space="preserve"> and related provisions at</w:t>
      </w:r>
      <w:r w:rsidRPr="00BC7F42">
        <w:rPr>
          <w:rFonts w:ascii="Times New Roman" w:hAnsi="Times New Roman"/>
          <w:b w:val="0"/>
        </w:rPr>
        <w:t xml:space="preserve"> 5 CFR 1320.8(b)(3).</w:t>
      </w:r>
    </w:p>
    <w:p w:rsidR="00677140" w:rsidRPr="00BC7F42" w:rsidP="00E05F35" w14:paraId="6322C692" w14:textId="77777777">
      <w:pPr>
        <w:ind w:left="630"/>
        <w:rPr>
          <w:rFonts w:ascii="Times New Roman" w:hAnsi="Times New Roman"/>
        </w:rPr>
      </w:pPr>
    </w:p>
    <w:p w:rsidR="00A45D82" w:rsidP="00500891" w14:paraId="632326B7" w14:textId="1A019366">
      <w:pPr>
        <w:ind w:left="720" w:hanging="720"/>
        <w:rPr>
          <w:rFonts w:ascii="Times New Roman" w:hAnsi="Times New Roman"/>
          <w:b/>
          <w:u w:val="single"/>
        </w:rPr>
      </w:pPr>
      <w:r w:rsidRPr="0041131C">
        <w:rPr>
          <w:rFonts w:ascii="Times New Roman" w:hAnsi="Times New Roman"/>
          <w:b/>
        </w:rPr>
        <w:t xml:space="preserve">B. </w:t>
      </w:r>
      <w:r w:rsidR="00500891">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500891" w:rsidRPr="00DA050C" w:rsidP="00500891" w14:paraId="5E9590E3" w14:textId="17585021">
      <w:pPr>
        <w:ind w:left="720" w:firstLine="90"/>
        <w:rPr>
          <w:rFonts w:ascii="Times New Roman" w:hAnsi="Times New Roman"/>
        </w:rPr>
      </w:pPr>
      <w:r w:rsidRPr="00A06B12">
        <w:rPr>
          <w:rFonts w:ascii="Times New Roman" w:hAnsi="Times New Roman"/>
        </w:rPr>
        <w:t>SSA does not use statistical methods for this information collection</w:t>
      </w:r>
      <w:r w:rsidRPr="00DA050C">
        <w:rPr>
          <w:rFonts w:ascii="Times New Roman" w:hAnsi="Times New Roman"/>
        </w:rPr>
        <w:t xml:space="preserve">. </w:t>
      </w:r>
    </w:p>
    <w:p w:rsidR="00E05F35" w:rsidP="00E05F35" w14:paraId="44C1ACA2" w14:textId="77777777">
      <w:pPr>
        <w:rPr>
          <w:rFonts w:ascii="Times New Roman" w:hAnsi="Times New Roman"/>
          <w:bCs/>
          <w:color w:val="000000" w:themeColor="text1"/>
        </w:rPr>
      </w:pPr>
    </w:p>
    <w:p w:rsidR="00A45D82" w:rsidRPr="00BC7F42" w:rsidP="00A45D82" w14:paraId="2B553806" w14:textId="77777777">
      <w:pPr>
        <w:rPr>
          <w:rFonts w:ascii="Times New Roman" w:hAnsi="Times New Roman"/>
        </w:rPr>
      </w:pP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AF33E5D"/>
    <w:multiLevelType w:val="hybridMultilevel"/>
    <w:tmpl w:val="0EDA1B88"/>
    <w:lvl w:ilvl="0">
      <w:start w:val="14"/>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20D31E2"/>
    <w:multiLevelType w:val="hybridMultilevel"/>
    <w:tmpl w:val="B164F0A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7">
    <w:nsid w:val="13573566"/>
    <w:multiLevelType w:val="hybridMultilevel"/>
    <w:tmpl w:val="A164E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44B2E4A"/>
    <w:multiLevelType w:val="hybridMultilevel"/>
    <w:tmpl w:val="C7A0BC8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9">
    <w:nsid w:val="15CE2F31"/>
    <w:multiLevelType w:val="hybridMultilevel"/>
    <w:tmpl w:val="5EAE8D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11">
    <w:nsid w:val="1C0C2BD9"/>
    <w:multiLevelType w:val="hybridMultilevel"/>
    <w:tmpl w:val="19E818FE"/>
    <w:lvl w:ilvl="0">
      <w:start w:val="1"/>
      <w:numFmt w:val="bullet"/>
      <w:lvlText w:val=""/>
      <w:lvlJc w:val="left"/>
      <w:pPr>
        <w:ind w:left="360" w:hanging="360"/>
      </w:pPr>
      <w:rPr>
        <w:rFonts w:ascii="Symbol" w:hAnsi="Symbol" w:hint="default"/>
        <w:color w:val="000000" w:themeColor="text1"/>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0602A3E"/>
    <w:multiLevelType w:val="hybridMultilevel"/>
    <w:tmpl w:val="AB964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70E7633"/>
    <w:multiLevelType w:val="hybridMultilevel"/>
    <w:tmpl w:val="3F28754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8FC0711"/>
    <w:multiLevelType w:val="hybridMultilevel"/>
    <w:tmpl w:val="0EDA1B88"/>
    <w:lvl w:ilvl="0">
      <w:start w:val="14"/>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F841716"/>
    <w:multiLevelType w:val="hybridMultilevel"/>
    <w:tmpl w:val="B39CFE8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330C0BA9"/>
    <w:multiLevelType w:val="hybridMultilevel"/>
    <w:tmpl w:val="0F9ACA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37421940"/>
    <w:multiLevelType w:val="hybridMultilevel"/>
    <w:tmpl w:val="BE568B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3B3B0703"/>
    <w:multiLevelType w:val="singleLevel"/>
    <w:tmpl w:val="04090001"/>
    <w:lvl w:ilvl="0">
      <w:start w:val="1"/>
      <w:numFmt w:val="bullet"/>
      <w:lvlText w:val=""/>
      <w:lvlJc w:val="left"/>
      <w:pPr>
        <w:ind w:left="720" w:hanging="360"/>
      </w:pPr>
      <w:rPr>
        <w:rFonts w:ascii="Symbol" w:hAnsi="Symbol" w:hint="default"/>
      </w:rPr>
    </w:lvl>
  </w:abstractNum>
  <w:abstractNum w:abstractNumId="23">
    <w:nsid w:val="40C33D13"/>
    <w:multiLevelType w:val="hybridMultilevel"/>
    <w:tmpl w:val="6D9438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43985EE9"/>
    <w:multiLevelType w:val="hybridMultilevel"/>
    <w:tmpl w:val="B1628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D101D77"/>
    <w:multiLevelType w:val="hybridMultilevel"/>
    <w:tmpl w:val="21E6E07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8">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9">
    <w:nsid w:val="5DA832D9"/>
    <w:multiLevelType w:val="hybridMultilevel"/>
    <w:tmpl w:val="F2E49E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1">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2">
    <w:nsid w:val="63C9722E"/>
    <w:multiLevelType w:val="hybridMultilevel"/>
    <w:tmpl w:val="427013D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nsid w:val="6A906C49"/>
    <w:multiLevelType w:val="hybridMultilevel"/>
    <w:tmpl w:val="F55082E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4">
    <w:nsid w:val="6AEF1DE6"/>
    <w:multiLevelType w:val="hybridMultilevel"/>
    <w:tmpl w:val="720A783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37">
    <w:nsid w:val="76E50D95"/>
    <w:multiLevelType w:val="hybridMultilevel"/>
    <w:tmpl w:val="9BD6E22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8">
    <w:nsid w:val="76EF0A82"/>
    <w:multiLevelType w:val="hybridMultilevel"/>
    <w:tmpl w:val="7F3EE3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1">
    <w:nsid w:val="7B802170"/>
    <w:multiLevelType w:val="hybridMultilevel"/>
    <w:tmpl w:val="02DE369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16cid:durableId="635724919">
    <w:abstractNumId w:val="16"/>
  </w:num>
  <w:num w:numId="2" w16cid:durableId="1722901677">
    <w:abstractNumId w:val="25"/>
  </w:num>
  <w:num w:numId="3" w16cid:durableId="210001508">
    <w:abstractNumId w:val="2"/>
  </w:num>
  <w:num w:numId="4" w16cid:durableId="1189832225">
    <w:abstractNumId w:val="21"/>
  </w:num>
  <w:num w:numId="5" w16cid:durableId="1541166679">
    <w:abstractNumId w:val="12"/>
  </w:num>
  <w:num w:numId="6" w16cid:durableId="1260599982">
    <w:abstractNumId w:val="26"/>
  </w:num>
  <w:num w:numId="7" w16cid:durableId="71703971">
    <w:abstractNumId w:val="31"/>
  </w:num>
  <w:num w:numId="8" w16cid:durableId="1059130229">
    <w:abstractNumId w:val="35"/>
  </w:num>
  <w:num w:numId="9" w16cid:durableId="638848504">
    <w:abstractNumId w:val="4"/>
  </w:num>
  <w:num w:numId="10" w16cid:durableId="328485410">
    <w:abstractNumId w:val="1"/>
  </w:num>
  <w:num w:numId="11" w16cid:durableId="152335390">
    <w:abstractNumId w:val="17"/>
  </w:num>
  <w:num w:numId="12" w16cid:durableId="937447325">
    <w:abstractNumId w:val="22"/>
  </w:num>
  <w:num w:numId="13" w16cid:durableId="1079912976">
    <w:abstractNumId w:val="40"/>
  </w:num>
  <w:num w:numId="14" w16cid:durableId="1209340503">
    <w:abstractNumId w:val="10"/>
  </w:num>
  <w:num w:numId="15" w16cid:durableId="1300568798">
    <w:abstractNumId w:val="6"/>
  </w:num>
  <w:num w:numId="16" w16cid:durableId="577131275">
    <w:abstractNumId w:val="39"/>
  </w:num>
  <w:num w:numId="17" w16cid:durableId="26487483">
    <w:abstractNumId w:val="36"/>
  </w:num>
  <w:num w:numId="18" w16cid:durableId="901214585">
    <w:abstractNumId w:val="28"/>
  </w:num>
  <w:num w:numId="19" w16cid:durableId="85536064">
    <w:abstractNumId w:val="30"/>
  </w:num>
  <w:num w:numId="20" w16cid:durableId="1798140193">
    <w:abstractNumId w:val="41"/>
  </w:num>
  <w:num w:numId="21" w16cid:durableId="1929145115">
    <w:abstractNumId w:val="37"/>
  </w:num>
  <w:num w:numId="22" w16cid:durableId="702707484">
    <w:abstractNumId w:val="20"/>
  </w:num>
  <w:num w:numId="23" w16cid:durableId="1321619574">
    <w:abstractNumId w:val="32"/>
  </w:num>
  <w:num w:numId="24" w16cid:durableId="1052072955">
    <w:abstractNumId w:val="27"/>
  </w:num>
  <w:num w:numId="25" w16cid:durableId="1773361370">
    <w:abstractNumId w:val="13"/>
  </w:num>
  <w:num w:numId="26" w16cid:durableId="2019576628">
    <w:abstractNumId w:val="0"/>
  </w:num>
  <w:num w:numId="27" w16cid:durableId="367146719">
    <w:abstractNumId w:val="14"/>
  </w:num>
  <w:num w:numId="28" w16cid:durableId="636838003">
    <w:abstractNumId w:val="38"/>
  </w:num>
  <w:num w:numId="29" w16cid:durableId="433940808">
    <w:abstractNumId w:val="24"/>
  </w:num>
  <w:num w:numId="30" w16cid:durableId="1616477645">
    <w:abstractNumId w:val="29"/>
  </w:num>
  <w:num w:numId="31" w16cid:durableId="1140071980">
    <w:abstractNumId w:val="19"/>
  </w:num>
  <w:num w:numId="32" w16cid:durableId="234555504">
    <w:abstractNumId w:val="7"/>
  </w:num>
  <w:num w:numId="33" w16cid:durableId="109863906">
    <w:abstractNumId w:val="18"/>
  </w:num>
  <w:num w:numId="34" w16cid:durableId="1514173">
    <w:abstractNumId w:val="5"/>
  </w:num>
  <w:num w:numId="35" w16cid:durableId="1450052280">
    <w:abstractNumId w:val="9"/>
  </w:num>
  <w:num w:numId="36" w16cid:durableId="987705030">
    <w:abstractNumId w:val="34"/>
  </w:num>
  <w:num w:numId="37" w16cid:durableId="1340884037">
    <w:abstractNumId w:val="11"/>
  </w:num>
  <w:num w:numId="38" w16cid:durableId="1839613042">
    <w:abstractNumId w:val="8"/>
  </w:num>
  <w:num w:numId="39" w16cid:durableId="1631277411">
    <w:abstractNumId w:val="33"/>
  </w:num>
  <w:num w:numId="40" w16cid:durableId="235213575">
    <w:abstractNumId w:val="15"/>
  </w:num>
  <w:num w:numId="41" w16cid:durableId="1066340379">
    <w:abstractNumId w:val="3"/>
  </w:num>
  <w:num w:numId="42" w16cid:durableId="1333678860">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00FA9"/>
    <w:rsid w:val="00003983"/>
    <w:rsid w:val="000222A7"/>
    <w:rsid w:val="000238BE"/>
    <w:rsid w:val="00025216"/>
    <w:rsid w:val="00025D75"/>
    <w:rsid w:val="0002677F"/>
    <w:rsid w:val="00030D1E"/>
    <w:rsid w:val="000564F5"/>
    <w:rsid w:val="00061926"/>
    <w:rsid w:val="00061E5C"/>
    <w:rsid w:val="00063A05"/>
    <w:rsid w:val="00064229"/>
    <w:rsid w:val="0006715D"/>
    <w:rsid w:val="0007189E"/>
    <w:rsid w:val="00077720"/>
    <w:rsid w:val="00077E0E"/>
    <w:rsid w:val="00086E84"/>
    <w:rsid w:val="000958AA"/>
    <w:rsid w:val="00097D50"/>
    <w:rsid w:val="000A6AE3"/>
    <w:rsid w:val="000B2B68"/>
    <w:rsid w:val="000B3B12"/>
    <w:rsid w:val="000B652F"/>
    <w:rsid w:val="000C151C"/>
    <w:rsid w:val="000C1D18"/>
    <w:rsid w:val="000D2064"/>
    <w:rsid w:val="000D5F5C"/>
    <w:rsid w:val="000E18DB"/>
    <w:rsid w:val="000E794B"/>
    <w:rsid w:val="00121032"/>
    <w:rsid w:val="00122EE2"/>
    <w:rsid w:val="00127980"/>
    <w:rsid w:val="00143DC8"/>
    <w:rsid w:val="00145796"/>
    <w:rsid w:val="00146275"/>
    <w:rsid w:val="0015576E"/>
    <w:rsid w:val="00157AD6"/>
    <w:rsid w:val="00161A18"/>
    <w:rsid w:val="0016591F"/>
    <w:rsid w:val="00175BC7"/>
    <w:rsid w:val="001779F3"/>
    <w:rsid w:val="00186C90"/>
    <w:rsid w:val="00192897"/>
    <w:rsid w:val="001A3317"/>
    <w:rsid w:val="001A65F9"/>
    <w:rsid w:val="001B2B88"/>
    <w:rsid w:val="001B7229"/>
    <w:rsid w:val="001B7CF4"/>
    <w:rsid w:val="001C6D3A"/>
    <w:rsid w:val="001C7A8B"/>
    <w:rsid w:val="001D0B21"/>
    <w:rsid w:val="001E1076"/>
    <w:rsid w:val="00202C06"/>
    <w:rsid w:val="00202FEC"/>
    <w:rsid w:val="002125F3"/>
    <w:rsid w:val="002321B0"/>
    <w:rsid w:val="00246836"/>
    <w:rsid w:val="0025726E"/>
    <w:rsid w:val="0026052B"/>
    <w:rsid w:val="00276AAF"/>
    <w:rsid w:val="002801F8"/>
    <w:rsid w:val="002A4C30"/>
    <w:rsid w:val="002B001C"/>
    <w:rsid w:val="002B0820"/>
    <w:rsid w:val="002B5578"/>
    <w:rsid w:val="002D3E09"/>
    <w:rsid w:val="002E18CF"/>
    <w:rsid w:val="002E335E"/>
    <w:rsid w:val="002F1C11"/>
    <w:rsid w:val="00302545"/>
    <w:rsid w:val="003176E1"/>
    <w:rsid w:val="00325240"/>
    <w:rsid w:val="00331821"/>
    <w:rsid w:val="00333D3D"/>
    <w:rsid w:val="00340D7D"/>
    <w:rsid w:val="00343B1A"/>
    <w:rsid w:val="003443E8"/>
    <w:rsid w:val="003444C2"/>
    <w:rsid w:val="003465DC"/>
    <w:rsid w:val="003469CA"/>
    <w:rsid w:val="00347044"/>
    <w:rsid w:val="00351255"/>
    <w:rsid w:val="0035187E"/>
    <w:rsid w:val="0036696D"/>
    <w:rsid w:val="0038050B"/>
    <w:rsid w:val="0038313E"/>
    <w:rsid w:val="003A5078"/>
    <w:rsid w:val="003A6E57"/>
    <w:rsid w:val="003A71A9"/>
    <w:rsid w:val="003B15EC"/>
    <w:rsid w:val="003B30B4"/>
    <w:rsid w:val="003B78C2"/>
    <w:rsid w:val="003C10BD"/>
    <w:rsid w:val="003E145C"/>
    <w:rsid w:val="003F00B3"/>
    <w:rsid w:val="00401DE1"/>
    <w:rsid w:val="00405548"/>
    <w:rsid w:val="0040733C"/>
    <w:rsid w:val="00410906"/>
    <w:rsid w:val="0041131C"/>
    <w:rsid w:val="004145D2"/>
    <w:rsid w:val="004178F8"/>
    <w:rsid w:val="004238CA"/>
    <w:rsid w:val="00425C6D"/>
    <w:rsid w:val="004317CB"/>
    <w:rsid w:val="00432B54"/>
    <w:rsid w:val="00447EE9"/>
    <w:rsid w:val="0045065A"/>
    <w:rsid w:val="004509AD"/>
    <w:rsid w:val="00460ACD"/>
    <w:rsid w:val="00464498"/>
    <w:rsid w:val="004700A1"/>
    <w:rsid w:val="00475350"/>
    <w:rsid w:val="0047588F"/>
    <w:rsid w:val="00481B44"/>
    <w:rsid w:val="00484662"/>
    <w:rsid w:val="00485068"/>
    <w:rsid w:val="004915B5"/>
    <w:rsid w:val="00495B43"/>
    <w:rsid w:val="004C5327"/>
    <w:rsid w:val="004E146D"/>
    <w:rsid w:val="004E757A"/>
    <w:rsid w:val="004F21F7"/>
    <w:rsid w:val="00500891"/>
    <w:rsid w:val="0050197F"/>
    <w:rsid w:val="005040EC"/>
    <w:rsid w:val="00506486"/>
    <w:rsid w:val="005438F0"/>
    <w:rsid w:val="00560275"/>
    <w:rsid w:val="0056163C"/>
    <w:rsid w:val="005623CF"/>
    <w:rsid w:val="00564E15"/>
    <w:rsid w:val="005721D4"/>
    <w:rsid w:val="005721FA"/>
    <w:rsid w:val="00574BA4"/>
    <w:rsid w:val="00575200"/>
    <w:rsid w:val="00593A36"/>
    <w:rsid w:val="00594CB3"/>
    <w:rsid w:val="005A1198"/>
    <w:rsid w:val="005A77EB"/>
    <w:rsid w:val="005B0B2E"/>
    <w:rsid w:val="005B15E5"/>
    <w:rsid w:val="005C2C39"/>
    <w:rsid w:val="005D4107"/>
    <w:rsid w:val="005D5B33"/>
    <w:rsid w:val="005F208A"/>
    <w:rsid w:val="006002DD"/>
    <w:rsid w:val="006013A3"/>
    <w:rsid w:val="00605D67"/>
    <w:rsid w:val="00607922"/>
    <w:rsid w:val="00613A7B"/>
    <w:rsid w:val="006160ED"/>
    <w:rsid w:val="00623F5F"/>
    <w:rsid w:val="00626C22"/>
    <w:rsid w:val="00631F1B"/>
    <w:rsid w:val="0063304D"/>
    <w:rsid w:val="00637AF5"/>
    <w:rsid w:val="00640A26"/>
    <w:rsid w:val="00663881"/>
    <w:rsid w:val="00664553"/>
    <w:rsid w:val="00673DC8"/>
    <w:rsid w:val="00677140"/>
    <w:rsid w:val="006806E1"/>
    <w:rsid w:val="00685148"/>
    <w:rsid w:val="00690F29"/>
    <w:rsid w:val="0069667B"/>
    <w:rsid w:val="00696D94"/>
    <w:rsid w:val="006A19D0"/>
    <w:rsid w:val="006B173F"/>
    <w:rsid w:val="006B17EF"/>
    <w:rsid w:val="006B297F"/>
    <w:rsid w:val="006D46FB"/>
    <w:rsid w:val="006E2FB4"/>
    <w:rsid w:val="006E59B6"/>
    <w:rsid w:val="006F2B8B"/>
    <w:rsid w:val="006F4D0F"/>
    <w:rsid w:val="0070479A"/>
    <w:rsid w:val="007051AB"/>
    <w:rsid w:val="00711439"/>
    <w:rsid w:val="00712F1B"/>
    <w:rsid w:val="0071437B"/>
    <w:rsid w:val="007245C9"/>
    <w:rsid w:val="007256B3"/>
    <w:rsid w:val="00727A05"/>
    <w:rsid w:val="007350D8"/>
    <w:rsid w:val="00740FE2"/>
    <w:rsid w:val="00742B56"/>
    <w:rsid w:val="00745462"/>
    <w:rsid w:val="0075753D"/>
    <w:rsid w:val="007752C0"/>
    <w:rsid w:val="0079521F"/>
    <w:rsid w:val="00795BAB"/>
    <w:rsid w:val="007A08D1"/>
    <w:rsid w:val="007A2DEE"/>
    <w:rsid w:val="007A47EC"/>
    <w:rsid w:val="007B007C"/>
    <w:rsid w:val="007C0384"/>
    <w:rsid w:val="007D061D"/>
    <w:rsid w:val="007D22EB"/>
    <w:rsid w:val="007D30F5"/>
    <w:rsid w:val="007D4712"/>
    <w:rsid w:val="007E17BD"/>
    <w:rsid w:val="008041B4"/>
    <w:rsid w:val="00805CA9"/>
    <w:rsid w:val="00806984"/>
    <w:rsid w:val="00810485"/>
    <w:rsid w:val="00814772"/>
    <w:rsid w:val="00824D72"/>
    <w:rsid w:val="00825B97"/>
    <w:rsid w:val="00831CCD"/>
    <w:rsid w:val="0084775D"/>
    <w:rsid w:val="008508BB"/>
    <w:rsid w:val="0086463A"/>
    <w:rsid w:val="00873B87"/>
    <w:rsid w:val="008754ED"/>
    <w:rsid w:val="00876482"/>
    <w:rsid w:val="008867F7"/>
    <w:rsid w:val="00891CA8"/>
    <w:rsid w:val="00892089"/>
    <w:rsid w:val="00892E12"/>
    <w:rsid w:val="008A5092"/>
    <w:rsid w:val="008B2D10"/>
    <w:rsid w:val="008B6774"/>
    <w:rsid w:val="008B7321"/>
    <w:rsid w:val="008D158E"/>
    <w:rsid w:val="008E1198"/>
    <w:rsid w:val="008E3A3A"/>
    <w:rsid w:val="008F17C7"/>
    <w:rsid w:val="00906892"/>
    <w:rsid w:val="009252AB"/>
    <w:rsid w:val="00931723"/>
    <w:rsid w:val="00934D27"/>
    <w:rsid w:val="00950D97"/>
    <w:rsid w:val="00951258"/>
    <w:rsid w:val="00952C5B"/>
    <w:rsid w:val="00955EC4"/>
    <w:rsid w:val="009748B6"/>
    <w:rsid w:val="00975DD8"/>
    <w:rsid w:val="00976CC0"/>
    <w:rsid w:val="00983CD5"/>
    <w:rsid w:val="00987CED"/>
    <w:rsid w:val="009A0B16"/>
    <w:rsid w:val="009B1789"/>
    <w:rsid w:val="009B69B5"/>
    <w:rsid w:val="009C0DD5"/>
    <w:rsid w:val="009C6393"/>
    <w:rsid w:val="009E3C50"/>
    <w:rsid w:val="009F23D6"/>
    <w:rsid w:val="009F7BB3"/>
    <w:rsid w:val="00A06B12"/>
    <w:rsid w:val="00A06BE2"/>
    <w:rsid w:val="00A06ECC"/>
    <w:rsid w:val="00A15287"/>
    <w:rsid w:val="00A32C8F"/>
    <w:rsid w:val="00A337E4"/>
    <w:rsid w:val="00A33C65"/>
    <w:rsid w:val="00A34222"/>
    <w:rsid w:val="00A45D82"/>
    <w:rsid w:val="00A651A7"/>
    <w:rsid w:val="00A67D76"/>
    <w:rsid w:val="00A706B8"/>
    <w:rsid w:val="00A72056"/>
    <w:rsid w:val="00A75E40"/>
    <w:rsid w:val="00A805BA"/>
    <w:rsid w:val="00A814B4"/>
    <w:rsid w:val="00AA06A4"/>
    <w:rsid w:val="00AA0858"/>
    <w:rsid w:val="00AA0C27"/>
    <w:rsid w:val="00AA6250"/>
    <w:rsid w:val="00AB0CA7"/>
    <w:rsid w:val="00AB124A"/>
    <w:rsid w:val="00AB7369"/>
    <w:rsid w:val="00AC2E93"/>
    <w:rsid w:val="00AC39FD"/>
    <w:rsid w:val="00AD0977"/>
    <w:rsid w:val="00AE0527"/>
    <w:rsid w:val="00AF3BEA"/>
    <w:rsid w:val="00AF7234"/>
    <w:rsid w:val="00B007C5"/>
    <w:rsid w:val="00B01D57"/>
    <w:rsid w:val="00B1614B"/>
    <w:rsid w:val="00B231CC"/>
    <w:rsid w:val="00B30724"/>
    <w:rsid w:val="00B35478"/>
    <w:rsid w:val="00B51EF0"/>
    <w:rsid w:val="00B525CA"/>
    <w:rsid w:val="00B573B3"/>
    <w:rsid w:val="00B741F6"/>
    <w:rsid w:val="00B750F7"/>
    <w:rsid w:val="00B76442"/>
    <w:rsid w:val="00B92550"/>
    <w:rsid w:val="00BA1653"/>
    <w:rsid w:val="00BA401A"/>
    <w:rsid w:val="00BC5531"/>
    <w:rsid w:val="00BC7F42"/>
    <w:rsid w:val="00BD04F0"/>
    <w:rsid w:val="00BD3F22"/>
    <w:rsid w:val="00BD74FC"/>
    <w:rsid w:val="00BF026F"/>
    <w:rsid w:val="00BF4955"/>
    <w:rsid w:val="00C0290B"/>
    <w:rsid w:val="00C02C33"/>
    <w:rsid w:val="00C11C91"/>
    <w:rsid w:val="00C22097"/>
    <w:rsid w:val="00C25FDC"/>
    <w:rsid w:val="00C34553"/>
    <w:rsid w:val="00C34A91"/>
    <w:rsid w:val="00C377BC"/>
    <w:rsid w:val="00C37F7A"/>
    <w:rsid w:val="00C40074"/>
    <w:rsid w:val="00C5104E"/>
    <w:rsid w:val="00C57498"/>
    <w:rsid w:val="00C60E61"/>
    <w:rsid w:val="00C653EF"/>
    <w:rsid w:val="00C67C8A"/>
    <w:rsid w:val="00C67F83"/>
    <w:rsid w:val="00C74924"/>
    <w:rsid w:val="00C74937"/>
    <w:rsid w:val="00C74A43"/>
    <w:rsid w:val="00C76EF1"/>
    <w:rsid w:val="00C93220"/>
    <w:rsid w:val="00C941E2"/>
    <w:rsid w:val="00CA0137"/>
    <w:rsid w:val="00CA0B15"/>
    <w:rsid w:val="00CA5F75"/>
    <w:rsid w:val="00CA6CAE"/>
    <w:rsid w:val="00CB122F"/>
    <w:rsid w:val="00CB1AF4"/>
    <w:rsid w:val="00CB6CD2"/>
    <w:rsid w:val="00CB7253"/>
    <w:rsid w:val="00CB7557"/>
    <w:rsid w:val="00CC20FB"/>
    <w:rsid w:val="00CD07B4"/>
    <w:rsid w:val="00CD667A"/>
    <w:rsid w:val="00CE23C1"/>
    <w:rsid w:val="00CF0595"/>
    <w:rsid w:val="00D0011E"/>
    <w:rsid w:val="00D03E8A"/>
    <w:rsid w:val="00D1095D"/>
    <w:rsid w:val="00D14398"/>
    <w:rsid w:val="00D15D80"/>
    <w:rsid w:val="00D21369"/>
    <w:rsid w:val="00D24718"/>
    <w:rsid w:val="00D42EFE"/>
    <w:rsid w:val="00D44900"/>
    <w:rsid w:val="00D5531A"/>
    <w:rsid w:val="00D678F8"/>
    <w:rsid w:val="00D710E8"/>
    <w:rsid w:val="00D83B25"/>
    <w:rsid w:val="00DA050C"/>
    <w:rsid w:val="00DA4BB6"/>
    <w:rsid w:val="00DB1DB4"/>
    <w:rsid w:val="00DC013B"/>
    <w:rsid w:val="00DC3E21"/>
    <w:rsid w:val="00DD494D"/>
    <w:rsid w:val="00DE156B"/>
    <w:rsid w:val="00DE22B0"/>
    <w:rsid w:val="00DE6186"/>
    <w:rsid w:val="00DE799B"/>
    <w:rsid w:val="00DF1FF8"/>
    <w:rsid w:val="00DF437F"/>
    <w:rsid w:val="00E008A9"/>
    <w:rsid w:val="00E0137B"/>
    <w:rsid w:val="00E05F35"/>
    <w:rsid w:val="00E065DA"/>
    <w:rsid w:val="00E3164F"/>
    <w:rsid w:val="00E31D7D"/>
    <w:rsid w:val="00E437C5"/>
    <w:rsid w:val="00E6420B"/>
    <w:rsid w:val="00E72331"/>
    <w:rsid w:val="00E75DB0"/>
    <w:rsid w:val="00E80456"/>
    <w:rsid w:val="00E956F3"/>
    <w:rsid w:val="00EA6845"/>
    <w:rsid w:val="00EB0A71"/>
    <w:rsid w:val="00EB3BE9"/>
    <w:rsid w:val="00EC7EFD"/>
    <w:rsid w:val="00ED36D8"/>
    <w:rsid w:val="00ED57B1"/>
    <w:rsid w:val="00ED63AC"/>
    <w:rsid w:val="00EE6086"/>
    <w:rsid w:val="00EF1B64"/>
    <w:rsid w:val="00EF4071"/>
    <w:rsid w:val="00EF765F"/>
    <w:rsid w:val="00F01C5C"/>
    <w:rsid w:val="00F028DE"/>
    <w:rsid w:val="00F02E70"/>
    <w:rsid w:val="00F052A3"/>
    <w:rsid w:val="00F0585C"/>
    <w:rsid w:val="00F107B7"/>
    <w:rsid w:val="00F11F57"/>
    <w:rsid w:val="00F14BA8"/>
    <w:rsid w:val="00F15EF8"/>
    <w:rsid w:val="00F2154D"/>
    <w:rsid w:val="00F36E53"/>
    <w:rsid w:val="00F40C0E"/>
    <w:rsid w:val="00F4316C"/>
    <w:rsid w:val="00F46176"/>
    <w:rsid w:val="00F5149E"/>
    <w:rsid w:val="00F54D03"/>
    <w:rsid w:val="00F56A74"/>
    <w:rsid w:val="00F57AD9"/>
    <w:rsid w:val="00F832E5"/>
    <w:rsid w:val="00F870A3"/>
    <w:rsid w:val="00F91762"/>
    <w:rsid w:val="00F9405B"/>
    <w:rsid w:val="00FA0FE2"/>
    <w:rsid w:val="00FA34E8"/>
    <w:rsid w:val="00FA4D6B"/>
    <w:rsid w:val="00FA640B"/>
    <w:rsid w:val="00FA7D4E"/>
    <w:rsid w:val="00FC435E"/>
    <w:rsid w:val="00FD549D"/>
    <w:rsid w:val="00FD6374"/>
    <w:rsid w:val="00FE598A"/>
    <w:rsid w:val="00FF50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F25AC5"/>
  <w15:chartTrackingRefBased/>
  <w15:docId w15:val="{45809040-4492-458E-9758-E118080B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2">
    <w:name w:val="heading 2"/>
    <w:basedOn w:val="Normal"/>
    <w:next w:val="Normal"/>
    <w:link w:val="Heading2Char"/>
    <w:semiHidden/>
    <w:unhideWhenUsed/>
    <w:qFormat/>
    <w:rsid w:val="00B3072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styleId="UnresolvedMention">
    <w:name w:val="Unresolved Mention"/>
    <w:basedOn w:val="DefaultParagraphFont"/>
    <w:uiPriority w:val="99"/>
    <w:semiHidden/>
    <w:unhideWhenUsed/>
    <w:rsid w:val="00564E15"/>
    <w:rPr>
      <w:color w:val="605E5C"/>
      <w:shd w:val="clear" w:color="auto" w:fill="E1DFDD"/>
    </w:rPr>
  </w:style>
  <w:style w:type="character" w:customStyle="1" w:styleId="Heading2Char">
    <w:name w:val="Heading 2 Char"/>
    <w:basedOn w:val="DefaultParagraphFont"/>
    <w:link w:val="Heading2"/>
    <w:semiHidden/>
    <w:rsid w:val="00B30724"/>
    <w:rPr>
      <w:rFonts w:asciiTheme="majorHAnsi" w:eastAsiaTheme="majorEastAsia" w:hAnsiTheme="majorHAnsi" w:cstheme="majorBidi"/>
      <w:snapToGrid w:val="0"/>
      <w:color w:val="2F5496" w:themeColor="accent1" w:themeShade="BF"/>
      <w:sz w:val="26"/>
      <w:szCs w:val="26"/>
    </w:rPr>
  </w:style>
  <w:style w:type="paragraph" w:styleId="FootnoteText">
    <w:name w:val="footnote text"/>
    <w:basedOn w:val="Normal"/>
    <w:link w:val="FootnoteTextChar"/>
    <w:unhideWhenUsed/>
    <w:rsid w:val="00B30724"/>
    <w:pPr>
      <w:widowControl/>
    </w:pPr>
    <w:rPr>
      <w:rFonts w:ascii="Calibri" w:hAnsi="Calibri"/>
      <w:snapToGrid/>
      <w:lang w:bidi="en-US"/>
    </w:rPr>
  </w:style>
  <w:style w:type="character" w:customStyle="1" w:styleId="FootnoteTextChar">
    <w:name w:val="Footnote Text Char"/>
    <w:basedOn w:val="DefaultParagraphFont"/>
    <w:link w:val="FootnoteText"/>
    <w:rsid w:val="00B30724"/>
    <w:rPr>
      <w:rFonts w:ascii="Calibri" w:eastAsia="Times New Roman" w:hAnsi="Calibri"/>
      <w:sz w:val="24"/>
      <w:szCs w:val="24"/>
      <w:lang w:bidi="en-US"/>
    </w:rPr>
  </w:style>
  <w:style w:type="character" w:styleId="FootnoteReference">
    <w:name w:val="footnote reference"/>
    <w:basedOn w:val="DefaultParagraphFont"/>
    <w:unhideWhenUsed/>
    <w:rsid w:val="00B30724"/>
  </w:style>
  <w:style w:type="paragraph" w:customStyle="1" w:styleId="Default">
    <w:name w:val="Default"/>
    <w:rsid w:val="00F54D0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09AF2-DF5A-4ABE-B2CD-DEB21DF0D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2709</Words>
  <Characters>14739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5</cp:revision>
  <dcterms:created xsi:type="dcterms:W3CDTF">2024-07-08T19:24:00Z</dcterms:created>
  <dcterms:modified xsi:type="dcterms:W3CDTF">2024-07-08T19:48:00Z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-2132406838</vt:i4>
  </property>
  <property fmtid="{D5CDD505-2E9C-101B-9397-08002B2CF9AE}" pid="3" name="_AuthorEmail">
    <vt:lpwstr>Russell.Cohen@ssa.gov</vt:lpwstr>
  </property>
  <property fmtid="{D5CDD505-2E9C-101B-9397-08002B2CF9AE}" pid="4" name="_AuthorEmailDisplayName">
    <vt:lpwstr>Cohen, Russell   OGC</vt:lpwstr>
  </property>
  <property fmtid="{D5CDD505-2E9C-101B-9397-08002B2CF9AE}" pid="5" name="_EmailSubject">
    <vt:lpwstr>OMB Expiration Notice: 0960-0667 Filing Claims Under the Federal Tort Claims Act</vt:lpwstr>
  </property>
  <property fmtid="{D5CDD505-2E9C-101B-9397-08002B2CF9AE}" pid="6" name="_NewReviewCycle">
    <vt:lpwstr/>
  </property>
  <property fmtid="{D5CDD505-2E9C-101B-9397-08002B2CF9AE}" pid="7" name="_PreviousAdHocReviewCycleID">
    <vt:i4>524900188</vt:i4>
  </property>
  <property fmtid="{D5CDD505-2E9C-101B-9397-08002B2CF9AE}" pid="8" name="_ReviewingToolsShownOnce">
    <vt:lpwstr/>
  </property>
</Properties>
</file>