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1CA43CE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bookmarkStart w:id="0" w:name="_Hlk129333036"/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  <w:bookmarkEnd w:id="0"/>
    </w:p>
    <w:p w:rsidR="00E50293" w:rsidRPr="009239AA" w:rsidP="00434E33" w14:paraId="3AA98E99" w14:textId="72161F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80221">
        <w:t xml:space="preserve">Office of Planning, Research, and Evaluation HMRF Webinar </w:t>
      </w:r>
      <w:r w:rsidR="00AE79FB">
        <w:t>Satisfaction Polls</w:t>
      </w:r>
    </w:p>
    <w:p w:rsidR="005E714A" w14:paraId="15D04838" w14:textId="79376401"/>
    <w:p w:rsidR="00340E84" w14:paraId="5D046B21" w14:textId="77777777"/>
    <w:p w:rsidR="00C8488C" w:rsidRPr="00BA2BEC" w14:paraId="74BEB22F" w14:textId="2148B65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A2BEC" w:rsidR="00AE79FB">
        <w:t xml:space="preserve">OPRE is interested in understanding how program, policy, and research </w:t>
      </w:r>
      <w:r w:rsidRPr="00BA2BEC" w:rsidR="00AE79FB">
        <w:t>audiences</w:t>
      </w:r>
      <w:r w:rsidRPr="00BA2BEC" w:rsidR="00AE79FB">
        <w:t xml:space="preserve"> access, engage with, and use OPRE’s research findings and publications to inform their work. This </w:t>
      </w:r>
      <w:r w:rsidR="00BA2BEC">
        <w:t>poll</w:t>
      </w:r>
      <w:r w:rsidR="00AE79FB">
        <w:t xml:space="preserve"> will </w:t>
      </w:r>
      <w:r w:rsidR="00BA2BEC">
        <w:t>allow</w:t>
      </w:r>
      <w:r w:rsidRPr="00BA2BEC" w:rsidR="00AE79FB">
        <w:t xml:space="preserve"> OPRE to continue its efforts to make research more accessible and actionable for the Healthy Marriage and Responsible Fatherhood (HMRF) program and practitioner audience (HMRF federal staff and grant recipients). </w:t>
      </w:r>
    </w:p>
    <w:p w:rsidR="00656FA1" w14:paraId="7852EDC7" w14:textId="77777777">
      <w:pP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F15956" w14:paraId="52C69F66" w14:textId="080FCCC1">
      <w:r w:rsidRPr="002476B4">
        <w:t xml:space="preserve">The </w:t>
      </w:r>
      <w:r>
        <w:t>proposed poll questions</w:t>
      </w:r>
      <w:r w:rsidRPr="002476B4">
        <w:t xml:space="preserve"> </w:t>
      </w:r>
      <w:r>
        <w:t xml:space="preserve">would collect information </w:t>
      </w:r>
      <w:r w:rsidR="00793BCC">
        <w:t xml:space="preserve">related to customer satisfaction with webinars on HMRF research and evaluation. The goal of the questions is </w:t>
      </w:r>
      <w:r w:rsidRPr="002476B4">
        <w:t xml:space="preserve">to understand </w:t>
      </w:r>
      <w:r w:rsidR="001F0E4F">
        <w:t>w</w:t>
      </w:r>
      <w:r w:rsidR="00254994">
        <w:t>ebinar attendee satisfaction with the research presented</w:t>
      </w:r>
      <w:r w:rsidR="009A6A26">
        <w:t xml:space="preserve">, the ability to apply the research to their settings, and </w:t>
      </w:r>
      <w:r w:rsidR="00242333">
        <w:t xml:space="preserve">if </w:t>
      </w:r>
      <w:r w:rsidR="001F0E4F">
        <w:t>w</w:t>
      </w:r>
      <w:r w:rsidR="00242333">
        <w:t xml:space="preserve">ebinars are a preferred format for communication on research findings. Webinar poll </w:t>
      </w:r>
      <w:r w:rsidR="00635C66">
        <w:t>p</w:t>
      </w:r>
      <w:r w:rsidRPr="00B009F5" w:rsidR="00635C66">
        <w:t xml:space="preserve">articipation is </w:t>
      </w:r>
      <w:r w:rsidRPr="00B009F5" w:rsidR="00635C66">
        <w:t>voluntary</w:t>
      </w:r>
      <w:r w:rsidRPr="00B009F5" w:rsidR="00635C66">
        <w:t xml:space="preserve"> and all answers will be used for internal planning purposes.</w:t>
      </w:r>
      <w:r w:rsidR="00635C66">
        <w:t xml:space="preserve"> </w:t>
      </w:r>
      <w:r w:rsidR="00635C66">
        <w:rPr>
          <w:spacing w:val="2"/>
        </w:rPr>
        <w:t>The data collected and reported will be descriptive in natur</w:t>
      </w:r>
      <w:r w:rsidR="00242333">
        <w:rPr>
          <w:spacing w:val="2"/>
        </w:rPr>
        <w:t>e</w:t>
      </w:r>
      <w:r w:rsidR="00635C66">
        <w:rPr>
          <w:spacing w:val="2"/>
        </w:rPr>
        <w:t>.  The data will not be used to develop</w:t>
      </w:r>
      <w:r w:rsidR="00635C66">
        <w:t xml:space="preserve"> or publish f</w:t>
      </w:r>
      <w:r w:rsidR="00635C66">
        <w:rPr>
          <w:spacing w:val="1"/>
        </w:rPr>
        <w:t>o</w:t>
      </w:r>
      <w:r w:rsidR="00635C66">
        <w:t>rm</w:t>
      </w:r>
      <w:r w:rsidR="00635C66">
        <w:rPr>
          <w:spacing w:val="-1"/>
        </w:rPr>
        <w:t>a</w:t>
      </w:r>
      <w:r w:rsidR="00635C66">
        <w:t>l of</w:t>
      </w:r>
      <w:r w:rsidR="00635C66">
        <w:rPr>
          <w:spacing w:val="-1"/>
        </w:rPr>
        <w:t>f</w:t>
      </w:r>
      <w:r w:rsidR="00635C66">
        <w:t>ic</w:t>
      </w:r>
      <w:r w:rsidR="00635C66">
        <w:rPr>
          <w:spacing w:val="2"/>
        </w:rPr>
        <w:t>i</w:t>
      </w:r>
      <w:r w:rsidR="00635C66">
        <w:rPr>
          <w:spacing w:val="-1"/>
        </w:rPr>
        <w:t>a</w:t>
      </w:r>
      <w:r w:rsidR="00635C66">
        <w:t>l s</w:t>
      </w:r>
      <w:r w:rsidR="00635C66">
        <w:rPr>
          <w:spacing w:val="1"/>
        </w:rPr>
        <w:t>t</w:t>
      </w:r>
      <w:r w:rsidR="00635C66">
        <w:rPr>
          <w:spacing w:val="-1"/>
        </w:rPr>
        <w:t>a</w:t>
      </w:r>
      <w:r w:rsidR="00635C66">
        <w:t>t</w:t>
      </w:r>
      <w:r w:rsidR="00635C66">
        <w:rPr>
          <w:spacing w:val="1"/>
        </w:rPr>
        <w:t>i</w:t>
      </w:r>
      <w:r w:rsidR="00635C66">
        <w:t>st</w:t>
      </w:r>
      <w:r w:rsidR="00635C66">
        <w:rPr>
          <w:spacing w:val="1"/>
        </w:rPr>
        <w:t>i</w:t>
      </w:r>
      <w:r w:rsidR="00635C66">
        <w:rPr>
          <w:spacing w:val="-1"/>
        </w:rPr>
        <w:t>cs.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5C90F84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D2870">
        <w:t>Webinar attendees, consisting of HMRF grant recipients</w:t>
      </w:r>
      <w:r w:rsidR="009C2FBE">
        <w:t>, to include program directors, program staff, and local evaluators</w:t>
      </w:r>
      <w:r w:rsidR="00843CD0">
        <w:t>, as well as other family strengthening/social services practitioners, researchers, Federal staff, and consultants/contractors.</w:t>
      </w:r>
    </w:p>
    <w:p w:rsidR="00E26329" w:rsidP="00777961" w14:paraId="3EA850A4" w14:textId="79351EEE"/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D493D1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2F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777961" w14:paraId="5231B6DA" w14:textId="36EC30B2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777961">
        <w:rPr>
          <w:sz w:val="24"/>
          <w:szCs w:val="24"/>
        </w:rPr>
        <w:t>[</w:t>
      </w:r>
      <w:r w:rsidRPr="00777961" w:rsidR="00CF6542">
        <w:rPr>
          <w:sz w:val="24"/>
          <w:szCs w:val="24"/>
        </w:rPr>
        <w:t xml:space="preserve"> </w:t>
      </w:r>
      <w:r w:rsidRPr="00777961">
        <w:rPr>
          <w:sz w:val="24"/>
          <w:szCs w:val="24"/>
        </w:rPr>
        <w:t>]</w:t>
      </w:r>
      <w:r w:rsidRPr="00777961">
        <w:rPr>
          <w:sz w:val="24"/>
          <w:szCs w:val="24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  <w:r w:rsidRPr="00777961">
        <w:rPr>
          <w:sz w:val="24"/>
          <w:szCs w:val="24"/>
        </w:rPr>
        <w:t>[ ] Other:</w:t>
      </w:r>
      <w:r w:rsidRPr="00777961">
        <w:rPr>
          <w:sz w:val="24"/>
          <w:szCs w:val="24"/>
          <w:u w:val="single"/>
        </w:rPr>
        <w:t xml:space="preserve"> ______________________</w:t>
      </w:r>
      <w:r>
        <w:tab/>
      </w:r>
      <w: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0DB7A970">
      <w:r>
        <w:t>Name</w:t>
      </w:r>
      <w:r w:rsidR="00340E84">
        <w:t xml:space="preserve"> and affiliation</w:t>
      </w:r>
      <w:r>
        <w:t>:</w:t>
      </w:r>
      <w:r w:rsidR="007B40D7">
        <w:t xml:space="preserve"> Katie Pahigiannis, PhD, MPH, Team Lead for Healthy Marriage &amp; Responsible Fatherhood Research, DFS/OPRE/ACF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D5E85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9C2FBE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FB1CCA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C2FBE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9104F3D">
            <w:r>
              <w:t>Webinar poll data</w:t>
            </w:r>
          </w:p>
        </w:tc>
        <w:tc>
          <w:tcPr>
            <w:tcW w:w="2070" w:type="dxa"/>
          </w:tcPr>
          <w:p w:rsidR="00340E84" w:rsidP="00843796" w14:paraId="1568D5FE" w14:textId="7DC5B3F1">
            <w:r>
              <w:t>HMRF Webinar attendees</w:t>
            </w:r>
          </w:p>
        </w:tc>
        <w:tc>
          <w:tcPr>
            <w:tcW w:w="1890" w:type="dxa"/>
          </w:tcPr>
          <w:p w:rsidR="00340E84" w:rsidP="00843796" w14:paraId="71E63EBF" w14:textId="58A5E41D">
            <w:r>
              <w:t>1000</w:t>
            </w:r>
            <w:r w:rsidR="0045040E">
              <w:t xml:space="preserve"> [Approximately </w:t>
            </w:r>
            <w:r>
              <w:t>200</w:t>
            </w:r>
            <w:r w:rsidR="0045040E">
              <w:t xml:space="preserve"> per webinar for 5 upcoming webinars]</w:t>
            </w:r>
          </w:p>
        </w:tc>
        <w:tc>
          <w:tcPr>
            <w:tcW w:w="1710" w:type="dxa"/>
          </w:tcPr>
          <w:p w:rsidR="00340E84" w:rsidP="00843796" w14:paraId="593F10F4" w14:textId="6352AE4B">
            <w:r>
              <w:t xml:space="preserve">1 </w:t>
            </w:r>
            <w:r w:rsidR="00C21764">
              <w:t>response per respondent</w:t>
            </w:r>
          </w:p>
        </w:tc>
        <w:tc>
          <w:tcPr>
            <w:tcW w:w="1710" w:type="dxa"/>
          </w:tcPr>
          <w:p w:rsidR="00340E84" w:rsidP="00843796" w14:paraId="29021E8C" w14:textId="5C898514">
            <w:r>
              <w:t>2 minutes</w:t>
            </w:r>
            <w:r w:rsidR="007A0FA5">
              <w:t xml:space="preserve"> (.033 hours)</w:t>
            </w:r>
          </w:p>
        </w:tc>
        <w:tc>
          <w:tcPr>
            <w:tcW w:w="1003" w:type="dxa"/>
          </w:tcPr>
          <w:p w:rsidR="00340E84" w:rsidP="00843796" w14:paraId="515AAFC2" w14:textId="2E23997F">
            <w:r>
              <w:t>33.33</w:t>
            </w:r>
            <w:r w:rsidR="00AD7512">
              <w:t xml:space="preserve"> hours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843796" w14:paraId="4E11045B" w14:textId="77777777">
            <w:pPr>
              <w:rPr>
                <w:b/>
              </w:rPr>
            </w:pPr>
          </w:p>
        </w:tc>
      </w:tr>
    </w:tbl>
    <w:p w:rsidR="00F3170F" w:rsidP="00F3170F" w14:paraId="3CF8F186" w14:textId="77777777"/>
    <w:p w:rsidR="005E714A" w14:paraId="35567BF8" w14:textId="4FF9122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4906F9" w:rsidR="002E65C3">
        <w:t xml:space="preserve"> $2,000. The estimated cost to the government is related to the programming of the survey by an existing contractor, administrative monitoring of the survey results, and </w:t>
      </w:r>
      <w:r w:rsidRPr="004906F9" w:rsidR="004906F9">
        <w:t xml:space="preserve">analysis and </w:t>
      </w:r>
      <w:r w:rsidRPr="004906F9" w:rsidR="002E65C3">
        <w:t>reporting results internally to O</w:t>
      </w:r>
      <w:r w:rsidRPr="004906F9" w:rsidR="004906F9">
        <w:t>PRE</w:t>
      </w:r>
      <w:r w:rsidRPr="004906F9" w:rsidR="002E65C3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C6490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77893">
        <w:t>X</w:t>
      </w:r>
      <w:r>
        <w:t>] Yes</w:t>
      </w:r>
      <w:r>
        <w:tab/>
        <w:t>[]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4118D285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2120AD">
        <w:t xml:space="preserve"> </w:t>
      </w:r>
    </w:p>
    <w:p w:rsidR="002120AD" w:rsidP="001B0AAA" w14:paraId="6FD689D9" w14:textId="77777777"/>
    <w:p w:rsidR="00A403BB" w:rsidP="00A403BB" w14:paraId="794D6777" w14:textId="6F9AB48F">
      <w:bookmarkStart w:id="1" w:name="_Hlk129332677"/>
      <w:r>
        <w:t xml:space="preserve">The potential group of respondents </w:t>
      </w:r>
      <w:r w:rsidR="008957E4">
        <w:t>is dependent</w:t>
      </w:r>
      <w:r w:rsidR="00F52BA0">
        <w:t xml:space="preserve"> on </w:t>
      </w:r>
      <w:r w:rsidR="001F6973">
        <w:t xml:space="preserve">who joins each webinar. </w:t>
      </w:r>
      <w:r w:rsidR="00185821">
        <w:t>Depending upon purpose and target audience, w</w:t>
      </w:r>
      <w:r w:rsidR="001F6973">
        <w:t xml:space="preserve">ebinars </w:t>
      </w:r>
      <w:r w:rsidR="00185821">
        <w:t xml:space="preserve">may be </w:t>
      </w:r>
      <w:r w:rsidR="001F6973">
        <w:t xml:space="preserve">marketed to </w:t>
      </w:r>
      <w:r w:rsidRPr="0033405F" w:rsidR="001F6973">
        <w:t>multiple listservs including OPRE’s HMRF newsletter</w:t>
      </w:r>
      <w:r w:rsidRPr="0033405F" w:rsidR="001F0E4F">
        <w:t xml:space="preserve"> and</w:t>
      </w:r>
      <w:r w:rsidRPr="0033405F" w:rsidR="00EE51F0">
        <w:t xml:space="preserve"> </w:t>
      </w:r>
      <w:r w:rsidRPr="0033405F" w:rsidR="001F6973">
        <w:t xml:space="preserve">OFA’s list of </w:t>
      </w:r>
      <w:r w:rsidRPr="0033405F" w:rsidR="007A0271">
        <w:t xml:space="preserve">111 </w:t>
      </w:r>
      <w:r w:rsidRPr="0033405F" w:rsidR="001F6973">
        <w:t>HMRF grant recipients</w:t>
      </w:r>
      <w:r w:rsidR="00D017D3">
        <w:t xml:space="preserve"> (each grant recipient organization may have multiple staff members who attend)</w:t>
      </w:r>
      <w:r w:rsidRPr="0033405F" w:rsidR="001F6973">
        <w:t xml:space="preserve">, </w:t>
      </w:r>
      <w:r w:rsidRPr="0033405F" w:rsidR="001F0E4F">
        <w:t xml:space="preserve">and to </w:t>
      </w:r>
      <w:r w:rsidR="00D017D3">
        <w:t xml:space="preserve">approximately </w:t>
      </w:r>
      <w:r w:rsidRPr="0033405F" w:rsidR="007A0271">
        <w:t xml:space="preserve">26 </w:t>
      </w:r>
      <w:r w:rsidRPr="0033405F" w:rsidR="001F0E4F">
        <w:t xml:space="preserve">Federal </w:t>
      </w:r>
      <w:r w:rsidRPr="0033405F" w:rsidR="007A0271">
        <w:t xml:space="preserve">HMRF staff </w:t>
      </w:r>
      <w:r w:rsidRPr="0033405F" w:rsidR="001F0E4F">
        <w:t xml:space="preserve">and </w:t>
      </w:r>
      <w:r w:rsidR="00D017D3">
        <w:t xml:space="preserve">roughly 35 </w:t>
      </w:r>
      <w:r w:rsidRPr="0033405F" w:rsidR="001F0E4F">
        <w:t>contractor staff working on relevant projects</w:t>
      </w:r>
      <w:r w:rsidRPr="0033405F" w:rsidR="001F6973">
        <w:t>.</w:t>
      </w:r>
      <w:r w:rsidRPr="0033405F" w:rsidR="00F52BA0">
        <w:t xml:space="preserve"> </w:t>
      </w:r>
      <w:r w:rsidR="001F6973">
        <w:t xml:space="preserve"> </w:t>
      </w:r>
    </w:p>
    <w:bookmarkEnd w:id="1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84C5924">
      <w:pPr>
        <w:ind w:left="720"/>
      </w:pPr>
      <w:r>
        <w:t>[</w:t>
      </w:r>
      <w:r w:rsidR="00D00F3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5E04D5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D67D9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A0FA5" w:rsidP="007A0FA5" w14:paraId="66D211AF" w14:textId="0BE227BC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0119">
    <w:abstractNumId w:val="11"/>
  </w:num>
  <w:num w:numId="2" w16cid:durableId="1352804325">
    <w:abstractNumId w:val="17"/>
  </w:num>
  <w:num w:numId="3" w16cid:durableId="423766511">
    <w:abstractNumId w:val="16"/>
  </w:num>
  <w:num w:numId="4" w16cid:durableId="634288305">
    <w:abstractNumId w:val="18"/>
  </w:num>
  <w:num w:numId="5" w16cid:durableId="704060173">
    <w:abstractNumId w:val="3"/>
  </w:num>
  <w:num w:numId="6" w16cid:durableId="1652640667">
    <w:abstractNumId w:val="1"/>
  </w:num>
  <w:num w:numId="7" w16cid:durableId="1591542126">
    <w:abstractNumId w:val="9"/>
  </w:num>
  <w:num w:numId="8" w16cid:durableId="510802207">
    <w:abstractNumId w:val="14"/>
  </w:num>
  <w:num w:numId="9" w16cid:durableId="409154747">
    <w:abstractNumId w:val="10"/>
  </w:num>
  <w:num w:numId="10" w16cid:durableId="839123486">
    <w:abstractNumId w:val="2"/>
  </w:num>
  <w:num w:numId="11" w16cid:durableId="1961522757">
    <w:abstractNumId w:val="6"/>
  </w:num>
  <w:num w:numId="12" w16cid:durableId="779184302">
    <w:abstractNumId w:val="7"/>
  </w:num>
  <w:num w:numId="13" w16cid:durableId="935865958">
    <w:abstractNumId w:val="0"/>
  </w:num>
  <w:num w:numId="14" w16cid:durableId="628972137">
    <w:abstractNumId w:val="15"/>
  </w:num>
  <w:num w:numId="15" w16cid:durableId="2053571377">
    <w:abstractNumId w:val="13"/>
  </w:num>
  <w:num w:numId="16" w16cid:durableId="788165551">
    <w:abstractNumId w:val="12"/>
  </w:num>
  <w:num w:numId="17" w16cid:durableId="1563642197">
    <w:abstractNumId w:val="4"/>
  </w:num>
  <w:num w:numId="18" w16cid:durableId="1560096565">
    <w:abstractNumId w:val="5"/>
  </w:num>
  <w:num w:numId="19" w16cid:durableId="1364794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7AE4"/>
    <w:rsid w:val="00047A64"/>
    <w:rsid w:val="0006090A"/>
    <w:rsid w:val="00067329"/>
    <w:rsid w:val="000B2838"/>
    <w:rsid w:val="000D44CA"/>
    <w:rsid w:val="000E200B"/>
    <w:rsid w:val="000E3038"/>
    <w:rsid w:val="000F68BE"/>
    <w:rsid w:val="00120E0C"/>
    <w:rsid w:val="00152787"/>
    <w:rsid w:val="00185821"/>
    <w:rsid w:val="001927A4"/>
    <w:rsid w:val="00194AC6"/>
    <w:rsid w:val="001A23B0"/>
    <w:rsid w:val="001A25CC"/>
    <w:rsid w:val="001B0AAA"/>
    <w:rsid w:val="001C39F7"/>
    <w:rsid w:val="001D0B24"/>
    <w:rsid w:val="001D2870"/>
    <w:rsid w:val="001D2A62"/>
    <w:rsid w:val="001F0E4F"/>
    <w:rsid w:val="001F6973"/>
    <w:rsid w:val="002120AD"/>
    <w:rsid w:val="00237B48"/>
    <w:rsid w:val="00242333"/>
    <w:rsid w:val="0024521E"/>
    <w:rsid w:val="002476B4"/>
    <w:rsid w:val="00254994"/>
    <w:rsid w:val="00263C3D"/>
    <w:rsid w:val="00274D0B"/>
    <w:rsid w:val="002A274A"/>
    <w:rsid w:val="002B052D"/>
    <w:rsid w:val="002B34CD"/>
    <w:rsid w:val="002B3C95"/>
    <w:rsid w:val="002D0B92"/>
    <w:rsid w:val="002E65C3"/>
    <w:rsid w:val="002E7265"/>
    <w:rsid w:val="0033405F"/>
    <w:rsid w:val="00340E84"/>
    <w:rsid w:val="00395053"/>
    <w:rsid w:val="003C177D"/>
    <w:rsid w:val="003D137A"/>
    <w:rsid w:val="003D5BBE"/>
    <w:rsid w:val="003E3C61"/>
    <w:rsid w:val="003F1C5B"/>
    <w:rsid w:val="004154E9"/>
    <w:rsid w:val="00415D6F"/>
    <w:rsid w:val="0043236B"/>
    <w:rsid w:val="00434E33"/>
    <w:rsid w:val="00441434"/>
    <w:rsid w:val="0045040E"/>
    <w:rsid w:val="0045264C"/>
    <w:rsid w:val="00477893"/>
    <w:rsid w:val="004876EC"/>
    <w:rsid w:val="004906F9"/>
    <w:rsid w:val="004B237F"/>
    <w:rsid w:val="004D1E62"/>
    <w:rsid w:val="004D46E9"/>
    <w:rsid w:val="004D6E14"/>
    <w:rsid w:val="005009B0"/>
    <w:rsid w:val="00547A10"/>
    <w:rsid w:val="00564D08"/>
    <w:rsid w:val="00572544"/>
    <w:rsid w:val="005A1006"/>
    <w:rsid w:val="005E714A"/>
    <w:rsid w:val="005F04D1"/>
    <w:rsid w:val="005F693D"/>
    <w:rsid w:val="006140A0"/>
    <w:rsid w:val="00635C66"/>
    <w:rsid w:val="00636621"/>
    <w:rsid w:val="0064064F"/>
    <w:rsid w:val="00642B49"/>
    <w:rsid w:val="00656FA1"/>
    <w:rsid w:val="00680221"/>
    <w:rsid w:val="006832D9"/>
    <w:rsid w:val="00691AE3"/>
    <w:rsid w:val="0069403B"/>
    <w:rsid w:val="006F10CA"/>
    <w:rsid w:val="006F3DDE"/>
    <w:rsid w:val="00704678"/>
    <w:rsid w:val="007425E7"/>
    <w:rsid w:val="007510E0"/>
    <w:rsid w:val="00776D87"/>
    <w:rsid w:val="00777961"/>
    <w:rsid w:val="007911A8"/>
    <w:rsid w:val="00793BCC"/>
    <w:rsid w:val="007A0271"/>
    <w:rsid w:val="007A0FA5"/>
    <w:rsid w:val="007A34C4"/>
    <w:rsid w:val="007B40D7"/>
    <w:rsid w:val="007F7080"/>
    <w:rsid w:val="00802607"/>
    <w:rsid w:val="00804B22"/>
    <w:rsid w:val="008101A5"/>
    <w:rsid w:val="008104FF"/>
    <w:rsid w:val="00822664"/>
    <w:rsid w:val="00830827"/>
    <w:rsid w:val="00843796"/>
    <w:rsid w:val="00843CD0"/>
    <w:rsid w:val="00860DDD"/>
    <w:rsid w:val="00895229"/>
    <w:rsid w:val="008957E4"/>
    <w:rsid w:val="008B2EB3"/>
    <w:rsid w:val="008F0203"/>
    <w:rsid w:val="008F50D4"/>
    <w:rsid w:val="00901751"/>
    <w:rsid w:val="009220AB"/>
    <w:rsid w:val="009239AA"/>
    <w:rsid w:val="00935ADA"/>
    <w:rsid w:val="00946B6C"/>
    <w:rsid w:val="00955A71"/>
    <w:rsid w:val="0096108F"/>
    <w:rsid w:val="00976F2C"/>
    <w:rsid w:val="009A6A26"/>
    <w:rsid w:val="009C13B9"/>
    <w:rsid w:val="009C2FBE"/>
    <w:rsid w:val="009C6DE3"/>
    <w:rsid w:val="009D01A2"/>
    <w:rsid w:val="009F5923"/>
    <w:rsid w:val="00A403BB"/>
    <w:rsid w:val="00A4421F"/>
    <w:rsid w:val="00A674DF"/>
    <w:rsid w:val="00A83AA6"/>
    <w:rsid w:val="00A86108"/>
    <w:rsid w:val="00A934D6"/>
    <w:rsid w:val="00AD7512"/>
    <w:rsid w:val="00AE1809"/>
    <w:rsid w:val="00AE3D1F"/>
    <w:rsid w:val="00AE79FB"/>
    <w:rsid w:val="00B009F5"/>
    <w:rsid w:val="00B20688"/>
    <w:rsid w:val="00B80D76"/>
    <w:rsid w:val="00BA2105"/>
    <w:rsid w:val="00BA2BEC"/>
    <w:rsid w:val="00BA7E06"/>
    <w:rsid w:val="00BB3BFD"/>
    <w:rsid w:val="00BB43B5"/>
    <w:rsid w:val="00BB6219"/>
    <w:rsid w:val="00BD290F"/>
    <w:rsid w:val="00BD67D9"/>
    <w:rsid w:val="00BD7E4C"/>
    <w:rsid w:val="00C13193"/>
    <w:rsid w:val="00C14CC4"/>
    <w:rsid w:val="00C21764"/>
    <w:rsid w:val="00C33C52"/>
    <w:rsid w:val="00C40D8B"/>
    <w:rsid w:val="00C44C43"/>
    <w:rsid w:val="00C47787"/>
    <w:rsid w:val="00C8407A"/>
    <w:rsid w:val="00C8488C"/>
    <w:rsid w:val="00C86E91"/>
    <w:rsid w:val="00CA2650"/>
    <w:rsid w:val="00CB1078"/>
    <w:rsid w:val="00CC6FAF"/>
    <w:rsid w:val="00CE5BCE"/>
    <w:rsid w:val="00CF6542"/>
    <w:rsid w:val="00D00F38"/>
    <w:rsid w:val="00D017D3"/>
    <w:rsid w:val="00D24698"/>
    <w:rsid w:val="00D6383F"/>
    <w:rsid w:val="00DB59D0"/>
    <w:rsid w:val="00DC33D3"/>
    <w:rsid w:val="00DE227A"/>
    <w:rsid w:val="00DE4A4C"/>
    <w:rsid w:val="00E26329"/>
    <w:rsid w:val="00E265D3"/>
    <w:rsid w:val="00E40B50"/>
    <w:rsid w:val="00E43ADF"/>
    <w:rsid w:val="00E50293"/>
    <w:rsid w:val="00E65FFC"/>
    <w:rsid w:val="00E744EA"/>
    <w:rsid w:val="00E80951"/>
    <w:rsid w:val="00E81691"/>
    <w:rsid w:val="00E854FE"/>
    <w:rsid w:val="00E86CC6"/>
    <w:rsid w:val="00EA422B"/>
    <w:rsid w:val="00EA753E"/>
    <w:rsid w:val="00EB56B3"/>
    <w:rsid w:val="00ED0CD8"/>
    <w:rsid w:val="00ED6492"/>
    <w:rsid w:val="00EE51F0"/>
    <w:rsid w:val="00EF2095"/>
    <w:rsid w:val="00F03142"/>
    <w:rsid w:val="00F06866"/>
    <w:rsid w:val="00F15956"/>
    <w:rsid w:val="00F16B38"/>
    <w:rsid w:val="00F24CFC"/>
    <w:rsid w:val="00F2736A"/>
    <w:rsid w:val="00F3170F"/>
    <w:rsid w:val="00F52BA0"/>
    <w:rsid w:val="00F77EE9"/>
    <w:rsid w:val="00F83A28"/>
    <w:rsid w:val="00F976B0"/>
    <w:rsid w:val="00FA6DE7"/>
    <w:rsid w:val="00FA79EB"/>
    <w:rsid w:val="00FC0A8E"/>
    <w:rsid w:val="00FD2495"/>
    <w:rsid w:val="00FE2FA6"/>
    <w:rsid w:val="00FE3DF2"/>
    <w:rsid w:val="00FF156C"/>
    <w:rsid w:val="0BEC538E"/>
    <w:rsid w:val="0D8823EF"/>
    <w:rsid w:val="149721AF"/>
    <w:rsid w:val="33963354"/>
    <w:rsid w:val="3AD34A2F"/>
    <w:rsid w:val="3E9CD8B1"/>
    <w:rsid w:val="5D1C150D"/>
    <w:rsid w:val="73E5E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5A90F596-399D-4759-8243-30C2253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FB"/>
  </w:style>
  <w:style w:type="character" w:customStyle="1" w:styleId="eop">
    <w:name w:val="eop"/>
    <w:basedOn w:val="DefaultParagraphFont"/>
    <w:rsid w:val="00AE79FB"/>
  </w:style>
  <w:style w:type="character" w:customStyle="1" w:styleId="HeaderChar">
    <w:name w:val="Header Char"/>
    <w:basedOn w:val="DefaultParagraphFont"/>
    <w:link w:val="Header"/>
    <w:rsid w:val="00635C66"/>
    <w:rPr>
      <w:snapToGrid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E30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4064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F0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C38AB11D2842AE932EAB92C8B7DC" ma:contentTypeVersion="2" ma:contentTypeDescription="Create a new document." ma:contentTypeScope="" ma:versionID="e6a16dcf3f4517173fd8e9109b03c5f3">
  <xsd:schema xmlns:xsd="http://www.w3.org/2001/XMLSchema" xmlns:xs="http://www.w3.org/2001/XMLSchema" xmlns:p="http://schemas.microsoft.com/office/2006/metadata/properties" xmlns:ns2="33ddb2b4-eec1-463e-95cb-a53c7db93d92" targetNamespace="http://schemas.microsoft.com/office/2006/metadata/properties" ma:root="true" ma:fieldsID="db94656dd64b062c0a65eeb3c89c2ddd" ns2:_="">
    <xsd:import namespace="33ddb2b4-eec1-463e-95cb-a53c7db9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db2b4-eec1-463e-95cb-a53c7db93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B00481-F61A-43BE-AF6A-589098526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db2b4-eec1-463e-95cb-a53c7db9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781</Words>
  <Characters>4365</Characters>
  <Application>Microsoft Office Word</Application>
  <DocSecurity>0</DocSecurity>
  <Lines>36</Lines>
  <Paragraphs>10</Paragraphs>
  <ScaleCrop>false</ScaleCrop>
  <Company>ssa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Mcdowell, Andrew (ACF) (CTR)</cp:lastModifiedBy>
  <cp:revision>3</cp:revision>
  <cp:lastPrinted>2010-10-04T18:59:00Z</cp:lastPrinted>
  <dcterms:created xsi:type="dcterms:W3CDTF">2023-03-10T14:32:00Z</dcterms:created>
  <dcterms:modified xsi:type="dcterms:W3CDTF">2023-03-10T19:06:00Z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0x0101001451C38AB11D2842AE932EAB92C8B7DC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