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0066E4C8" w14:textId="6E1D8A39">
      <w:pPr>
        <w:pStyle w:val="Heading2"/>
        <w:tabs>
          <w:tab w:val="left" w:pos="900"/>
        </w:tabs>
        <w:ind w:right="-180"/>
      </w:pPr>
      <w:r w:rsidRPr="654E7AA2">
        <w:rPr>
          <w:sz w:val="28"/>
          <w:szCs w:val="28"/>
        </w:rPr>
        <w:t xml:space="preserve">Request for Approval under the “Generic Clearance for the Collection </w:t>
      </w:r>
      <w:r w:rsidRPr="654E7AA2" w:rsidR="0000217A">
        <w:rPr>
          <w:sz w:val="28"/>
          <w:szCs w:val="28"/>
        </w:rPr>
        <w:t>of Customer</w:t>
      </w:r>
      <w:r w:rsidRPr="654E7AA2">
        <w:rPr>
          <w:sz w:val="28"/>
          <w:szCs w:val="28"/>
        </w:rPr>
        <w:t xml:space="preserve"> Feedback” (OMB Control Number: </w:t>
      </w:r>
      <w:r w:rsidRPr="654E7AA2" w:rsidR="00C25899">
        <w:rPr>
          <w:sz w:val="28"/>
          <w:szCs w:val="28"/>
        </w:rPr>
        <w:t>0970-0401</w:t>
      </w:r>
      <w:r w:rsidRPr="654E7AA2" w:rsidR="005F2862">
        <w:rPr>
          <w:sz w:val="28"/>
          <w:szCs w:val="28"/>
        </w:rPr>
        <w:t>)</w:t>
      </w:r>
    </w:p>
    <w:p w:rsidR="00E50293" w:rsidRPr="009239AA" w:rsidP="73B47B9A" w14:paraId="6039C8C7" w14:textId="602E9A41">
      <w:pPr>
        <w:rPr>
          <w:b/>
          <w:bCs/>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E271B80" w:rsidR="476368D6">
        <w:rPr>
          <w:b/>
          <w:bCs/>
        </w:rPr>
        <w:t>TITLE OF INFORMATION COLLECTION:</w:t>
      </w:r>
      <w:r w:rsidR="476368D6">
        <w:t xml:space="preserve"> </w:t>
      </w:r>
      <w:r w:rsidR="0011257A">
        <w:t xml:space="preserve"> </w:t>
      </w:r>
      <w:r w:rsidR="7FC6CB6A">
        <w:t xml:space="preserve">Adolescent Development Products </w:t>
      </w:r>
      <w:r w:rsidR="00AC5830">
        <w:t xml:space="preserve">Feedback Survey </w:t>
      </w:r>
      <w:r w:rsidR="7FC6CB6A">
        <w:t xml:space="preserve">and </w:t>
      </w:r>
      <w:r w:rsidRPr="73B47B9A" w:rsidR="7FC6CB6A">
        <w:rPr>
          <w:i/>
          <w:iCs/>
        </w:rPr>
        <w:t>We Think Twice</w:t>
      </w:r>
      <w:r w:rsidR="6189BA58">
        <w:t xml:space="preserve"> Digital </w:t>
      </w:r>
      <w:r w:rsidR="25D5369C">
        <w:t xml:space="preserve">Media </w:t>
      </w:r>
      <w:r w:rsidR="7FC6CB6A">
        <w:t>Campaign</w:t>
      </w:r>
    </w:p>
    <w:p w:rsidR="005E714A" w14:paraId="6A2B40B5" w14:textId="5BD108A0">
      <w:pPr>
        <w:rPr>
          <w:b/>
        </w:rPr>
      </w:pPr>
    </w:p>
    <w:p w:rsidR="00C8488C" w:rsidRPr="003E4D8C" w:rsidP="00672E74" w14:paraId="38F9D6CD" w14:textId="3BD8BED5">
      <w:r>
        <w:rPr>
          <w:b/>
        </w:rPr>
        <w:t>PURPOSE</w:t>
      </w:r>
      <w:r w:rsidRPr="009239AA">
        <w:rPr>
          <w:b/>
        </w:rPr>
        <w:t>:</w:t>
      </w:r>
      <w:r w:rsidRPr="009239AA" w:rsidR="00C14CC4">
        <w:rPr>
          <w:b/>
        </w:rPr>
        <w:t xml:space="preserve">  </w:t>
      </w:r>
      <w:r w:rsidRPr="654E7AA2" w:rsidR="005F2862">
        <w:t xml:space="preserve">The </w:t>
      </w:r>
      <w:r w:rsidR="00AC5830">
        <w:t xml:space="preserve">Family and Youth Services Bureau </w:t>
      </w:r>
      <w:r w:rsidR="00E66B21">
        <w:t xml:space="preserve">has the </w:t>
      </w:r>
      <w:r w:rsidRPr="00672E74" w:rsidR="00E66B21">
        <w:rPr>
          <w:i/>
          <w:iCs/>
        </w:rPr>
        <w:t>We Think Twice</w:t>
      </w:r>
      <w:r w:rsidR="00E66B21">
        <w:t xml:space="preserve"> social media campaign.  The </w:t>
      </w:r>
      <w:r w:rsidRPr="654E7AA2" w:rsidR="005F2862">
        <w:t xml:space="preserve">purpose of the </w:t>
      </w:r>
      <w:r w:rsidR="00E66B21">
        <w:t xml:space="preserve">media campaign </w:t>
      </w:r>
      <w:r w:rsidRPr="654E7AA2" w:rsidR="005F2862">
        <w:t xml:space="preserve">planned activities is to </w:t>
      </w:r>
      <w:r w:rsidRPr="654E7AA2" w:rsidR="72A84365">
        <w:t xml:space="preserve">gather feedback </w:t>
      </w:r>
      <w:r w:rsidR="005B352A">
        <w:t xml:space="preserve">on </w:t>
      </w:r>
      <w:r w:rsidRPr="654E7AA2" w:rsidR="005F2862">
        <w:t>proposed products</w:t>
      </w:r>
      <w:r w:rsidRPr="654E7AA2" w:rsidR="00636173">
        <w:t>, messag</w:t>
      </w:r>
      <w:r w:rsidRPr="654E7AA2" w:rsidR="00234B24">
        <w:t>es</w:t>
      </w:r>
      <w:r w:rsidRPr="654E7AA2" w:rsidR="00636173">
        <w:t>,</w:t>
      </w:r>
      <w:r w:rsidRPr="654E7AA2" w:rsidR="005F2862">
        <w:t xml:space="preserve"> and concepts</w:t>
      </w:r>
      <w:r w:rsidR="005B352A">
        <w:t xml:space="preserve"> </w:t>
      </w:r>
      <w:r w:rsidRPr="654E7AA2" w:rsidR="005F2862">
        <w:t>to inform a creative campaign</w:t>
      </w:r>
      <w:r w:rsidR="005B352A">
        <w:t xml:space="preserve"> </w:t>
      </w:r>
      <w:r w:rsidR="00972D57">
        <w:t xml:space="preserve">focused on </w:t>
      </w:r>
      <w:r w:rsidR="0037157D">
        <w:t xml:space="preserve">promoting positive youth development, avoiding risky behaviors, setting goals, </w:t>
      </w:r>
      <w:r w:rsidRPr="2BC051C3" w:rsidR="001D466C">
        <w:t>and</w:t>
      </w:r>
      <w:r w:rsidRPr="2BC051C3" w:rsidR="0037157D">
        <w:t xml:space="preserve"> </w:t>
      </w:r>
      <w:r w:rsidR="0037157D">
        <w:t>engaging in healthy relationships</w:t>
      </w:r>
      <w:r w:rsidRPr="2BC051C3" w:rsidR="001D466C">
        <w:t xml:space="preserve"> as well as</w:t>
      </w:r>
      <w:r w:rsidR="0037157D">
        <w:t xml:space="preserve"> </w:t>
      </w:r>
      <w:r w:rsidR="00DD2173">
        <w:t xml:space="preserve">other related topics. The work </w:t>
      </w:r>
      <w:r w:rsidRPr="654E7AA2" w:rsidR="005F2862">
        <w:t xml:space="preserve">conducted under this generic </w:t>
      </w:r>
      <w:r w:rsidR="000A46A1">
        <w:t xml:space="preserve">clearance </w:t>
      </w:r>
      <w:r w:rsidRPr="654E7AA2" w:rsidR="005F2862">
        <w:t xml:space="preserve">will be used to inform the development of youth materials and messages. </w:t>
      </w:r>
    </w:p>
    <w:p w:rsidR="005F2862" w:rsidRPr="003E4D8C" w:rsidP="005F2862" w14:paraId="63B23BC8" w14:textId="77777777">
      <w:pPr>
        <w:pStyle w:val="BodyText"/>
        <w:rPr>
          <w:i w:val="0"/>
          <w:sz w:val="24"/>
          <w:szCs w:val="24"/>
        </w:rPr>
      </w:pPr>
    </w:p>
    <w:p w:rsidR="00D40483" w:rsidP="005F2862" w14:paraId="47AC422B" w14:textId="6BB986E9">
      <w:pPr>
        <w:pStyle w:val="Header"/>
      </w:pPr>
      <w:r>
        <w:t xml:space="preserve">The contractor </w:t>
      </w:r>
      <w:r w:rsidR="009F02EB">
        <w:t xml:space="preserve">(RTI International) </w:t>
      </w:r>
      <w:r>
        <w:t xml:space="preserve">will conduct all </w:t>
      </w:r>
      <w:r w:rsidR="00490D70">
        <w:t>feedback and information</w:t>
      </w:r>
      <w:r w:rsidR="001A39F0">
        <w:t xml:space="preserve"> gathering</w:t>
      </w:r>
      <w:r w:rsidR="00490D70">
        <w:t xml:space="preserve"> </w:t>
      </w:r>
      <w:r>
        <w:t xml:space="preserve">related to the proposed approach. </w:t>
      </w:r>
      <w:r w:rsidR="00490D70">
        <w:t xml:space="preserve">Participating youth will be </w:t>
      </w:r>
      <w:r>
        <w:t>scree</w:t>
      </w:r>
      <w:r w:rsidR="00490D70">
        <w:t>ned</w:t>
      </w:r>
      <w:r>
        <w:t xml:space="preserve"> to facilitate recruitment of participants</w:t>
      </w:r>
      <w:r w:rsidR="00CA391F">
        <w:t>, who we call “Insiders</w:t>
      </w:r>
      <w:r w:rsidR="001D466C">
        <w:t>,</w:t>
      </w:r>
      <w:r w:rsidR="00CA391F">
        <w:t>”</w:t>
      </w:r>
      <w:r>
        <w:t xml:space="preserve"> into the </w:t>
      </w:r>
      <w:r w:rsidR="00573F8D">
        <w:t>voluntary platform</w:t>
      </w:r>
      <w:r w:rsidR="009650AB">
        <w:t xml:space="preserve">. </w:t>
      </w:r>
    </w:p>
    <w:p w:rsidR="00C8488C" w:rsidP="73872192" w14:paraId="367355A5" w14:textId="77777777">
      <w:pPr>
        <w:pStyle w:val="Header"/>
        <w:tabs>
          <w:tab w:val="clear" w:pos="4320"/>
          <w:tab w:val="clear" w:pos="8640"/>
        </w:tabs>
        <w:rPr>
          <w:b/>
          <w:bCs/>
        </w:rPr>
      </w:pPr>
    </w:p>
    <w:p w:rsidR="00434E33" w:rsidRPr="00434E33" w:rsidP="00434E33" w14:paraId="01A9759C" w14:textId="77777777">
      <w:pPr>
        <w:pStyle w:val="Header"/>
        <w:tabs>
          <w:tab w:val="clear" w:pos="4320"/>
          <w:tab w:val="clear" w:pos="8640"/>
        </w:tabs>
        <w:rPr>
          <w:i/>
          <w:snapToGrid/>
        </w:rPr>
      </w:pPr>
      <w:r w:rsidRPr="00434E33">
        <w:rPr>
          <w:b/>
        </w:rPr>
        <w:t>DESCRIPTION OF RESPONDENTS</w:t>
      </w:r>
      <w:r>
        <w:t xml:space="preserve">: </w:t>
      </w:r>
    </w:p>
    <w:p w:rsidR="00F15956" w14:paraId="5D118CE7" w14:textId="77777777"/>
    <w:p w:rsidR="00C8488C" w:rsidRPr="003E4D8C" w:rsidP="00672E74" w14:paraId="055772B5" w14:textId="46363B2E">
      <w:pPr>
        <w:pStyle w:val="Header"/>
        <w:tabs>
          <w:tab w:val="clear" w:pos="4320"/>
          <w:tab w:val="clear" w:pos="8640"/>
        </w:tabs>
      </w:pPr>
      <w:r w:rsidRPr="003E4D8C">
        <w:t xml:space="preserve">Respondents include diverse groups of youth and young adults aged </w:t>
      </w:r>
      <w:r w:rsidR="009650AB">
        <w:t>13</w:t>
      </w:r>
      <w:r w:rsidRPr="003E4D8C">
        <w:t>–</w:t>
      </w:r>
      <w:r w:rsidR="009650AB">
        <w:t>21</w:t>
      </w:r>
      <w:r w:rsidRPr="003E4D8C">
        <w:t xml:space="preserve"> years old from different regions around the U.S., with targeted recruitment of high-risk youth to </w:t>
      </w:r>
      <w:r w:rsidR="00D92FDA">
        <w:t>help ensure a wide range of youth</w:t>
      </w:r>
      <w:r w:rsidRPr="003E4D8C">
        <w:t xml:space="preserve"> voices are heard</w:t>
      </w:r>
      <w:r w:rsidR="00D92FDA">
        <w:t xml:space="preserve">. </w:t>
      </w:r>
    </w:p>
    <w:p w:rsidR="00E26329" w14:paraId="06D84134" w14:textId="77777777">
      <w:pPr>
        <w:rPr>
          <w:b/>
        </w:rPr>
      </w:pPr>
    </w:p>
    <w:p w:rsidR="00F06866" w:rsidRPr="00F06866" w14:paraId="314A2B41" w14:textId="77777777">
      <w:pPr>
        <w:rPr>
          <w:b/>
        </w:rPr>
      </w:pPr>
      <w:r>
        <w:rPr>
          <w:b/>
        </w:rPr>
        <w:t>TYPE OF COLLECTION:</w:t>
      </w:r>
      <w:r w:rsidRPr="00F06866">
        <w:t xml:space="preserve"> (Check one)</w:t>
      </w:r>
    </w:p>
    <w:p w:rsidR="00441434" w:rsidRPr="00434E33" w:rsidP="0096108F" w14:paraId="056A1B68" w14:textId="77777777">
      <w:pPr>
        <w:pStyle w:val="BodyTextIndent"/>
        <w:tabs>
          <w:tab w:val="left" w:pos="360"/>
        </w:tabs>
        <w:ind w:left="0"/>
        <w:rPr>
          <w:bCs/>
          <w:sz w:val="16"/>
          <w:szCs w:val="16"/>
        </w:rPr>
      </w:pPr>
    </w:p>
    <w:p w:rsidR="00F06866" w:rsidRPr="00F06866" w:rsidP="0096108F" w14:paraId="52AA2080"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63AD9F6C"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16C9D2AC" w14:textId="29891F51">
      <w:pPr>
        <w:pStyle w:val="BodyTextIndent"/>
        <w:tabs>
          <w:tab w:val="left" w:pos="360"/>
        </w:tabs>
        <w:ind w:left="0"/>
        <w:rPr>
          <w:bCs/>
          <w:sz w:val="24"/>
        </w:rPr>
      </w:pPr>
      <w:r>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sidR="0064759D">
        <w:rPr>
          <w:bCs/>
          <w:sz w:val="24"/>
        </w:rPr>
        <w:t>X</w:t>
      </w:r>
      <w:r w:rsidRPr="00F06866">
        <w:rPr>
          <w:bCs/>
          <w:sz w:val="24"/>
        </w:rPr>
        <w:t>]</w:t>
      </w:r>
      <w:r>
        <w:rPr>
          <w:bCs/>
          <w:sz w:val="24"/>
        </w:rPr>
        <w:t xml:space="preserve"> Other:</w:t>
      </w:r>
      <w:r w:rsidR="0064759D">
        <w:rPr>
          <w:bCs/>
          <w:sz w:val="24"/>
          <w:u w:val="single"/>
        </w:rPr>
        <w:t xml:space="preserve"> </w:t>
      </w:r>
      <w:r w:rsidR="001975DE">
        <w:rPr>
          <w:bCs/>
          <w:sz w:val="24"/>
          <w:u w:val="single"/>
        </w:rPr>
        <w:t>Remote</w:t>
      </w:r>
      <w:r w:rsidR="0064759D">
        <w:rPr>
          <w:bCs/>
          <w:sz w:val="24"/>
          <w:u w:val="single"/>
        </w:rPr>
        <w:t xml:space="preserve"> product/</w:t>
      </w:r>
      <w:r w:rsidR="00234B24">
        <w:rPr>
          <w:bCs/>
          <w:sz w:val="24"/>
          <w:u w:val="single"/>
        </w:rPr>
        <w:t>message</w:t>
      </w:r>
      <w:r w:rsidR="0064759D">
        <w:rPr>
          <w:bCs/>
          <w:sz w:val="24"/>
          <w:u w:val="single"/>
        </w:rPr>
        <w:t xml:space="preserve"> testing</w:t>
      </w:r>
    </w:p>
    <w:p w:rsidR="00434E33" w14:paraId="57A3BB31" w14:textId="77777777">
      <w:pPr>
        <w:pStyle w:val="Header"/>
        <w:tabs>
          <w:tab w:val="clear" w:pos="4320"/>
          <w:tab w:val="clear" w:pos="8640"/>
        </w:tabs>
      </w:pPr>
    </w:p>
    <w:p w:rsidR="00CA2650" w14:paraId="3F51352C" w14:textId="77777777">
      <w:pPr>
        <w:rPr>
          <w:b/>
        </w:rPr>
      </w:pPr>
      <w:r>
        <w:rPr>
          <w:b/>
        </w:rPr>
        <w:t>C</w:t>
      </w:r>
      <w:r w:rsidR="009C13B9">
        <w:rPr>
          <w:b/>
        </w:rPr>
        <w:t>ERTIFICATION:</w:t>
      </w:r>
    </w:p>
    <w:p w:rsidR="00441434" w14:paraId="2971A1D1" w14:textId="77777777">
      <w:pPr>
        <w:rPr>
          <w:sz w:val="16"/>
          <w:szCs w:val="16"/>
        </w:rPr>
      </w:pPr>
    </w:p>
    <w:p w:rsidR="008101A5" w:rsidRPr="009C13B9" w:rsidP="008101A5" w14:paraId="075997AF" w14:textId="77777777">
      <w:r>
        <w:t xml:space="preserve">I certify the following to be true: </w:t>
      </w:r>
    </w:p>
    <w:p w:rsidR="008101A5" w:rsidP="008101A5" w14:paraId="131CD65D" w14:textId="77777777">
      <w:pPr>
        <w:pStyle w:val="ListParagraph"/>
        <w:numPr>
          <w:ilvl w:val="0"/>
          <w:numId w:val="14"/>
        </w:numPr>
      </w:pPr>
      <w:r>
        <w:t>The collection is voluntary.</w:t>
      </w:r>
      <w:r w:rsidRPr="00C14CC4">
        <w:t xml:space="preserve"> </w:t>
      </w:r>
    </w:p>
    <w:p w:rsidR="008101A5" w:rsidP="008101A5" w14:paraId="545873B1"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605B3932" w14:textId="0010B447">
      <w:pPr>
        <w:pStyle w:val="ListParagraph"/>
        <w:numPr>
          <w:ilvl w:val="0"/>
          <w:numId w:val="14"/>
        </w:numPr>
      </w:pPr>
      <w:r>
        <w:t xml:space="preserve">The collection is non-controversial and does </w:t>
      </w:r>
      <w:r w:rsidRPr="73B47B9A">
        <w:rPr>
          <w:u w:val="single"/>
        </w:rPr>
        <w:t>not</w:t>
      </w:r>
      <w:r>
        <w:t xml:space="preserve"> raise issues of concern to other federal agencies.</w:t>
      </w:r>
      <w:r>
        <w:tab/>
      </w:r>
      <w:r>
        <w:tab/>
      </w:r>
      <w:r>
        <w:tab/>
      </w:r>
      <w:r>
        <w:tab/>
      </w:r>
      <w:r>
        <w:tab/>
      </w:r>
      <w:r>
        <w:tab/>
      </w:r>
      <w:r>
        <w:tab/>
      </w:r>
      <w:r>
        <w:tab/>
      </w:r>
    </w:p>
    <w:p w:rsidR="008101A5" w:rsidP="008101A5" w14:paraId="26AE2296" w14:textId="54724478">
      <w:pPr>
        <w:pStyle w:val="ListParagraph"/>
        <w:numPr>
          <w:ilvl w:val="0"/>
          <w:numId w:val="14"/>
        </w:numPr>
      </w:pPr>
      <w:r>
        <w:t xml:space="preserve">The results are </w:t>
      </w:r>
      <w:r w:rsidRPr="73B47B9A">
        <w:rPr>
          <w:u w:val="single"/>
        </w:rPr>
        <w:t>not</w:t>
      </w:r>
      <w:r>
        <w:t xml:space="preserve"> intended to be disseminated to the public.</w:t>
      </w:r>
      <w:r>
        <w:tab/>
      </w:r>
    </w:p>
    <w:p w:rsidR="008101A5" w:rsidP="008101A5" w14:paraId="01718BC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C0CA02B"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0B697F05" w14:textId="77777777"/>
    <w:p w:rsidR="00B006CB" w:rsidP="00B006CB" w14:paraId="6C91E332" w14:textId="35BBD764">
      <w:r>
        <w:t>Name</w:t>
      </w:r>
      <w:r>
        <w:t>: Corey Palmer</w:t>
      </w:r>
      <w:r w:rsidR="006535C9">
        <w:t xml:space="preserve">, </w:t>
      </w:r>
      <w:r>
        <w:t>Program Manager</w:t>
      </w:r>
      <w:r w:rsidR="006535C9">
        <w:t xml:space="preserve">, </w:t>
      </w:r>
      <w:r>
        <w:t>Adolescent Pregnancy Prevention Program</w:t>
      </w:r>
    </w:p>
    <w:p w:rsidR="009C13B9" w:rsidP="009C13B9" w14:paraId="0A7EAC13" w14:textId="77777777">
      <w:pPr>
        <w:pStyle w:val="ListParagraph"/>
        <w:ind w:left="360"/>
      </w:pPr>
    </w:p>
    <w:p w:rsidR="009C13B9" w:rsidP="009C13B9" w14:paraId="389BFCFD" w14:textId="77777777">
      <w:r>
        <w:t>To assist review, please provide answers to the following question:</w:t>
      </w:r>
    </w:p>
    <w:p w:rsidR="009C13B9" w:rsidP="009C13B9" w14:paraId="53455691" w14:textId="77777777">
      <w:pPr>
        <w:pStyle w:val="ListParagraph"/>
        <w:ind w:left="360"/>
      </w:pPr>
    </w:p>
    <w:p w:rsidR="009C13B9" w:rsidRPr="00C86E91" w:rsidP="00C86E91" w14:paraId="2616DEA8" w14:textId="77777777">
      <w:pPr>
        <w:rPr>
          <w:b/>
        </w:rPr>
      </w:pPr>
      <w:r w:rsidRPr="00C86E91">
        <w:rPr>
          <w:b/>
        </w:rPr>
        <w:t>P</w:t>
      </w:r>
      <w:bookmarkStart w:id="0" w:name="_Hlk517791209"/>
      <w:r w:rsidRPr="00C86E91">
        <w:rPr>
          <w:b/>
        </w:rPr>
        <w:t>ersonally Identifiable Information:</w:t>
      </w:r>
    </w:p>
    <w:p w:rsidR="00C86E91" w:rsidP="00C86E91" w14:paraId="56688EAC" w14:textId="37606D53">
      <w:pPr>
        <w:pStyle w:val="ListParagraph"/>
        <w:numPr>
          <w:ilvl w:val="0"/>
          <w:numId w:val="18"/>
        </w:numPr>
      </w:pPr>
      <w:r>
        <w:t>Is</w:t>
      </w:r>
      <w:r w:rsidR="00237B48">
        <w:t xml:space="preserve"> personally identifiable information (PII) collected</w:t>
      </w:r>
      <w:r>
        <w:t xml:space="preserve">?  </w:t>
      </w:r>
      <w:r w:rsidR="009239AA">
        <w:t xml:space="preserve">[ </w:t>
      </w:r>
      <w:r w:rsidR="00830B0B">
        <w:t>X</w:t>
      </w:r>
      <w:r w:rsidR="009239AA">
        <w:t xml:space="preserve"> ]</w:t>
      </w:r>
      <w:r w:rsidR="009239AA">
        <w:t xml:space="preserve"> Yes  [</w:t>
      </w:r>
      <w:r w:rsidR="00830B0B">
        <w:t xml:space="preserve"> </w:t>
      </w:r>
      <w:r w:rsidR="009239AA">
        <w:t xml:space="preserve">]  No </w:t>
      </w:r>
    </w:p>
    <w:p w:rsidR="00C86E91" w:rsidP="00C86E91" w14:paraId="04364CCE"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w:t>
      </w:r>
      <w:r w:rsidR="000C02C7">
        <w:t>X</w:t>
      </w:r>
      <w:r w:rsidR="009239AA">
        <w:t xml:space="preserve"> ] No</w:t>
      </w:r>
      <w:r>
        <w:t xml:space="preserve">   </w:t>
      </w:r>
    </w:p>
    <w:p w:rsidR="00C86E91" w:rsidP="00C86E91" w14:paraId="322D3907"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w:t>
      </w:r>
      <w:r w:rsidR="000C02C7">
        <w:t>X</w:t>
      </w:r>
      <w:r>
        <w:t xml:space="preserve"> ] No</w:t>
      </w:r>
    </w:p>
    <w:bookmarkEnd w:id="0"/>
    <w:p w:rsidR="00CF6542" w:rsidP="00C86E91" w14:paraId="0BF1923F" w14:textId="77777777">
      <w:pPr>
        <w:pStyle w:val="ListParagraph"/>
        <w:ind w:left="0"/>
        <w:rPr>
          <w:b/>
        </w:rPr>
      </w:pPr>
    </w:p>
    <w:p w:rsidR="00C86E91" w:rsidRPr="00C86E91" w:rsidP="00C86E91" w14:paraId="4D84200D" w14:textId="77777777">
      <w:pPr>
        <w:pStyle w:val="ListParagraph"/>
        <w:ind w:left="0"/>
        <w:rPr>
          <w:b/>
        </w:rPr>
      </w:pPr>
      <w:r>
        <w:rPr>
          <w:b/>
        </w:rPr>
        <w:t>Gifts or Payments</w:t>
      </w:r>
      <w:r>
        <w:rPr>
          <w:b/>
        </w:rPr>
        <w:t>:</w:t>
      </w:r>
    </w:p>
    <w:p w:rsidR="00C86E91" w:rsidP="00C86E91" w14:paraId="60CE7028" w14:textId="77777777">
      <w:r>
        <w:t>Is an incentive (e.g., money or reimbursement of expenses, token of appreciation) provided to participants?  [</w:t>
      </w:r>
      <w:r w:rsidR="00D40483">
        <w:t>X</w:t>
      </w:r>
      <w:r>
        <w:t xml:space="preserve">  ]</w:t>
      </w:r>
      <w:r>
        <w:t xml:space="preserve"> Yes [  ] No  </w:t>
      </w:r>
    </w:p>
    <w:p w:rsidR="004D6E14" w:rsidRPr="00DE3384" w14:paraId="6AB19BC6" w14:textId="77777777">
      <w:pPr>
        <w:rPr>
          <w:b/>
        </w:rPr>
      </w:pPr>
    </w:p>
    <w:p w:rsidR="0064759D" w:rsidRPr="0064759D" w:rsidP="0064759D" w14:paraId="3AB1F4B0" w14:textId="068C9BF8">
      <w:pPr>
        <w:tabs>
          <w:tab w:val="left" w:pos="720"/>
        </w:tabs>
      </w:pPr>
      <w:r w:rsidRPr="00DE3384">
        <w:t>P</w:t>
      </w:r>
      <w:r>
        <w:t>a</w:t>
      </w:r>
      <w:r w:rsidRPr="0064759D">
        <w:t xml:space="preserve">rticipants will be offered a token of appreciation of up to $15 </w:t>
      </w:r>
      <w:r w:rsidR="0026145E">
        <w:t>as a gift card</w:t>
      </w:r>
      <w:r w:rsidR="006535C9">
        <w:t>s</w:t>
      </w:r>
      <w:r w:rsidR="0026145E">
        <w:t xml:space="preserve"> (</w:t>
      </w:r>
      <w:r w:rsidR="001174F4">
        <w:t xml:space="preserve">e.g., </w:t>
      </w:r>
      <w:r w:rsidR="0026145E">
        <w:t>Starbucks</w:t>
      </w:r>
      <w:r w:rsidR="006535C9">
        <w:t>,</w:t>
      </w:r>
      <w:r w:rsidRPr="006535C9" w:rsidR="006535C9">
        <w:t xml:space="preserve"> </w:t>
      </w:r>
      <w:r w:rsidR="006535C9">
        <w:t>iTunes,</w:t>
      </w:r>
      <w:r w:rsidRPr="006535C9" w:rsidR="006535C9">
        <w:t xml:space="preserve"> </w:t>
      </w:r>
      <w:r w:rsidR="006535C9">
        <w:t>Amazon</w:t>
      </w:r>
      <w:r w:rsidR="0026145E">
        <w:t>)</w:t>
      </w:r>
      <w:r w:rsidR="00A77B02">
        <w:t xml:space="preserve"> </w:t>
      </w:r>
      <w:r w:rsidRPr="0064759D">
        <w:t>for</w:t>
      </w:r>
      <w:r w:rsidR="00313750">
        <w:t xml:space="preserve"> sharing their feedback</w:t>
      </w:r>
      <w:r w:rsidRPr="0064759D">
        <w:t xml:space="preserve">. </w:t>
      </w:r>
      <w:r w:rsidR="001174F4">
        <w:t>Because</w:t>
      </w:r>
      <w:r w:rsidRPr="0064759D">
        <w:t xml:space="preserve"> participants often have competing demands for their time, incentives are used to encourage participation. The payment amounts for this </w:t>
      </w:r>
      <w:r w:rsidR="00086B1F">
        <w:t>campaign</w:t>
      </w:r>
      <w:r w:rsidRPr="0064759D" w:rsidR="00086B1F">
        <w:t xml:space="preserve"> </w:t>
      </w:r>
      <w:r w:rsidRPr="0064759D">
        <w:t xml:space="preserve">were determined through discussions with the </w:t>
      </w:r>
      <w:r w:rsidR="00086B1F">
        <w:t xml:space="preserve">key stakeholder (e.g., </w:t>
      </w:r>
      <w:r w:rsidRPr="0064759D">
        <w:t>contractor, recruitment firms, FYSB staff</w:t>
      </w:r>
      <w:r w:rsidR="00086B1F">
        <w:t>)</w:t>
      </w:r>
      <w:r w:rsidRPr="0064759D">
        <w:t xml:space="preserve"> with expertise in recruiting participants and conducting interviews about avoiding risky behavior</w:t>
      </w:r>
      <w:r w:rsidR="00086B1F">
        <w:t>s</w:t>
      </w:r>
      <w:r w:rsidRPr="0064759D">
        <w:t xml:space="preserve"> and similar health topics. This incentive will account for participation in</w:t>
      </w:r>
      <w:r w:rsidR="003B127A">
        <w:t xml:space="preserve"> up to</w:t>
      </w:r>
      <w:r w:rsidRPr="0064759D">
        <w:t xml:space="preserve"> 1 hour of activities on the remote platform.</w:t>
      </w:r>
    </w:p>
    <w:p w:rsidR="0064759D" w:rsidRPr="0064759D" w:rsidP="0064759D" w14:paraId="5804E425" w14:textId="77777777">
      <w:pPr>
        <w:tabs>
          <w:tab w:val="left" w:pos="720"/>
        </w:tabs>
      </w:pPr>
    </w:p>
    <w:p w:rsidR="00F24CFC" w:rsidRPr="00DE3384" w:rsidP="0064759D" w14:paraId="4EB141F9" w14:textId="1381A661">
      <w:pPr>
        <w:tabs>
          <w:tab w:val="left" w:pos="720"/>
        </w:tabs>
      </w:pPr>
      <w:r w:rsidRPr="0064759D">
        <w:t>Numerous empirical studies have shown incentives can significantly increase response rates.</w:t>
      </w:r>
      <w:r>
        <w:rPr>
          <w:vertAlign w:val="superscript"/>
        </w:rPr>
        <w:endnoteReference w:id="3"/>
      </w:r>
      <w:r w:rsidRPr="0064759D">
        <w:rPr>
          <w:vertAlign w:val="superscript"/>
        </w:rPr>
        <w:t>-</w:t>
      </w:r>
      <w:r>
        <w:rPr>
          <w:vertAlign w:val="superscript"/>
        </w:rPr>
        <w:endnoteReference w:id="4"/>
      </w:r>
      <w:r w:rsidRPr="0064759D">
        <w:t xml:space="preserve"> Incentives are also necessary to ensure there is sufficient representation from certain groups that are more difficult to recruit such as low socio-economic groups and high-risk populations.</w:t>
      </w:r>
      <w:r>
        <w:rPr>
          <w:vertAlign w:val="superscript"/>
        </w:rPr>
        <w:endnoteReference w:id="5"/>
      </w:r>
      <w:r w:rsidRPr="0064759D">
        <w:t xml:space="preserve"> </w:t>
      </w:r>
      <w:r w:rsidR="006C2AF3">
        <w:t>A</w:t>
      </w:r>
      <w:r w:rsidRPr="0064759D">
        <w:t>ppropriate incentive</w:t>
      </w:r>
      <w:r w:rsidR="008F6261">
        <w:t>s</w:t>
      </w:r>
      <w:r w:rsidRPr="0064759D">
        <w:t xml:space="preserve"> </w:t>
      </w:r>
      <w:r w:rsidR="008F6261">
        <w:t xml:space="preserve">help encourage youth </w:t>
      </w:r>
      <w:r w:rsidR="001174F4">
        <w:t>to participate</w:t>
      </w:r>
      <w:r w:rsidR="008F6261">
        <w:t xml:space="preserve"> and provi</w:t>
      </w:r>
      <w:r w:rsidR="001174F4">
        <w:t xml:space="preserve">de </w:t>
      </w:r>
      <w:r w:rsidR="008F6261">
        <w:t>feedback that contribute</w:t>
      </w:r>
      <w:r w:rsidR="001174F4">
        <w:t>s</w:t>
      </w:r>
      <w:r w:rsidR="008F6261">
        <w:t xml:space="preserve"> to</w:t>
      </w:r>
      <w:r w:rsidRPr="0064759D">
        <w:t xml:space="preserve"> </w:t>
      </w:r>
      <w:r w:rsidR="008F6261">
        <w:t xml:space="preserve">the development of </w:t>
      </w:r>
      <w:r w:rsidRPr="0064759D">
        <w:t xml:space="preserve">clear, persuasive messages </w:t>
      </w:r>
      <w:r w:rsidR="008F6261">
        <w:t xml:space="preserve">and products designed </w:t>
      </w:r>
      <w:r w:rsidR="000726C6">
        <w:t xml:space="preserve">for youth </w:t>
      </w:r>
      <w:r w:rsidR="00B6485B">
        <w:t>t</w:t>
      </w:r>
      <w:r w:rsidR="003D3158">
        <w:t xml:space="preserve">o </w:t>
      </w:r>
      <w:r w:rsidR="00B6485B">
        <w:t xml:space="preserve">promote </w:t>
      </w:r>
      <w:r w:rsidR="008F6261">
        <w:t xml:space="preserve">healthy behaviors </w:t>
      </w:r>
      <w:r w:rsidR="00B6485B">
        <w:t>while discourag</w:t>
      </w:r>
      <w:r w:rsidR="003D3158">
        <w:t>ing</w:t>
      </w:r>
      <w:r w:rsidR="00B6485B">
        <w:t xml:space="preserve"> </w:t>
      </w:r>
      <w:r w:rsidRPr="0064759D">
        <w:t>risky</w:t>
      </w:r>
      <w:r w:rsidR="000726C6">
        <w:t xml:space="preserve"> </w:t>
      </w:r>
      <w:r w:rsidR="001174F4">
        <w:t>behaviors</w:t>
      </w:r>
      <w:r w:rsidR="000726C6">
        <w:t>, consistent with</w:t>
      </w:r>
      <w:r w:rsidRPr="0064759D">
        <w:t xml:space="preserve"> </w:t>
      </w:r>
      <w:r w:rsidR="000726C6">
        <w:t xml:space="preserve">the </w:t>
      </w:r>
      <w:r w:rsidRPr="0064759D">
        <w:t>project</w:t>
      </w:r>
      <w:r w:rsidR="003D3158">
        <w:t>’s goals</w:t>
      </w:r>
      <w:r w:rsidRPr="00DE3384" w:rsidR="00DE3384">
        <w:t xml:space="preserve">. </w:t>
      </w:r>
    </w:p>
    <w:p w:rsidR="00C86E91" w14:paraId="013CC1D5" w14:textId="77777777">
      <w:pPr>
        <w:rPr>
          <w:b/>
        </w:rPr>
      </w:pPr>
    </w:p>
    <w:p w:rsidR="00C86E91" w14:paraId="12E4A9BA" w14:textId="77777777">
      <w:pPr>
        <w:rPr>
          <w:b/>
        </w:rPr>
      </w:pPr>
    </w:p>
    <w:p w:rsidR="005E714A" w:rsidP="00C86E91" w14:paraId="694FF187" w14:textId="77777777">
      <w:r>
        <w:rPr>
          <w:b/>
        </w:rPr>
        <w:t>BURDEN HOUR</w:t>
      </w:r>
      <w:r w:rsidR="00441434">
        <w:rPr>
          <w:b/>
        </w:rPr>
        <w:t>S</w:t>
      </w:r>
      <w:r>
        <w:t xml:space="preserve"> </w:t>
      </w:r>
    </w:p>
    <w:p w:rsidR="006F2031" w:rsidRPr="006F2031" w:rsidP="00C86E91" w14:paraId="3AF1ACC9" w14:textId="7A3B2460">
      <w:r>
        <w:t>Each</w:t>
      </w:r>
      <w:r>
        <w:t xml:space="preserve"> year we</w:t>
      </w:r>
      <w:r w:rsidR="003664B9">
        <w:t xml:space="preserve"> publish </w:t>
      </w:r>
      <w:r w:rsidR="001D239C">
        <w:t xml:space="preserve">approximately </w:t>
      </w:r>
      <w:r w:rsidR="003664B9">
        <w:t xml:space="preserve">60 activities, including questionnaires, journals, and polls. Participants can choose to complete as many </w:t>
      </w:r>
      <w:r w:rsidR="001D239C">
        <w:t xml:space="preserve">or as few </w:t>
      </w:r>
      <w:r w:rsidR="003664B9">
        <w:t xml:space="preserve">activities as they want, from just one activity or every activity that is posted. No activity takes longer than 20 minutes to complete, with the average being 5 minutes to complete. </w:t>
      </w:r>
    </w:p>
    <w:p w:rsidR="006832D9" w:rsidP="00F3170F" w14:paraId="647E69FE" w14:textId="77777777">
      <w:pPr>
        <w:keepNext/>
        <w:keepLines/>
        <w:rPr>
          <w:b/>
        </w:rPr>
      </w:pPr>
    </w:p>
    <w:tbl>
      <w:tblPr>
        <w:tblW w:w="9360" w:type="dxa"/>
        <w:tblInd w:w="110" w:type="dxa"/>
        <w:tblLayout w:type="fixed"/>
        <w:tblCellMar>
          <w:left w:w="102" w:type="dxa"/>
          <w:right w:w="102" w:type="dxa"/>
        </w:tblCellMar>
        <w:tblLook w:val="0000"/>
      </w:tblPr>
      <w:tblGrid>
        <w:gridCol w:w="2880"/>
        <w:gridCol w:w="1710"/>
        <w:gridCol w:w="1710"/>
        <w:gridCol w:w="1800"/>
        <w:gridCol w:w="1260"/>
      </w:tblGrid>
      <w:tr w14:paraId="5B0BF67F" w14:textId="77777777">
        <w:tblPrEx>
          <w:tblW w:w="9360" w:type="dxa"/>
          <w:tblInd w:w="110" w:type="dxa"/>
          <w:tblLayout w:type="fixed"/>
          <w:tblCellMar>
            <w:left w:w="102" w:type="dxa"/>
            <w:right w:w="102" w:type="dxa"/>
          </w:tblCellMar>
          <w:tblLook w:val="0000"/>
        </w:tblPrEx>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44762D" w:rsidRPr="00183DCC" w:rsidP="006A53B1" w14:paraId="60B52058" w14:textId="77777777"/>
          <w:p w:rsidR="0044762D" w:rsidRPr="00183DCC" w:rsidP="006A53B1" w14:paraId="1FA6BF77" w14:textId="77777777">
            <w:pPr>
              <w:tabs>
                <w:tab w:val="left" w:pos="-1080"/>
                <w:tab w:val="left" w:pos="-720"/>
                <w:tab w:val="left" w:pos="0"/>
                <w:tab w:val="left" w:pos="450"/>
                <w:tab w:val="left" w:pos="720"/>
                <w:tab w:val="left" w:pos="2160"/>
              </w:tabs>
              <w:jc w:val="center"/>
              <w:rPr>
                <w:sz w:val="20"/>
              </w:rPr>
            </w:pPr>
            <w:r w:rsidRPr="00183DCC">
              <w:rPr>
                <w:sz w:val="20"/>
              </w:rPr>
              <w:t xml:space="preserve">           Estimated Annual Reporting Burden</w:t>
            </w:r>
          </w:p>
        </w:tc>
      </w:tr>
      <w:tr w14:paraId="22CFA6FF" w14:textId="77777777">
        <w:tblPrEx>
          <w:tblW w:w="9360" w:type="dxa"/>
          <w:tblInd w:w="11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FFFFFF"/>
              <w:right w:val="single" w:sz="6" w:space="0" w:color="FFFFFF"/>
            </w:tcBorders>
          </w:tcPr>
          <w:p w:rsidR="0044762D" w:rsidRPr="00183DCC" w:rsidP="006A53B1" w14:paraId="74FC3DCD" w14:textId="77777777">
            <w:pPr>
              <w:rPr>
                <w:sz w:val="20"/>
              </w:rPr>
            </w:pPr>
          </w:p>
          <w:p w:rsidR="0044762D" w:rsidRPr="00183DCC" w:rsidP="006A53B1" w14:paraId="0BDBCF3F" w14:textId="77777777">
            <w:pPr>
              <w:tabs>
                <w:tab w:val="left" w:pos="-1080"/>
                <w:tab w:val="left" w:pos="-720"/>
                <w:tab w:val="left" w:pos="0"/>
                <w:tab w:val="left" w:pos="450"/>
                <w:tab w:val="left" w:pos="720"/>
                <w:tab w:val="left" w:pos="2160"/>
              </w:tabs>
              <w:jc w:val="center"/>
              <w:rPr>
                <w:sz w:val="20"/>
              </w:rPr>
            </w:pPr>
            <w:r w:rsidRPr="00183DCC">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44762D" w:rsidRPr="00183DCC" w:rsidP="006A53B1" w14:paraId="0AAA5B6A" w14:textId="77777777">
            <w:pPr>
              <w:rPr>
                <w:sz w:val="20"/>
              </w:rPr>
            </w:pPr>
          </w:p>
          <w:p w:rsidR="0044762D" w:rsidRPr="00183DCC" w:rsidP="006A53B1" w14:paraId="44819579" w14:textId="77777777">
            <w:pPr>
              <w:tabs>
                <w:tab w:val="left" w:pos="-1080"/>
                <w:tab w:val="left" w:pos="-720"/>
                <w:tab w:val="left" w:pos="0"/>
                <w:tab w:val="left" w:pos="450"/>
                <w:tab w:val="left" w:pos="720"/>
                <w:tab w:val="left" w:pos="2160"/>
              </w:tabs>
              <w:jc w:val="center"/>
              <w:rPr>
                <w:sz w:val="20"/>
              </w:rPr>
            </w:pPr>
            <w:r w:rsidRPr="00183DCC">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44762D" w:rsidRPr="00183DCC" w:rsidP="006A53B1" w14:paraId="3A5023FD" w14:textId="77777777">
            <w:pPr>
              <w:rPr>
                <w:sz w:val="20"/>
              </w:rPr>
            </w:pPr>
          </w:p>
          <w:p w:rsidR="0044762D" w:rsidRPr="00183DCC" w:rsidP="006A53B1" w14:paraId="2F81835E" w14:textId="77777777">
            <w:pPr>
              <w:tabs>
                <w:tab w:val="left" w:pos="-1080"/>
                <w:tab w:val="left" w:pos="-720"/>
                <w:tab w:val="left" w:pos="0"/>
                <w:tab w:val="left" w:pos="450"/>
                <w:tab w:val="left" w:pos="720"/>
                <w:tab w:val="left" w:pos="2160"/>
              </w:tabs>
              <w:jc w:val="center"/>
              <w:rPr>
                <w:sz w:val="20"/>
              </w:rPr>
            </w:pPr>
            <w:r w:rsidRPr="00183DCC">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44762D" w:rsidRPr="00183DCC" w:rsidP="006A53B1" w14:paraId="16997A8D" w14:textId="77777777">
            <w:pPr>
              <w:rPr>
                <w:sz w:val="20"/>
              </w:rPr>
            </w:pPr>
          </w:p>
          <w:p w:rsidR="0044762D" w:rsidRPr="00183DCC" w:rsidP="006A53B1" w14:paraId="18FF3F0E" w14:textId="77777777">
            <w:pPr>
              <w:tabs>
                <w:tab w:val="left" w:pos="-1080"/>
                <w:tab w:val="left" w:pos="-720"/>
                <w:tab w:val="left" w:pos="0"/>
                <w:tab w:val="left" w:pos="450"/>
                <w:tab w:val="left" w:pos="720"/>
                <w:tab w:val="left" w:pos="2160"/>
              </w:tabs>
              <w:jc w:val="center"/>
              <w:rPr>
                <w:sz w:val="20"/>
              </w:rPr>
            </w:pPr>
            <w:r w:rsidRPr="00183DCC">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44762D" w:rsidRPr="00183DCC" w:rsidP="006A53B1" w14:paraId="1322A8AC" w14:textId="77777777">
            <w:pPr>
              <w:rPr>
                <w:sz w:val="20"/>
              </w:rPr>
            </w:pPr>
          </w:p>
          <w:p w:rsidR="0044762D" w:rsidRPr="00183DCC" w:rsidP="006A53B1" w14:paraId="33AD84E2" w14:textId="77777777">
            <w:pPr>
              <w:tabs>
                <w:tab w:val="left" w:pos="-1080"/>
                <w:tab w:val="left" w:pos="-720"/>
                <w:tab w:val="left" w:pos="0"/>
                <w:tab w:val="left" w:pos="450"/>
                <w:tab w:val="left" w:pos="720"/>
                <w:tab w:val="left" w:pos="2160"/>
              </w:tabs>
              <w:jc w:val="center"/>
              <w:rPr>
                <w:sz w:val="20"/>
              </w:rPr>
            </w:pPr>
            <w:r w:rsidRPr="00183DCC">
              <w:rPr>
                <w:sz w:val="20"/>
              </w:rPr>
              <w:t>Total Hours</w:t>
            </w:r>
          </w:p>
        </w:tc>
      </w:tr>
      <w:tr w14:paraId="72ACF888" w14:textId="77777777">
        <w:tblPrEx>
          <w:tblW w:w="9360" w:type="dxa"/>
          <w:tblInd w:w="110" w:type="dxa"/>
          <w:tblLayout w:type="fixed"/>
          <w:tblCellMar>
            <w:left w:w="102" w:type="dxa"/>
            <w:right w:w="102" w:type="dxa"/>
          </w:tblCellMar>
          <w:tblLook w:val="0000"/>
        </w:tblPrEx>
        <w:trPr>
          <w:trHeight w:val="255"/>
        </w:trPr>
        <w:tc>
          <w:tcPr>
            <w:tcW w:w="2880" w:type="dxa"/>
            <w:tcBorders>
              <w:top w:val="single" w:sz="6" w:space="0" w:color="000000"/>
              <w:left w:val="single" w:sz="6" w:space="0" w:color="000000"/>
              <w:bottom w:val="single" w:sz="6" w:space="0" w:color="000000"/>
              <w:right w:val="single" w:sz="6" w:space="0" w:color="FFFFFF"/>
            </w:tcBorders>
          </w:tcPr>
          <w:p w:rsidR="0044762D" w:rsidRPr="00183DCC" w:rsidP="006A53B1" w14:paraId="134656C3" w14:textId="77777777">
            <w:pPr>
              <w:rPr>
                <w:sz w:val="20"/>
              </w:rPr>
            </w:pPr>
            <w:r w:rsidRPr="00183DCC">
              <w:rPr>
                <w:sz w:val="20"/>
              </w:rPr>
              <w:t>Remote testing</w:t>
            </w:r>
          </w:p>
        </w:tc>
        <w:tc>
          <w:tcPr>
            <w:tcW w:w="1710" w:type="dxa"/>
            <w:tcBorders>
              <w:top w:val="single" w:sz="6" w:space="0" w:color="000000"/>
              <w:left w:val="single" w:sz="6" w:space="0" w:color="000000"/>
              <w:bottom w:val="single" w:sz="6" w:space="0" w:color="000000"/>
              <w:right w:val="single" w:sz="6" w:space="0" w:color="FFFFFF"/>
            </w:tcBorders>
          </w:tcPr>
          <w:p w:rsidR="0044762D" w:rsidRPr="00183DCC" w:rsidP="006A53B1" w14:paraId="0C7B2D51" w14:textId="7C455748">
            <w:pPr>
              <w:jc w:val="center"/>
              <w:rPr>
                <w:sz w:val="20"/>
              </w:rPr>
            </w:pPr>
            <w:r>
              <w:rPr>
                <w:sz w:val="20"/>
              </w:rPr>
              <w:t xml:space="preserve">Up to </w:t>
            </w:r>
            <w:r>
              <w:rPr>
                <w:sz w:val="20"/>
              </w:rPr>
              <w:t>70</w:t>
            </w:r>
          </w:p>
        </w:tc>
        <w:tc>
          <w:tcPr>
            <w:tcW w:w="1710" w:type="dxa"/>
            <w:tcBorders>
              <w:top w:val="single" w:sz="6" w:space="0" w:color="000000"/>
              <w:left w:val="single" w:sz="6" w:space="0" w:color="000000"/>
              <w:bottom w:val="single" w:sz="6" w:space="0" w:color="000000"/>
              <w:right w:val="single" w:sz="6" w:space="0" w:color="FFFFFF"/>
            </w:tcBorders>
          </w:tcPr>
          <w:p w:rsidR="0044762D" w:rsidRPr="00183DCC" w:rsidP="006A53B1" w14:paraId="6C8631EC" w14:textId="68206515">
            <w:pPr>
              <w:jc w:val="center"/>
              <w:rPr>
                <w:sz w:val="20"/>
                <w:szCs w:val="20"/>
              </w:rPr>
            </w:pPr>
            <w:r w:rsidRPr="2BC051C3">
              <w:rPr>
                <w:sz w:val="20"/>
                <w:szCs w:val="20"/>
              </w:rPr>
              <w:t>60</w:t>
            </w:r>
          </w:p>
        </w:tc>
        <w:tc>
          <w:tcPr>
            <w:tcW w:w="1800" w:type="dxa"/>
            <w:tcBorders>
              <w:top w:val="single" w:sz="6" w:space="0" w:color="000000"/>
              <w:left w:val="single" w:sz="6" w:space="0" w:color="000000"/>
              <w:bottom w:val="single" w:sz="6" w:space="0" w:color="000000"/>
              <w:right w:val="single" w:sz="6" w:space="0" w:color="FFFFFF"/>
            </w:tcBorders>
          </w:tcPr>
          <w:p w:rsidR="0044762D" w:rsidRPr="00183DCC" w:rsidP="006A53B1" w14:paraId="73361F18" w14:textId="49EF7E32">
            <w:pPr>
              <w:jc w:val="center"/>
              <w:rPr>
                <w:sz w:val="20"/>
              </w:rPr>
            </w:pPr>
            <w:r>
              <w:rPr>
                <w:sz w:val="20"/>
              </w:rPr>
              <w:t>20</w:t>
            </w:r>
            <w:r w:rsidR="00086B1F">
              <w:rPr>
                <w:sz w:val="20"/>
              </w:rPr>
              <w:t xml:space="preserve"> minutes (0.33 hours)</w:t>
            </w:r>
          </w:p>
        </w:tc>
        <w:tc>
          <w:tcPr>
            <w:tcW w:w="1260" w:type="dxa"/>
            <w:tcBorders>
              <w:top w:val="single" w:sz="6" w:space="0" w:color="000000"/>
              <w:left w:val="single" w:sz="6" w:space="0" w:color="000000"/>
              <w:bottom w:val="single" w:sz="6" w:space="0" w:color="000000"/>
              <w:right w:val="single" w:sz="6" w:space="0" w:color="000000"/>
            </w:tcBorders>
            <w:vAlign w:val="bottom"/>
          </w:tcPr>
          <w:p w:rsidR="0044762D" w:rsidRPr="00183DCC" w:rsidP="2BC051C3" w14:paraId="7E53DF5D" w14:textId="03C91FCE">
            <w:pPr>
              <w:tabs>
                <w:tab w:val="left" w:pos="450"/>
                <w:tab w:val="left" w:pos="720"/>
                <w:tab w:val="left" w:pos="2160"/>
              </w:tabs>
              <w:jc w:val="center"/>
              <w:rPr>
                <w:sz w:val="20"/>
                <w:szCs w:val="20"/>
              </w:rPr>
            </w:pPr>
            <w:r>
              <w:rPr>
                <w:sz w:val="20"/>
                <w:szCs w:val="20"/>
              </w:rPr>
              <w:t>1</w:t>
            </w:r>
            <w:r w:rsidR="00064AA0">
              <w:rPr>
                <w:sz w:val="20"/>
                <w:szCs w:val="20"/>
              </w:rPr>
              <w:t>,</w:t>
            </w:r>
            <w:r>
              <w:rPr>
                <w:sz w:val="20"/>
                <w:szCs w:val="20"/>
              </w:rPr>
              <w:t>386</w:t>
            </w:r>
          </w:p>
        </w:tc>
      </w:tr>
    </w:tbl>
    <w:p w:rsidR="0044762D" w14:paraId="70C75C16" w14:textId="77777777">
      <w:pPr>
        <w:rPr>
          <w:b/>
        </w:rPr>
      </w:pPr>
    </w:p>
    <w:p w:rsidR="005E714A" w14:paraId="2B249A60" w14:textId="7E096644">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w:t>
      </w:r>
      <w:r w:rsidR="00B6485B">
        <w:t>federal</w:t>
      </w:r>
      <w:r w:rsidR="00C86E91">
        <w:t xml:space="preserve"> government </w:t>
      </w:r>
      <w:r w:rsidR="003E4D8C">
        <w:t xml:space="preserve">is </w:t>
      </w:r>
      <w:r w:rsidRPr="006F2031" w:rsidR="003E4D8C">
        <w:rPr>
          <w:b/>
          <w:u w:val="single"/>
        </w:rPr>
        <w:t>$</w:t>
      </w:r>
      <w:r w:rsidRPr="004372B5" w:rsidR="009F02EB">
        <w:rPr>
          <w:b/>
          <w:u w:val="single"/>
        </w:rPr>
        <w:t xml:space="preserve">39,000 </w:t>
      </w:r>
      <w:r w:rsidR="00D22717">
        <w:rPr>
          <w:b/>
          <w:u w:val="single"/>
        </w:rPr>
        <w:t>annually.</w:t>
      </w:r>
    </w:p>
    <w:p w:rsidR="003E4D8C" w14:paraId="36431B62" w14:textId="77777777"/>
    <w:tbl>
      <w:tblPr>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3137"/>
        <w:gridCol w:w="4413"/>
        <w:gridCol w:w="1960"/>
      </w:tblGrid>
      <w:tr w14:paraId="214005E7" w14:textId="77777777" w:rsidTr="006A53B1">
        <w:tblPrEx>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Ex>
        <w:trPr>
          <w:trHeight w:val="144"/>
          <w:tblHeader/>
        </w:trPr>
        <w:tc>
          <w:tcPr>
            <w:tcW w:w="3137" w:type="dxa"/>
            <w:tcBorders>
              <w:top w:val="single" w:sz="4" w:space="0" w:color="auto"/>
              <w:left w:val="single" w:sz="4" w:space="0" w:color="auto"/>
              <w:bottom w:val="single" w:sz="4" w:space="0" w:color="auto"/>
              <w:right w:val="single" w:sz="4" w:space="0" w:color="auto"/>
            </w:tcBorders>
            <w:hideMark/>
          </w:tcPr>
          <w:p w:rsidR="0044762D" w:rsidP="006A53B1" w14:paraId="477E5585" w14:textId="77777777">
            <w:pPr>
              <w:tabs>
                <w:tab w:val="right" w:leader="dot" w:pos="9350"/>
              </w:tabs>
              <w:ind w:left="547" w:right="576" w:hanging="547"/>
              <w:rPr>
                <w:b/>
                <w:noProof/>
              </w:rPr>
            </w:pPr>
            <w:r>
              <w:rPr>
                <w:b/>
                <w:noProof/>
              </w:rPr>
              <w:t>Item/Activity</w:t>
            </w:r>
          </w:p>
        </w:tc>
        <w:tc>
          <w:tcPr>
            <w:tcW w:w="4413" w:type="dxa"/>
            <w:tcBorders>
              <w:top w:val="single" w:sz="4" w:space="0" w:color="auto"/>
              <w:left w:val="single" w:sz="4" w:space="0" w:color="auto"/>
              <w:bottom w:val="single" w:sz="4" w:space="0" w:color="auto"/>
              <w:right w:val="single" w:sz="4" w:space="0" w:color="auto"/>
            </w:tcBorders>
            <w:hideMark/>
          </w:tcPr>
          <w:p w:rsidR="0044762D" w:rsidP="006A53B1" w14:paraId="54A39DC4" w14:textId="77777777">
            <w:pPr>
              <w:tabs>
                <w:tab w:val="right" w:leader="dot" w:pos="9350"/>
              </w:tabs>
              <w:ind w:left="547" w:right="576" w:hanging="547"/>
              <w:jc w:val="center"/>
              <w:rPr>
                <w:b/>
                <w:noProof/>
              </w:rPr>
            </w:pPr>
            <w:r>
              <w:rPr>
                <w:b/>
                <w:noProof/>
              </w:rPr>
              <w:t>Details</w:t>
            </w:r>
          </w:p>
        </w:tc>
        <w:tc>
          <w:tcPr>
            <w:tcW w:w="1960" w:type="dxa"/>
            <w:tcBorders>
              <w:top w:val="single" w:sz="4" w:space="0" w:color="auto"/>
              <w:left w:val="single" w:sz="4" w:space="0" w:color="auto"/>
              <w:bottom w:val="single" w:sz="4" w:space="0" w:color="auto"/>
              <w:right w:val="single" w:sz="4" w:space="0" w:color="auto"/>
            </w:tcBorders>
            <w:hideMark/>
          </w:tcPr>
          <w:p w:rsidR="0044762D" w:rsidP="006A53B1" w14:paraId="23E848DD" w14:textId="77777777">
            <w:pPr>
              <w:tabs>
                <w:tab w:val="left" w:pos="1354"/>
                <w:tab w:val="right" w:leader="dot" w:pos="9350"/>
              </w:tabs>
              <w:ind w:right="47"/>
              <w:jc w:val="center"/>
              <w:rPr>
                <w:b/>
                <w:noProof/>
              </w:rPr>
            </w:pPr>
            <w:r>
              <w:rPr>
                <w:b/>
                <w:noProof/>
              </w:rPr>
              <w:t>$ Amount</w:t>
            </w:r>
          </w:p>
        </w:tc>
      </w:tr>
      <w:tr w14:paraId="3741B960" w14:textId="77777777" w:rsidTr="006A53B1">
        <w:tblPrEx>
          <w:tblW w:w="9510" w:type="dxa"/>
          <w:tblInd w:w="101" w:type="dxa"/>
          <w:tblLayout w:type="fixed"/>
          <w:tblCellMar>
            <w:left w:w="86" w:type="dxa"/>
            <w:right w:w="86" w:type="dxa"/>
          </w:tblCellMar>
          <w:tblLook w:val="01E0"/>
        </w:tblPrEx>
        <w:trPr>
          <w:trHeight w:val="144"/>
        </w:trPr>
        <w:tc>
          <w:tcPr>
            <w:tcW w:w="3137" w:type="dxa"/>
            <w:tcBorders>
              <w:top w:val="single" w:sz="4" w:space="0" w:color="auto"/>
              <w:left w:val="single" w:sz="4" w:space="0" w:color="auto"/>
              <w:bottom w:val="single" w:sz="4" w:space="0" w:color="auto"/>
              <w:right w:val="single" w:sz="4" w:space="0" w:color="auto"/>
            </w:tcBorders>
            <w:hideMark/>
          </w:tcPr>
          <w:p w:rsidR="0044762D" w:rsidRPr="001F03AE" w:rsidP="006A53B1" w14:paraId="302F2A90" w14:textId="77777777">
            <w:pPr>
              <w:tabs>
                <w:tab w:val="right" w:leader="dot" w:pos="9350"/>
              </w:tabs>
              <w:rPr>
                <w:bCs/>
                <w:noProof/>
              </w:rPr>
            </w:pPr>
            <w:r w:rsidRPr="001F03AE">
              <w:rPr>
                <w:bCs/>
                <w:noProof/>
              </w:rPr>
              <w:t>FYSB oversight of contractor and project</w:t>
            </w:r>
          </w:p>
        </w:tc>
        <w:tc>
          <w:tcPr>
            <w:tcW w:w="4413" w:type="dxa"/>
            <w:tcBorders>
              <w:top w:val="single" w:sz="4" w:space="0" w:color="auto"/>
              <w:left w:val="single" w:sz="4" w:space="0" w:color="auto"/>
              <w:bottom w:val="single" w:sz="4" w:space="0" w:color="auto"/>
              <w:right w:val="single" w:sz="4" w:space="0" w:color="auto"/>
            </w:tcBorders>
            <w:hideMark/>
          </w:tcPr>
          <w:p w:rsidR="0044762D" w:rsidRPr="001F03AE" w:rsidP="006A53B1" w14:paraId="1C80A045" w14:textId="49A52F9F">
            <w:pPr>
              <w:tabs>
                <w:tab w:val="right" w:leader="dot" w:pos="9350"/>
              </w:tabs>
              <w:ind w:right="576"/>
              <w:rPr>
                <w:bCs/>
                <w:noProof/>
              </w:rPr>
            </w:pPr>
            <w:r w:rsidRPr="001F03AE">
              <w:t xml:space="preserve">10% of FTE: GS-13 Program Specialist </w:t>
            </w:r>
          </w:p>
        </w:tc>
        <w:tc>
          <w:tcPr>
            <w:tcW w:w="1960" w:type="dxa"/>
            <w:tcBorders>
              <w:top w:val="single" w:sz="4" w:space="0" w:color="auto"/>
              <w:left w:val="single" w:sz="4" w:space="0" w:color="auto"/>
              <w:bottom w:val="single" w:sz="4" w:space="0" w:color="auto"/>
              <w:right w:val="single" w:sz="4" w:space="0" w:color="auto"/>
            </w:tcBorders>
            <w:hideMark/>
          </w:tcPr>
          <w:p w:rsidR="0044762D" w:rsidRPr="001F03AE" w:rsidP="006A53B1" w14:paraId="0D913543" w14:textId="77777777">
            <w:pPr>
              <w:tabs>
                <w:tab w:val="decimal" w:pos="1304"/>
              </w:tabs>
              <w:jc w:val="right"/>
            </w:pPr>
            <w:r w:rsidRPr="001F03AE">
              <w:t>$</w:t>
            </w:r>
            <w:r w:rsidR="009F02EB">
              <w:t>4</w:t>
            </w:r>
            <w:r w:rsidRPr="001F03AE">
              <w:t>,000</w:t>
            </w:r>
          </w:p>
          <w:p w:rsidR="0044762D" w:rsidRPr="001F03AE" w:rsidP="006A53B1" w14:paraId="16B4F5AD" w14:textId="645D183D">
            <w:pPr>
              <w:tabs>
                <w:tab w:val="decimal" w:pos="1304"/>
              </w:tabs>
              <w:jc w:val="right"/>
              <w:rPr>
                <w:bCs/>
                <w:noProof/>
              </w:rPr>
            </w:pPr>
          </w:p>
        </w:tc>
      </w:tr>
      <w:tr w14:paraId="106535BA" w14:textId="77777777" w:rsidTr="006A53B1">
        <w:tblPrEx>
          <w:tblW w:w="9510" w:type="dxa"/>
          <w:tblInd w:w="101" w:type="dxa"/>
          <w:tblLayout w:type="fixed"/>
          <w:tblCellMar>
            <w:left w:w="86" w:type="dxa"/>
            <w:right w:w="86" w:type="dxa"/>
          </w:tblCellMar>
          <w:tblLook w:val="01E0"/>
        </w:tblPrEx>
        <w:trPr>
          <w:trHeight w:val="144"/>
        </w:trPr>
        <w:tc>
          <w:tcPr>
            <w:tcW w:w="3137" w:type="dxa"/>
            <w:tcBorders>
              <w:top w:val="nil"/>
              <w:left w:val="single" w:sz="8" w:space="0" w:color="auto"/>
              <w:bottom w:val="single" w:sz="8" w:space="0" w:color="auto"/>
              <w:right w:val="single" w:sz="8" w:space="0" w:color="auto"/>
            </w:tcBorders>
            <w:hideMark/>
          </w:tcPr>
          <w:p w:rsidR="0044762D" w:rsidRPr="001F03AE" w:rsidP="006A53B1" w14:paraId="6F71754F" w14:textId="77777777">
            <w:pPr>
              <w:tabs>
                <w:tab w:val="right" w:leader="dot" w:pos="9350"/>
              </w:tabs>
              <w:rPr>
                <w:bCs/>
                <w:noProof/>
              </w:rPr>
            </w:pPr>
            <w:r w:rsidRPr="001F03AE">
              <w:t xml:space="preserve">Recruitment, data collection including incentives, materials, online platform hosting, analysis, travel, </w:t>
            </w:r>
            <w:r w:rsidRPr="001F03AE">
              <w:t>overhead and reporting (contractor)</w:t>
            </w:r>
          </w:p>
        </w:tc>
        <w:tc>
          <w:tcPr>
            <w:tcW w:w="4413" w:type="dxa"/>
            <w:tcBorders>
              <w:top w:val="nil"/>
              <w:left w:val="nil"/>
              <w:bottom w:val="single" w:sz="8" w:space="0" w:color="auto"/>
              <w:right w:val="single" w:sz="8" w:space="0" w:color="auto"/>
            </w:tcBorders>
            <w:hideMark/>
          </w:tcPr>
          <w:p w:rsidR="00064AA0" w:rsidP="006A53B1" w14:paraId="7329B90E" w14:textId="6277D04C">
            <w:r w:rsidRPr="001F03AE">
              <w:t xml:space="preserve">15% of FTE for contractor staff </w:t>
            </w:r>
          </w:p>
          <w:p w:rsidR="0044762D" w:rsidRPr="001F03AE" w:rsidP="006A53B1" w14:paraId="6EAE44F1" w14:textId="523916BA">
            <w:pPr>
              <w:rPr>
                <w:bCs/>
              </w:rPr>
            </w:pPr>
            <w:r w:rsidRPr="001F03AE">
              <w:t xml:space="preserve">Labor hours and ODCs </w:t>
            </w:r>
          </w:p>
        </w:tc>
        <w:tc>
          <w:tcPr>
            <w:tcW w:w="1960" w:type="dxa"/>
            <w:tcBorders>
              <w:top w:val="single" w:sz="4" w:space="0" w:color="auto"/>
              <w:left w:val="single" w:sz="4" w:space="0" w:color="auto"/>
              <w:bottom w:val="single" w:sz="4" w:space="0" w:color="auto"/>
              <w:right w:val="single" w:sz="4" w:space="0" w:color="auto"/>
            </w:tcBorders>
            <w:hideMark/>
          </w:tcPr>
          <w:p w:rsidR="00064AA0" w:rsidP="006A53B1" w14:paraId="0AE13F38" w14:textId="45013EDF">
            <w:pPr>
              <w:tabs>
                <w:tab w:val="decimal" w:pos="1304"/>
              </w:tabs>
              <w:jc w:val="right"/>
              <w:rPr>
                <w:bCs/>
                <w:noProof/>
              </w:rPr>
            </w:pPr>
            <w:r w:rsidRPr="001F03AE">
              <w:t>$</w:t>
            </w:r>
            <w:r>
              <w:t>5</w:t>
            </w:r>
            <w:r w:rsidRPr="001F03AE">
              <w:t>,</w:t>
            </w:r>
            <w:r>
              <w:t>0</w:t>
            </w:r>
            <w:r w:rsidRPr="001F03AE">
              <w:t>00</w:t>
            </w:r>
          </w:p>
          <w:p w:rsidR="00064AA0" w:rsidP="006A53B1" w14:paraId="7A58D5FB" w14:textId="77777777">
            <w:pPr>
              <w:tabs>
                <w:tab w:val="decimal" w:pos="1304"/>
              </w:tabs>
              <w:jc w:val="right"/>
              <w:rPr>
                <w:bCs/>
                <w:noProof/>
              </w:rPr>
            </w:pPr>
          </w:p>
          <w:p w:rsidR="0044762D" w:rsidRPr="001F03AE" w:rsidP="006A53B1" w14:paraId="2E97CB76" w14:textId="3C112F85">
            <w:pPr>
              <w:tabs>
                <w:tab w:val="decimal" w:pos="1304"/>
              </w:tabs>
              <w:jc w:val="right"/>
              <w:rPr>
                <w:bCs/>
                <w:noProof/>
              </w:rPr>
            </w:pPr>
            <w:r w:rsidRPr="001F03AE">
              <w:rPr>
                <w:bCs/>
                <w:noProof/>
              </w:rPr>
              <w:t>$</w:t>
            </w:r>
            <w:r w:rsidR="009F02EB">
              <w:rPr>
                <w:bCs/>
                <w:noProof/>
              </w:rPr>
              <w:t>30</w:t>
            </w:r>
            <w:r w:rsidRPr="001F03AE">
              <w:rPr>
                <w:bCs/>
                <w:noProof/>
              </w:rPr>
              <w:t>,000</w:t>
            </w:r>
          </w:p>
        </w:tc>
      </w:tr>
      <w:tr w14:paraId="5533C3E8" w14:textId="77777777" w:rsidTr="006A53B1">
        <w:tblPrEx>
          <w:tblW w:w="9510" w:type="dxa"/>
          <w:tblInd w:w="101" w:type="dxa"/>
          <w:tblLayout w:type="fixed"/>
          <w:tblCellMar>
            <w:left w:w="86" w:type="dxa"/>
            <w:right w:w="86" w:type="dxa"/>
          </w:tblCellMar>
          <w:tblLook w:val="01E0"/>
        </w:tblPrEx>
        <w:trPr>
          <w:trHeight w:val="144"/>
        </w:trPr>
        <w:tc>
          <w:tcPr>
            <w:tcW w:w="3137" w:type="dxa"/>
            <w:tcBorders>
              <w:top w:val="single" w:sz="4" w:space="0" w:color="auto"/>
              <w:left w:val="single" w:sz="4" w:space="0" w:color="auto"/>
              <w:bottom w:val="single" w:sz="4" w:space="0" w:color="auto"/>
              <w:right w:val="single" w:sz="4" w:space="0" w:color="auto"/>
            </w:tcBorders>
            <w:hideMark/>
          </w:tcPr>
          <w:p w:rsidR="0044762D" w:rsidRPr="001F03AE" w:rsidP="006A53B1" w14:paraId="15CADB78" w14:textId="69C474A8">
            <w:pPr>
              <w:tabs>
                <w:tab w:val="right" w:leader="dot" w:pos="9350"/>
              </w:tabs>
              <w:ind w:left="547" w:right="576" w:hanging="547"/>
              <w:rPr>
                <w:b/>
                <w:bCs/>
                <w:noProof/>
              </w:rPr>
            </w:pPr>
            <w:r>
              <w:rPr>
                <w:b/>
                <w:bCs/>
                <w:noProof/>
              </w:rPr>
              <w:t xml:space="preserve">Annual </w:t>
            </w:r>
            <w:r w:rsidRPr="001F03AE">
              <w:rPr>
                <w:b/>
                <w:bCs/>
                <w:noProof/>
              </w:rPr>
              <w:t>Total</w:t>
            </w:r>
            <w:r>
              <w:rPr>
                <w:b/>
                <w:bCs/>
                <w:noProof/>
              </w:rPr>
              <w:t xml:space="preserve"> </w:t>
            </w:r>
          </w:p>
        </w:tc>
        <w:tc>
          <w:tcPr>
            <w:tcW w:w="4413" w:type="dxa"/>
            <w:tcBorders>
              <w:top w:val="single" w:sz="4" w:space="0" w:color="auto"/>
              <w:left w:val="single" w:sz="4" w:space="0" w:color="auto"/>
              <w:bottom w:val="single" w:sz="4" w:space="0" w:color="auto"/>
              <w:right w:val="single" w:sz="4" w:space="0" w:color="auto"/>
            </w:tcBorders>
          </w:tcPr>
          <w:p w:rsidR="0044762D" w:rsidRPr="001F03AE" w:rsidP="006A53B1" w14:paraId="2252353B" w14:textId="77777777">
            <w:pPr>
              <w:tabs>
                <w:tab w:val="right" w:leader="dot" w:pos="9350"/>
              </w:tabs>
              <w:ind w:left="547" w:right="576" w:hanging="547"/>
              <w:rPr>
                <w:b/>
                <w:bCs/>
                <w:noProof/>
              </w:rPr>
            </w:pPr>
          </w:p>
        </w:tc>
        <w:tc>
          <w:tcPr>
            <w:tcW w:w="1960" w:type="dxa"/>
            <w:tcBorders>
              <w:top w:val="single" w:sz="4" w:space="0" w:color="auto"/>
              <w:left w:val="single" w:sz="4" w:space="0" w:color="auto"/>
              <w:bottom w:val="single" w:sz="4" w:space="0" w:color="auto"/>
              <w:right w:val="single" w:sz="4" w:space="0" w:color="auto"/>
            </w:tcBorders>
            <w:vAlign w:val="center"/>
            <w:hideMark/>
          </w:tcPr>
          <w:p w:rsidR="0044762D" w:rsidRPr="001F03AE" w:rsidP="006A53B1" w14:paraId="46D0D979" w14:textId="77777777">
            <w:pPr>
              <w:tabs>
                <w:tab w:val="decimal" w:pos="1304"/>
              </w:tabs>
              <w:jc w:val="right"/>
              <w:rPr>
                <w:b/>
                <w:bCs/>
                <w:noProof/>
              </w:rPr>
            </w:pPr>
            <w:r w:rsidRPr="001F03AE">
              <w:rPr>
                <w:b/>
                <w:bCs/>
                <w:noProof/>
              </w:rPr>
              <w:t>$</w:t>
            </w:r>
            <w:r w:rsidR="009F02EB">
              <w:rPr>
                <w:b/>
                <w:bCs/>
                <w:noProof/>
              </w:rPr>
              <w:t>39</w:t>
            </w:r>
            <w:r w:rsidRPr="001F03AE">
              <w:rPr>
                <w:b/>
                <w:bCs/>
                <w:noProof/>
              </w:rPr>
              <w:t>,</w:t>
            </w:r>
            <w:r w:rsidR="009F02EB">
              <w:rPr>
                <w:b/>
                <w:bCs/>
                <w:noProof/>
              </w:rPr>
              <w:t>0</w:t>
            </w:r>
            <w:r w:rsidRPr="001F03AE">
              <w:rPr>
                <w:b/>
                <w:bCs/>
                <w:noProof/>
              </w:rPr>
              <w:t>00</w:t>
            </w:r>
          </w:p>
        </w:tc>
      </w:tr>
    </w:tbl>
    <w:p w:rsidR="003E4D8C" w14:paraId="3DEF8A07" w14:textId="77777777">
      <w:pPr>
        <w:rPr>
          <w:b/>
        </w:rPr>
      </w:pPr>
    </w:p>
    <w:p w:rsidR="00ED6492" w14:paraId="298EF3DA" w14:textId="77777777">
      <w:pPr>
        <w:rPr>
          <w:b/>
          <w:bCs/>
          <w:u w:val="single"/>
        </w:rPr>
      </w:pPr>
    </w:p>
    <w:p w:rsidR="0069403B" w:rsidP="00F06866" w14:paraId="6C2DCCB5"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341325C7" w14:textId="77777777">
      <w:pPr>
        <w:rPr>
          <w:b/>
        </w:rPr>
      </w:pPr>
    </w:p>
    <w:p w:rsidR="00F06866" w:rsidP="00F06866" w14:paraId="5D9D1E08" w14:textId="77777777">
      <w:pPr>
        <w:rPr>
          <w:b/>
        </w:rPr>
      </w:pPr>
      <w:r>
        <w:rPr>
          <w:b/>
        </w:rPr>
        <w:t>The</w:t>
      </w:r>
      <w:r w:rsidR="0069403B">
        <w:rPr>
          <w:b/>
        </w:rPr>
        <w:t xml:space="preserve"> select</w:t>
      </w:r>
      <w:r>
        <w:rPr>
          <w:b/>
        </w:rPr>
        <w:t>ion of your targeted respondents</w:t>
      </w:r>
    </w:p>
    <w:p w:rsidR="0069403B" w:rsidP="0069403B" w14:paraId="6F95F178" w14:textId="72EC9C7D">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4F5B7F">
        <w:t xml:space="preserve">X </w:t>
      </w:r>
      <w:r>
        <w:t>]</w:t>
      </w:r>
      <w:r>
        <w:t xml:space="preserve"> Yes</w:t>
      </w:r>
      <w:r>
        <w:tab/>
        <w:t>[ ] No</w:t>
      </w:r>
    </w:p>
    <w:p w:rsidR="00636621" w:rsidP="00636621" w14:paraId="665D7D41" w14:textId="77777777">
      <w:pPr>
        <w:pStyle w:val="ListParagraph"/>
      </w:pPr>
    </w:p>
    <w:p w:rsidR="00636621" w:rsidRPr="009839B4" w:rsidP="001B0AAA" w14:paraId="2B9B1FC6" w14:textId="77777777">
      <w:pPr>
        <w:rPr>
          <w:b/>
        </w:rPr>
      </w:pPr>
      <w:r w:rsidRPr="009839B4">
        <w:rPr>
          <w:b/>
        </w:rPr>
        <w:t xml:space="preserve">If the answer is yes, please </w:t>
      </w:r>
      <w:r w:rsidRPr="009839B4">
        <w:rPr>
          <w:b/>
        </w:rPr>
        <w:t>provide</w:t>
      </w:r>
      <w:r w:rsidRPr="009839B4">
        <w:rPr>
          <w:b/>
        </w:rPr>
        <w:t xml:space="preserve"> a description of both below</w:t>
      </w:r>
      <w:r w:rsidRPr="009839B4" w:rsidR="00A403BB">
        <w:rPr>
          <w:b/>
        </w:rPr>
        <w:t xml:space="preserve"> (or attach the sampling plan)</w:t>
      </w:r>
      <w:r w:rsidRPr="009839B4">
        <w:rPr>
          <w:b/>
        </w:rPr>
        <w:t>?   If the answer is no, please provide a description of how you plan to identify your potential group of respondents</w:t>
      </w:r>
      <w:r w:rsidRPr="009839B4" w:rsidR="001B0AAA">
        <w:rPr>
          <w:b/>
        </w:rPr>
        <w:t xml:space="preserve"> and how you will select them</w:t>
      </w:r>
      <w:r w:rsidRPr="009839B4">
        <w:rPr>
          <w:b/>
        </w:rPr>
        <w:t>?</w:t>
      </w:r>
    </w:p>
    <w:p w:rsidR="00A403BB" w:rsidRPr="009839B4" w:rsidP="00A403BB" w14:paraId="791EBDC0" w14:textId="77777777"/>
    <w:p w:rsidR="00A77B02" w:rsidRPr="00BA074B" w:rsidP="73B47B9A" w14:paraId="2B627240" w14:textId="235ABB80">
      <w:pPr>
        <w:pStyle w:val="CommentText"/>
        <w:rPr>
          <w:sz w:val="24"/>
          <w:szCs w:val="24"/>
        </w:rPr>
      </w:pPr>
      <w:r>
        <w:rPr>
          <w:sz w:val="24"/>
          <w:szCs w:val="24"/>
        </w:rPr>
        <w:t>Through previous information collection activities</w:t>
      </w:r>
      <w:r>
        <w:rPr>
          <w:rStyle w:val="FootnoteReference"/>
          <w:sz w:val="24"/>
          <w:szCs w:val="24"/>
        </w:rPr>
        <w:footnoteReference w:id="3"/>
      </w:r>
      <w:r>
        <w:rPr>
          <w:sz w:val="24"/>
          <w:szCs w:val="24"/>
        </w:rPr>
        <w:t>, w</w:t>
      </w:r>
      <w:r w:rsidR="001D239C">
        <w:rPr>
          <w:sz w:val="24"/>
          <w:szCs w:val="24"/>
        </w:rPr>
        <w:t xml:space="preserve">e have a list of Insiders who have signed up and obtained the necessary permission to participate in the panel. However, we do not have a sampling plan. </w:t>
      </w:r>
      <w:r w:rsidRPr="00055C02" w:rsidR="7F54C1F5">
        <w:rPr>
          <w:sz w:val="24"/>
          <w:szCs w:val="24"/>
        </w:rPr>
        <w:t>Participants are part of an online</w:t>
      </w:r>
      <w:r w:rsidRPr="00055C02" w:rsidR="20B29541">
        <w:rPr>
          <w:sz w:val="24"/>
          <w:szCs w:val="24"/>
        </w:rPr>
        <w:t>, nonprobability</w:t>
      </w:r>
      <w:r w:rsidRPr="00055C02" w:rsidR="7F54C1F5">
        <w:rPr>
          <w:sz w:val="24"/>
          <w:szCs w:val="24"/>
        </w:rPr>
        <w:t xml:space="preserve"> </w:t>
      </w:r>
      <w:r w:rsidRPr="00055C02" w:rsidR="20B29541">
        <w:rPr>
          <w:sz w:val="24"/>
          <w:szCs w:val="24"/>
        </w:rPr>
        <w:t xml:space="preserve">purposeful </w:t>
      </w:r>
      <w:r w:rsidRPr="00055C02" w:rsidR="51B24BDD">
        <w:rPr>
          <w:sz w:val="24"/>
          <w:szCs w:val="24"/>
        </w:rPr>
        <w:t>panel</w:t>
      </w:r>
      <w:r w:rsidR="001D239C">
        <w:rPr>
          <w:sz w:val="24"/>
          <w:szCs w:val="24"/>
        </w:rPr>
        <w:t xml:space="preserve"> and their input is not</w:t>
      </w:r>
      <w:r w:rsidRPr="00BA074B" w:rsidR="491CCCBA">
        <w:rPr>
          <w:sz w:val="24"/>
          <w:szCs w:val="24"/>
        </w:rPr>
        <w:t xml:space="preserve"> generalizable to the general population. </w:t>
      </w:r>
      <w:r w:rsidRPr="00BA074B" w:rsidR="51B24BDD">
        <w:rPr>
          <w:sz w:val="24"/>
          <w:szCs w:val="24"/>
        </w:rPr>
        <w:t>Panel participants are recruited through a variety of means</w:t>
      </w:r>
      <w:r w:rsidRPr="00BA074B" w:rsidR="6639355D">
        <w:rPr>
          <w:sz w:val="24"/>
          <w:szCs w:val="24"/>
        </w:rPr>
        <w:t>,</w:t>
      </w:r>
      <w:r w:rsidRPr="00BA074B" w:rsidR="51B24BDD">
        <w:rPr>
          <w:sz w:val="24"/>
          <w:szCs w:val="24"/>
        </w:rPr>
        <w:t xml:space="preserve"> including both Instagram and </w:t>
      </w:r>
      <w:r w:rsidRPr="00BA074B" w:rsidR="11FDD110">
        <w:rPr>
          <w:sz w:val="24"/>
          <w:szCs w:val="24"/>
        </w:rPr>
        <w:t xml:space="preserve">outreach to FYSB-funded grantees. The goal is to have a </w:t>
      </w:r>
      <w:r w:rsidRPr="00BA074B" w:rsidR="491CCCBA">
        <w:rPr>
          <w:sz w:val="24"/>
          <w:szCs w:val="24"/>
        </w:rPr>
        <w:t>diverse grou</w:t>
      </w:r>
      <w:r w:rsidRPr="00BA074B" w:rsidR="11FDD110">
        <w:rPr>
          <w:sz w:val="24"/>
          <w:szCs w:val="24"/>
        </w:rPr>
        <w:t>p</w:t>
      </w:r>
      <w:r w:rsidRPr="00BA074B" w:rsidR="491CCCBA">
        <w:rPr>
          <w:sz w:val="24"/>
          <w:szCs w:val="24"/>
        </w:rPr>
        <w:t xml:space="preserve"> of youth and young adults aged </w:t>
      </w:r>
      <w:r w:rsidRPr="00BA074B" w:rsidR="0F6DB56F">
        <w:rPr>
          <w:sz w:val="24"/>
          <w:szCs w:val="24"/>
        </w:rPr>
        <w:t>13</w:t>
      </w:r>
      <w:r w:rsidRPr="00BA074B" w:rsidR="6639355D">
        <w:rPr>
          <w:sz w:val="24"/>
          <w:szCs w:val="24"/>
        </w:rPr>
        <w:t>–</w:t>
      </w:r>
      <w:r w:rsidRPr="00BA074B" w:rsidR="0F6DB56F">
        <w:rPr>
          <w:sz w:val="24"/>
          <w:szCs w:val="24"/>
        </w:rPr>
        <w:t>21</w:t>
      </w:r>
      <w:r w:rsidRPr="00BA074B" w:rsidR="491CCCBA">
        <w:rPr>
          <w:sz w:val="24"/>
          <w:szCs w:val="24"/>
        </w:rPr>
        <w:t xml:space="preserve"> from different regions around the U.S., with targeted recruitment of high-risk youth to ensure their voices are heard. </w:t>
      </w:r>
      <w:r w:rsidRPr="00BA074B" w:rsidR="7ED682E8">
        <w:rPr>
          <w:sz w:val="24"/>
          <w:szCs w:val="24"/>
        </w:rPr>
        <w:t xml:space="preserve">Of note, the community of youth for this contract </w:t>
      </w:r>
      <w:r w:rsidRPr="00BA074B" w:rsidR="11FDD110">
        <w:rPr>
          <w:sz w:val="24"/>
          <w:szCs w:val="24"/>
        </w:rPr>
        <w:t xml:space="preserve">includes and expands the </w:t>
      </w:r>
      <w:r w:rsidRPr="00BA074B" w:rsidR="7ED682E8">
        <w:rPr>
          <w:sz w:val="24"/>
          <w:szCs w:val="24"/>
        </w:rPr>
        <w:t xml:space="preserve">community of youth from the previous </w:t>
      </w:r>
      <w:r w:rsidRPr="00BA074B" w:rsidR="11FDD110">
        <w:rPr>
          <w:sz w:val="24"/>
          <w:szCs w:val="24"/>
        </w:rPr>
        <w:t xml:space="preserve">Sexual Risk Avoidance </w:t>
      </w:r>
      <w:r w:rsidRPr="00BA074B" w:rsidR="7ED682E8">
        <w:rPr>
          <w:sz w:val="24"/>
          <w:szCs w:val="24"/>
        </w:rPr>
        <w:t>contract, which had an existing approval.</w:t>
      </w:r>
    </w:p>
    <w:p w:rsidR="009839B4" w:rsidRPr="00064AA0" w:rsidP="009839B4" w14:paraId="1230E184" w14:textId="77777777">
      <w:pPr>
        <w:pStyle w:val="BodyText"/>
        <w:rPr>
          <w:i w:val="0"/>
          <w:sz w:val="24"/>
          <w:szCs w:val="24"/>
        </w:rPr>
      </w:pPr>
    </w:p>
    <w:p w:rsidR="009839B4" w:rsidP="009839B4" w14:paraId="78483953" w14:textId="47D04204">
      <w:pPr>
        <w:pStyle w:val="BodyText"/>
        <w:rPr>
          <w:i w:val="0"/>
          <w:sz w:val="24"/>
          <w:szCs w:val="24"/>
        </w:rPr>
      </w:pPr>
      <w:r>
        <w:rPr>
          <w:i w:val="0"/>
          <w:sz w:val="24"/>
          <w:szCs w:val="24"/>
        </w:rPr>
        <w:t xml:space="preserve">Participant feedback </w:t>
      </w:r>
      <w:r w:rsidRPr="2BC051C3" w:rsidR="00401ED7">
        <w:rPr>
          <w:i w:val="0"/>
          <w:iCs w:val="0"/>
          <w:sz w:val="24"/>
          <w:szCs w:val="24"/>
        </w:rPr>
        <w:t>consist</w:t>
      </w:r>
      <w:r w:rsidRPr="2BC051C3" w:rsidR="001B192E">
        <w:rPr>
          <w:i w:val="0"/>
          <w:iCs w:val="0"/>
          <w:sz w:val="24"/>
          <w:szCs w:val="24"/>
        </w:rPr>
        <w:t>s</w:t>
      </w:r>
      <w:r w:rsidRPr="00401ED7" w:rsidR="00401ED7">
        <w:rPr>
          <w:i w:val="0"/>
          <w:sz w:val="24"/>
          <w:szCs w:val="24"/>
        </w:rPr>
        <w:t xml:space="preserve"> of </w:t>
      </w:r>
      <w:r w:rsidRPr="2BC051C3" w:rsidR="522D1D11">
        <w:rPr>
          <w:i w:val="0"/>
          <w:iCs w:val="0"/>
          <w:sz w:val="24"/>
          <w:szCs w:val="24"/>
        </w:rPr>
        <w:t xml:space="preserve">up to </w:t>
      </w:r>
      <w:r w:rsidR="00085A7F">
        <w:rPr>
          <w:i w:val="0"/>
          <w:sz w:val="24"/>
          <w:szCs w:val="24"/>
        </w:rPr>
        <w:t>60</w:t>
      </w:r>
      <w:r w:rsidRPr="00401ED7" w:rsidR="00085A7F">
        <w:rPr>
          <w:i w:val="0"/>
          <w:sz w:val="24"/>
          <w:szCs w:val="24"/>
        </w:rPr>
        <w:t xml:space="preserve"> </w:t>
      </w:r>
      <w:r w:rsidR="00085A7F">
        <w:rPr>
          <w:i w:val="0"/>
          <w:sz w:val="24"/>
          <w:szCs w:val="24"/>
        </w:rPr>
        <w:t xml:space="preserve">asynchronous </w:t>
      </w:r>
      <w:r w:rsidRPr="00401ED7" w:rsidR="00401ED7">
        <w:rPr>
          <w:i w:val="0"/>
          <w:sz w:val="24"/>
          <w:szCs w:val="24"/>
        </w:rPr>
        <w:t xml:space="preserve">remote testing </w:t>
      </w:r>
      <w:r w:rsidR="0044762D">
        <w:rPr>
          <w:i w:val="0"/>
          <w:sz w:val="24"/>
          <w:szCs w:val="24"/>
        </w:rPr>
        <w:t>activitie</w:t>
      </w:r>
      <w:r w:rsidRPr="00401ED7" w:rsidR="0044762D">
        <w:rPr>
          <w:i w:val="0"/>
          <w:sz w:val="24"/>
          <w:szCs w:val="24"/>
        </w:rPr>
        <w:t>s</w:t>
      </w:r>
      <w:r w:rsidR="0044762D">
        <w:rPr>
          <w:i w:val="0"/>
          <w:sz w:val="24"/>
          <w:szCs w:val="24"/>
        </w:rPr>
        <w:t xml:space="preserve"> per year</w:t>
      </w:r>
      <w:r w:rsidR="001D239C">
        <w:rPr>
          <w:i w:val="0"/>
          <w:sz w:val="24"/>
          <w:szCs w:val="24"/>
        </w:rPr>
        <w:t xml:space="preserve">, depending on how many </w:t>
      </w:r>
      <w:r w:rsidR="001D239C">
        <w:rPr>
          <w:i w:val="0"/>
          <w:sz w:val="24"/>
          <w:szCs w:val="24"/>
        </w:rPr>
        <w:t>youth</w:t>
      </w:r>
      <w:r w:rsidR="001D239C">
        <w:rPr>
          <w:i w:val="0"/>
          <w:sz w:val="24"/>
          <w:szCs w:val="24"/>
        </w:rPr>
        <w:t xml:space="preserve"> elect to respond to any given query</w:t>
      </w:r>
      <w:r w:rsidRPr="00401ED7" w:rsidR="00401ED7">
        <w:rPr>
          <w:i w:val="0"/>
          <w:sz w:val="24"/>
          <w:szCs w:val="24"/>
        </w:rPr>
        <w:t xml:space="preserve">. </w:t>
      </w:r>
      <w:r w:rsidR="00CA391F">
        <w:rPr>
          <w:i w:val="0"/>
          <w:sz w:val="24"/>
          <w:szCs w:val="24"/>
        </w:rPr>
        <w:t>An average of 5 r</w:t>
      </w:r>
      <w:r w:rsidRPr="00401ED7" w:rsidR="00401ED7">
        <w:rPr>
          <w:i w:val="0"/>
          <w:sz w:val="24"/>
          <w:szCs w:val="24"/>
        </w:rPr>
        <w:t xml:space="preserve">emote testing </w:t>
      </w:r>
      <w:r w:rsidR="0044762D">
        <w:rPr>
          <w:i w:val="0"/>
          <w:sz w:val="24"/>
          <w:szCs w:val="24"/>
        </w:rPr>
        <w:t>activitie</w:t>
      </w:r>
      <w:r w:rsidRPr="00401ED7" w:rsidR="00401ED7">
        <w:rPr>
          <w:i w:val="0"/>
          <w:sz w:val="24"/>
          <w:szCs w:val="24"/>
        </w:rPr>
        <w:t xml:space="preserve">s will </w:t>
      </w:r>
      <w:r w:rsidR="00CA391F">
        <w:rPr>
          <w:i w:val="0"/>
          <w:sz w:val="24"/>
          <w:szCs w:val="24"/>
        </w:rPr>
        <w:t>be posted monthly, or 60 annually,</w:t>
      </w:r>
      <w:r w:rsidRPr="00401ED7" w:rsidR="00401ED7">
        <w:rPr>
          <w:i w:val="0"/>
          <w:sz w:val="24"/>
          <w:szCs w:val="24"/>
        </w:rPr>
        <w:t xml:space="preserve"> </w:t>
      </w:r>
      <w:r w:rsidR="00CA391F">
        <w:rPr>
          <w:i w:val="0"/>
          <w:sz w:val="24"/>
          <w:szCs w:val="24"/>
        </w:rPr>
        <w:t>to the online platform of youth panelists, called “Insiders</w:t>
      </w:r>
      <w:r w:rsidRPr="2BC051C3" w:rsidR="001B192E">
        <w:rPr>
          <w:i w:val="0"/>
          <w:iCs w:val="0"/>
          <w:sz w:val="24"/>
          <w:szCs w:val="24"/>
        </w:rPr>
        <w:t>,</w:t>
      </w:r>
      <w:r w:rsidRPr="2BC051C3" w:rsidR="00CA391F">
        <w:rPr>
          <w:i w:val="0"/>
          <w:iCs w:val="0"/>
          <w:sz w:val="24"/>
          <w:szCs w:val="24"/>
        </w:rPr>
        <w:t>”</w:t>
      </w:r>
      <w:r w:rsidR="00CA391F">
        <w:rPr>
          <w:i w:val="0"/>
          <w:sz w:val="24"/>
          <w:szCs w:val="24"/>
        </w:rPr>
        <w:t xml:space="preserve"> who have created logins and avatar profiles to retain anonymity. T</w:t>
      </w:r>
      <w:r w:rsidR="0044762D">
        <w:rPr>
          <w:i w:val="0"/>
          <w:sz w:val="24"/>
          <w:szCs w:val="24"/>
        </w:rPr>
        <w:t xml:space="preserve">hese youth panelists will have the opportunity to participate in </w:t>
      </w:r>
      <w:r w:rsidR="00CA391F">
        <w:rPr>
          <w:i w:val="0"/>
          <w:sz w:val="24"/>
          <w:szCs w:val="24"/>
        </w:rPr>
        <w:t>as few or as many of the 5 monthly activities as they want</w:t>
      </w:r>
      <w:r w:rsidRPr="00401ED7" w:rsidR="00401ED7">
        <w:rPr>
          <w:i w:val="0"/>
          <w:sz w:val="24"/>
          <w:szCs w:val="24"/>
        </w:rPr>
        <w:t xml:space="preserve">. Most youth participants </w:t>
      </w:r>
      <w:r w:rsidR="00C15CF8">
        <w:rPr>
          <w:i w:val="0"/>
          <w:sz w:val="24"/>
          <w:szCs w:val="24"/>
        </w:rPr>
        <w:t xml:space="preserve">have been and/or </w:t>
      </w:r>
      <w:r w:rsidRPr="00401ED7" w:rsidR="00401ED7">
        <w:rPr>
          <w:i w:val="0"/>
          <w:sz w:val="24"/>
          <w:szCs w:val="24"/>
        </w:rPr>
        <w:t xml:space="preserve">will be recruited through </w:t>
      </w:r>
      <w:r w:rsidR="00085A7F">
        <w:rPr>
          <w:i w:val="0"/>
          <w:sz w:val="24"/>
          <w:szCs w:val="24"/>
        </w:rPr>
        <w:t xml:space="preserve">social media advertisements. </w:t>
      </w:r>
      <w:r w:rsidRPr="00401ED7" w:rsidR="00401ED7">
        <w:rPr>
          <w:i w:val="0"/>
          <w:sz w:val="24"/>
          <w:szCs w:val="24"/>
        </w:rPr>
        <w:t>In some cases, the contractor may supplement the youth population from youth-serving grantee organizations</w:t>
      </w:r>
      <w:r w:rsidR="00CA391F">
        <w:rPr>
          <w:i w:val="0"/>
          <w:sz w:val="24"/>
          <w:szCs w:val="24"/>
        </w:rPr>
        <w:t>.</w:t>
      </w:r>
    </w:p>
    <w:p w:rsidR="00401ED7" w:rsidRPr="009839B4" w:rsidP="009839B4" w14:paraId="05CC2416" w14:textId="77777777">
      <w:pPr>
        <w:pStyle w:val="BodyText"/>
        <w:rPr>
          <w:i w:val="0"/>
          <w:sz w:val="24"/>
          <w:szCs w:val="24"/>
        </w:rPr>
      </w:pPr>
    </w:p>
    <w:p w:rsidR="009839B4" w:rsidP="73B47B9A" w14:paraId="03910815" w14:textId="0FABAE76">
      <w:pPr>
        <w:pStyle w:val="BodyText"/>
        <w:rPr>
          <w:i w:val="0"/>
          <w:iCs w:val="0"/>
          <w:sz w:val="24"/>
          <w:szCs w:val="24"/>
        </w:rPr>
      </w:pPr>
      <w:r w:rsidRPr="73B47B9A">
        <w:rPr>
          <w:i w:val="0"/>
          <w:iCs w:val="0"/>
          <w:sz w:val="24"/>
          <w:szCs w:val="24"/>
        </w:rPr>
        <w:t xml:space="preserve">Screening data </w:t>
      </w:r>
      <w:r w:rsidR="00A5043E">
        <w:rPr>
          <w:i w:val="0"/>
          <w:iCs w:val="0"/>
          <w:sz w:val="24"/>
          <w:szCs w:val="24"/>
        </w:rPr>
        <w:t>are</w:t>
      </w:r>
      <w:r w:rsidR="00CA3660">
        <w:rPr>
          <w:i w:val="0"/>
          <w:iCs w:val="0"/>
          <w:sz w:val="24"/>
          <w:szCs w:val="24"/>
        </w:rPr>
        <w:t xml:space="preserve"> </w:t>
      </w:r>
      <w:r w:rsidRPr="73B47B9A">
        <w:rPr>
          <w:i w:val="0"/>
          <w:iCs w:val="0"/>
          <w:sz w:val="24"/>
          <w:szCs w:val="24"/>
        </w:rPr>
        <w:t xml:space="preserve">collected using a standardized screening instrument to facilitate recruitment of participants into the </w:t>
      </w:r>
      <w:r w:rsidRPr="73B47B9A" w:rsidR="24633534">
        <w:rPr>
          <w:i w:val="0"/>
          <w:iCs w:val="0"/>
          <w:sz w:val="24"/>
          <w:szCs w:val="24"/>
        </w:rPr>
        <w:t xml:space="preserve">project </w:t>
      </w:r>
      <w:r w:rsidRPr="73B47B9A">
        <w:rPr>
          <w:i w:val="0"/>
          <w:iCs w:val="0"/>
          <w:sz w:val="24"/>
          <w:szCs w:val="24"/>
        </w:rPr>
        <w:t xml:space="preserve">for remote testing. The screener will be </w:t>
      </w:r>
      <w:r w:rsidRPr="73B47B9A" w:rsidR="65354F5A">
        <w:rPr>
          <w:i w:val="0"/>
          <w:iCs w:val="0"/>
          <w:sz w:val="24"/>
          <w:szCs w:val="24"/>
        </w:rPr>
        <w:t xml:space="preserve">completed through the online platform as part of private/ profile set-up. </w:t>
      </w:r>
      <w:r w:rsidRPr="73B47B9A">
        <w:rPr>
          <w:i w:val="0"/>
          <w:iCs w:val="0"/>
          <w:sz w:val="24"/>
          <w:szCs w:val="24"/>
        </w:rPr>
        <w:t xml:space="preserve">The recruiters will then collect or confirm the names, emails, </w:t>
      </w:r>
      <w:r w:rsidR="00CA3660">
        <w:rPr>
          <w:i w:val="0"/>
          <w:iCs w:val="0"/>
          <w:sz w:val="24"/>
          <w:szCs w:val="24"/>
        </w:rPr>
        <w:t xml:space="preserve">zip codes, </w:t>
      </w:r>
      <w:r w:rsidR="00B63611">
        <w:rPr>
          <w:i w:val="0"/>
          <w:iCs w:val="0"/>
          <w:sz w:val="24"/>
          <w:szCs w:val="24"/>
        </w:rPr>
        <w:t xml:space="preserve">age/DOB, sex, </w:t>
      </w:r>
      <w:r w:rsidR="00CA3660">
        <w:rPr>
          <w:i w:val="0"/>
          <w:iCs w:val="0"/>
          <w:sz w:val="24"/>
          <w:szCs w:val="24"/>
        </w:rPr>
        <w:t xml:space="preserve">gender, and race/ethnicity </w:t>
      </w:r>
      <w:r w:rsidRPr="73B47B9A">
        <w:rPr>
          <w:i w:val="0"/>
          <w:iCs w:val="0"/>
          <w:sz w:val="24"/>
          <w:szCs w:val="24"/>
        </w:rPr>
        <w:t>of the eligible individuals who agree to participate</w:t>
      </w:r>
      <w:r w:rsidRPr="73B47B9A" w:rsidR="12B659F1">
        <w:rPr>
          <w:i w:val="0"/>
          <w:iCs w:val="0"/>
          <w:sz w:val="24"/>
          <w:szCs w:val="24"/>
        </w:rPr>
        <w:t>. Recruiters will also confirm youth assent and parental consent (</w:t>
      </w:r>
      <w:r w:rsidR="00CA3660">
        <w:rPr>
          <w:i w:val="0"/>
          <w:iCs w:val="0"/>
          <w:sz w:val="24"/>
          <w:szCs w:val="24"/>
        </w:rPr>
        <w:t>as</w:t>
      </w:r>
      <w:r w:rsidRPr="73B47B9A" w:rsidR="12B659F1">
        <w:rPr>
          <w:i w:val="0"/>
          <w:iCs w:val="0"/>
          <w:sz w:val="24"/>
          <w:szCs w:val="24"/>
        </w:rPr>
        <w:t xml:space="preserve"> applicable) forms have been turned in </w:t>
      </w:r>
      <w:r w:rsidRPr="73B47B9A" w:rsidR="7F7CB194">
        <w:rPr>
          <w:i w:val="0"/>
          <w:iCs w:val="0"/>
          <w:sz w:val="24"/>
          <w:szCs w:val="24"/>
        </w:rPr>
        <w:t>before</w:t>
      </w:r>
      <w:r w:rsidRPr="73B47B9A" w:rsidR="12B659F1">
        <w:rPr>
          <w:i w:val="0"/>
          <w:iCs w:val="0"/>
          <w:sz w:val="24"/>
          <w:szCs w:val="24"/>
        </w:rPr>
        <w:t xml:space="preserve"> granting full access to the platform</w:t>
      </w:r>
      <w:r w:rsidRPr="73B47B9A">
        <w:rPr>
          <w:i w:val="0"/>
          <w:iCs w:val="0"/>
          <w:sz w:val="24"/>
          <w:szCs w:val="24"/>
        </w:rPr>
        <w:t xml:space="preserve">. This information will be used </w:t>
      </w:r>
      <w:r w:rsidRPr="00B736B2" w:rsidR="00B736B2">
        <w:rPr>
          <w:i w:val="0"/>
          <w:iCs w:val="0"/>
          <w:sz w:val="24"/>
          <w:szCs w:val="24"/>
        </w:rPr>
        <w:t xml:space="preserve">ensure </w:t>
      </w:r>
      <w:r w:rsidRPr="00B736B2" w:rsidR="00B736B2">
        <w:rPr>
          <w:i w:val="0"/>
          <w:iCs w:val="0"/>
          <w:color w:val="212121"/>
          <w:sz w:val="24"/>
          <w:szCs w:val="24"/>
        </w:rPr>
        <w:t xml:space="preserve">we have representation across a wide variety of youth and </w:t>
      </w:r>
      <w:r w:rsidRPr="73B47B9A">
        <w:rPr>
          <w:i w:val="0"/>
          <w:iCs w:val="0"/>
          <w:sz w:val="24"/>
          <w:szCs w:val="24"/>
        </w:rPr>
        <w:t>to send participants confirmation of their participation in the data collection.</w:t>
      </w:r>
      <w:r w:rsidR="00CA3660">
        <w:rPr>
          <w:i w:val="0"/>
          <w:iCs w:val="0"/>
          <w:sz w:val="24"/>
          <w:szCs w:val="24"/>
        </w:rPr>
        <w:t xml:space="preserve"> All screening information will be stored </w:t>
      </w:r>
      <w:r w:rsidR="00CA3660">
        <w:rPr>
          <w:i w:val="0"/>
          <w:iCs w:val="0"/>
          <w:sz w:val="24"/>
          <w:szCs w:val="24"/>
        </w:rPr>
        <w:t xml:space="preserve">on a secure drive and will not </w:t>
      </w:r>
      <w:r w:rsidR="00CA3660">
        <w:rPr>
          <w:i w:val="0"/>
          <w:iCs w:val="0"/>
          <w:sz w:val="24"/>
          <w:szCs w:val="24"/>
        </w:rPr>
        <w:t>be connected with</w:t>
      </w:r>
      <w:r w:rsidR="00CA3660">
        <w:rPr>
          <w:i w:val="0"/>
          <w:iCs w:val="0"/>
          <w:sz w:val="24"/>
          <w:szCs w:val="24"/>
        </w:rPr>
        <w:t xml:space="preserve"> the participants ID or other information for the online system. </w:t>
      </w:r>
    </w:p>
    <w:p w:rsidR="00616E30" w:rsidP="73B47B9A" w14:paraId="2292711E" w14:textId="2413BEAB">
      <w:pPr>
        <w:pStyle w:val="BodyText"/>
        <w:rPr>
          <w:i w:val="0"/>
          <w:iCs w:val="0"/>
          <w:sz w:val="24"/>
          <w:szCs w:val="24"/>
        </w:rPr>
      </w:pPr>
    </w:p>
    <w:p w:rsidR="009839B4" w:rsidRPr="009839B4" w:rsidP="009839B4" w14:paraId="6DEFC7EC" w14:textId="77777777">
      <w:pPr>
        <w:pStyle w:val="BodyText"/>
        <w:rPr>
          <w:rFonts w:ascii="Calibri" w:hAnsi="Calibri" w:cs="Arial"/>
          <w:i w:val="0"/>
        </w:rPr>
      </w:pPr>
    </w:p>
    <w:p w:rsidR="00A403BB" w:rsidP="00A403BB" w14:paraId="75D0BE32" w14:textId="77777777">
      <w:pPr>
        <w:rPr>
          <w:b/>
        </w:rPr>
      </w:pPr>
      <w:r>
        <w:rPr>
          <w:b/>
        </w:rPr>
        <w:t>Administration of the Instrument</w:t>
      </w:r>
    </w:p>
    <w:p w:rsidR="00A403BB" w:rsidP="00A403BB" w14:paraId="641D7B73" w14:textId="77777777">
      <w:pPr>
        <w:pStyle w:val="ListParagraph"/>
        <w:numPr>
          <w:ilvl w:val="0"/>
          <w:numId w:val="17"/>
        </w:numPr>
      </w:pPr>
      <w:r>
        <w:t>H</w:t>
      </w:r>
      <w:r>
        <w:t>ow will you collect the information? (Check all that apply)</w:t>
      </w:r>
    </w:p>
    <w:p w:rsidR="001B0AAA" w:rsidP="001B0AAA" w14:paraId="5A15CB35" w14:textId="77777777">
      <w:pPr>
        <w:ind w:left="720"/>
      </w:pPr>
      <w:r>
        <w:t>[</w:t>
      </w:r>
      <w:r w:rsidR="009839B4">
        <w:t>X</w:t>
      </w:r>
      <w:r>
        <w:t>] Web-based</w:t>
      </w:r>
      <w:r>
        <w:t xml:space="preserve"> or other forms of </w:t>
      </w:r>
      <w:r>
        <w:t>Social Media</w:t>
      </w:r>
      <w:r>
        <w:t xml:space="preserve"> </w:t>
      </w:r>
    </w:p>
    <w:p w:rsidR="001B0AAA" w:rsidP="001B0AAA" w14:paraId="1121A7B1" w14:textId="087C0BB5">
      <w:pPr>
        <w:ind w:left="720"/>
      </w:pPr>
      <w:r>
        <w:t>[</w:t>
      </w:r>
      <w:r w:rsidR="5C1AD3CC">
        <w:t xml:space="preserve">  </w:t>
      </w:r>
      <w:r>
        <w:t>]</w:t>
      </w:r>
      <w:r>
        <w:t xml:space="preserve"> Telephone</w:t>
      </w:r>
      <w:r w:rsidR="00A403BB">
        <w:tab/>
      </w:r>
    </w:p>
    <w:p w:rsidR="001B0AAA" w:rsidP="001B0AAA" w14:paraId="532AF94E" w14:textId="77777777">
      <w:pPr>
        <w:ind w:left="720"/>
      </w:pPr>
      <w:r>
        <w:t>[</w:t>
      </w:r>
      <w:r w:rsidR="009F02EB">
        <w:t xml:space="preserve">  </w:t>
      </w:r>
      <w:r>
        <w:t>]</w:t>
      </w:r>
      <w:r>
        <w:t xml:space="preserve"> In-person</w:t>
      </w:r>
      <w:r>
        <w:tab/>
      </w:r>
    </w:p>
    <w:p w:rsidR="001B0AAA" w:rsidP="001B0AAA" w14:paraId="32AB1488" w14:textId="77777777">
      <w:pPr>
        <w:ind w:left="720"/>
      </w:pPr>
      <w:r>
        <w:t xml:space="preserve">[ </w:t>
      </w:r>
      <w:r>
        <w:t xml:space="preserve"> </w:t>
      </w:r>
      <w:r>
        <w:t>]</w:t>
      </w:r>
      <w:r>
        <w:t xml:space="preserve"> Mail</w:t>
      </w:r>
      <w:r>
        <w:t xml:space="preserve"> </w:t>
      </w:r>
    </w:p>
    <w:p w:rsidR="001B0AAA" w:rsidP="001B0AAA" w14:paraId="683F6E29" w14:textId="77777777">
      <w:pPr>
        <w:ind w:left="720"/>
      </w:pPr>
      <w:r>
        <w:t xml:space="preserve">[ </w:t>
      </w:r>
      <w:r>
        <w:t xml:space="preserve"> </w:t>
      </w:r>
      <w:r>
        <w:t>]</w:t>
      </w:r>
      <w:r>
        <w:t xml:space="preserve"> Other, Explain</w:t>
      </w:r>
      <w:r w:rsidR="009839B4">
        <w:br/>
      </w:r>
    </w:p>
    <w:p w:rsidR="00F24CFC" w:rsidP="00F24CFC" w14:paraId="6472030B" w14:textId="77777777">
      <w:pPr>
        <w:pStyle w:val="ListParagraph"/>
        <w:numPr>
          <w:ilvl w:val="0"/>
          <w:numId w:val="17"/>
        </w:numPr>
      </w:pPr>
      <w:r>
        <w:t xml:space="preserve">Will interviewers or facilitators be used?  </w:t>
      </w:r>
      <w:r>
        <w:t>[  ]</w:t>
      </w:r>
      <w:r>
        <w:t xml:space="preserve"> Yes [ </w:t>
      </w:r>
      <w:r w:rsidR="00701CE7">
        <w:t>X</w:t>
      </w:r>
      <w:r>
        <w:t xml:space="preserve"> ] No</w:t>
      </w:r>
    </w:p>
    <w:p w:rsidR="00701CE7" w:rsidP="00701CE7" w14:paraId="04EBA945" w14:textId="77777777">
      <w:pPr>
        <w:pStyle w:val="ListParagraph"/>
        <w:ind w:left="360"/>
      </w:pPr>
    </w:p>
    <w:p w:rsidR="00F24CFC" w:rsidP="00F24CFC" w14:paraId="507DBA00" w14:textId="4AF6E88E">
      <w:pPr>
        <w:pStyle w:val="ListParagraph"/>
        <w:ind w:left="360"/>
      </w:pPr>
    </w:p>
    <w:p w:rsidR="0024521E" w:rsidP="0024521E" w14:paraId="02556FAA" w14:textId="144E67F1">
      <w:pPr>
        <w:rPr>
          <w:b/>
        </w:rPr>
      </w:pPr>
      <w:r w:rsidRPr="00F24CFC">
        <w:rPr>
          <w:b/>
        </w:rPr>
        <w:t>Please make sure that all instruments, instructions, and scripts are submitted with the request.</w:t>
      </w:r>
    </w:p>
    <w:p w:rsidR="00064AA0" w:rsidP="0024521E" w14:paraId="1EF636DC" w14:textId="53E5B371">
      <w:pPr>
        <w:rPr>
          <w:bCs/>
        </w:rPr>
      </w:pPr>
    </w:p>
    <w:p w:rsidR="00055C02" w:rsidP="0024521E" w14:paraId="2E21D07E" w14:textId="3074535F">
      <w:pPr>
        <w:rPr>
          <w:bCs/>
        </w:rPr>
      </w:pPr>
      <w:r>
        <w:rPr>
          <w:bCs/>
        </w:rPr>
        <w:t xml:space="preserve">See Attached: </w:t>
      </w:r>
    </w:p>
    <w:p w:rsidR="00055C02" w:rsidRPr="00055C02" w:rsidP="00055C02" w14:paraId="79AF37A7" w14:textId="45366499">
      <w:pPr>
        <w:pStyle w:val="ListParagraph"/>
        <w:numPr>
          <w:ilvl w:val="0"/>
          <w:numId w:val="20"/>
        </w:numPr>
        <w:rPr>
          <w:bCs/>
        </w:rPr>
      </w:pPr>
      <w:r w:rsidRPr="00055C02">
        <w:rPr>
          <w:bCs/>
        </w:rPr>
        <w:t>Attachment 1_Discussion Prompts_OMB_01.17.23_Remote Testing</w:t>
      </w:r>
    </w:p>
    <w:p w:rsidR="00055C02" w:rsidRPr="00055C02" w:rsidP="00055C02" w14:paraId="52BE2B28" w14:textId="3E8A4338">
      <w:pPr>
        <w:pStyle w:val="ListParagraph"/>
        <w:numPr>
          <w:ilvl w:val="0"/>
          <w:numId w:val="20"/>
        </w:numPr>
        <w:rPr>
          <w:bCs/>
        </w:rPr>
      </w:pPr>
      <w:r>
        <w:rPr>
          <w:bCs/>
        </w:rPr>
        <w:t>Attachment 2_</w:t>
      </w:r>
      <w:r w:rsidRPr="00055C02">
        <w:rPr>
          <w:bCs/>
        </w:rPr>
        <w:t>Insider Youth Assent Form__OMB_02-13-23_Remote Testing</w:t>
      </w:r>
    </w:p>
    <w:p w:rsidR="00055C02" w:rsidRPr="00055C02" w:rsidP="00055C02" w14:paraId="267E293C" w14:textId="5B73EFC9">
      <w:pPr>
        <w:pStyle w:val="ListParagraph"/>
        <w:numPr>
          <w:ilvl w:val="0"/>
          <w:numId w:val="20"/>
        </w:numPr>
        <w:rPr>
          <w:bCs/>
        </w:rPr>
      </w:pPr>
      <w:r>
        <w:rPr>
          <w:bCs/>
        </w:rPr>
        <w:t xml:space="preserve">Attachment </w:t>
      </w:r>
      <w:r w:rsidR="004F5B7F">
        <w:rPr>
          <w:bCs/>
        </w:rPr>
        <w:t>3_</w:t>
      </w:r>
      <w:r w:rsidRPr="00055C02">
        <w:rPr>
          <w:bCs/>
        </w:rPr>
        <w:t>Insider Parent Consent Form_OMB_01.17.23_Remote Testing</w:t>
      </w:r>
    </w:p>
    <w:p w:rsidR="005E714A" w:rsidRPr="008228C3" w:rsidP="00672E74" w14:paraId="29BFED3B" w14:textId="0B2702E0">
      <w:pPr>
        <w:pStyle w:val="Heading2"/>
        <w:tabs>
          <w:tab w:val="left" w:pos="900"/>
        </w:tabs>
        <w:ind w:right="-180"/>
      </w:pPr>
    </w:p>
    <w:sectPr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2628A" w14:paraId="74F3A4D2" w14:textId="77777777">
      <w:r>
        <w:separator/>
      </w:r>
    </w:p>
  </w:endnote>
  <w:endnote w:type="continuationSeparator" w:id="1">
    <w:p w:rsidR="0042628A" w14:paraId="21D92225" w14:textId="77777777">
      <w:r>
        <w:continuationSeparator/>
      </w:r>
    </w:p>
  </w:endnote>
  <w:endnote w:type="continuationNotice" w:id="2">
    <w:p w:rsidR="0042628A" w14:paraId="694636C0" w14:textId="77777777"/>
  </w:endnote>
  <w:endnote w:id="3">
    <w:p w:rsidR="0064759D" w:rsidP="0064759D" w14:paraId="2CA82830" w14:textId="77777777">
      <w:pPr>
        <w:pStyle w:val="EndnoteText"/>
      </w:pPr>
      <w:r>
        <w:rPr>
          <w:rStyle w:val="EndnoteReference"/>
        </w:rPr>
        <w:endnoteRef/>
      </w:r>
      <w:r>
        <w:t xml:space="preserve"> Abreu, D. A., &amp; Winters, F. (1999). Using monetary incentives to reduce attrition in the survey of income and program participation. </w:t>
      </w:r>
      <w:r w:rsidRPr="00642FB6">
        <w:rPr>
          <w:i/>
        </w:rPr>
        <w:t>Proceedings of the Survey Research Methods Section of the American Statistical Association</w:t>
      </w:r>
      <w:r>
        <w:t xml:space="preserve">. </w:t>
      </w:r>
    </w:p>
  </w:endnote>
  <w:endnote w:id="4">
    <w:p w:rsidR="0064759D" w:rsidP="0064759D" w14:paraId="4A1A7ADA" w14:textId="77777777">
      <w:pPr>
        <w:pStyle w:val="EndnoteText"/>
      </w:pPr>
      <w:r>
        <w:rPr>
          <w:rStyle w:val="EndnoteReference"/>
        </w:rPr>
        <w:endnoteRef/>
      </w:r>
      <w:r>
        <w:t xml:space="preserve"> Shettle, C., &amp; Mooney, G. (1999). Monetary incentives in U.S. government surveys. </w:t>
      </w:r>
      <w:r w:rsidRPr="00642FB6">
        <w:rPr>
          <w:i/>
        </w:rPr>
        <w:t>Journal of Official Statistics</w:t>
      </w:r>
      <w:r>
        <w:t xml:space="preserve">, </w:t>
      </w:r>
      <w:r w:rsidRPr="00642FB6">
        <w:rPr>
          <w:i/>
        </w:rPr>
        <w:t>15</w:t>
      </w:r>
      <w:r>
        <w:t>, 231–250.</w:t>
      </w:r>
    </w:p>
  </w:endnote>
  <w:endnote w:id="5">
    <w:p w:rsidR="0064759D" w:rsidP="0064759D" w14:paraId="74E7C69F" w14:textId="5F4B96C1">
      <w:pPr>
        <w:pStyle w:val="EndnoteText"/>
      </w:pPr>
      <w:r>
        <w:rPr>
          <w:rStyle w:val="EndnoteReference"/>
        </w:rPr>
        <w:endnoteRef/>
      </w:r>
      <w:r>
        <w:t xml:space="preserve"> </w:t>
      </w:r>
      <w:r w:rsidRPr="00A441F7">
        <w:t xml:space="preserve">Groth, SW. (2010). Honorarium or coercion: </w:t>
      </w:r>
      <w:r w:rsidRPr="00A441F7" w:rsidR="008F24A1">
        <w:t>Use</w:t>
      </w:r>
      <w:r w:rsidRPr="00A441F7">
        <w:t xml:space="preserve"> of incentives for participants in clinical research</w:t>
      </w:r>
      <w:r w:rsidRPr="00642FB6">
        <w:rPr>
          <w:i/>
        </w:rPr>
        <w:t>.  Journal of the New York State Nurses Association</w:t>
      </w:r>
      <w:r w:rsidRPr="00A441F7">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54A921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26BBE">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2628A" w14:paraId="04502DB9" w14:textId="77777777">
      <w:r>
        <w:separator/>
      </w:r>
    </w:p>
  </w:footnote>
  <w:footnote w:type="continuationSeparator" w:id="1">
    <w:p w:rsidR="0042628A" w14:paraId="1FB46021" w14:textId="77777777">
      <w:r>
        <w:continuationSeparator/>
      </w:r>
    </w:p>
  </w:footnote>
  <w:footnote w:type="continuationNotice" w:id="2">
    <w:p w:rsidR="0042628A" w14:paraId="3FBB69EF" w14:textId="77777777"/>
  </w:footnote>
  <w:footnote w:id="3">
    <w:p w:rsidR="0058081C" w:rsidP="0058081C" w14:paraId="6AD7D71E" w14:textId="77777777">
      <w:pPr>
        <w:pStyle w:val="FootnoteText"/>
      </w:pPr>
      <w:r>
        <w:rPr>
          <w:rStyle w:val="FootnoteReference"/>
        </w:rPr>
        <w:footnoteRef/>
      </w:r>
      <w:r>
        <w:t xml:space="preserve"> Approved under OMB# 0970-0401: </w:t>
      </w:r>
      <w:r w:rsidRPr="0022540F">
        <w:t xml:space="preserve">https://www.reginfo.gov/public/do/PRAViewIC?ref_nbr=202105-0970-001&amp;icID=233069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57170E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6257C32"/>
    <w:multiLevelType w:val="hybridMultilevel"/>
    <w:tmpl w:val="B33813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5A34FFA"/>
    <w:multiLevelType w:val="hybridMultilevel"/>
    <w:tmpl w:val="A386F0C2"/>
    <w:lvl w:ilvl="0">
      <w:start w:val="70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05378508">
    <w:abstractNumId w:val="12"/>
  </w:num>
  <w:num w:numId="2" w16cid:durableId="1126315195">
    <w:abstractNumId w:val="18"/>
  </w:num>
  <w:num w:numId="3" w16cid:durableId="1481800249">
    <w:abstractNumId w:val="17"/>
  </w:num>
  <w:num w:numId="4" w16cid:durableId="1687636356">
    <w:abstractNumId w:val="19"/>
  </w:num>
  <w:num w:numId="5" w16cid:durableId="1431660222">
    <w:abstractNumId w:val="4"/>
  </w:num>
  <w:num w:numId="6" w16cid:durableId="1919944270">
    <w:abstractNumId w:val="1"/>
  </w:num>
  <w:num w:numId="7" w16cid:durableId="1591235516">
    <w:abstractNumId w:val="10"/>
  </w:num>
  <w:num w:numId="8" w16cid:durableId="1996185312">
    <w:abstractNumId w:val="15"/>
  </w:num>
  <w:num w:numId="9" w16cid:durableId="1724520439">
    <w:abstractNumId w:val="11"/>
  </w:num>
  <w:num w:numId="10" w16cid:durableId="1713573059">
    <w:abstractNumId w:val="2"/>
  </w:num>
  <w:num w:numId="11" w16cid:durableId="1605571949">
    <w:abstractNumId w:val="8"/>
  </w:num>
  <w:num w:numId="12" w16cid:durableId="1890532300">
    <w:abstractNumId w:val="9"/>
  </w:num>
  <w:num w:numId="13" w16cid:durableId="111748918">
    <w:abstractNumId w:val="0"/>
  </w:num>
  <w:num w:numId="14" w16cid:durableId="173500367">
    <w:abstractNumId w:val="16"/>
  </w:num>
  <w:num w:numId="15" w16cid:durableId="1149901862">
    <w:abstractNumId w:val="14"/>
  </w:num>
  <w:num w:numId="16" w16cid:durableId="776297099">
    <w:abstractNumId w:val="13"/>
  </w:num>
  <w:num w:numId="17" w16cid:durableId="2034722791">
    <w:abstractNumId w:val="5"/>
  </w:num>
  <w:num w:numId="18" w16cid:durableId="539705665">
    <w:abstractNumId w:val="7"/>
  </w:num>
  <w:num w:numId="19" w16cid:durableId="1443186493">
    <w:abstractNumId w:val="6"/>
  </w:num>
  <w:num w:numId="20" w16cid:durableId="435246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217A"/>
    <w:rsid w:val="0001027E"/>
    <w:rsid w:val="00023A57"/>
    <w:rsid w:val="000247E6"/>
    <w:rsid w:val="00044C47"/>
    <w:rsid w:val="00047A64"/>
    <w:rsid w:val="00055C02"/>
    <w:rsid w:val="00064AA0"/>
    <w:rsid w:val="00067329"/>
    <w:rsid w:val="000726C6"/>
    <w:rsid w:val="000847E2"/>
    <w:rsid w:val="00085A7F"/>
    <w:rsid w:val="00086B1F"/>
    <w:rsid w:val="0009125B"/>
    <w:rsid w:val="000A0D6B"/>
    <w:rsid w:val="000A46A1"/>
    <w:rsid w:val="000B2838"/>
    <w:rsid w:val="000C02C7"/>
    <w:rsid w:val="000D2D38"/>
    <w:rsid w:val="000D44CA"/>
    <w:rsid w:val="000E200B"/>
    <w:rsid w:val="000E4675"/>
    <w:rsid w:val="000F68BE"/>
    <w:rsid w:val="001010DC"/>
    <w:rsid w:val="0011257A"/>
    <w:rsid w:val="001174F4"/>
    <w:rsid w:val="00137265"/>
    <w:rsid w:val="00137B36"/>
    <w:rsid w:val="0014120C"/>
    <w:rsid w:val="001467FC"/>
    <w:rsid w:val="00174838"/>
    <w:rsid w:val="00183DCC"/>
    <w:rsid w:val="001860FE"/>
    <w:rsid w:val="001927A4"/>
    <w:rsid w:val="00194AC6"/>
    <w:rsid w:val="001975DE"/>
    <w:rsid w:val="001A23B0"/>
    <w:rsid w:val="001A25CC"/>
    <w:rsid w:val="001A39F0"/>
    <w:rsid w:val="001B0AAA"/>
    <w:rsid w:val="001B192E"/>
    <w:rsid w:val="001C39F7"/>
    <w:rsid w:val="001D239C"/>
    <w:rsid w:val="001D466C"/>
    <w:rsid w:val="001E3527"/>
    <w:rsid w:val="001F03AE"/>
    <w:rsid w:val="002172CA"/>
    <w:rsid w:val="002216C2"/>
    <w:rsid w:val="0022540F"/>
    <w:rsid w:val="002321B2"/>
    <w:rsid w:val="00234B24"/>
    <w:rsid w:val="00237B48"/>
    <w:rsid w:val="00243F28"/>
    <w:rsid w:val="0024521E"/>
    <w:rsid w:val="00247492"/>
    <w:rsid w:val="00255F3F"/>
    <w:rsid w:val="0026145E"/>
    <w:rsid w:val="00263C3D"/>
    <w:rsid w:val="00274D0B"/>
    <w:rsid w:val="002969EF"/>
    <w:rsid w:val="002B052D"/>
    <w:rsid w:val="002B34CD"/>
    <w:rsid w:val="002B3C95"/>
    <w:rsid w:val="002C5B54"/>
    <w:rsid w:val="002D0B92"/>
    <w:rsid w:val="00313750"/>
    <w:rsid w:val="003331EE"/>
    <w:rsid w:val="003664B9"/>
    <w:rsid w:val="0037157D"/>
    <w:rsid w:val="00377B65"/>
    <w:rsid w:val="003B127A"/>
    <w:rsid w:val="003C4D57"/>
    <w:rsid w:val="003D3158"/>
    <w:rsid w:val="003D5BBE"/>
    <w:rsid w:val="003E3C61"/>
    <w:rsid w:val="003E4D8C"/>
    <w:rsid w:val="003E67CE"/>
    <w:rsid w:val="003F1C5B"/>
    <w:rsid w:val="003F5D8E"/>
    <w:rsid w:val="00401ED7"/>
    <w:rsid w:val="0041242E"/>
    <w:rsid w:val="0042628A"/>
    <w:rsid w:val="00434E33"/>
    <w:rsid w:val="004372B5"/>
    <w:rsid w:val="00441434"/>
    <w:rsid w:val="004417F4"/>
    <w:rsid w:val="004422C8"/>
    <w:rsid w:val="0044762D"/>
    <w:rsid w:val="00447E52"/>
    <w:rsid w:val="0045264C"/>
    <w:rsid w:val="00482A57"/>
    <w:rsid w:val="004876EC"/>
    <w:rsid w:val="00490D70"/>
    <w:rsid w:val="004A765A"/>
    <w:rsid w:val="004D6E14"/>
    <w:rsid w:val="004E46FB"/>
    <w:rsid w:val="004E5FA1"/>
    <w:rsid w:val="004F51A8"/>
    <w:rsid w:val="004F5B7F"/>
    <w:rsid w:val="005009B0"/>
    <w:rsid w:val="005400E4"/>
    <w:rsid w:val="005403E9"/>
    <w:rsid w:val="00556D4B"/>
    <w:rsid w:val="00561D7F"/>
    <w:rsid w:val="005673BC"/>
    <w:rsid w:val="00573F8D"/>
    <w:rsid w:val="0058081C"/>
    <w:rsid w:val="00594C84"/>
    <w:rsid w:val="005A1006"/>
    <w:rsid w:val="005A523D"/>
    <w:rsid w:val="005A6806"/>
    <w:rsid w:val="005B352A"/>
    <w:rsid w:val="005D3E20"/>
    <w:rsid w:val="005E04C5"/>
    <w:rsid w:val="005E714A"/>
    <w:rsid w:val="005F2862"/>
    <w:rsid w:val="005F693D"/>
    <w:rsid w:val="006011E6"/>
    <w:rsid w:val="006140A0"/>
    <w:rsid w:val="00616E30"/>
    <w:rsid w:val="00636173"/>
    <w:rsid w:val="00636621"/>
    <w:rsid w:val="00642B49"/>
    <w:rsid w:val="00642FB6"/>
    <w:rsid w:val="0064759D"/>
    <w:rsid w:val="006535C9"/>
    <w:rsid w:val="00666DA2"/>
    <w:rsid w:val="00672D66"/>
    <w:rsid w:val="00672E74"/>
    <w:rsid w:val="006832D9"/>
    <w:rsid w:val="0069002D"/>
    <w:rsid w:val="0069403B"/>
    <w:rsid w:val="006A4C81"/>
    <w:rsid w:val="006A53B1"/>
    <w:rsid w:val="006B093F"/>
    <w:rsid w:val="006C2AF3"/>
    <w:rsid w:val="006E6B18"/>
    <w:rsid w:val="006F2031"/>
    <w:rsid w:val="006F24C5"/>
    <w:rsid w:val="006F3DDE"/>
    <w:rsid w:val="00701CE7"/>
    <w:rsid w:val="00704678"/>
    <w:rsid w:val="0072081A"/>
    <w:rsid w:val="007425E7"/>
    <w:rsid w:val="00747195"/>
    <w:rsid w:val="00775D55"/>
    <w:rsid w:val="0078680E"/>
    <w:rsid w:val="007F7080"/>
    <w:rsid w:val="00802607"/>
    <w:rsid w:val="0080289B"/>
    <w:rsid w:val="008101A5"/>
    <w:rsid w:val="00822664"/>
    <w:rsid w:val="008228C3"/>
    <w:rsid w:val="00830B0B"/>
    <w:rsid w:val="00843796"/>
    <w:rsid w:val="00855EF1"/>
    <w:rsid w:val="00877653"/>
    <w:rsid w:val="00895229"/>
    <w:rsid w:val="008B2EB3"/>
    <w:rsid w:val="008C5220"/>
    <w:rsid w:val="008F0203"/>
    <w:rsid w:val="008F24A1"/>
    <w:rsid w:val="008F3E44"/>
    <w:rsid w:val="008F50D4"/>
    <w:rsid w:val="008F6261"/>
    <w:rsid w:val="008F63B5"/>
    <w:rsid w:val="00907721"/>
    <w:rsid w:val="00916FE6"/>
    <w:rsid w:val="009239AA"/>
    <w:rsid w:val="00924158"/>
    <w:rsid w:val="009312A1"/>
    <w:rsid w:val="00935ADA"/>
    <w:rsid w:val="00946B6C"/>
    <w:rsid w:val="00953B17"/>
    <w:rsid w:val="00954D7B"/>
    <w:rsid w:val="00955A71"/>
    <w:rsid w:val="009566DF"/>
    <w:rsid w:val="0096108F"/>
    <w:rsid w:val="00964A15"/>
    <w:rsid w:val="009650AB"/>
    <w:rsid w:val="00972D57"/>
    <w:rsid w:val="009839B4"/>
    <w:rsid w:val="0098404E"/>
    <w:rsid w:val="00993E0A"/>
    <w:rsid w:val="009951D0"/>
    <w:rsid w:val="009A541F"/>
    <w:rsid w:val="009C13B9"/>
    <w:rsid w:val="009D01A2"/>
    <w:rsid w:val="009D0AAF"/>
    <w:rsid w:val="009D6000"/>
    <w:rsid w:val="009E38F0"/>
    <w:rsid w:val="009F02EB"/>
    <w:rsid w:val="009F5923"/>
    <w:rsid w:val="009F597B"/>
    <w:rsid w:val="00A37CED"/>
    <w:rsid w:val="00A403BB"/>
    <w:rsid w:val="00A441F7"/>
    <w:rsid w:val="00A5043E"/>
    <w:rsid w:val="00A512D2"/>
    <w:rsid w:val="00A648F0"/>
    <w:rsid w:val="00A674DF"/>
    <w:rsid w:val="00A735AE"/>
    <w:rsid w:val="00A77B02"/>
    <w:rsid w:val="00A83AA6"/>
    <w:rsid w:val="00A934D6"/>
    <w:rsid w:val="00A9524E"/>
    <w:rsid w:val="00AC28B4"/>
    <w:rsid w:val="00AC5830"/>
    <w:rsid w:val="00AD793D"/>
    <w:rsid w:val="00AE1809"/>
    <w:rsid w:val="00B006CB"/>
    <w:rsid w:val="00B23C9C"/>
    <w:rsid w:val="00B36C47"/>
    <w:rsid w:val="00B63611"/>
    <w:rsid w:val="00B6485B"/>
    <w:rsid w:val="00B64BCA"/>
    <w:rsid w:val="00B67794"/>
    <w:rsid w:val="00B736B2"/>
    <w:rsid w:val="00B80D76"/>
    <w:rsid w:val="00B824F4"/>
    <w:rsid w:val="00B93DAA"/>
    <w:rsid w:val="00BA074B"/>
    <w:rsid w:val="00BA2105"/>
    <w:rsid w:val="00BA2BFE"/>
    <w:rsid w:val="00BA7CF2"/>
    <w:rsid w:val="00BA7E06"/>
    <w:rsid w:val="00BB43B5"/>
    <w:rsid w:val="00BB6219"/>
    <w:rsid w:val="00BD290F"/>
    <w:rsid w:val="00BD78CA"/>
    <w:rsid w:val="00BE0C93"/>
    <w:rsid w:val="00BE5C5E"/>
    <w:rsid w:val="00BF2832"/>
    <w:rsid w:val="00C05A80"/>
    <w:rsid w:val="00C14CC4"/>
    <w:rsid w:val="00C15CF8"/>
    <w:rsid w:val="00C2058F"/>
    <w:rsid w:val="00C25899"/>
    <w:rsid w:val="00C33C52"/>
    <w:rsid w:val="00C33D77"/>
    <w:rsid w:val="00C340B0"/>
    <w:rsid w:val="00C40D8B"/>
    <w:rsid w:val="00C42E83"/>
    <w:rsid w:val="00C8407A"/>
    <w:rsid w:val="00C8488C"/>
    <w:rsid w:val="00C86979"/>
    <w:rsid w:val="00C86E91"/>
    <w:rsid w:val="00C93D56"/>
    <w:rsid w:val="00CA2650"/>
    <w:rsid w:val="00CA3660"/>
    <w:rsid w:val="00CA391F"/>
    <w:rsid w:val="00CB1078"/>
    <w:rsid w:val="00CC6FAF"/>
    <w:rsid w:val="00CD5472"/>
    <w:rsid w:val="00CD5601"/>
    <w:rsid w:val="00CF6542"/>
    <w:rsid w:val="00CF791D"/>
    <w:rsid w:val="00D012EC"/>
    <w:rsid w:val="00D22717"/>
    <w:rsid w:val="00D24698"/>
    <w:rsid w:val="00D26BBE"/>
    <w:rsid w:val="00D40483"/>
    <w:rsid w:val="00D45CAE"/>
    <w:rsid w:val="00D6383F"/>
    <w:rsid w:val="00D92FDA"/>
    <w:rsid w:val="00DB59D0"/>
    <w:rsid w:val="00DC33D3"/>
    <w:rsid w:val="00DD2173"/>
    <w:rsid w:val="00DE3384"/>
    <w:rsid w:val="00E208A9"/>
    <w:rsid w:val="00E26329"/>
    <w:rsid w:val="00E34029"/>
    <w:rsid w:val="00E40B50"/>
    <w:rsid w:val="00E437E7"/>
    <w:rsid w:val="00E50293"/>
    <w:rsid w:val="00E50FBC"/>
    <w:rsid w:val="00E54296"/>
    <w:rsid w:val="00E614DB"/>
    <w:rsid w:val="00E65FFC"/>
    <w:rsid w:val="00E66B21"/>
    <w:rsid w:val="00E703EF"/>
    <w:rsid w:val="00E744EA"/>
    <w:rsid w:val="00E80951"/>
    <w:rsid w:val="00E81F94"/>
    <w:rsid w:val="00E854FE"/>
    <w:rsid w:val="00E86CC6"/>
    <w:rsid w:val="00EB4994"/>
    <w:rsid w:val="00EB56B3"/>
    <w:rsid w:val="00ED6492"/>
    <w:rsid w:val="00EF2095"/>
    <w:rsid w:val="00F02DA3"/>
    <w:rsid w:val="00F06866"/>
    <w:rsid w:val="00F15956"/>
    <w:rsid w:val="00F24CFC"/>
    <w:rsid w:val="00F3170F"/>
    <w:rsid w:val="00F331F1"/>
    <w:rsid w:val="00F51AC7"/>
    <w:rsid w:val="00F674BE"/>
    <w:rsid w:val="00F976B0"/>
    <w:rsid w:val="00FA6BB3"/>
    <w:rsid w:val="00FA6DE7"/>
    <w:rsid w:val="00FC0A8E"/>
    <w:rsid w:val="00FE2FA6"/>
    <w:rsid w:val="00FE2FB4"/>
    <w:rsid w:val="00FE3DF2"/>
    <w:rsid w:val="00FE3F4E"/>
    <w:rsid w:val="00FF095C"/>
    <w:rsid w:val="0513D2B9"/>
    <w:rsid w:val="07057338"/>
    <w:rsid w:val="0D6B251E"/>
    <w:rsid w:val="0E271B80"/>
    <w:rsid w:val="0F6DB56F"/>
    <w:rsid w:val="1014D561"/>
    <w:rsid w:val="106333CC"/>
    <w:rsid w:val="11BC496F"/>
    <w:rsid w:val="11FDD110"/>
    <w:rsid w:val="12B659F1"/>
    <w:rsid w:val="1E9D978D"/>
    <w:rsid w:val="20B29541"/>
    <w:rsid w:val="24633534"/>
    <w:rsid w:val="25D5369C"/>
    <w:rsid w:val="2716F04C"/>
    <w:rsid w:val="2BC051C3"/>
    <w:rsid w:val="38323DF3"/>
    <w:rsid w:val="476368D6"/>
    <w:rsid w:val="491CCCBA"/>
    <w:rsid w:val="494D5209"/>
    <w:rsid w:val="4EC127CE"/>
    <w:rsid w:val="504E3564"/>
    <w:rsid w:val="51B24BDD"/>
    <w:rsid w:val="522D1D11"/>
    <w:rsid w:val="55E7A1AF"/>
    <w:rsid w:val="5C1AD3CC"/>
    <w:rsid w:val="5FAD3BF8"/>
    <w:rsid w:val="6189BA58"/>
    <w:rsid w:val="65354F5A"/>
    <w:rsid w:val="654E7AA2"/>
    <w:rsid w:val="6639355D"/>
    <w:rsid w:val="6761F9D9"/>
    <w:rsid w:val="67FC15DC"/>
    <w:rsid w:val="6D2E6F99"/>
    <w:rsid w:val="6E3D0099"/>
    <w:rsid w:val="6EBD6FD5"/>
    <w:rsid w:val="6EE6554B"/>
    <w:rsid w:val="6EEBE8C1"/>
    <w:rsid w:val="72A84365"/>
    <w:rsid w:val="73872192"/>
    <w:rsid w:val="73B47B9A"/>
    <w:rsid w:val="7AEAB558"/>
    <w:rsid w:val="7ED682E8"/>
    <w:rsid w:val="7F54C1F5"/>
    <w:rsid w:val="7F7CB194"/>
    <w:rsid w:val="7FC6CB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D8BA52"/>
  <w15:chartTrackingRefBased/>
  <w15:docId w15:val="{87694BD5-390B-4D3F-8A1B-B4F3A873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ody text Char1 Char,body tx Char Char,body tx Char2,bt Char Char,bt Char2,flush Char,flush Char Char Char Char Char Char Char Char Char Char Char Char Char Char,indent Char Char,indent Char1,memo body text Char Char,memo body text Char1"/>
    <w:link w:val="BodyText1"/>
    <w:uiPriority w:val="99"/>
    <w:locked/>
    <w:rsid w:val="009839B4"/>
    <w:rPr>
      <w:sz w:val="24"/>
    </w:rPr>
  </w:style>
  <w:style w:type="paragraph" w:customStyle="1" w:styleId="BodyText1">
    <w:name w:val="Body Text1"/>
    <w:aliases w:val="body 4,body text Char1,body tx,body tx Char,body tx Char1,bt,bt Char,bt Char1,flush,flush Char Char,flush Char Char Char Char Char Char Char Char Char Char Char Char Char,indent,indent Char,indent Char1 Char,memo body text,memo body text Char"/>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styleId="UnresolvedMention">
    <w:name w:val="Unresolved Mention"/>
    <w:uiPriority w:val="99"/>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 w:type="paragraph" w:styleId="Revision">
    <w:name w:val="Revision"/>
    <w:hidden/>
    <w:uiPriority w:val="99"/>
    <w:semiHidden/>
    <w:rsid w:val="004422C8"/>
    <w:rPr>
      <w:sz w:val="24"/>
      <w:szCs w:val="24"/>
    </w:rPr>
  </w:style>
  <w:style w:type="character" w:styleId="Mention">
    <w:name w:val="Mention"/>
    <w:uiPriority w:val="99"/>
    <w:unhideWhenUsed/>
    <w:rsid w:val="00E54296"/>
    <w:rPr>
      <w:color w:val="2B579A"/>
      <w:shd w:val="clear" w:color="auto" w:fill="E1DFDD"/>
    </w:rPr>
  </w:style>
  <w:style w:type="paragraph" w:styleId="FootnoteText">
    <w:name w:val="footnote text"/>
    <w:basedOn w:val="Normal"/>
    <w:link w:val="FootnoteTextChar"/>
    <w:rsid w:val="0022540F"/>
    <w:rPr>
      <w:sz w:val="20"/>
      <w:szCs w:val="20"/>
    </w:rPr>
  </w:style>
  <w:style w:type="character" w:customStyle="1" w:styleId="FootnoteTextChar">
    <w:name w:val="Footnote Text Char"/>
    <w:basedOn w:val="DefaultParagraphFont"/>
    <w:link w:val="FootnoteText"/>
    <w:rsid w:val="0022540F"/>
  </w:style>
  <w:style w:type="character" w:styleId="FootnoteReference">
    <w:name w:val="footnote reference"/>
    <w:basedOn w:val="DefaultParagraphFont"/>
    <w:rsid w:val="002254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E5814883B49940B4B8AAE202A6E984" ma:contentTypeVersion="11" ma:contentTypeDescription="Create a new document." ma:contentTypeScope="" ma:versionID="fbbaf8e800ad58713a3f0afcfe19b81a">
  <xsd:schema xmlns:xsd="http://www.w3.org/2001/XMLSchema" xmlns:xs="http://www.w3.org/2001/XMLSchema" xmlns:p="http://schemas.microsoft.com/office/2006/metadata/properties" xmlns:ns2="8ef27eb8-0e3d-496f-b523-771757bdd770" xmlns:ns3="8416942f-d982-4ba4-a5b0-104826b4be24" targetNamespace="http://schemas.microsoft.com/office/2006/metadata/properties" ma:root="true" ma:fieldsID="88e94b2b73ff4e318a2357eb5f18dfc6" ns2:_="" ns3:_="">
    <xsd:import namespace="8ef27eb8-0e3d-496f-b523-771757bdd770"/>
    <xsd:import namespace="8416942f-d982-4ba4-a5b0-104826b4be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27eb8-0e3d-496f-b523-771757bdd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16942f-d982-4ba4-a5b0-104826b4be2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ef209b-0f49-465c-b3e9-45afa3a53443}" ma:internalName="TaxCatchAll" ma:showField="CatchAllData" ma:web="8416942f-d982-4ba4-a5b0-104826b4be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416942f-d982-4ba4-a5b0-104826b4be24" xsi:nil="true"/>
    <lcf76f155ced4ddcb4097134ff3c332f xmlns="8ef27eb8-0e3d-496f-b523-771757bdd770">
      <Terms xmlns="http://schemas.microsoft.com/office/infopath/2007/PartnerControls"/>
    </lcf76f155ced4ddcb4097134ff3c332f>
    <MediaLengthInSeconds xmlns="8ef27eb8-0e3d-496f-b523-771757bdd77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25991-4122-47CA-9F9E-757DAD582545}">
  <ds:schemaRefs>
    <ds:schemaRef ds:uri="http://schemas.microsoft.com/sharepoint/v3/contenttype/forms"/>
  </ds:schemaRefs>
</ds:datastoreItem>
</file>

<file path=customXml/itemProps2.xml><?xml version="1.0" encoding="utf-8"?>
<ds:datastoreItem xmlns:ds="http://schemas.openxmlformats.org/officeDocument/2006/customXml" ds:itemID="{A03CA8ED-93AB-4E14-A39B-B30124A43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27eb8-0e3d-496f-b523-771757bdd770"/>
    <ds:schemaRef ds:uri="8416942f-d982-4ba4-a5b0-104826b4b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9F3E26-2FB8-420C-9000-515210A63615}">
  <ds:schemaRefs>
    <ds:schemaRef ds:uri="http://schemas.microsoft.com/office/2006/metadata/properties"/>
    <ds:schemaRef ds:uri="http://schemas.microsoft.com/office/infopath/2007/PartnerControls"/>
    <ds:schemaRef ds:uri="8416942f-d982-4ba4-a5b0-104826b4be24"/>
    <ds:schemaRef ds:uri="8ef27eb8-0e3d-496f-b523-771757bdd770"/>
  </ds:schemaRefs>
</ds:datastoreItem>
</file>

<file path=customXml/itemProps4.xml><?xml version="1.0" encoding="utf-8"?>
<ds:datastoreItem xmlns:ds="http://schemas.openxmlformats.org/officeDocument/2006/customXml" ds:itemID="{098689C2-F42A-4B76-8BED-3B9861E22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Jones, Molly (ACF)</cp:lastModifiedBy>
  <cp:revision>3</cp:revision>
  <cp:lastPrinted>2010-10-04T15:59:00Z</cp:lastPrinted>
  <dcterms:created xsi:type="dcterms:W3CDTF">2023-05-09T13:36:00Z</dcterms:created>
  <dcterms:modified xsi:type="dcterms:W3CDTF">2023-05-09T13:36:00Z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0x0101002FE5814883B49940B4B8AAE202A6E984</vt:lpwstr>
  </property>
  <property fmtid="{D5CDD505-2E9C-101B-9397-08002B2CF9AE}" pid="4" name="MediaServiceImageTags">
    <vt:lpwstr/>
  </property>
  <property fmtid="{D5CDD505-2E9C-101B-9397-08002B2CF9AE}" pid="5" name="Order">
    <vt:r8>614000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NewReviewCycle">
    <vt:lpwstr/>
  </property>
</Properties>
</file>