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5D39" w:rsidRPr="002C4F75" w:rsidP="002B7397" w14:paraId="22925E57" w14:textId="77777777">
      <w:pPr>
        <w:jc w:val="center"/>
        <w:rPr>
          <w:rFonts w:ascii="Arial" w:hAnsi="Arial" w:cs="Arial"/>
          <w:b/>
        </w:rPr>
      </w:pPr>
    </w:p>
    <w:p w:rsidR="000F5D39" w:rsidRPr="002C4F75" w:rsidP="002B7397" w14:paraId="6439FE5A" w14:textId="77777777">
      <w:pPr>
        <w:jc w:val="center"/>
        <w:rPr>
          <w:rFonts w:ascii="Arial" w:hAnsi="Arial" w:cs="Arial"/>
          <w:b/>
        </w:rPr>
      </w:pPr>
    </w:p>
    <w:p w:rsidR="000F5D39" w:rsidRPr="002C4F75" w:rsidP="002B7397" w14:paraId="1FDFBF3A" w14:textId="77777777">
      <w:pPr>
        <w:jc w:val="center"/>
        <w:rPr>
          <w:rFonts w:ascii="Arial" w:hAnsi="Arial" w:cs="Arial"/>
          <w:b/>
        </w:rPr>
      </w:pPr>
    </w:p>
    <w:p w:rsidR="000F5D39" w:rsidRPr="002C4F75" w:rsidP="002B7397" w14:paraId="65B7E990" w14:textId="77777777">
      <w:pPr>
        <w:pStyle w:val="ReportCover-Title"/>
        <w:spacing w:line="240" w:lineRule="auto"/>
        <w:rPr>
          <w:rFonts w:ascii="Arial" w:hAnsi="Arial" w:cs="Arial"/>
          <w:color w:val="auto"/>
        </w:rPr>
      </w:pPr>
    </w:p>
    <w:p w:rsidR="003F6226" w:rsidRPr="002C4F75" w:rsidP="002B7397" w14:paraId="6EAE2310" w14:textId="77777777">
      <w:pPr>
        <w:pStyle w:val="ReportCover-Title"/>
        <w:spacing w:line="240" w:lineRule="auto"/>
        <w:jc w:val="center"/>
        <w:rPr>
          <w:rFonts w:ascii="Arial" w:hAnsi="Arial" w:cs="Arial"/>
          <w:color w:val="auto"/>
        </w:rPr>
      </w:pPr>
      <w:bookmarkStart w:id="0" w:name="_Hlk128747303"/>
      <w:r>
        <w:rPr>
          <w:rFonts w:ascii="Arial" w:eastAsia="Arial Unicode MS" w:hAnsi="Arial" w:cs="Arial"/>
          <w:noProof/>
          <w:color w:val="auto"/>
        </w:rPr>
        <w:t>Feasibility Testing of Online Annual Survey of Refugees Mode</w:t>
      </w:r>
    </w:p>
    <w:bookmarkEnd w:id="0"/>
    <w:p w:rsidR="003F6226" w:rsidRPr="00B13297" w:rsidP="002B7397" w14:paraId="085DB637" w14:textId="77777777">
      <w:pPr>
        <w:pStyle w:val="ReportCover-Title"/>
        <w:spacing w:line="240" w:lineRule="auto"/>
        <w:rPr>
          <w:rFonts w:ascii="Arial" w:hAnsi="Arial" w:cs="Arial"/>
          <w:color w:val="auto"/>
        </w:rPr>
      </w:pPr>
    </w:p>
    <w:p w:rsidR="003F6226" w:rsidRPr="00B13297" w:rsidP="002B7397" w14:paraId="0E241B13" w14:textId="77777777">
      <w:pPr>
        <w:pStyle w:val="ReportCover-Title"/>
        <w:spacing w:line="240" w:lineRule="auto"/>
        <w:rPr>
          <w:rFonts w:ascii="Arial" w:hAnsi="Arial" w:cs="Arial"/>
          <w:color w:val="auto"/>
        </w:rPr>
      </w:pPr>
    </w:p>
    <w:p w:rsidR="003F6226" w:rsidRPr="00444292" w:rsidP="002B7397" w14:paraId="1A2F5922" w14:textId="77777777">
      <w:pPr>
        <w:pStyle w:val="ReportCover-Title"/>
        <w:spacing w:line="240" w:lineRule="auto"/>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003F6226" w:rsidRPr="00444292" w:rsidP="002B7397" w14:paraId="257B2DCB" w14:textId="77777777">
      <w:pPr>
        <w:pStyle w:val="ReportCover-Title"/>
        <w:spacing w:line="240" w:lineRule="auto"/>
        <w:jc w:val="center"/>
        <w:rPr>
          <w:rFonts w:ascii="Arial" w:hAnsi="Arial" w:cs="Arial"/>
          <w:color w:val="auto"/>
          <w:sz w:val="32"/>
          <w:szCs w:val="32"/>
        </w:rPr>
      </w:pPr>
    </w:p>
    <w:p w:rsidR="003F6226" w:rsidRPr="002C4F75" w:rsidP="002B7397" w14:paraId="01988051" w14:textId="77777777">
      <w:pPr>
        <w:pStyle w:val="ReportCover-Title"/>
        <w:spacing w:line="240" w:lineRule="auto"/>
        <w:jc w:val="center"/>
        <w:rPr>
          <w:rFonts w:ascii="Arial" w:hAnsi="Arial" w:cs="Arial"/>
          <w:color w:val="auto"/>
          <w:sz w:val="32"/>
          <w:szCs w:val="32"/>
        </w:rPr>
      </w:pPr>
      <w:r w:rsidRPr="00444292">
        <w:rPr>
          <w:rFonts w:ascii="Arial" w:hAnsi="Arial" w:cs="Arial"/>
          <w:color w:val="auto"/>
          <w:sz w:val="32"/>
          <w:szCs w:val="32"/>
        </w:rPr>
        <w:t>0970 - 0531</w:t>
      </w:r>
    </w:p>
    <w:p w:rsidR="003F6226" w:rsidRPr="00B13297" w:rsidP="002B7397" w14:paraId="527F6669" w14:textId="77777777">
      <w:pPr>
        <w:rPr>
          <w:rFonts w:ascii="Arial" w:hAnsi="Arial" w:cs="Arial"/>
        </w:rPr>
      </w:pPr>
    </w:p>
    <w:p w:rsidR="003F6226" w:rsidRPr="00B13297" w:rsidP="002B7397" w14:paraId="7C88B2D1" w14:textId="77777777">
      <w:pPr>
        <w:pStyle w:val="ReportCover-Date"/>
        <w:spacing w:line="240" w:lineRule="auto"/>
        <w:jc w:val="center"/>
        <w:rPr>
          <w:rFonts w:ascii="Arial" w:hAnsi="Arial" w:cs="Arial"/>
          <w:color w:val="auto"/>
        </w:rPr>
      </w:pPr>
    </w:p>
    <w:p w:rsidR="003F6226" w:rsidRPr="00B13297" w:rsidP="002B7397" w14:paraId="2340FE1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3F6226" w:rsidRPr="00B13297" w:rsidP="002B7397" w14:paraId="0F600C60"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Pr>
          <w:rFonts w:ascii="Arial" w:hAnsi="Arial" w:cs="Arial"/>
          <w:color w:val="auto"/>
          <w:sz w:val="48"/>
          <w:szCs w:val="48"/>
        </w:rPr>
        <w:t>B</w:t>
      </w:r>
    </w:p>
    <w:p w:rsidR="003F6226" w:rsidRPr="00B13297" w:rsidP="002B7397" w14:paraId="72C780CF" w14:textId="10CFD203">
      <w:pPr>
        <w:pStyle w:val="ReportCover-Date"/>
        <w:spacing w:line="240" w:lineRule="auto"/>
        <w:jc w:val="center"/>
        <w:rPr>
          <w:rFonts w:ascii="Arial" w:hAnsi="Arial" w:cs="Arial"/>
          <w:color w:val="auto"/>
        </w:rPr>
      </w:pPr>
      <w:r>
        <w:rPr>
          <w:rFonts w:ascii="Arial" w:hAnsi="Arial" w:cs="Arial"/>
          <w:color w:val="auto"/>
        </w:rPr>
        <w:t>March 2023</w:t>
      </w:r>
    </w:p>
    <w:p w:rsidR="003F6226" w:rsidRPr="00B13297" w:rsidP="002B7397" w14:paraId="6AA57F68" w14:textId="77777777">
      <w:pPr>
        <w:jc w:val="center"/>
        <w:rPr>
          <w:rFonts w:ascii="Arial" w:hAnsi="Arial" w:cs="Arial"/>
        </w:rPr>
      </w:pPr>
    </w:p>
    <w:p w:rsidR="00D73358" w:rsidRPr="002C4F75" w:rsidP="00D73358" w14:paraId="2C5845A5" w14:textId="77777777">
      <w:pPr>
        <w:jc w:val="center"/>
        <w:rPr>
          <w:rFonts w:ascii="Arial" w:hAnsi="Arial" w:cs="Arial"/>
        </w:rPr>
      </w:pPr>
      <w:r w:rsidRPr="002C4F75">
        <w:rPr>
          <w:rFonts w:ascii="Arial" w:hAnsi="Arial" w:cs="Arial"/>
        </w:rPr>
        <w:t>Submitted By:</w:t>
      </w:r>
    </w:p>
    <w:p w:rsidR="00D73358" w:rsidRPr="002C4F75" w:rsidP="00D73358" w14:paraId="51748768" w14:textId="77777777">
      <w:pPr>
        <w:jc w:val="center"/>
        <w:rPr>
          <w:rFonts w:ascii="Arial" w:hAnsi="Arial" w:cs="Arial"/>
        </w:rPr>
      </w:pPr>
      <w:r>
        <w:rPr>
          <w:rFonts w:ascii="Arial" w:hAnsi="Arial" w:cs="Arial"/>
        </w:rPr>
        <w:t>Office of Refugee Resettlement</w:t>
      </w:r>
    </w:p>
    <w:p w:rsidR="00D73358" w:rsidRPr="002C4F75" w:rsidP="00D73358" w14:paraId="7E7B9105" w14:textId="77777777">
      <w:pPr>
        <w:jc w:val="center"/>
        <w:rPr>
          <w:rFonts w:ascii="Arial" w:hAnsi="Arial" w:cs="Arial"/>
        </w:rPr>
      </w:pPr>
      <w:r w:rsidRPr="002C4F75">
        <w:rPr>
          <w:rFonts w:ascii="Arial" w:hAnsi="Arial" w:cs="Arial"/>
        </w:rPr>
        <w:t xml:space="preserve">Administration for Children and Families </w:t>
      </w:r>
    </w:p>
    <w:p w:rsidR="00D73358" w:rsidRPr="002C4F75" w:rsidP="00D73358" w14:paraId="657770C3" w14:textId="77777777">
      <w:pPr>
        <w:jc w:val="center"/>
        <w:rPr>
          <w:rFonts w:ascii="Arial" w:hAnsi="Arial" w:cs="Arial"/>
        </w:rPr>
      </w:pPr>
      <w:r w:rsidRPr="002C4F75">
        <w:rPr>
          <w:rFonts w:ascii="Arial" w:hAnsi="Arial" w:cs="Arial"/>
        </w:rPr>
        <w:t>U.S. Department of Health and Human Services</w:t>
      </w:r>
    </w:p>
    <w:p w:rsidR="00D73358" w:rsidRPr="002C4F75" w:rsidP="00D73358" w14:paraId="322DE419" w14:textId="77777777">
      <w:pPr>
        <w:jc w:val="center"/>
        <w:rPr>
          <w:rFonts w:ascii="Arial" w:hAnsi="Arial" w:cs="Arial"/>
        </w:rPr>
      </w:pPr>
    </w:p>
    <w:p w:rsidR="00D73358" w:rsidRPr="002C4F75" w:rsidP="00D73358" w14:paraId="25946535"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D73358" w:rsidRPr="002C4F75" w:rsidP="00D73358" w14:paraId="48FB58BA" w14:textId="77777777">
      <w:pPr>
        <w:jc w:val="center"/>
        <w:rPr>
          <w:rFonts w:ascii="Arial" w:hAnsi="Arial" w:cs="Arial"/>
        </w:rPr>
      </w:pPr>
      <w:r w:rsidRPr="002C4F75">
        <w:rPr>
          <w:rFonts w:ascii="Arial" w:hAnsi="Arial" w:cs="Arial"/>
        </w:rPr>
        <w:t>3</w:t>
      </w:r>
      <w:r>
        <w:rPr>
          <w:rFonts w:ascii="Arial" w:hAnsi="Arial" w:cs="Arial"/>
        </w:rPr>
        <w:t>3</w:t>
      </w:r>
      <w:r w:rsidRPr="002C4F75">
        <w:rPr>
          <w:rFonts w:ascii="Arial" w:hAnsi="Arial" w:cs="Arial"/>
        </w:rPr>
        <w:t xml:space="preserve">0 </w:t>
      </w:r>
      <w:r>
        <w:rPr>
          <w:rFonts w:ascii="Arial" w:hAnsi="Arial" w:cs="Arial"/>
        </w:rPr>
        <w:t xml:space="preserve">C Street, </w:t>
      </w:r>
      <w:r w:rsidRPr="002C4F75">
        <w:rPr>
          <w:rFonts w:ascii="Arial" w:hAnsi="Arial" w:cs="Arial"/>
        </w:rPr>
        <w:t>SW</w:t>
      </w:r>
    </w:p>
    <w:p w:rsidR="00D73358" w:rsidRPr="002C4F75" w:rsidP="00D73358" w14:paraId="6D87B36E" w14:textId="77777777">
      <w:pPr>
        <w:jc w:val="center"/>
        <w:rPr>
          <w:rFonts w:ascii="Arial" w:hAnsi="Arial" w:cs="Arial"/>
        </w:rPr>
      </w:pPr>
      <w:r w:rsidRPr="002C4F75">
        <w:rPr>
          <w:rFonts w:ascii="Arial" w:hAnsi="Arial" w:cs="Arial"/>
        </w:rPr>
        <w:t>Washington, D.C. 20</w:t>
      </w:r>
      <w:r>
        <w:rPr>
          <w:rFonts w:ascii="Arial" w:hAnsi="Arial" w:cs="Arial"/>
        </w:rPr>
        <w:t>201</w:t>
      </w:r>
    </w:p>
    <w:p w:rsidR="00D73358" w:rsidRPr="002C4F75" w:rsidP="00D73358" w14:paraId="09FB7754" w14:textId="77777777">
      <w:pPr>
        <w:jc w:val="center"/>
        <w:rPr>
          <w:rFonts w:ascii="Arial" w:hAnsi="Arial" w:cs="Arial"/>
        </w:rPr>
      </w:pPr>
    </w:p>
    <w:p w:rsidR="00D73358" w:rsidRPr="00E705DF" w:rsidP="00D73358" w14:paraId="0F1D8871" w14:textId="77777777">
      <w:pPr>
        <w:jc w:val="center"/>
      </w:pPr>
      <w:r w:rsidRPr="00E705DF">
        <w:t>Project Officer:</w:t>
      </w:r>
    </w:p>
    <w:p w:rsidR="00D73358" w:rsidP="00D73358" w14:paraId="7B080FFE" w14:textId="23692438">
      <w:pPr>
        <w:jc w:val="center"/>
        <w:rPr>
          <w:rFonts w:ascii="Arial" w:hAnsi="Arial" w:cs="Arial"/>
        </w:rPr>
      </w:pPr>
      <w:r>
        <w:rPr>
          <w:rFonts w:ascii="Arial" w:hAnsi="Arial" w:cs="Arial"/>
        </w:rPr>
        <w:t>Sara Tompkins</w:t>
      </w:r>
    </w:p>
    <w:p w:rsidR="000F5D39" w:rsidRPr="00D73358" w:rsidP="00D73358" w14:paraId="1D8CE3CE" w14:textId="68C66076">
      <w:pPr>
        <w:pStyle w:val="ReportCover-Date"/>
        <w:spacing w:line="240" w:lineRule="auto"/>
        <w:jc w:val="center"/>
        <w:rPr>
          <w:rFonts w:ascii="Arial" w:hAnsi="Arial" w:cs="Arial"/>
          <w:highlight w:val="yellow"/>
        </w:rPr>
      </w:pPr>
      <w:r>
        <w:br w:type="page"/>
      </w:r>
    </w:p>
    <w:p w:rsidR="00575E66" w:rsidP="002B7397" w14:paraId="7C2EB431" w14:textId="0E8329D7">
      <w:pPr>
        <w:rPr>
          <w:b/>
        </w:rPr>
      </w:pPr>
      <w:r>
        <w:rPr>
          <w:b/>
        </w:rPr>
        <w:t>Overview of Study Objectives</w:t>
      </w:r>
    </w:p>
    <w:p w:rsidR="00575E66" w:rsidP="002B7397" w14:paraId="204A5170" w14:textId="77777777"/>
    <w:p w:rsidR="00575E66" w:rsidP="002B7397" w14:paraId="3EE79053" w14:textId="05A7B3D1">
      <w:pPr>
        <w:rPr>
          <w:sz w:val="20"/>
          <w:szCs w:val="20"/>
        </w:rPr>
      </w:pPr>
      <w:r>
        <w:t>The Office of Refugee Resettlement (</w:t>
      </w:r>
      <w:r>
        <w:t>ORR</w:t>
      </w:r>
      <w:r>
        <w:t>)</w:t>
      </w:r>
      <w:r>
        <w:t xml:space="preserve"> funds an </w:t>
      </w:r>
      <w:r w:rsidR="00207CA2">
        <w:t>Annual Survey of Refugees (ASR)</w:t>
      </w:r>
      <w:r>
        <w:t xml:space="preserve"> </w:t>
      </w:r>
      <w:r w:rsidR="00D05586">
        <w:t>to</w:t>
      </w:r>
      <w:r>
        <w:t xml:space="preserve"> collect information on refugees’ progress toward self-sufficiency </w:t>
      </w:r>
      <w:r w:rsidR="00FE020F">
        <w:t xml:space="preserve">and integration </w:t>
      </w:r>
      <w:r>
        <w:t xml:space="preserve">during their first five years of living in the United States. The survey data are used to meet reporting requirements for ORR’s Annual Report to Congress and inform refugee resettlement policy, by providing a unique source of nationally representative information on refugees’ experiences of adjustment to life in the United States. The ASR collects information on a range of information about refugees, including language proficiency, training and education, employment and income, public assistance, social connections, and access to health care. The annual survey is conducted by telephone in up to twenty languages. </w:t>
      </w:r>
    </w:p>
    <w:p w:rsidR="00207CA2" w:rsidP="002B7397" w14:paraId="6EC7432F" w14:textId="77777777"/>
    <w:p w:rsidR="00575E66" w:rsidP="002B7397" w14:paraId="54989E69" w14:textId="58F0E09C">
      <w:r>
        <w:t xml:space="preserve">ORR is interested in collecting evidence to inform potential transition to a multi-mode version of the survey, in which respondents could participate either by telephone or online. </w:t>
      </w:r>
      <w:r w:rsidR="00207CA2">
        <w:t xml:space="preserve">This study </w:t>
      </w:r>
      <w:r w:rsidR="00D05586">
        <w:t>is a feasibility</w:t>
      </w:r>
      <w:r w:rsidR="00207CA2">
        <w:t xml:space="preserve"> test</w:t>
      </w:r>
      <w:r w:rsidR="00D05586">
        <w:t xml:space="preserve"> of an online option to determine</w:t>
      </w:r>
      <w:r w:rsidR="00207CA2">
        <w:t xml:space="preserve"> whether a multi-mode approach is </w:t>
      </w:r>
      <w:r w:rsidR="00D05586">
        <w:t xml:space="preserve">possible </w:t>
      </w:r>
      <w:r w:rsidR="00207CA2">
        <w:t>in future versions of the ASR.</w:t>
      </w:r>
      <w:r w:rsidR="007E3B83">
        <w:t xml:space="preserve"> The overall design of this project will be conducted by the Urban Institute (UI), along with two subcontractors, Research Support Services (RSS) and SSRS.</w:t>
      </w:r>
      <w:r w:rsidR="00FE020F">
        <w:t xml:space="preserve"> SSRS will be responsible for selecting the study sample from the administrative data and updating contact information, which they will transmit to RSS. RSS will be recruiting participants, conducting cognitive interviews, and analyzing the results of the feasibility test.</w:t>
      </w:r>
    </w:p>
    <w:p w:rsidR="00575E66" w:rsidP="002B7397" w14:paraId="58E8DB98" w14:textId="77777777">
      <w:pPr>
        <w:rPr>
          <w:b/>
        </w:rPr>
      </w:pPr>
    </w:p>
    <w:p w:rsidR="00575E66" w:rsidP="002B7397" w14:paraId="3B2D856C" w14:textId="77777777">
      <w:pPr>
        <w:rPr>
          <w:b/>
        </w:rPr>
      </w:pPr>
    </w:p>
    <w:p w:rsidR="00E05A0A" w:rsidRPr="00E05A0A" w:rsidP="002B7397" w14:paraId="410C14A0" w14:textId="26C3A8C0">
      <w:pPr>
        <w:rPr>
          <w:b/>
        </w:rPr>
      </w:pPr>
      <w:r>
        <w:rPr>
          <w:b/>
        </w:rPr>
        <w:t>B1. Respondent Universe and Sampling Methods</w:t>
      </w:r>
    </w:p>
    <w:p w:rsidR="00FA34D7" w:rsidP="002B7397" w14:paraId="07802036" w14:textId="2B837543">
      <w:pPr>
        <w:autoSpaceDE w:val="0"/>
        <w:autoSpaceDN w:val="0"/>
        <w:adjustRightInd w:val="0"/>
      </w:pPr>
    </w:p>
    <w:p w:rsidR="002B7397" w:rsidRPr="002B7397" w:rsidP="005E2687" w14:paraId="6D364555" w14:textId="30FB6931">
      <w:pPr>
        <w:autoSpaceDE w:val="0"/>
        <w:autoSpaceDN w:val="0"/>
        <w:adjustRightInd w:val="0"/>
        <w:ind w:firstLine="720"/>
        <w:rPr>
          <w:i/>
          <w:iCs/>
        </w:rPr>
      </w:pPr>
      <w:r>
        <w:rPr>
          <w:i/>
          <w:iCs/>
        </w:rPr>
        <w:t>Target Population</w:t>
      </w:r>
    </w:p>
    <w:p w:rsidR="00E44714" w:rsidP="002B7397" w14:paraId="2F86C2BB" w14:textId="6FC9A196">
      <w:pPr>
        <w:autoSpaceDE w:val="0"/>
        <w:autoSpaceDN w:val="0"/>
        <w:adjustRightInd w:val="0"/>
      </w:pPr>
      <w:r>
        <w:t>Study participants will be drawn from administrative data, specifically an ORR database that captures all refugee arrivals, the Refugee Arrivals Data Systems (RADS).</w:t>
      </w:r>
    </w:p>
    <w:p w:rsidR="00E44714" w:rsidP="002B7397" w14:paraId="1417CA45" w14:textId="77777777">
      <w:pPr>
        <w:autoSpaceDE w:val="0"/>
        <w:autoSpaceDN w:val="0"/>
        <w:adjustRightInd w:val="0"/>
        <w:rPr>
          <w:sz w:val="22"/>
          <w:szCs w:val="22"/>
        </w:rPr>
      </w:pPr>
    </w:p>
    <w:p w:rsidR="00471272" w:rsidRPr="00D05586" w:rsidP="002B7397" w14:paraId="3D7A5288" w14:textId="06AAF015">
      <w:pPr>
        <w:pStyle w:val="BodyText"/>
        <w:spacing w:line="240" w:lineRule="auto"/>
        <w:rPr>
          <w:rFonts w:ascii="Times New Roman" w:hAnsi="Times New Roman"/>
          <w:sz w:val="24"/>
          <w:szCs w:val="24"/>
        </w:rPr>
      </w:pPr>
      <w:r>
        <w:rPr>
          <w:rFonts w:ascii="Times New Roman" w:hAnsi="Times New Roman"/>
          <w:sz w:val="24"/>
          <w:szCs w:val="24"/>
        </w:rPr>
        <w:t>This feasibility test will utilize a</w:t>
      </w:r>
      <w:r w:rsidRPr="00D05586">
        <w:rPr>
          <w:rFonts w:ascii="Times New Roman" w:hAnsi="Times New Roman"/>
          <w:sz w:val="24"/>
          <w:szCs w:val="24"/>
        </w:rPr>
        <w:t xml:space="preserve"> </w:t>
      </w:r>
      <w:r w:rsidR="00FE020F">
        <w:rPr>
          <w:rFonts w:ascii="Times New Roman" w:hAnsi="Times New Roman"/>
          <w:sz w:val="24"/>
          <w:szCs w:val="24"/>
        </w:rPr>
        <w:t>purposive</w:t>
      </w:r>
      <w:r w:rsidRPr="00D05586" w:rsidR="00FE020F">
        <w:rPr>
          <w:rFonts w:ascii="Times New Roman" w:hAnsi="Times New Roman"/>
          <w:sz w:val="24"/>
          <w:szCs w:val="24"/>
        </w:rPr>
        <w:t xml:space="preserve"> </w:t>
      </w:r>
      <w:r w:rsidRPr="00D05586">
        <w:rPr>
          <w:rFonts w:ascii="Times New Roman" w:hAnsi="Times New Roman"/>
          <w:sz w:val="24"/>
          <w:szCs w:val="24"/>
        </w:rPr>
        <w:t>sampling approach</w:t>
      </w:r>
      <w:r>
        <w:rPr>
          <w:rFonts w:ascii="Times New Roman" w:hAnsi="Times New Roman"/>
          <w:sz w:val="24"/>
          <w:szCs w:val="24"/>
        </w:rPr>
        <w:t>,</w:t>
      </w:r>
      <w:r w:rsidRPr="00D05586">
        <w:rPr>
          <w:rFonts w:ascii="Times New Roman" w:hAnsi="Times New Roman"/>
          <w:sz w:val="24"/>
          <w:szCs w:val="24"/>
        </w:rPr>
        <w:t xml:space="preserve"> selecting</w:t>
      </w:r>
      <w:r>
        <w:rPr>
          <w:rFonts w:ascii="Times New Roman" w:hAnsi="Times New Roman"/>
          <w:sz w:val="24"/>
          <w:szCs w:val="24"/>
        </w:rPr>
        <w:t xml:space="preserve"> the</w:t>
      </w:r>
      <w:r w:rsidRPr="00D05586">
        <w:rPr>
          <w:rFonts w:ascii="Times New Roman" w:hAnsi="Times New Roman"/>
          <w:sz w:val="24"/>
          <w:szCs w:val="24"/>
        </w:rPr>
        <w:t xml:space="preserve"> sample from the </w:t>
      </w:r>
      <w:r>
        <w:rPr>
          <w:rFonts w:ascii="Times New Roman" w:hAnsi="Times New Roman"/>
          <w:sz w:val="24"/>
          <w:szCs w:val="24"/>
        </w:rPr>
        <w:t xml:space="preserve">same </w:t>
      </w:r>
      <w:r w:rsidRPr="00D05586">
        <w:rPr>
          <w:rFonts w:ascii="Times New Roman" w:hAnsi="Times New Roman"/>
          <w:sz w:val="24"/>
          <w:szCs w:val="24"/>
        </w:rPr>
        <w:t xml:space="preserve">sampling </w:t>
      </w:r>
      <w:r w:rsidR="002B7397">
        <w:rPr>
          <w:rFonts w:ascii="Times New Roman" w:hAnsi="Times New Roman"/>
          <w:sz w:val="24"/>
          <w:szCs w:val="24"/>
        </w:rPr>
        <w:t xml:space="preserve">frame </w:t>
      </w:r>
      <w:r>
        <w:rPr>
          <w:rFonts w:ascii="Times New Roman" w:hAnsi="Times New Roman"/>
          <w:sz w:val="24"/>
          <w:szCs w:val="24"/>
        </w:rPr>
        <w:t>as</w:t>
      </w:r>
      <w:r w:rsidRPr="00D05586">
        <w:rPr>
          <w:rFonts w:ascii="Times New Roman" w:hAnsi="Times New Roman"/>
          <w:sz w:val="24"/>
          <w:szCs w:val="24"/>
        </w:rPr>
        <w:t xml:space="preserve"> the 2022 ASR.  </w:t>
      </w:r>
      <w:r w:rsidRPr="00D05586" w:rsidR="00FE020F">
        <w:rPr>
          <w:rFonts w:ascii="Times New Roman" w:hAnsi="Times New Roman"/>
          <w:sz w:val="24"/>
          <w:szCs w:val="24"/>
        </w:rPr>
        <w:t>Purpos</w:t>
      </w:r>
      <w:r w:rsidR="00FE020F">
        <w:rPr>
          <w:rFonts w:ascii="Times New Roman" w:hAnsi="Times New Roman"/>
          <w:sz w:val="24"/>
          <w:szCs w:val="24"/>
        </w:rPr>
        <w:t>ive</w:t>
      </w:r>
      <w:r w:rsidRPr="00D05586" w:rsidR="00FE020F">
        <w:rPr>
          <w:rFonts w:ascii="Times New Roman" w:hAnsi="Times New Roman"/>
          <w:sz w:val="24"/>
          <w:szCs w:val="24"/>
        </w:rPr>
        <w:t xml:space="preserve"> </w:t>
      </w:r>
      <w:r w:rsidRPr="00D05586">
        <w:rPr>
          <w:rFonts w:ascii="Times New Roman" w:hAnsi="Times New Roman"/>
          <w:sz w:val="24"/>
          <w:szCs w:val="24"/>
        </w:rPr>
        <w:t xml:space="preserve">sampling is a non-random sampling technique aimed at collecting information from the </w:t>
      </w:r>
      <w:r>
        <w:rPr>
          <w:rFonts w:ascii="Times New Roman" w:hAnsi="Times New Roman"/>
          <w:sz w:val="24"/>
          <w:szCs w:val="24"/>
        </w:rPr>
        <w:t>correct</w:t>
      </w:r>
      <w:r w:rsidRPr="00D05586">
        <w:rPr>
          <w:rFonts w:ascii="Times New Roman" w:hAnsi="Times New Roman"/>
          <w:sz w:val="24"/>
          <w:szCs w:val="24"/>
        </w:rPr>
        <w:t xml:space="preserve"> mix of respondents.   </w:t>
      </w:r>
    </w:p>
    <w:p w:rsidR="00471272" w:rsidRPr="00D05586" w:rsidP="002B7397" w14:paraId="18BCF01E" w14:textId="7AB00B2F">
      <w:pPr>
        <w:pStyle w:val="BodyText"/>
        <w:spacing w:line="240" w:lineRule="auto"/>
        <w:rPr>
          <w:rFonts w:ascii="Times New Roman" w:hAnsi="Times New Roman"/>
          <w:sz w:val="24"/>
          <w:szCs w:val="24"/>
        </w:rPr>
      </w:pPr>
      <w:r>
        <w:rPr>
          <w:rFonts w:ascii="Times New Roman" w:hAnsi="Times New Roman"/>
          <w:sz w:val="24"/>
          <w:szCs w:val="24"/>
        </w:rPr>
        <w:t>The</w:t>
      </w:r>
      <w:r w:rsidRPr="00D05586">
        <w:rPr>
          <w:rFonts w:ascii="Times New Roman" w:hAnsi="Times New Roman"/>
          <w:sz w:val="24"/>
          <w:szCs w:val="24"/>
        </w:rPr>
        <w:t xml:space="preserve"> initial sample </w:t>
      </w:r>
      <w:r>
        <w:rPr>
          <w:rFonts w:ascii="Times New Roman" w:hAnsi="Times New Roman"/>
          <w:sz w:val="24"/>
          <w:szCs w:val="24"/>
        </w:rPr>
        <w:t>will be of</w:t>
      </w:r>
      <w:r w:rsidRPr="00D05586">
        <w:rPr>
          <w:rFonts w:ascii="Times New Roman" w:hAnsi="Times New Roman"/>
          <w:sz w:val="24"/>
          <w:szCs w:val="24"/>
        </w:rPr>
        <w:t xml:space="preserve"> 600 potential test respondents</w:t>
      </w:r>
      <w:r>
        <w:rPr>
          <w:rFonts w:ascii="Times New Roman" w:hAnsi="Times New Roman"/>
          <w:sz w:val="24"/>
          <w:szCs w:val="24"/>
        </w:rPr>
        <w:t xml:space="preserve"> (150 each who speak </w:t>
      </w:r>
      <w:r w:rsidRPr="00D05586">
        <w:rPr>
          <w:rFonts w:ascii="Times New Roman" w:hAnsi="Times New Roman"/>
          <w:sz w:val="24"/>
          <w:szCs w:val="24"/>
        </w:rPr>
        <w:t>Arabic, Dari, Kiswahili, and Ukrainian</w:t>
      </w:r>
      <w:r>
        <w:rPr>
          <w:rFonts w:ascii="Times New Roman" w:hAnsi="Times New Roman"/>
          <w:sz w:val="24"/>
          <w:szCs w:val="24"/>
        </w:rPr>
        <w:t xml:space="preserve">) </w:t>
      </w:r>
      <w:r w:rsidRPr="00D05586">
        <w:rPr>
          <w:rFonts w:ascii="Times New Roman" w:hAnsi="Times New Roman"/>
          <w:sz w:val="24"/>
          <w:szCs w:val="24"/>
        </w:rPr>
        <w:t xml:space="preserve">drawing from the 2022 ASR sampling frame (FY17-21 arrivals). As with the ASR, </w:t>
      </w:r>
      <w:r>
        <w:rPr>
          <w:rFonts w:ascii="Times New Roman" w:hAnsi="Times New Roman"/>
          <w:sz w:val="24"/>
          <w:szCs w:val="24"/>
        </w:rPr>
        <w:t>only</w:t>
      </w:r>
      <w:r w:rsidRPr="00D05586">
        <w:rPr>
          <w:rFonts w:ascii="Times New Roman" w:hAnsi="Times New Roman"/>
          <w:sz w:val="24"/>
          <w:szCs w:val="24"/>
        </w:rPr>
        <w:t xml:space="preserve"> principal applicants</w:t>
      </w:r>
      <w:r>
        <w:rPr>
          <w:rFonts w:ascii="Times New Roman" w:hAnsi="Times New Roman"/>
          <w:sz w:val="24"/>
          <w:szCs w:val="24"/>
        </w:rPr>
        <w:t xml:space="preserve"> are sampled</w:t>
      </w:r>
      <w:r w:rsidRPr="00D05586">
        <w:rPr>
          <w:rFonts w:ascii="Times New Roman" w:hAnsi="Times New Roman"/>
          <w:sz w:val="24"/>
          <w:szCs w:val="24"/>
        </w:rPr>
        <w:t>.</w:t>
      </w:r>
      <w:r>
        <w:rPr>
          <w:rStyle w:val="FootnoteReference"/>
          <w:rFonts w:ascii="Times New Roman" w:hAnsi="Times New Roman"/>
          <w:sz w:val="24"/>
          <w:szCs w:val="24"/>
        </w:rPr>
        <w:footnoteReference w:id="2"/>
      </w:r>
      <w:r w:rsidRPr="00D05586">
        <w:rPr>
          <w:rFonts w:ascii="Times New Roman" w:hAnsi="Times New Roman"/>
          <w:sz w:val="24"/>
          <w:szCs w:val="24"/>
        </w:rPr>
        <w:t xml:space="preserve">  </w:t>
      </w:r>
      <w:r>
        <w:rPr>
          <w:rFonts w:ascii="Times New Roman" w:hAnsi="Times New Roman"/>
          <w:sz w:val="24"/>
          <w:szCs w:val="24"/>
        </w:rPr>
        <w:t>The following groups will not be present in the feasibility study</w:t>
      </w:r>
      <w:r w:rsidRPr="00D05586">
        <w:rPr>
          <w:rFonts w:ascii="Times New Roman" w:hAnsi="Times New Roman"/>
          <w:sz w:val="24"/>
          <w:szCs w:val="24"/>
        </w:rPr>
        <w:t xml:space="preserve"> sampling frame:</w:t>
      </w:r>
    </w:p>
    <w:p w:rsidR="00471272" w:rsidRPr="00D05586" w:rsidP="002B7397" w14:paraId="23547808" w14:textId="6A9B8B82">
      <w:pPr>
        <w:pStyle w:val="BodyText"/>
        <w:numPr>
          <w:ilvl w:val="0"/>
          <w:numId w:val="15"/>
        </w:numPr>
        <w:spacing w:line="240" w:lineRule="auto"/>
        <w:ind w:left="760" w:hanging="357"/>
        <w:contextualSpacing/>
        <w:rPr>
          <w:rFonts w:ascii="Times New Roman" w:hAnsi="Times New Roman"/>
          <w:sz w:val="24"/>
          <w:szCs w:val="24"/>
        </w:rPr>
      </w:pPr>
      <w:r w:rsidRPr="00D05586">
        <w:rPr>
          <w:rFonts w:ascii="Times New Roman" w:hAnsi="Times New Roman"/>
          <w:sz w:val="24"/>
          <w:szCs w:val="24"/>
        </w:rPr>
        <w:t>Non</w:t>
      </w:r>
      <w:r w:rsidR="002B7397">
        <w:rPr>
          <w:rFonts w:ascii="Times New Roman" w:hAnsi="Times New Roman"/>
          <w:sz w:val="24"/>
          <w:szCs w:val="24"/>
        </w:rPr>
        <w:t>-</w:t>
      </w:r>
      <w:r w:rsidRPr="00D05586">
        <w:rPr>
          <w:rFonts w:ascii="Times New Roman" w:hAnsi="Times New Roman"/>
          <w:sz w:val="24"/>
          <w:szCs w:val="24"/>
        </w:rPr>
        <w:t xml:space="preserve">principal applicants </w:t>
      </w:r>
    </w:p>
    <w:p w:rsidR="00471272" w:rsidRPr="00D05586" w:rsidP="002B7397" w14:paraId="7A8D892B" w14:textId="0F7116EE">
      <w:pPr>
        <w:pStyle w:val="BodyText"/>
        <w:numPr>
          <w:ilvl w:val="0"/>
          <w:numId w:val="15"/>
        </w:numPr>
        <w:spacing w:line="240" w:lineRule="auto"/>
        <w:ind w:left="760" w:hanging="357"/>
        <w:contextualSpacing/>
        <w:rPr>
          <w:rFonts w:ascii="Times New Roman" w:hAnsi="Times New Roman"/>
          <w:sz w:val="24"/>
          <w:szCs w:val="24"/>
        </w:rPr>
      </w:pPr>
      <w:r w:rsidRPr="00D05586">
        <w:rPr>
          <w:rFonts w:ascii="Times New Roman" w:hAnsi="Times New Roman"/>
          <w:sz w:val="24"/>
          <w:szCs w:val="24"/>
        </w:rPr>
        <w:t>Refugees who were</w:t>
      </w:r>
      <w:r w:rsidR="00ED3D6D">
        <w:rPr>
          <w:rFonts w:ascii="Times New Roman" w:hAnsi="Times New Roman"/>
          <w:sz w:val="24"/>
          <w:szCs w:val="24"/>
        </w:rPr>
        <w:t xml:space="preserve"> already</w:t>
      </w:r>
      <w:r w:rsidRPr="00D05586">
        <w:rPr>
          <w:rFonts w:ascii="Times New Roman" w:hAnsi="Times New Roman"/>
          <w:sz w:val="24"/>
          <w:szCs w:val="24"/>
        </w:rPr>
        <w:t xml:space="preserve"> sampled for the </w:t>
      </w:r>
      <w:r w:rsidR="00FE020F">
        <w:rPr>
          <w:rFonts w:ascii="Times New Roman" w:hAnsi="Times New Roman"/>
          <w:sz w:val="24"/>
          <w:szCs w:val="24"/>
        </w:rPr>
        <w:t>FY</w:t>
      </w:r>
      <w:r w:rsidRPr="00D05586">
        <w:rPr>
          <w:rFonts w:ascii="Times New Roman" w:hAnsi="Times New Roman"/>
          <w:sz w:val="24"/>
          <w:szCs w:val="24"/>
        </w:rPr>
        <w:t>2022 ASR</w:t>
      </w:r>
      <w:r w:rsidR="00FE020F">
        <w:rPr>
          <w:rFonts w:ascii="Times New Roman" w:hAnsi="Times New Roman"/>
          <w:sz w:val="24"/>
          <w:szCs w:val="24"/>
        </w:rPr>
        <w:t xml:space="preserve"> (collected in spring 2023)</w:t>
      </w:r>
    </w:p>
    <w:p w:rsidR="00471272" w:rsidRPr="00ED3D6D" w:rsidP="002B7397" w14:paraId="22D434A7" w14:textId="4C34EC77">
      <w:pPr>
        <w:pStyle w:val="BodyText"/>
        <w:numPr>
          <w:ilvl w:val="0"/>
          <w:numId w:val="15"/>
        </w:numPr>
        <w:spacing w:line="240" w:lineRule="auto"/>
        <w:ind w:left="760" w:hanging="357"/>
        <w:contextualSpacing/>
        <w:rPr>
          <w:rFonts w:ascii="Times New Roman" w:hAnsi="Times New Roman"/>
          <w:sz w:val="24"/>
          <w:szCs w:val="24"/>
        </w:rPr>
      </w:pPr>
      <w:r w:rsidRPr="00ED3D6D">
        <w:rPr>
          <w:rFonts w:ascii="Times New Roman" w:hAnsi="Times New Roman"/>
          <w:sz w:val="24"/>
          <w:szCs w:val="24"/>
        </w:rPr>
        <w:t xml:space="preserve">Refugees who do not speak one of the four languages being tested (Arabic, Dari, Kiswahili, and Ukrainian)  </w:t>
      </w:r>
    </w:p>
    <w:p w:rsidR="002B7397" w:rsidRPr="00ED3D6D" w:rsidP="002B7397" w14:paraId="48318019" w14:textId="0BD1AD38">
      <w:pPr>
        <w:pStyle w:val="BodyText"/>
        <w:numPr>
          <w:ilvl w:val="0"/>
          <w:numId w:val="15"/>
        </w:numPr>
        <w:spacing w:line="240" w:lineRule="auto"/>
        <w:ind w:left="760" w:hanging="357"/>
        <w:contextualSpacing/>
        <w:rPr>
          <w:rFonts w:ascii="Times New Roman" w:hAnsi="Times New Roman"/>
          <w:sz w:val="24"/>
          <w:szCs w:val="24"/>
        </w:rPr>
      </w:pPr>
      <w:r w:rsidRPr="00ED3D6D">
        <w:rPr>
          <w:rFonts w:ascii="Times New Roman" w:hAnsi="Times New Roman"/>
          <w:sz w:val="24"/>
          <w:szCs w:val="24"/>
        </w:rPr>
        <w:t xml:space="preserve">Refuges who cannot read well in their native language (this information is included in the RADS administrative data) </w:t>
      </w:r>
    </w:p>
    <w:p w:rsidR="00471272" w:rsidP="002B7397" w14:paraId="63662074" w14:textId="266A76F7">
      <w:pPr>
        <w:pStyle w:val="BodyText"/>
        <w:numPr>
          <w:ilvl w:val="0"/>
          <w:numId w:val="15"/>
        </w:numPr>
        <w:spacing w:after="180" w:line="240" w:lineRule="auto"/>
        <w:contextualSpacing/>
        <w:rPr>
          <w:rFonts w:ascii="Times New Roman" w:hAnsi="Times New Roman"/>
          <w:sz w:val="24"/>
          <w:szCs w:val="24"/>
        </w:rPr>
      </w:pPr>
      <w:r w:rsidRPr="00D05586">
        <w:rPr>
          <w:rFonts w:ascii="Times New Roman" w:hAnsi="Times New Roman"/>
          <w:sz w:val="24"/>
          <w:szCs w:val="24"/>
        </w:rPr>
        <w:t>Refugees who completed a prior year ASR</w:t>
      </w:r>
      <w:r w:rsidR="00FE020F">
        <w:rPr>
          <w:rFonts w:ascii="Times New Roman" w:hAnsi="Times New Roman"/>
          <w:sz w:val="24"/>
          <w:szCs w:val="24"/>
        </w:rPr>
        <w:t xml:space="preserve"> (i.e. the FY2021 cycle collected in spring 2022)</w:t>
      </w:r>
      <w:r>
        <w:rPr>
          <w:rStyle w:val="FootnoteReference"/>
          <w:rFonts w:ascii="Times New Roman" w:hAnsi="Times New Roman"/>
          <w:sz w:val="24"/>
          <w:szCs w:val="24"/>
        </w:rPr>
        <w:footnoteReference w:id="3"/>
      </w:r>
      <w:r w:rsidRPr="00D05586">
        <w:rPr>
          <w:rFonts w:ascii="Times New Roman" w:hAnsi="Times New Roman"/>
          <w:sz w:val="24"/>
          <w:szCs w:val="24"/>
        </w:rPr>
        <w:t xml:space="preserve">  </w:t>
      </w:r>
    </w:p>
    <w:p w:rsidR="00FE020F" w:rsidP="008D3434" w14:paraId="5D62A996" w14:textId="77777777">
      <w:pPr>
        <w:pStyle w:val="BodyText"/>
        <w:spacing w:after="180" w:line="240" w:lineRule="auto"/>
        <w:ind w:left="765"/>
        <w:contextualSpacing/>
        <w:rPr>
          <w:rFonts w:ascii="Times New Roman" w:hAnsi="Times New Roman"/>
          <w:sz w:val="24"/>
          <w:szCs w:val="24"/>
        </w:rPr>
      </w:pPr>
    </w:p>
    <w:p w:rsidR="005E2687" w:rsidP="005E2687" w14:paraId="459F71E4" w14:textId="76D7F39F">
      <w:pPr>
        <w:pStyle w:val="BodyText"/>
        <w:spacing w:after="180" w:line="240" w:lineRule="auto"/>
        <w:contextualSpacing/>
        <w:rPr>
          <w:rFonts w:ascii="Times New Roman" w:hAnsi="Times New Roman"/>
          <w:sz w:val="24"/>
          <w:szCs w:val="24"/>
        </w:rPr>
      </w:pPr>
      <w:r>
        <w:rPr>
          <w:rFonts w:ascii="Times New Roman" w:hAnsi="Times New Roman"/>
          <w:sz w:val="24"/>
          <w:szCs w:val="24"/>
        </w:rPr>
        <w:t>Once the sampling frame is complete, five cognitive interviews will be conducted per language while meeting the following conditions</w:t>
      </w:r>
      <w:r w:rsidR="00F30AA7">
        <w:rPr>
          <w:rFonts w:ascii="Times New Roman" w:hAnsi="Times New Roman"/>
          <w:sz w:val="24"/>
          <w:szCs w:val="24"/>
        </w:rPr>
        <w:t xml:space="preserve"> (one interview can satisfy multiple conditions)</w:t>
      </w:r>
      <w:r>
        <w:rPr>
          <w:rFonts w:ascii="Times New Roman" w:hAnsi="Times New Roman"/>
          <w:sz w:val="24"/>
          <w:szCs w:val="24"/>
        </w:rPr>
        <w:t>:</w:t>
      </w:r>
    </w:p>
    <w:p w:rsidR="007E3B83" w:rsidP="005E2687" w14:paraId="059A2AA2" w14:textId="77777777">
      <w:pPr>
        <w:pStyle w:val="BodyText"/>
        <w:spacing w:after="180" w:line="240" w:lineRule="auto"/>
        <w:contextualSpacing/>
        <w:rPr>
          <w:rFonts w:ascii="Times New Roman" w:hAnsi="Times New Roman"/>
          <w:sz w:val="24"/>
          <w:szCs w:val="24"/>
        </w:rPr>
      </w:pPr>
    </w:p>
    <w:p w:rsidR="005E2687" w:rsidRPr="005E2687" w:rsidP="005E2687" w14:paraId="1E196466" w14:textId="77777777">
      <w:pPr>
        <w:pStyle w:val="BodyText"/>
        <w:numPr>
          <w:ilvl w:val="0"/>
          <w:numId w:val="16"/>
        </w:numPr>
        <w:spacing w:after="180" w:line="240" w:lineRule="auto"/>
        <w:contextualSpacing/>
        <w:rPr>
          <w:rFonts w:ascii="Times New Roman" w:hAnsi="Times New Roman"/>
          <w:sz w:val="24"/>
          <w:szCs w:val="24"/>
        </w:rPr>
      </w:pPr>
      <w:r w:rsidRPr="005E2687">
        <w:rPr>
          <w:rFonts w:ascii="Times New Roman" w:hAnsi="Times New Roman"/>
          <w:sz w:val="24"/>
          <w:szCs w:val="24"/>
        </w:rPr>
        <w:t>One interview with a male refugee</w:t>
      </w:r>
    </w:p>
    <w:p w:rsidR="005E2687" w:rsidRPr="005E2687" w:rsidP="005E2687" w14:paraId="4F2D6EF3" w14:textId="77777777">
      <w:pPr>
        <w:pStyle w:val="BodyText"/>
        <w:numPr>
          <w:ilvl w:val="0"/>
          <w:numId w:val="16"/>
        </w:numPr>
        <w:spacing w:after="180" w:line="240" w:lineRule="auto"/>
        <w:contextualSpacing/>
        <w:rPr>
          <w:rFonts w:ascii="Times New Roman" w:hAnsi="Times New Roman"/>
          <w:sz w:val="24"/>
          <w:szCs w:val="24"/>
        </w:rPr>
      </w:pPr>
      <w:r w:rsidRPr="005E2687">
        <w:rPr>
          <w:rFonts w:ascii="Times New Roman" w:hAnsi="Times New Roman"/>
          <w:sz w:val="24"/>
          <w:szCs w:val="24"/>
        </w:rPr>
        <w:t>One interview with a female refugee</w:t>
      </w:r>
    </w:p>
    <w:p w:rsidR="005E2687" w:rsidRPr="005E2687" w:rsidP="005E2687" w14:paraId="1D064E93" w14:textId="77777777">
      <w:pPr>
        <w:pStyle w:val="BodyText"/>
        <w:numPr>
          <w:ilvl w:val="0"/>
          <w:numId w:val="16"/>
        </w:numPr>
        <w:spacing w:after="180" w:line="240" w:lineRule="auto"/>
        <w:contextualSpacing/>
        <w:rPr>
          <w:rFonts w:ascii="Times New Roman" w:hAnsi="Times New Roman"/>
          <w:sz w:val="24"/>
          <w:szCs w:val="24"/>
        </w:rPr>
      </w:pPr>
      <w:r w:rsidRPr="005E2687">
        <w:rPr>
          <w:rFonts w:ascii="Times New Roman" w:hAnsi="Times New Roman"/>
          <w:sz w:val="24"/>
          <w:szCs w:val="24"/>
        </w:rPr>
        <w:t>Three interviews where the family size is greater than 1</w:t>
      </w:r>
    </w:p>
    <w:p w:rsidR="005E2687" w:rsidRPr="005E2687" w:rsidP="005E2687" w14:paraId="16011F44" w14:textId="77777777">
      <w:pPr>
        <w:pStyle w:val="BodyText"/>
        <w:numPr>
          <w:ilvl w:val="0"/>
          <w:numId w:val="16"/>
        </w:numPr>
        <w:spacing w:after="180" w:line="240" w:lineRule="auto"/>
        <w:contextualSpacing/>
        <w:rPr>
          <w:rFonts w:ascii="Times New Roman" w:hAnsi="Times New Roman"/>
          <w:sz w:val="24"/>
          <w:szCs w:val="24"/>
        </w:rPr>
      </w:pPr>
      <w:r w:rsidRPr="005E2687">
        <w:rPr>
          <w:rFonts w:ascii="Times New Roman" w:hAnsi="Times New Roman"/>
          <w:sz w:val="24"/>
          <w:szCs w:val="24"/>
        </w:rPr>
        <w:t>One interview with a refugee 55 years of age or older</w:t>
      </w:r>
    </w:p>
    <w:p w:rsidR="005E2687" w:rsidP="005E2687" w14:paraId="4867057B" w14:textId="2EDE2BC7">
      <w:pPr>
        <w:pStyle w:val="BodyText"/>
        <w:spacing w:after="180" w:line="240" w:lineRule="auto"/>
        <w:contextualSpacing/>
        <w:rPr>
          <w:rFonts w:ascii="Times New Roman" w:hAnsi="Times New Roman"/>
          <w:sz w:val="24"/>
          <w:szCs w:val="24"/>
        </w:rPr>
      </w:pPr>
    </w:p>
    <w:p w:rsidR="00FE020F" w:rsidP="005E2687" w14:paraId="1C423927" w14:textId="682A56C9">
      <w:pPr>
        <w:pStyle w:val="BodyText"/>
        <w:spacing w:after="180" w:line="240" w:lineRule="auto"/>
        <w:contextualSpacing/>
        <w:rPr>
          <w:rFonts w:ascii="Times New Roman" w:hAnsi="Times New Roman"/>
          <w:sz w:val="24"/>
          <w:szCs w:val="24"/>
        </w:rPr>
      </w:pPr>
      <w:r>
        <w:rPr>
          <w:rFonts w:ascii="Times New Roman" w:hAnsi="Times New Roman"/>
          <w:sz w:val="24"/>
          <w:szCs w:val="24"/>
        </w:rPr>
        <w:t xml:space="preserve">Four languages were chosen with input from ORR (see Table 1) which capture a range of geographic regions of </w:t>
      </w:r>
      <w:r>
        <w:rPr>
          <w:rFonts w:ascii="Times New Roman" w:hAnsi="Times New Roman"/>
          <w:sz w:val="24"/>
          <w:szCs w:val="24"/>
        </w:rPr>
        <w:t>origin, and</w:t>
      </w:r>
      <w:r>
        <w:rPr>
          <w:rFonts w:ascii="Times New Roman" w:hAnsi="Times New Roman"/>
          <w:sz w:val="24"/>
          <w:szCs w:val="24"/>
        </w:rPr>
        <w:t xml:space="preserve"> include some of the most common languages among recent refugee arrivals and expected arrivals.</w:t>
      </w:r>
    </w:p>
    <w:p w:rsidR="00D72E49" w:rsidRPr="005E2687" w:rsidP="005E2687" w14:paraId="10EC2078" w14:textId="4B3BD017">
      <w:pPr>
        <w:pStyle w:val="BodyText"/>
        <w:spacing w:after="180" w:line="240" w:lineRule="auto"/>
        <w:contextualSpacing/>
        <w:rPr>
          <w:rFonts w:ascii="Times New Roman" w:hAnsi="Times New Roman"/>
          <w:sz w:val="24"/>
          <w:szCs w:val="24"/>
        </w:rPr>
      </w:pPr>
    </w:p>
    <w:p w:rsidR="005E2687" w:rsidRPr="005E2687" w:rsidP="005E2687" w14:paraId="2389D4A7" w14:textId="79AFC39C">
      <w:pPr>
        <w:pStyle w:val="BodyText"/>
        <w:spacing w:after="180" w:line="240" w:lineRule="auto"/>
        <w:contextualSpacing/>
        <w:rPr>
          <w:rFonts w:ascii="Times New Roman" w:hAnsi="Times New Roman"/>
          <w:sz w:val="24"/>
          <w:szCs w:val="24"/>
        </w:rPr>
      </w:pPr>
    </w:p>
    <w:p w:rsidR="005E2687" w:rsidRPr="005E2687" w:rsidP="005E2687" w14:paraId="66F039AC" w14:textId="75C47851">
      <w:pPr>
        <w:pStyle w:val="BodyText"/>
        <w:spacing w:line="240" w:lineRule="auto"/>
        <w:rPr>
          <w:rFonts w:ascii="Times New Roman" w:hAnsi="Times New Roman"/>
          <w:b/>
        </w:rPr>
      </w:pPr>
      <w:r w:rsidRPr="001C4AAA">
        <w:rPr>
          <w:rFonts w:ascii="Times New Roman" w:hAnsi="Times New Roman"/>
          <w:b/>
        </w:rPr>
        <w:t xml:space="preserve">Table </w:t>
      </w:r>
      <w:r>
        <w:rPr>
          <w:rFonts w:ascii="Times New Roman" w:hAnsi="Times New Roman"/>
          <w:b/>
        </w:rPr>
        <w:t>1</w:t>
      </w:r>
      <w:r w:rsidRPr="001C4AAA">
        <w:rPr>
          <w:rFonts w:ascii="Times New Roman" w:hAnsi="Times New Roman"/>
          <w:b/>
        </w:rPr>
        <w:t xml:space="preserve">. Language Groups for </w:t>
      </w:r>
      <w:r>
        <w:rPr>
          <w:rFonts w:ascii="Times New Roman" w:hAnsi="Times New Roman"/>
          <w:b/>
        </w:rPr>
        <w:t>ASR Online Feasibility Test</w:t>
      </w:r>
    </w:p>
    <w:tbl>
      <w:tblPr>
        <w:tblW w:w="8653" w:type="dxa"/>
        <w:tblLook w:val="04A0"/>
      </w:tblPr>
      <w:tblGrid>
        <w:gridCol w:w="1483"/>
        <w:gridCol w:w="1606"/>
        <w:gridCol w:w="1848"/>
        <w:gridCol w:w="1868"/>
        <w:gridCol w:w="1848"/>
      </w:tblGrid>
      <w:tr w14:paraId="421517AE" w14:textId="77777777" w:rsidTr="005E2687">
        <w:tblPrEx>
          <w:tblW w:w="8653" w:type="dxa"/>
          <w:tblLook w:val="04A0"/>
        </w:tblPrEx>
        <w:trPr>
          <w:trHeight w:val="248"/>
        </w:trPr>
        <w:tc>
          <w:tcPr>
            <w:tcW w:w="1483"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E2687" w14:paraId="2FC0C47C" w14:textId="77777777">
            <w:pPr>
              <w:rPr>
                <w:b/>
                <w:bCs/>
                <w:color w:val="000000"/>
              </w:rPr>
            </w:pPr>
            <w:r>
              <w:rPr>
                <w:b/>
                <w:bCs/>
                <w:color w:val="000000"/>
              </w:rPr>
              <w:t>Language </w:t>
            </w:r>
          </w:p>
        </w:tc>
        <w:tc>
          <w:tcPr>
            <w:tcW w:w="1606" w:type="dxa"/>
            <w:tcBorders>
              <w:top w:val="single" w:sz="8" w:space="0" w:color="auto"/>
              <w:left w:val="nil"/>
              <w:bottom w:val="single" w:sz="8" w:space="0" w:color="auto"/>
              <w:right w:val="single" w:sz="8" w:space="0" w:color="auto"/>
            </w:tcBorders>
            <w:shd w:val="clear" w:color="000000" w:fill="D9D9D9"/>
            <w:vAlign w:val="center"/>
            <w:hideMark/>
          </w:tcPr>
          <w:p w:rsidR="005E2687" w14:paraId="113E8B10" w14:textId="77777777">
            <w:pPr>
              <w:rPr>
                <w:b/>
                <w:bCs/>
                <w:color w:val="000000"/>
              </w:rPr>
            </w:pPr>
            <w:r>
              <w:rPr>
                <w:b/>
                <w:bCs/>
                <w:color w:val="000000"/>
              </w:rPr>
              <w:t>Share in FY2021 admissions </w:t>
            </w:r>
          </w:p>
        </w:tc>
        <w:tc>
          <w:tcPr>
            <w:tcW w:w="1848" w:type="dxa"/>
            <w:tcBorders>
              <w:top w:val="single" w:sz="8" w:space="0" w:color="auto"/>
              <w:left w:val="nil"/>
              <w:bottom w:val="single" w:sz="8" w:space="0" w:color="auto"/>
              <w:right w:val="single" w:sz="8" w:space="0" w:color="auto"/>
            </w:tcBorders>
            <w:shd w:val="clear" w:color="000000" w:fill="D9D9D9"/>
            <w:vAlign w:val="center"/>
            <w:hideMark/>
          </w:tcPr>
          <w:p w:rsidR="005E2687" w14:paraId="27699944" w14:textId="77777777">
            <w:pPr>
              <w:rPr>
                <w:b/>
                <w:bCs/>
                <w:color w:val="000000"/>
              </w:rPr>
            </w:pPr>
            <w:r>
              <w:rPr>
                <w:b/>
                <w:bCs/>
                <w:color w:val="000000"/>
              </w:rPr>
              <w:t>Number of 2021 ASR households surveyed</w:t>
            </w:r>
          </w:p>
        </w:tc>
        <w:tc>
          <w:tcPr>
            <w:tcW w:w="1868" w:type="dxa"/>
            <w:tcBorders>
              <w:top w:val="single" w:sz="8" w:space="0" w:color="auto"/>
              <w:left w:val="nil"/>
              <w:bottom w:val="single" w:sz="8" w:space="0" w:color="auto"/>
              <w:right w:val="single" w:sz="8" w:space="0" w:color="auto"/>
            </w:tcBorders>
            <w:shd w:val="clear" w:color="000000" w:fill="D9D9D9"/>
            <w:vAlign w:val="center"/>
            <w:hideMark/>
          </w:tcPr>
          <w:p w:rsidR="005E2687" w14:paraId="19297EE0" w14:textId="77777777">
            <w:pPr>
              <w:rPr>
                <w:b/>
                <w:bCs/>
                <w:color w:val="000000"/>
              </w:rPr>
            </w:pPr>
            <w:r>
              <w:rPr>
                <w:b/>
                <w:bCs/>
                <w:color w:val="000000"/>
              </w:rPr>
              <w:t>Number of interviews planned </w:t>
            </w:r>
          </w:p>
        </w:tc>
        <w:tc>
          <w:tcPr>
            <w:tcW w:w="1848" w:type="dxa"/>
            <w:tcBorders>
              <w:top w:val="single" w:sz="8" w:space="0" w:color="auto"/>
              <w:left w:val="nil"/>
              <w:bottom w:val="single" w:sz="8" w:space="0" w:color="auto"/>
              <w:right w:val="single" w:sz="8" w:space="0" w:color="auto"/>
            </w:tcBorders>
            <w:shd w:val="clear" w:color="000000" w:fill="D9D9D9"/>
            <w:vAlign w:val="center"/>
            <w:hideMark/>
          </w:tcPr>
          <w:p w:rsidR="005E2687" w14:paraId="67F5218D" w14:textId="77777777">
            <w:pPr>
              <w:rPr>
                <w:b/>
                <w:bCs/>
                <w:color w:val="000000"/>
              </w:rPr>
            </w:pPr>
            <w:r>
              <w:rPr>
                <w:b/>
                <w:bCs/>
                <w:color w:val="000000"/>
              </w:rPr>
              <w:t>Countries of origin</w:t>
            </w:r>
          </w:p>
        </w:tc>
      </w:tr>
      <w:tr w14:paraId="2DF102FE" w14:textId="77777777" w:rsidTr="005E2687">
        <w:tblPrEx>
          <w:tblW w:w="8653" w:type="dxa"/>
          <w:tblLook w:val="04A0"/>
        </w:tblPrEx>
        <w:trPr>
          <w:trHeight w:val="666"/>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5E2687" w14:paraId="3E3A58E9" w14:textId="77777777">
            <w:pPr>
              <w:rPr>
                <w:color w:val="000000"/>
              </w:rPr>
            </w:pPr>
            <w:r>
              <w:rPr>
                <w:color w:val="000000"/>
              </w:rPr>
              <w:t>Arabic </w:t>
            </w:r>
          </w:p>
        </w:tc>
        <w:tc>
          <w:tcPr>
            <w:tcW w:w="1606" w:type="dxa"/>
            <w:tcBorders>
              <w:top w:val="nil"/>
              <w:left w:val="nil"/>
              <w:bottom w:val="single" w:sz="8" w:space="0" w:color="auto"/>
              <w:right w:val="single" w:sz="8" w:space="0" w:color="auto"/>
            </w:tcBorders>
            <w:shd w:val="clear" w:color="auto" w:fill="auto"/>
            <w:vAlign w:val="center"/>
            <w:hideMark/>
          </w:tcPr>
          <w:p w:rsidR="005E2687" w14:paraId="5F71AF4B" w14:textId="77777777">
            <w:pPr>
              <w:jc w:val="center"/>
              <w:rPr>
                <w:color w:val="000000"/>
              </w:rPr>
            </w:pPr>
            <w:r>
              <w:rPr>
                <w:color w:val="000000"/>
              </w:rPr>
              <w:t>16%</w:t>
            </w:r>
          </w:p>
        </w:tc>
        <w:tc>
          <w:tcPr>
            <w:tcW w:w="1848" w:type="dxa"/>
            <w:tcBorders>
              <w:top w:val="nil"/>
              <w:left w:val="nil"/>
              <w:bottom w:val="single" w:sz="8" w:space="0" w:color="auto"/>
              <w:right w:val="single" w:sz="8" w:space="0" w:color="auto"/>
            </w:tcBorders>
            <w:shd w:val="clear" w:color="auto" w:fill="auto"/>
            <w:vAlign w:val="center"/>
            <w:hideMark/>
          </w:tcPr>
          <w:p w:rsidR="005E2687" w14:paraId="275EC97B" w14:textId="77777777">
            <w:pPr>
              <w:jc w:val="center"/>
              <w:rPr>
                <w:color w:val="000000"/>
              </w:rPr>
            </w:pPr>
            <w:r>
              <w:rPr>
                <w:color w:val="000000"/>
              </w:rPr>
              <w:t>125</w:t>
            </w:r>
          </w:p>
        </w:tc>
        <w:tc>
          <w:tcPr>
            <w:tcW w:w="1868" w:type="dxa"/>
            <w:tcBorders>
              <w:top w:val="nil"/>
              <w:left w:val="nil"/>
              <w:bottom w:val="single" w:sz="8" w:space="0" w:color="auto"/>
              <w:right w:val="single" w:sz="8" w:space="0" w:color="auto"/>
            </w:tcBorders>
            <w:shd w:val="clear" w:color="auto" w:fill="auto"/>
            <w:vAlign w:val="center"/>
            <w:hideMark/>
          </w:tcPr>
          <w:p w:rsidR="005E2687" w14:paraId="7A644979" w14:textId="77777777">
            <w:pPr>
              <w:jc w:val="center"/>
              <w:rPr>
                <w:color w:val="000000"/>
              </w:rPr>
            </w:pPr>
            <w:r>
              <w:rPr>
                <w:color w:val="000000"/>
              </w:rPr>
              <w:t>5</w:t>
            </w:r>
          </w:p>
        </w:tc>
        <w:tc>
          <w:tcPr>
            <w:tcW w:w="1848" w:type="dxa"/>
            <w:tcBorders>
              <w:top w:val="nil"/>
              <w:left w:val="nil"/>
              <w:bottom w:val="single" w:sz="8" w:space="0" w:color="auto"/>
              <w:right w:val="single" w:sz="8" w:space="0" w:color="auto"/>
            </w:tcBorders>
            <w:shd w:val="clear" w:color="auto" w:fill="auto"/>
            <w:vAlign w:val="center"/>
            <w:hideMark/>
          </w:tcPr>
          <w:p w:rsidR="005E2687" w14:paraId="7463A655" w14:textId="77777777">
            <w:pPr>
              <w:rPr>
                <w:color w:val="000000"/>
              </w:rPr>
            </w:pPr>
            <w:r>
              <w:rPr>
                <w:color w:val="000000"/>
              </w:rPr>
              <w:t>Iraq, Syria, Sudan, Eritrea, and others</w:t>
            </w:r>
          </w:p>
        </w:tc>
      </w:tr>
      <w:tr w14:paraId="5AEC5F85" w14:textId="77777777" w:rsidTr="005E2687">
        <w:tblPrEx>
          <w:tblW w:w="8653" w:type="dxa"/>
          <w:tblLook w:val="04A0"/>
        </w:tblPrEx>
        <w:trPr>
          <w:trHeight w:val="575"/>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5E2687" w14:paraId="120C8459" w14:textId="77777777">
            <w:pPr>
              <w:rPr>
                <w:color w:val="000000"/>
              </w:rPr>
            </w:pPr>
            <w:r>
              <w:rPr>
                <w:color w:val="000000"/>
              </w:rPr>
              <w:t>Kiswahili </w:t>
            </w:r>
          </w:p>
        </w:tc>
        <w:tc>
          <w:tcPr>
            <w:tcW w:w="1606" w:type="dxa"/>
            <w:tcBorders>
              <w:top w:val="nil"/>
              <w:left w:val="nil"/>
              <w:bottom w:val="single" w:sz="8" w:space="0" w:color="auto"/>
              <w:right w:val="single" w:sz="8" w:space="0" w:color="auto"/>
            </w:tcBorders>
            <w:shd w:val="clear" w:color="auto" w:fill="auto"/>
            <w:vAlign w:val="center"/>
            <w:hideMark/>
          </w:tcPr>
          <w:p w:rsidR="005E2687" w14:paraId="053DF50C" w14:textId="77777777">
            <w:pPr>
              <w:jc w:val="center"/>
              <w:rPr>
                <w:color w:val="000000"/>
              </w:rPr>
            </w:pPr>
            <w:r>
              <w:rPr>
                <w:color w:val="000000"/>
              </w:rPr>
              <w:t>16%</w:t>
            </w:r>
          </w:p>
        </w:tc>
        <w:tc>
          <w:tcPr>
            <w:tcW w:w="1848" w:type="dxa"/>
            <w:tcBorders>
              <w:top w:val="nil"/>
              <w:left w:val="nil"/>
              <w:bottom w:val="single" w:sz="8" w:space="0" w:color="auto"/>
              <w:right w:val="single" w:sz="8" w:space="0" w:color="auto"/>
            </w:tcBorders>
            <w:shd w:val="clear" w:color="auto" w:fill="auto"/>
            <w:vAlign w:val="center"/>
            <w:hideMark/>
          </w:tcPr>
          <w:p w:rsidR="005E2687" w14:paraId="34EE6F01" w14:textId="77777777">
            <w:pPr>
              <w:jc w:val="center"/>
              <w:rPr>
                <w:color w:val="000000"/>
              </w:rPr>
            </w:pPr>
            <w:r>
              <w:rPr>
                <w:color w:val="000000"/>
              </w:rPr>
              <w:t>86</w:t>
            </w:r>
          </w:p>
        </w:tc>
        <w:tc>
          <w:tcPr>
            <w:tcW w:w="1868" w:type="dxa"/>
            <w:tcBorders>
              <w:top w:val="nil"/>
              <w:left w:val="nil"/>
              <w:bottom w:val="single" w:sz="8" w:space="0" w:color="auto"/>
              <w:right w:val="single" w:sz="8" w:space="0" w:color="auto"/>
            </w:tcBorders>
            <w:shd w:val="clear" w:color="auto" w:fill="auto"/>
            <w:vAlign w:val="center"/>
            <w:hideMark/>
          </w:tcPr>
          <w:p w:rsidR="005E2687" w14:paraId="3A254232" w14:textId="77777777">
            <w:pPr>
              <w:jc w:val="center"/>
              <w:rPr>
                <w:color w:val="000000"/>
              </w:rPr>
            </w:pPr>
            <w:r>
              <w:rPr>
                <w:color w:val="000000"/>
              </w:rPr>
              <w:t>5</w:t>
            </w:r>
          </w:p>
        </w:tc>
        <w:tc>
          <w:tcPr>
            <w:tcW w:w="1848" w:type="dxa"/>
            <w:tcBorders>
              <w:top w:val="nil"/>
              <w:left w:val="nil"/>
              <w:bottom w:val="single" w:sz="8" w:space="0" w:color="auto"/>
              <w:right w:val="single" w:sz="8" w:space="0" w:color="auto"/>
            </w:tcBorders>
            <w:shd w:val="clear" w:color="auto" w:fill="auto"/>
            <w:vAlign w:val="center"/>
            <w:hideMark/>
          </w:tcPr>
          <w:p w:rsidR="005E2687" w14:paraId="426940EB" w14:textId="77777777">
            <w:pPr>
              <w:rPr>
                <w:color w:val="000000"/>
              </w:rPr>
            </w:pPr>
            <w:r>
              <w:rPr>
                <w:color w:val="000000"/>
              </w:rPr>
              <w:t>Democratic Republic of Congo and Burundi</w:t>
            </w:r>
          </w:p>
        </w:tc>
      </w:tr>
      <w:tr w14:paraId="1C6C3406" w14:textId="77777777" w:rsidTr="005E2687">
        <w:tblPrEx>
          <w:tblW w:w="8653" w:type="dxa"/>
          <w:tblLook w:val="04A0"/>
        </w:tblPrEx>
        <w:trPr>
          <w:trHeight w:val="256"/>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5E2687" w14:paraId="39195D97" w14:textId="77777777">
            <w:pPr>
              <w:rPr>
                <w:color w:val="000000"/>
              </w:rPr>
            </w:pPr>
            <w:r>
              <w:rPr>
                <w:color w:val="000000"/>
              </w:rPr>
              <w:t>Dari</w:t>
            </w:r>
          </w:p>
        </w:tc>
        <w:tc>
          <w:tcPr>
            <w:tcW w:w="1606" w:type="dxa"/>
            <w:tcBorders>
              <w:top w:val="nil"/>
              <w:left w:val="nil"/>
              <w:bottom w:val="single" w:sz="8" w:space="0" w:color="auto"/>
              <w:right w:val="single" w:sz="8" w:space="0" w:color="auto"/>
            </w:tcBorders>
            <w:shd w:val="clear" w:color="auto" w:fill="auto"/>
            <w:vAlign w:val="center"/>
            <w:hideMark/>
          </w:tcPr>
          <w:p w:rsidR="005E2687" w14:paraId="1D282F64" w14:textId="77777777">
            <w:pPr>
              <w:jc w:val="center"/>
              <w:rPr>
                <w:color w:val="000000"/>
              </w:rPr>
            </w:pPr>
            <w:r>
              <w:rPr>
                <w:color w:val="000000"/>
              </w:rPr>
              <w:t>4%</w:t>
            </w:r>
          </w:p>
        </w:tc>
        <w:tc>
          <w:tcPr>
            <w:tcW w:w="1848" w:type="dxa"/>
            <w:tcBorders>
              <w:top w:val="nil"/>
              <w:left w:val="nil"/>
              <w:bottom w:val="single" w:sz="8" w:space="0" w:color="auto"/>
              <w:right w:val="single" w:sz="8" w:space="0" w:color="auto"/>
            </w:tcBorders>
            <w:shd w:val="clear" w:color="auto" w:fill="auto"/>
            <w:vAlign w:val="center"/>
            <w:hideMark/>
          </w:tcPr>
          <w:p w:rsidR="005E2687" w14:paraId="29AED863" w14:textId="77777777">
            <w:pPr>
              <w:jc w:val="center"/>
              <w:rPr>
                <w:color w:val="000000"/>
              </w:rPr>
            </w:pPr>
            <w:r>
              <w:rPr>
                <w:color w:val="000000"/>
              </w:rPr>
              <w:t>48</w:t>
            </w:r>
          </w:p>
        </w:tc>
        <w:tc>
          <w:tcPr>
            <w:tcW w:w="1868" w:type="dxa"/>
            <w:tcBorders>
              <w:top w:val="nil"/>
              <w:left w:val="nil"/>
              <w:bottom w:val="single" w:sz="8" w:space="0" w:color="auto"/>
              <w:right w:val="single" w:sz="8" w:space="0" w:color="auto"/>
            </w:tcBorders>
            <w:shd w:val="clear" w:color="auto" w:fill="auto"/>
            <w:vAlign w:val="center"/>
            <w:hideMark/>
          </w:tcPr>
          <w:p w:rsidR="005E2687" w14:paraId="33B00543" w14:textId="77777777">
            <w:pPr>
              <w:jc w:val="center"/>
              <w:rPr>
                <w:color w:val="000000"/>
              </w:rPr>
            </w:pPr>
            <w:r>
              <w:rPr>
                <w:color w:val="000000"/>
              </w:rPr>
              <w:t>5</w:t>
            </w:r>
          </w:p>
        </w:tc>
        <w:tc>
          <w:tcPr>
            <w:tcW w:w="1848" w:type="dxa"/>
            <w:tcBorders>
              <w:top w:val="nil"/>
              <w:left w:val="nil"/>
              <w:bottom w:val="single" w:sz="8" w:space="0" w:color="auto"/>
              <w:right w:val="single" w:sz="8" w:space="0" w:color="auto"/>
            </w:tcBorders>
            <w:shd w:val="clear" w:color="auto" w:fill="auto"/>
            <w:vAlign w:val="center"/>
            <w:hideMark/>
          </w:tcPr>
          <w:p w:rsidR="005E2687" w14:paraId="02C6B722" w14:textId="77777777">
            <w:pPr>
              <w:rPr>
                <w:color w:val="000000"/>
              </w:rPr>
            </w:pPr>
            <w:r>
              <w:rPr>
                <w:color w:val="000000"/>
              </w:rPr>
              <w:t>Afghanistan, Iran, and Pakistan</w:t>
            </w:r>
          </w:p>
        </w:tc>
      </w:tr>
      <w:tr w14:paraId="5F32CC8E" w14:textId="77777777" w:rsidTr="005E2687">
        <w:tblPrEx>
          <w:tblW w:w="8653" w:type="dxa"/>
          <w:tblLook w:val="04A0"/>
        </w:tblPrEx>
        <w:trPr>
          <w:trHeight w:val="130"/>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5E2687" w14:paraId="7E148526" w14:textId="77777777">
            <w:pPr>
              <w:rPr>
                <w:color w:val="000000"/>
              </w:rPr>
            </w:pPr>
            <w:r>
              <w:rPr>
                <w:color w:val="000000"/>
              </w:rPr>
              <w:t>Ukrainian</w:t>
            </w:r>
          </w:p>
        </w:tc>
        <w:tc>
          <w:tcPr>
            <w:tcW w:w="1606" w:type="dxa"/>
            <w:tcBorders>
              <w:top w:val="nil"/>
              <w:left w:val="nil"/>
              <w:bottom w:val="single" w:sz="8" w:space="0" w:color="auto"/>
              <w:right w:val="single" w:sz="8" w:space="0" w:color="auto"/>
            </w:tcBorders>
            <w:shd w:val="clear" w:color="auto" w:fill="auto"/>
            <w:vAlign w:val="center"/>
            <w:hideMark/>
          </w:tcPr>
          <w:p w:rsidR="005E2687" w14:paraId="7444F1C5" w14:textId="77777777">
            <w:pPr>
              <w:jc w:val="center"/>
              <w:rPr>
                <w:color w:val="000000"/>
              </w:rPr>
            </w:pPr>
            <w:r>
              <w:rPr>
                <w:color w:val="000000"/>
              </w:rPr>
              <w:t>4%</w:t>
            </w:r>
          </w:p>
        </w:tc>
        <w:tc>
          <w:tcPr>
            <w:tcW w:w="1848" w:type="dxa"/>
            <w:tcBorders>
              <w:top w:val="nil"/>
              <w:left w:val="nil"/>
              <w:bottom w:val="single" w:sz="8" w:space="0" w:color="auto"/>
              <w:right w:val="single" w:sz="8" w:space="0" w:color="auto"/>
            </w:tcBorders>
            <w:shd w:val="clear" w:color="auto" w:fill="auto"/>
            <w:vAlign w:val="center"/>
            <w:hideMark/>
          </w:tcPr>
          <w:p w:rsidR="005E2687" w14:paraId="13FC1339" w14:textId="77777777">
            <w:pPr>
              <w:jc w:val="center"/>
              <w:rPr>
                <w:color w:val="000000"/>
              </w:rPr>
            </w:pPr>
            <w:r>
              <w:rPr>
                <w:color w:val="000000"/>
              </w:rPr>
              <w:t>160</w:t>
            </w:r>
          </w:p>
        </w:tc>
        <w:tc>
          <w:tcPr>
            <w:tcW w:w="1868" w:type="dxa"/>
            <w:tcBorders>
              <w:top w:val="nil"/>
              <w:left w:val="nil"/>
              <w:bottom w:val="single" w:sz="8" w:space="0" w:color="auto"/>
              <w:right w:val="single" w:sz="8" w:space="0" w:color="auto"/>
            </w:tcBorders>
            <w:shd w:val="clear" w:color="auto" w:fill="auto"/>
            <w:vAlign w:val="center"/>
            <w:hideMark/>
          </w:tcPr>
          <w:p w:rsidR="005E2687" w14:paraId="487A2089" w14:textId="77777777">
            <w:pPr>
              <w:jc w:val="center"/>
              <w:rPr>
                <w:color w:val="000000"/>
              </w:rPr>
            </w:pPr>
            <w:r>
              <w:rPr>
                <w:color w:val="000000"/>
              </w:rPr>
              <w:t>5</w:t>
            </w:r>
          </w:p>
        </w:tc>
        <w:tc>
          <w:tcPr>
            <w:tcW w:w="1848" w:type="dxa"/>
            <w:tcBorders>
              <w:top w:val="nil"/>
              <w:left w:val="nil"/>
              <w:bottom w:val="single" w:sz="8" w:space="0" w:color="auto"/>
              <w:right w:val="single" w:sz="8" w:space="0" w:color="auto"/>
            </w:tcBorders>
            <w:shd w:val="clear" w:color="auto" w:fill="auto"/>
            <w:vAlign w:val="center"/>
            <w:hideMark/>
          </w:tcPr>
          <w:p w:rsidR="005E2687" w14:paraId="103F15C4" w14:textId="77777777">
            <w:pPr>
              <w:rPr>
                <w:color w:val="000000"/>
              </w:rPr>
            </w:pPr>
            <w:r>
              <w:rPr>
                <w:color w:val="000000"/>
              </w:rPr>
              <w:t>Ukraine and Moldova</w:t>
            </w:r>
          </w:p>
        </w:tc>
      </w:tr>
    </w:tbl>
    <w:p w:rsidR="001C4AAA" w:rsidRPr="00D969C6" w:rsidP="002B7397" w14:paraId="16598EE1" w14:textId="77777777">
      <w:pPr>
        <w:rPr>
          <w:rFonts w:ascii="Lato" w:hAnsi="Lato"/>
        </w:rPr>
      </w:pPr>
    </w:p>
    <w:p w:rsidR="00F20419" w:rsidP="002B7397" w14:paraId="6805F041" w14:textId="77777777">
      <w:pPr>
        <w:rPr>
          <w:b/>
        </w:rPr>
      </w:pPr>
    </w:p>
    <w:p w:rsidR="005E2687" w:rsidP="005E2687" w14:paraId="117ECC75" w14:textId="77777777">
      <w:pPr>
        <w:autoSpaceDE w:val="0"/>
        <w:autoSpaceDN w:val="0"/>
        <w:adjustRightInd w:val="0"/>
        <w:spacing w:after="60" w:line="240" w:lineRule="atLeast"/>
        <w:ind w:firstLine="720"/>
        <w:rPr>
          <w:i/>
          <w:iCs/>
          <w:color w:val="000000"/>
        </w:rPr>
      </w:pPr>
      <w:r w:rsidRPr="1EA55CC8">
        <w:rPr>
          <w:i/>
          <w:iCs/>
          <w:color w:val="000000" w:themeColor="text1"/>
        </w:rPr>
        <w:t xml:space="preserve">Appropriateness of Study Design and Methods for Planned Uses </w:t>
      </w:r>
    </w:p>
    <w:p w:rsidR="009933C7" w:rsidRPr="005E2687" w:rsidP="002B7397" w14:paraId="46DED10B" w14:textId="31FE2176">
      <w:pPr>
        <w:rPr>
          <w:bCs/>
        </w:rPr>
      </w:pPr>
      <w:r>
        <w:rPr>
          <w:bCs/>
        </w:rPr>
        <w:t>The information gathered in the feasibility test is not intended to be used as a basis for public policy decisions and is not expected to reach the threshold of influential or highly influential scientific information. Rather, it is intended as a test of whether an online mode for the ASR is likely to yield valuable information that may not be able to be obtained in the traditional telephone mod</w:t>
      </w:r>
      <w:r w:rsidR="00B644D7">
        <w:rPr>
          <w:bCs/>
        </w:rPr>
        <w:t>e or can be collected at a lower cost.</w:t>
      </w:r>
      <w:r>
        <w:rPr>
          <w:bCs/>
        </w:rPr>
        <w:t xml:space="preserve"> </w:t>
      </w:r>
    </w:p>
    <w:p w:rsidR="009933C7" w:rsidP="002B7397" w14:paraId="6D066E42" w14:textId="77777777">
      <w:pPr>
        <w:rPr>
          <w:b/>
        </w:rPr>
      </w:pPr>
    </w:p>
    <w:p w:rsidR="00E05A0A" w:rsidRPr="00E05A0A" w:rsidP="002B7397" w14:paraId="2AC0BCF5" w14:textId="77777777">
      <w:pPr>
        <w:rPr>
          <w:b/>
        </w:rPr>
      </w:pPr>
      <w:r>
        <w:rPr>
          <w:b/>
        </w:rPr>
        <w:t>B2. Procedures for Collection of Information</w:t>
      </w:r>
    </w:p>
    <w:p w:rsidR="001C4AAA" w:rsidP="002B7397" w14:paraId="3F1DDAE5" w14:textId="77777777">
      <w:pPr>
        <w:rPr>
          <w:sz w:val="22"/>
          <w:szCs w:val="22"/>
        </w:rPr>
      </w:pPr>
    </w:p>
    <w:p w:rsidR="005E2687" w:rsidP="005E2687" w14:paraId="0AA6EE6C" w14:textId="77777777">
      <w:pPr>
        <w:autoSpaceDE w:val="0"/>
        <w:autoSpaceDN w:val="0"/>
        <w:adjustRightInd w:val="0"/>
        <w:spacing w:after="60" w:line="240" w:lineRule="atLeast"/>
        <w:ind w:firstLine="720"/>
        <w:rPr>
          <w:i/>
          <w:iCs/>
          <w:color w:val="000000"/>
        </w:rPr>
      </w:pPr>
      <w:r w:rsidRPr="1EA55CC8">
        <w:rPr>
          <w:i/>
          <w:iCs/>
          <w:color w:val="000000" w:themeColor="text1"/>
        </w:rPr>
        <w:t>Data Collection Processes</w:t>
      </w:r>
    </w:p>
    <w:p w:rsidR="001B6E27" w:rsidP="002B7397" w14:paraId="44B1B37C" w14:textId="14926E77">
      <w:pPr>
        <w:rPr>
          <w:sz w:val="22"/>
          <w:szCs w:val="22"/>
        </w:rPr>
      </w:pPr>
      <w:r w:rsidRPr="008D3434">
        <w:t xml:space="preserve">RSS will recruit potential respondents through </w:t>
      </w:r>
      <w:r w:rsidRPr="008D3434" w:rsidR="00FE020F">
        <w:t xml:space="preserve">sending a mailed letter of introduction and making </w:t>
      </w:r>
      <w:r w:rsidRPr="008D3434">
        <w:t>an initial telephone call</w:t>
      </w:r>
      <w:r w:rsidRPr="008D3434" w:rsidR="00FE020F">
        <w:t>. They will use addresses and telephone numbers from the administrative data that have been updated through standard tracing databases proven effective for prior ASRs</w:t>
      </w:r>
      <w:r w:rsidRPr="008D3434">
        <w:t xml:space="preserve">. If </w:t>
      </w:r>
      <w:r w:rsidRPr="008D3434" w:rsidR="00FE020F">
        <w:t xml:space="preserve">an </w:t>
      </w:r>
      <w:r w:rsidRPr="008D3434">
        <w:t xml:space="preserve">individual </w:t>
      </w:r>
      <w:r w:rsidRPr="008D3434" w:rsidR="00FE020F">
        <w:t xml:space="preserve">is </w:t>
      </w:r>
      <w:r w:rsidRPr="008D3434" w:rsidR="008D3434">
        <w:t>deemed</w:t>
      </w:r>
      <w:r w:rsidRPr="008D3434" w:rsidR="00FE020F">
        <w:t xml:space="preserve"> eligible and </w:t>
      </w:r>
      <w:r w:rsidRPr="008D3434">
        <w:t xml:space="preserve">consents to participate in the </w:t>
      </w:r>
      <w:r w:rsidRPr="008D3434" w:rsidR="00FE020F">
        <w:t>cognitive interview</w:t>
      </w:r>
      <w:r w:rsidRPr="008D3434">
        <w:t xml:space="preserve">, RSS will </w:t>
      </w:r>
      <w:r w:rsidRPr="008D3434" w:rsidR="00FE020F">
        <w:t xml:space="preserve">schedule a time for an interview. During the interview, RSS interviewers will </w:t>
      </w:r>
      <w:r w:rsidRPr="008D3434">
        <w:t xml:space="preserve">observe </w:t>
      </w:r>
      <w:r w:rsidRPr="008D3434" w:rsidR="00FE020F">
        <w:t xml:space="preserve">respondents </w:t>
      </w:r>
      <w:r w:rsidRPr="008D3434">
        <w:t>as they complete an online version of the ASR</w:t>
      </w:r>
      <w:r w:rsidRPr="008D3434" w:rsidR="00FE020F">
        <w:t>. This observation will be done virtually on a zoom call, as the interviewer observes the audio and video of the respondent, who will also be sharing their screen as they complete the online survey</w:t>
      </w:r>
      <w:r w:rsidRPr="008D3434">
        <w:t xml:space="preserve">. </w:t>
      </w:r>
      <w:r w:rsidRPr="008D3434" w:rsidR="00FE020F">
        <w:t>Interviewers will take hand-written notes on how participants respond to survey questions, and any observations they have on their reactions as they take the survey. They will then ask respondents</w:t>
      </w:r>
      <w:r w:rsidRPr="008D3434">
        <w:t xml:space="preserve"> a series of questions about their experience completing </w:t>
      </w:r>
      <w:r w:rsidRPr="008D3434" w:rsidR="00FE020F">
        <w:t xml:space="preserve">specific questions and overall on </w:t>
      </w:r>
      <w:r w:rsidRPr="008D3434">
        <w:t>the online survey, including ease or difficulty of using the online platform and question comprehensibility. Twenty total interviews will be conducted across four language groups</w:t>
      </w:r>
      <w:r w:rsidR="008D3434">
        <w:t xml:space="preserve"> and participants will receive a $</w:t>
      </w:r>
      <w:r w:rsidR="006C4E5F">
        <w:t>4</w:t>
      </w:r>
      <w:r w:rsidR="008D3434">
        <w:t xml:space="preserve">0 </w:t>
      </w:r>
      <w:r w:rsidR="006C4E5F">
        <w:t>token of appreciation</w:t>
      </w:r>
      <w:r w:rsidR="008D3434">
        <w:t xml:space="preserve"> as an incentive</w:t>
      </w:r>
      <w:r w:rsidR="001176E1">
        <w:t xml:space="preserve"> to encourage cooperation and participation in the feasibility test.</w:t>
      </w:r>
    </w:p>
    <w:p w:rsidR="006D5EC1" w:rsidP="006D5EC1" w14:paraId="7B5ED946" w14:textId="5F532B83">
      <w:pPr>
        <w:rPr>
          <w:sz w:val="22"/>
          <w:szCs w:val="22"/>
        </w:rPr>
      </w:pPr>
      <w:r>
        <w:t xml:space="preserve"> </w:t>
      </w:r>
    </w:p>
    <w:p w:rsidR="0043025B" w:rsidP="002B7397" w14:paraId="1BFC01E4" w14:textId="2DE15382">
      <w:pPr>
        <w:rPr>
          <w:sz w:val="22"/>
          <w:szCs w:val="22"/>
        </w:rPr>
      </w:pPr>
    </w:p>
    <w:p w:rsidR="0043025B" w:rsidP="0043025B" w14:paraId="647B859D" w14:textId="61290208">
      <w:pPr>
        <w:autoSpaceDE w:val="0"/>
        <w:autoSpaceDN w:val="0"/>
        <w:adjustRightInd w:val="0"/>
        <w:spacing w:after="60" w:line="240" w:lineRule="atLeast"/>
        <w:ind w:firstLine="720"/>
        <w:rPr>
          <w:sz w:val="22"/>
          <w:szCs w:val="22"/>
        </w:rPr>
      </w:pPr>
      <w:r w:rsidRPr="1EA55CC8">
        <w:rPr>
          <w:i/>
          <w:iCs/>
          <w:color w:val="000000" w:themeColor="text1"/>
        </w:rPr>
        <w:t>Data Handling</w:t>
      </w:r>
    </w:p>
    <w:p w:rsidR="0043025B" w:rsidP="0043025B" w14:paraId="700E50D4" w14:textId="0A929A40">
      <w:pPr>
        <w:rPr>
          <w:rFonts w:cs="Arial"/>
          <w:sz w:val="20"/>
          <w:szCs w:val="20"/>
        </w:rPr>
      </w:pPr>
      <w:r>
        <w:rPr>
          <w:rFonts w:cs="Arial"/>
        </w:rPr>
        <w:t>If an individual agrees to participate during the telephone recruitment</w:t>
      </w:r>
      <w:r w:rsidR="00FE020F">
        <w:rPr>
          <w:rFonts w:cs="Arial"/>
        </w:rPr>
        <w:t xml:space="preserve"> and is deemed eligible</w:t>
      </w:r>
      <w:r>
        <w:rPr>
          <w:rFonts w:cs="Arial"/>
        </w:rPr>
        <w:t xml:space="preserve">, the interviewer will send a copy of the informed consent to their email address so that the participant has a copy they can refer to; if someone only provides a texting phone number, a hard copy of the consent language will be sent to their mailing address. </w:t>
      </w:r>
    </w:p>
    <w:p w:rsidR="0043025B" w:rsidRPr="0043025B" w:rsidP="0043025B" w14:paraId="7D3FD773" w14:textId="703FD79D">
      <w:pPr>
        <w:tabs>
          <w:tab w:val="left" w:pos="1470"/>
        </w:tabs>
      </w:pPr>
    </w:p>
    <w:p w:rsidR="006D5EC1" w:rsidP="0043025B" w14:paraId="73407978" w14:textId="541362D9">
      <w:r>
        <w:t xml:space="preserve">The project team will use a secure data file transfer process using Secure File Transfer Protocol (SFTP). </w:t>
      </w:r>
      <w:r w:rsidR="00744BED">
        <w:t xml:space="preserve">The data received from HHS/ORR (RADS administrative data) is transmitted to Urban through an HHS SFTP. Subsequent transfers, including the </w:t>
      </w:r>
      <w:r w:rsidR="00833643">
        <w:t xml:space="preserve">RADS and </w:t>
      </w:r>
      <w:r w:rsidR="00744BED">
        <w:t>ASR</w:t>
      </w:r>
      <w:r w:rsidR="00833643">
        <w:t xml:space="preserve"> survey data</w:t>
      </w:r>
      <w:r w:rsidR="00744BED">
        <w:t xml:space="preserve">, between UI, HHS, and SSRS are transmitted through the UI Secure Data Site, which is an </w:t>
      </w:r>
      <w:r w:rsidR="00744BED">
        <w:t>on-premise</w:t>
      </w:r>
      <w:r w:rsidR="00744BED">
        <w:t xml:space="preserve"> SFTP server behind the UI firewall. </w:t>
      </w:r>
      <w:r>
        <w:t xml:space="preserve">The </w:t>
      </w:r>
      <w:r w:rsidR="00744BED">
        <w:t xml:space="preserve">UI </w:t>
      </w:r>
      <w:r>
        <w:t>SFTP will be used to transmit sample data between SSRS and RSS</w:t>
      </w:r>
      <w:r w:rsidR="00744BED">
        <w:t>, but UI will not download these data</w:t>
      </w:r>
      <w:r>
        <w:t xml:space="preserve">. </w:t>
      </w:r>
    </w:p>
    <w:p w:rsidR="006D5EC1" w:rsidP="0043025B" w14:paraId="68D13FD3" w14:textId="77777777"/>
    <w:p w:rsidR="006D5EC1" w:rsidP="0043025B" w14:paraId="40BFD329" w14:textId="0B80D753">
      <w:r>
        <w:t>RSS will not transmit any individual-level records on the cognitive interviews back to SSRS or to UI; they will only be sharing de-identified interview summaries that include no information about individual participants other than age, gender, family size, and language.</w:t>
      </w:r>
      <w:r w:rsidR="00FE020F">
        <w:t xml:space="preserve"> RSS will securely </w:t>
      </w:r>
      <w:r>
        <w:t xml:space="preserve">store in locked boxes, and then </w:t>
      </w:r>
      <w:r w:rsidR="00FE020F">
        <w:t>destroy</w:t>
      </w:r>
      <w:r>
        <w:t>,</w:t>
      </w:r>
      <w:r w:rsidR="00FE020F">
        <w:t xml:space="preserve"> hand-written notes that are taken during the cognitive interviews. </w:t>
      </w:r>
    </w:p>
    <w:p w:rsidR="006D5EC1" w:rsidP="0043025B" w14:paraId="24551869" w14:textId="77777777"/>
    <w:p w:rsidR="0043025B" w:rsidP="0043025B" w14:paraId="1C10EE5D" w14:textId="35032E93">
      <w:r>
        <w:t>In addition, SSRS will not transmit online survey responses to any partners; these data will not be analyzed.</w:t>
      </w:r>
    </w:p>
    <w:p w:rsidR="0043025B" w:rsidP="0043025B" w14:paraId="7B9A9F02" w14:textId="14B92AC5"/>
    <w:p w:rsidR="00D73358" w:rsidP="0043025B" w14:paraId="1EAA7A72" w14:textId="77777777"/>
    <w:p w:rsidR="0043025B" w:rsidRPr="00861A1F" w:rsidP="0043025B" w14:paraId="02E201D0" w14:textId="77777777">
      <w:pPr>
        <w:autoSpaceDE w:val="0"/>
        <w:autoSpaceDN w:val="0"/>
        <w:adjustRightInd w:val="0"/>
        <w:spacing w:after="60" w:line="240" w:lineRule="atLeast"/>
        <w:ind w:firstLine="720"/>
        <w:rPr>
          <w:i/>
          <w:iCs/>
          <w:color w:val="000000"/>
        </w:rPr>
      </w:pPr>
      <w:r w:rsidRPr="1EA55CC8">
        <w:rPr>
          <w:i/>
          <w:iCs/>
          <w:color w:val="000000" w:themeColor="text1"/>
        </w:rPr>
        <w:t>Data Use</w:t>
      </w:r>
    </w:p>
    <w:p w:rsidR="0043025B" w:rsidRPr="0043025B" w:rsidP="0043025B" w14:paraId="384D673C" w14:textId="1DE137B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UI will determine whether the data from the test indicate that an online version of the ASR is feasible from both a technical and value perspective and will share those findings with ORR and other relevant parties.</w:t>
      </w:r>
    </w:p>
    <w:p w:rsidR="008A2F2E" w:rsidP="002B7397" w14:paraId="703F7792" w14:textId="77777777">
      <w:pPr>
        <w:rPr>
          <w:sz w:val="22"/>
          <w:szCs w:val="22"/>
        </w:rPr>
      </w:pPr>
    </w:p>
    <w:p w:rsidR="0043025B" w:rsidP="002B7397" w14:paraId="2C7AEC17" w14:textId="1AF34441">
      <w:pPr>
        <w:rPr>
          <w:b/>
        </w:rPr>
      </w:pPr>
      <w:r>
        <w:rPr>
          <w:b/>
        </w:rPr>
        <w:t>B3. Methods to Maximize Response Rates and Deal with Nonresponse</w:t>
      </w:r>
    </w:p>
    <w:p w:rsidR="0043025B" w:rsidRPr="0043025B" w:rsidP="002B7397" w14:paraId="018E30A2" w14:textId="77777777">
      <w:pPr>
        <w:rPr>
          <w:b/>
        </w:rPr>
      </w:pPr>
    </w:p>
    <w:p w:rsidR="00FE1C8E" w:rsidRPr="00AD412B" w:rsidP="00AD412B" w14:paraId="3CB47864" w14:textId="52116C89">
      <w:pPr>
        <w:ind w:firstLine="720"/>
        <w:rPr>
          <w:bCs/>
        </w:rPr>
      </w:pPr>
      <w:r w:rsidRPr="00AD412B">
        <w:rPr>
          <w:bCs/>
          <w:i/>
        </w:rPr>
        <w:t>Response Rates</w:t>
      </w:r>
    </w:p>
    <w:p w:rsidR="00B32A88" w:rsidRPr="006E09E2" w:rsidP="002B7397" w14:paraId="727B7B80" w14:textId="7195F5BC">
      <w:pPr>
        <w:rPr>
          <w:sz w:val="22"/>
          <w:szCs w:val="22"/>
        </w:rPr>
      </w:pPr>
      <w:r w:rsidRPr="006E09E2">
        <w:rPr>
          <w:sz w:val="22"/>
          <w:szCs w:val="22"/>
        </w:rPr>
        <w:t xml:space="preserve">Not applicable, </w:t>
      </w:r>
      <w:r w:rsidR="00AD412B">
        <w:rPr>
          <w:sz w:val="22"/>
          <w:szCs w:val="22"/>
        </w:rPr>
        <w:t>as this feasibility test is limited to only 20 respondents by design.</w:t>
      </w:r>
    </w:p>
    <w:p w:rsidR="00F56220" w:rsidP="002B7397" w14:paraId="063DE247" w14:textId="77777777">
      <w:pPr>
        <w:rPr>
          <w:b/>
          <w:i/>
        </w:rPr>
      </w:pPr>
    </w:p>
    <w:p w:rsidR="00EC6101" w:rsidRPr="00AD412B" w:rsidP="00AD412B" w14:paraId="0F1E6C2D" w14:textId="77777777">
      <w:pPr>
        <w:autoSpaceDE w:val="0"/>
        <w:autoSpaceDN w:val="0"/>
        <w:adjustRightInd w:val="0"/>
        <w:ind w:firstLine="720"/>
        <w:rPr>
          <w:bCs/>
          <w:i/>
        </w:rPr>
      </w:pPr>
      <w:r w:rsidRPr="00AD412B">
        <w:rPr>
          <w:bCs/>
          <w:i/>
        </w:rPr>
        <w:t>Maximizing Response Rates</w:t>
      </w:r>
      <w:r w:rsidRPr="00AD412B" w:rsidR="00B32A88">
        <w:rPr>
          <w:bCs/>
          <w:i/>
        </w:rPr>
        <w:t xml:space="preserve"> and Dealing with Nonresponse</w:t>
      </w:r>
    </w:p>
    <w:p w:rsidR="00B32A88" w:rsidRPr="006E09E2" w:rsidP="002B7397" w14:paraId="1D28BE89" w14:textId="77777777">
      <w:pPr>
        <w:autoSpaceDE w:val="0"/>
        <w:autoSpaceDN w:val="0"/>
        <w:adjustRightInd w:val="0"/>
        <w:rPr>
          <w:rFonts w:ascii="TimesNewRoman" w:hAnsi="TimesNewRoman" w:cs="TimesNewRoman"/>
          <w:sz w:val="22"/>
          <w:szCs w:val="22"/>
        </w:rPr>
      </w:pPr>
      <w:r w:rsidRPr="006E09E2">
        <w:rPr>
          <w:rFonts w:ascii="TimesNewRoman" w:hAnsi="TimesNewRoman" w:cs="TimesNewRoman"/>
          <w:sz w:val="22"/>
          <w:szCs w:val="22"/>
        </w:rPr>
        <w:t>Not applicable</w:t>
      </w:r>
      <w:r w:rsidRPr="006E09E2" w:rsidR="003656E2">
        <w:rPr>
          <w:rFonts w:ascii="TimesNewRoman" w:hAnsi="TimesNewRoman" w:cs="TimesNewRoman"/>
          <w:sz w:val="22"/>
          <w:szCs w:val="22"/>
        </w:rPr>
        <w:t>.</w:t>
      </w:r>
    </w:p>
    <w:p w:rsidR="00F20419" w:rsidP="002B7397" w14:paraId="3F224C7C" w14:textId="77777777"/>
    <w:p w:rsidR="00E05A0A" w:rsidP="002B7397" w14:paraId="21DD0C29" w14:textId="77777777">
      <w:pPr>
        <w:rPr>
          <w:b/>
        </w:rPr>
      </w:pPr>
      <w:r>
        <w:rPr>
          <w:b/>
        </w:rPr>
        <w:t>B4. Tests of Procedures or Methods to be Undertaken</w:t>
      </w:r>
    </w:p>
    <w:p w:rsidR="00B32A88" w:rsidRPr="008D3434" w:rsidP="002B7397" w14:paraId="382855F0" w14:textId="0A9AD768">
      <w:pPr>
        <w:autoSpaceDE w:val="0"/>
        <w:autoSpaceDN w:val="0"/>
        <w:adjustRightInd w:val="0"/>
        <w:rPr>
          <w:rFonts w:ascii="TimesNewRoman" w:hAnsi="TimesNewRoman" w:cs="TimesNewRoman"/>
        </w:rPr>
      </w:pPr>
      <w:r w:rsidRPr="008D3434">
        <w:rPr>
          <w:rFonts w:ascii="TimesNewRoman" w:hAnsi="TimesNewRoman" w:cs="TimesNewRoman"/>
        </w:rPr>
        <w:t>The purpose of this information collection request is to</w:t>
      </w:r>
      <w:r w:rsidRPr="008D3434">
        <w:rPr>
          <w:rFonts w:ascii="TimesNewRoman" w:hAnsi="TimesNewRoman" w:cs="TimesNewRoman"/>
        </w:rPr>
        <w:t xml:space="preserve"> </w:t>
      </w:r>
      <w:r w:rsidRPr="008D3434" w:rsidR="00AD412B">
        <w:rPr>
          <w:rFonts w:ascii="TimesNewRoman" w:hAnsi="TimesNewRoman" w:cs="TimesNewRoman"/>
        </w:rPr>
        <w:t>test a different method for</w:t>
      </w:r>
      <w:r w:rsidRPr="008D3434">
        <w:rPr>
          <w:rFonts w:ascii="TimesNewRoman" w:hAnsi="TimesNewRoman" w:cs="TimesNewRoman"/>
        </w:rPr>
        <w:t xml:space="preserve"> data collection instruments and survey procedures. </w:t>
      </w:r>
      <w:r w:rsidRPr="008D3434" w:rsidR="00AD412B">
        <w:rPr>
          <w:rFonts w:ascii="TimesNewRoman" w:hAnsi="TimesNewRoman" w:cs="TimesNewRoman"/>
        </w:rPr>
        <w:t xml:space="preserve">HHS expects that </w:t>
      </w:r>
      <w:r w:rsidRPr="008D3434" w:rsidR="008A2F2E">
        <w:rPr>
          <w:rFonts w:ascii="TimesNewRoman" w:hAnsi="TimesNewRoman" w:cs="TimesNewRoman"/>
        </w:rPr>
        <w:t xml:space="preserve">all qualitative and quantitative data gathered </w:t>
      </w:r>
      <w:r w:rsidRPr="008D3434">
        <w:rPr>
          <w:rFonts w:ascii="TimesNewRoman" w:hAnsi="TimesNewRoman" w:cs="TimesNewRoman"/>
        </w:rPr>
        <w:t>under this clearance will result</w:t>
      </w:r>
      <w:r w:rsidRPr="008D3434" w:rsidR="008A2F2E">
        <w:rPr>
          <w:rFonts w:ascii="TimesNewRoman" w:hAnsi="TimesNewRoman" w:cs="TimesNewRoman"/>
        </w:rPr>
        <w:t xml:space="preserve"> in improved </w:t>
      </w:r>
      <w:r w:rsidRPr="008D3434" w:rsidR="00AD412B">
        <w:rPr>
          <w:rFonts w:ascii="TimesNewRoman" w:hAnsi="TimesNewRoman" w:cs="TimesNewRoman"/>
        </w:rPr>
        <w:t xml:space="preserve">survey </w:t>
      </w:r>
      <w:r w:rsidRPr="008D3434">
        <w:rPr>
          <w:rFonts w:ascii="TimesNewRoman" w:hAnsi="TimesNewRoman" w:cs="TimesNewRoman"/>
        </w:rPr>
        <w:t>procedures and thus reduce respondent burden</w:t>
      </w:r>
      <w:r w:rsidRPr="008D3434" w:rsidR="008A2F2E">
        <w:rPr>
          <w:rFonts w:ascii="TimesNewRoman" w:hAnsi="TimesNewRoman" w:cs="TimesNewRoman"/>
        </w:rPr>
        <w:t xml:space="preserve"> and increase data quality</w:t>
      </w:r>
      <w:r w:rsidRPr="008D3434">
        <w:rPr>
          <w:rFonts w:ascii="TimesNewRoman" w:hAnsi="TimesNewRoman" w:cs="TimesNewRoman"/>
        </w:rPr>
        <w:t>.</w:t>
      </w:r>
    </w:p>
    <w:p w:rsidR="00F20419" w:rsidP="002B7397" w14:paraId="7E75B83E" w14:textId="77777777"/>
    <w:p w:rsidR="00E05A0A" w:rsidP="002B7397" w14:paraId="052A1D7C" w14:textId="77777777">
      <w:pPr>
        <w:spacing w:after="120"/>
        <w:rPr>
          <w:b/>
        </w:rPr>
      </w:pPr>
      <w:r>
        <w:rPr>
          <w:b/>
        </w:rPr>
        <w:t>B5. In</w:t>
      </w:r>
      <w:r w:rsidR="00B32A88">
        <w:rPr>
          <w:b/>
        </w:rPr>
        <w:t>d</w:t>
      </w:r>
      <w:r>
        <w:rPr>
          <w:b/>
        </w:rPr>
        <w:t>ividual Consulted on Statistical Aspects and Individuals Collecting and/or Analyzing Data</w:t>
      </w:r>
    </w:p>
    <w:p w:rsidR="00A60C57" w:rsidRPr="008D3434" w:rsidP="002B7397" w14:paraId="3BB9D45F" w14:textId="709A4A6C">
      <w:pPr>
        <w:autoSpaceDE w:val="0"/>
        <w:autoSpaceDN w:val="0"/>
        <w:adjustRightInd w:val="0"/>
        <w:rPr>
          <w:rFonts w:ascii="TimesNewRoman" w:hAnsi="TimesNewRoman" w:cs="TimesNewRoman"/>
        </w:rPr>
      </w:pPr>
      <w:r w:rsidRPr="008D3434">
        <w:rPr>
          <w:rFonts w:ascii="TimesNewRoman" w:hAnsi="TimesNewRoman" w:cs="TimesNewRoman"/>
        </w:rPr>
        <w:t xml:space="preserve">HHS has contracted with </w:t>
      </w:r>
      <w:r w:rsidRPr="008D3434" w:rsidR="00AD412B">
        <w:rPr>
          <w:rFonts w:ascii="TimesNewRoman" w:hAnsi="TimesNewRoman" w:cs="TimesNewRoman"/>
        </w:rPr>
        <w:t>UI</w:t>
      </w:r>
      <w:r w:rsidRPr="008D3434">
        <w:rPr>
          <w:rFonts w:ascii="TimesNewRoman" w:hAnsi="TimesNewRoman" w:cs="TimesNewRoman"/>
        </w:rPr>
        <w:t xml:space="preserve"> to design the </w:t>
      </w:r>
      <w:r w:rsidRPr="008D3434" w:rsidR="00AD412B">
        <w:rPr>
          <w:rFonts w:ascii="TimesNewRoman" w:hAnsi="TimesNewRoman" w:cs="TimesNewRoman"/>
        </w:rPr>
        <w:t>feasibility test</w:t>
      </w:r>
      <w:r w:rsidRPr="008D3434">
        <w:rPr>
          <w:rFonts w:ascii="TimesNewRoman" w:hAnsi="TimesNewRoman" w:cs="TimesNewRoman"/>
        </w:rPr>
        <w:t xml:space="preserve">, organize the data collection, and analyze the data.  The Principal Investigator of the study at </w:t>
      </w:r>
      <w:r w:rsidRPr="008D3434" w:rsidR="0043025B">
        <w:rPr>
          <w:rFonts w:ascii="TimesNewRoman" w:hAnsi="TimesNewRoman" w:cs="TimesNewRoman"/>
        </w:rPr>
        <w:t>UI</w:t>
      </w:r>
      <w:r w:rsidRPr="008D3434">
        <w:rPr>
          <w:rFonts w:ascii="TimesNewRoman" w:hAnsi="TimesNewRoman" w:cs="TimesNewRoman"/>
        </w:rPr>
        <w:t xml:space="preserve"> </w:t>
      </w:r>
      <w:r w:rsidRPr="008D3434" w:rsidR="00B644D7">
        <w:rPr>
          <w:rFonts w:ascii="TimesNewRoman" w:hAnsi="TimesNewRoman" w:cs="TimesNewRoman"/>
        </w:rPr>
        <w:t>is Hamutal Bernstein</w:t>
      </w:r>
      <w:r w:rsidR="006D5EC1">
        <w:rPr>
          <w:rFonts w:ascii="TimesNewRoman" w:hAnsi="TimesNewRoman" w:cs="TimesNewRoman"/>
        </w:rPr>
        <w:t xml:space="preserve">, Senior Fellow, who can be reached at </w:t>
      </w:r>
      <w:hyperlink r:id="rId6" w:history="1">
        <w:r w:rsidRPr="00AF7065" w:rsidR="006D5EC1">
          <w:rPr>
            <w:rStyle w:val="Hyperlink"/>
            <w:rFonts w:ascii="TimesNewRoman" w:hAnsi="TimesNewRoman" w:cs="TimesNewRoman"/>
          </w:rPr>
          <w:t>hbernstein@urban.org</w:t>
        </w:r>
      </w:hyperlink>
      <w:r w:rsidR="006D5EC1">
        <w:rPr>
          <w:rFonts w:ascii="TimesNewRoman" w:hAnsi="TimesNewRoman" w:cs="TimesNewRoman"/>
        </w:rPr>
        <w:t xml:space="preserve"> or 202-261-5840.</w:t>
      </w:r>
    </w:p>
    <w:p w:rsidR="00A60C57" w:rsidRPr="00A60C57" w:rsidP="002B7397" w14:paraId="63150E6F" w14:textId="77777777">
      <w:pPr>
        <w:autoSpaceDE w:val="0"/>
        <w:autoSpaceDN w:val="0"/>
        <w:adjustRightInd w:val="0"/>
        <w:rPr>
          <w:rFonts w:ascii="TimesNewRoman" w:hAnsi="TimesNewRoman" w:cs="TimesNewRoman"/>
          <w:sz w:val="22"/>
          <w:szCs w:val="22"/>
        </w:rPr>
      </w:pPr>
    </w:p>
    <w:p w:rsidR="00CA4E51" w:rsidP="002B7397" w14:paraId="7A238D3E" w14:textId="77777777">
      <w:pPr>
        <w:autoSpaceDE w:val="0"/>
        <w:autoSpaceDN w:val="0"/>
        <w:adjustRightInd w:val="0"/>
        <w:rPr>
          <w:rFonts w:ascii="TimesNewRoman" w:hAnsi="TimesNewRoman" w:cs="TimesNewRoman"/>
          <w:sz w:val="22"/>
          <w:szCs w:val="22"/>
        </w:rPr>
      </w:pPr>
    </w:p>
    <w:p w:rsidR="00D73358" w:rsidRPr="00FB0690" w:rsidP="00D73358" w14:paraId="6A7186A4" w14:textId="77777777">
      <w:pPr>
        <w:spacing w:after="120"/>
        <w:rPr>
          <w:color w:val="000000"/>
        </w:rPr>
      </w:pPr>
      <w:bookmarkStart w:id="1" w:name="_Hlk129349773"/>
      <w:r w:rsidRPr="279456E5">
        <w:rPr>
          <w:color w:val="000000" w:themeColor="text1"/>
        </w:rPr>
        <w:t>Attachments</w:t>
      </w:r>
    </w:p>
    <w:p w:rsidR="00CA4E51" w:rsidP="00D73358" w14:paraId="40EE82FA" w14:textId="049DB2A2">
      <w:pPr>
        <w:pStyle w:val="ListParagraph"/>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ASR survey protocol with cognitive interview probes</w:t>
      </w:r>
    </w:p>
    <w:p w:rsidR="00D73358" w:rsidP="00D73358" w14:paraId="30DAB39D" w14:textId="0629269A">
      <w:pPr>
        <w:pStyle w:val="ListParagraph"/>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Letter of introduction</w:t>
      </w:r>
    </w:p>
    <w:p w:rsidR="00D73358" w:rsidRPr="00D73358" w:rsidP="00D73358" w14:paraId="73BAA2AE" w14:textId="3678537A">
      <w:pPr>
        <w:pStyle w:val="ListParagraph"/>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Telephone recruitment script</w:t>
      </w:r>
      <w:bookmarkEnd w:id="1"/>
    </w:p>
    <w:sectPr w:rsidSect="00520737">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6101" w14:paraId="1112DF7D" w14:textId="77777777">
    <w:pPr>
      <w:pStyle w:val="Footer"/>
      <w:jc w:val="center"/>
    </w:pPr>
    <w:r>
      <w:fldChar w:fldCharType="begin"/>
    </w:r>
    <w:r>
      <w:instrText xml:space="preserve"> PAGE   \* MERGEFORMAT </w:instrText>
    </w:r>
    <w:r>
      <w:fldChar w:fldCharType="separate"/>
    </w:r>
    <w:r w:rsidR="001B6E27">
      <w:rPr>
        <w:noProof/>
      </w:rPr>
      <w:t>7</w:t>
    </w:r>
    <w:r>
      <w:fldChar w:fldCharType="end"/>
    </w:r>
  </w:p>
  <w:p w:rsidR="00EC6101" w:rsidP="00292B70" w14:paraId="1C147C4E"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007FB" w14:paraId="562D02F8" w14:textId="77777777">
      <w:r>
        <w:separator/>
      </w:r>
    </w:p>
  </w:footnote>
  <w:footnote w:type="continuationSeparator" w:id="1">
    <w:p w:rsidR="000007FB" w14:paraId="4A9B6BA0" w14:textId="77777777">
      <w:r>
        <w:continuationSeparator/>
      </w:r>
    </w:p>
  </w:footnote>
  <w:footnote w:id="2">
    <w:p w:rsidR="00471272" w:rsidP="00471272" w14:paraId="456F0383" w14:textId="77777777">
      <w:pPr>
        <w:pStyle w:val="FootnoteText"/>
      </w:pPr>
      <w:r>
        <w:rPr>
          <w:rStyle w:val="FootnoteReference"/>
        </w:rPr>
        <w:footnoteRef/>
      </w:r>
      <w:r>
        <w:t xml:space="preserve"> </w:t>
      </w:r>
      <w:r>
        <w:rPr>
          <w:sz w:val="16"/>
          <w:szCs w:val="16"/>
        </w:rPr>
        <w:t>For an entering refugee family, there is a Principal Applicant (PA) whose refugee case is the basis for admission.  This person is often the head of the household.</w:t>
      </w:r>
    </w:p>
  </w:footnote>
  <w:footnote w:id="3">
    <w:p w:rsidR="00471272" w:rsidP="00471272" w14:paraId="4EE69427" w14:textId="77777777">
      <w:pPr>
        <w:pStyle w:val="FootnoteText"/>
      </w:pPr>
      <w:r>
        <w:rPr>
          <w:rStyle w:val="FootnoteReference"/>
        </w:rPr>
        <w:footnoteRef/>
      </w:r>
      <w:r>
        <w:t xml:space="preserve"> </w:t>
      </w:r>
      <w:r>
        <w:rPr>
          <w:sz w:val="16"/>
          <w:szCs w:val="16"/>
        </w:rPr>
        <w:t>SSRS will flag refugees who completed a prior year ASR using the EIN number, which is a unique identification number assigned to all refugees.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4337A6"/>
    <w:multiLevelType w:val="hybridMultilevel"/>
    <w:tmpl w:val="4B20722C"/>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09716F"/>
    <w:multiLevelType w:val="hybridMultilevel"/>
    <w:tmpl w:val="21D68D7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24A3BDE"/>
    <w:multiLevelType w:val="hybridMultilevel"/>
    <w:tmpl w:val="EDD83306"/>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8">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24D1945"/>
    <w:multiLevelType w:val="hybridMultilevel"/>
    <w:tmpl w:val="4476C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653478">
    <w:abstractNumId w:val="6"/>
  </w:num>
  <w:num w:numId="2" w16cid:durableId="1704552971">
    <w:abstractNumId w:val="1"/>
  </w:num>
  <w:num w:numId="3" w16cid:durableId="1144080059">
    <w:abstractNumId w:val="14"/>
  </w:num>
  <w:num w:numId="4" w16cid:durableId="1033464421">
    <w:abstractNumId w:val="9"/>
  </w:num>
  <w:num w:numId="5" w16cid:durableId="304312728">
    <w:abstractNumId w:val="10"/>
  </w:num>
  <w:num w:numId="6" w16cid:durableId="640576008">
    <w:abstractNumId w:val="16"/>
  </w:num>
  <w:num w:numId="7" w16cid:durableId="71438240">
    <w:abstractNumId w:val="15"/>
  </w:num>
  <w:num w:numId="8" w16cid:durableId="1747458602">
    <w:abstractNumId w:val="11"/>
  </w:num>
  <w:num w:numId="9" w16cid:durableId="907956627">
    <w:abstractNumId w:val="12"/>
  </w:num>
  <w:num w:numId="10" w16cid:durableId="1312910171">
    <w:abstractNumId w:val="2"/>
  </w:num>
  <w:num w:numId="11" w16cid:durableId="1766147269">
    <w:abstractNumId w:val="0"/>
  </w:num>
  <w:num w:numId="12" w16cid:durableId="728503132">
    <w:abstractNumId w:val="5"/>
  </w:num>
  <w:num w:numId="13" w16cid:durableId="317148027">
    <w:abstractNumId w:val="17"/>
  </w:num>
  <w:num w:numId="14" w16cid:durableId="2103643315">
    <w:abstractNumId w:val="8"/>
  </w:num>
  <w:num w:numId="15" w16cid:durableId="535892865">
    <w:abstractNumId w:val="4"/>
  </w:num>
  <w:num w:numId="16" w16cid:durableId="1300956203">
    <w:abstractNumId w:val="7"/>
  </w:num>
  <w:num w:numId="17" w16cid:durableId="1213465874">
    <w:abstractNumId w:val="3"/>
  </w:num>
  <w:num w:numId="18" w16cid:durableId="785221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C"/>
    <w:rsid w:val="000007FB"/>
    <w:rsid w:val="000773CC"/>
    <w:rsid w:val="00087613"/>
    <w:rsid w:val="00091C59"/>
    <w:rsid w:val="000B5EA8"/>
    <w:rsid w:val="000D53DF"/>
    <w:rsid w:val="000F3346"/>
    <w:rsid w:val="000F5D39"/>
    <w:rsid w:val="001176E1"/>
    <w:rsid w:val="001369B0"/>
    <w:rsid w:val="0014499E"/>
    <w:rsid w:val="0016012E"/>
    <w:rsid w:val="00175524"/>
    <w:rsid w:val="001779C2"/>
    <w:rsid w:val="00183C0F"/>
    <w:rsid w:val="001B6825"/>
    <w:rsid w:val="001B6E27"/>
    <w:rsid w:val="001C4AAA"/>
    <w:rsid w:val="001C4D60"/>
    <w:rsid w:val="001E3DBB"/>
    <w:rsid w:val="002003E8"/>
    <w:rsid w:val="0020382F"/>
    <w:rsid w:val="00207CA2"/>
    <w:rsid w:val="002231FA"/>
    <w:rsid w:val="00234E8D"/>
    <w:rsid w:val="00235A6D"/>
    <w:rsid w:val="00253148"/>
    <w:rsid w:val="002659D8"/>
    <w:rsid w:val="00267B79"/>
    <w:rsid w:val="00292B70"/>
    <w:rsid w:val="00295DF6"/>
    <w:rsid w:val="002A1616"/>
    <w:rsid w:val="002A1F68"/>
    <w:rsid w:val="002B1BFC"/>
    <w:rsid w:val="002B4DBE"/>
    <w:rsid w:val="002B7397"/>
    <w:rsid w:val="002C4F75"/>
    <w:rsid w:val="002D103B"/>
    <w:rsid w:val="003068A9"/>
    <w:rsid w:val="00327F5F"/>
    <w:rsid w:val="003656E2"/>
    <w:rsid w:val="0037156C"/>
    <w:rsid w:val="00372A60"/>
    <w:rsid w:val="00374DAB"/>
    <w:rsid w:val="00376815"/>
    <w:rsid w:val="003A1BCF"/>
    <w:rsid w:val="003A55EC"/>
    <w:rsid w:val="003D5231"/>
    <w:rsid w:val="003F6226"/>
    <w:rsid w:val="00406460"/>
    <w:rsid w:val="00406F21"/>
    <w:rsid w:val="00417EB1"/>
    <w:rsid w:val="0043025B"/>
    <w:rsid w:val="0043409B"/>
    <w:rsid w:val="00444292"/>
    <w:rsid w:val="00446AA8"/>
    <w:rsid w:val="004554B1"/>
    <w:rsid w:val="00456E2F"/>
    <w:rsid w:val="00471272"/>
    <w:rsid w:val="00482DDE"/>
    <w:rsid w:val="004A1457"/>
    <w:rsid w:val="004A2C80"/>
    <w:rsid w:val="004A4AE9"/>
    <w:rsid w:val="004B587E"/>
    <w:rsid w:val="004D6CA9"/>
    <w:rsid w:val="004F4E1D"/>
    <w:rsid w:val="005046F0"/>
    <w:rsid w:val="00520737"/>
    <w:rsid w:val="005353B7"/>
    <w:rsid w:val="00541024"/>
    <w:rsid w:val="00575E66"/>
    <w:rsid w:val="00594E2C"/>
    <w:rsid w:val="00596BBA"/>
    <w:rsid w:val="005A64C5"/>
    <w:rsid w:val="005B1A57"/>
    <w:rsid w:val="005E17E2"/>
    <w:rsid w:val="005E2687"/>
    <w:rsid w:val="005F2061"/>
    <w:rsid w:val="00607351"/>
    <w:rsid w:val="00627137"/>
    <w:rsid w:val="0064626C"/>
    <w:rsid w:val="00651DBA"/>
    <w:rsid w:val="00657424"/>
    <w:rsid w:val="00674497"/>
    <w:rsid w:val="00675C28"/>
    <w:rsid w:val="006A4006"/>
    <w:rsid w:val="006A66D8"/>
    <w:rsid w:val="006B6845"/>
    <w:rsid w:val="006C4E5F"/>
    <w:rsid w:val="006D5D0C"/>
    <w:rsid w:val="006D5EC1"/>
    <w:rsid w:val="006E09E2"/>
    <w:rsid w:val="006E7081"/>
    <w:rsid w:val="006F30E0"/>
    <w:rsid w:val="006F7A9D"/>
    <w:rsid w:val="00701045"/>
    <w:rsid w:val="0072204D"/>
    <w:rsid w:val="00744BED"/>
    <w:rsid w:val="00756215"/>
    <w:rsid w:val="00770146"/>
    <w:rsid w:val="00772457"/>
    <w:rsid w:val="00772BFF"/>
    <w:rsid w:val="00784137"/>
    <w:rsid w:val="0079232B"/>
    <w:rsid w:val="007C134E"/>
    <w:rsid w:val="007E3B83"/>
    <w:rsid w:val="007F0CE0"/>
    <w:rsid w:val="007F385C"/>
    <w:rsid w:val="008028B3"/>
    <w:rsid w:val="00806B5E"/>
    <w:rsid w:val="008172E0"/>
    <w:rsid w:val="00833643"/>
    <w:rsid w:val="008442AC"/>
    <w:rsid w:val="00861A1F"/>
    <w:rsid w:val="008631A2"/>
    <w:rsid w:val="0087234E"/>
    <w:rsid w:val="008A18B5"/>
    <w:rsid w:val="008A2F2E"/>
    <w:rsid w:val="008B0B18"/>
    <w:rsid w:val="008B7F2C"/>
    <w:rsid w:val="008D3434"/>
    <w:rsid w:val="008E2E64"/>
    <w:rsid w:val="008F5B31"/>
    <w:rsid w:val="00900FA7"/>
    <w:rsid w:val="00932D71"/>
    <w:rsid w:val="0093777B"/>
    <w:rsid w:val="00945CD6"/>
    <w:rsid w:val="009648CE"/>
    <w:rsid w:val="00990A2B"/>
    <w:rsid w:val="009933C7"/>
    <w:rsid w:val="009A5DA6"/>
    <w:rsid w:val="009B2090"/>
    <w:rsid w:val="009D4224"/>
    <w:rsid w:val="009D47D2"/>
    <w:rsid w:val="00A07892"/>
    <w:rsid w:val="00A35E23"/>
    <w:rsid w:val="00A43A5F"/>
    <w:rsid w:val="00A52392"/>
    <w:rsid w:val="00A60C57"/>
    <w:rsid w:val="00A6212E"/>
    <w:rsid w:val="00A62C96"/>
    <w:rsid w:val="00A669D4"/>
    <w:rsid w:val="00AA29C0"/>
    <w:rsid w:val="00AC4338"/>
    <w:rsid w:val="00AD412B"/>
    <w:rsid w:val="00AD5F77"/>
    <w:rsid w:val="00AF7065"/>
    <w:rsid w:val="00B03175"/>
    <w:rsid w:val="00B04194"/>
    <w:rsid w:val="00B067F0"/>
    <w:rsid w:val="00B13297"/>
    <w:rsid w:val="00B14396"/>
    <w:rsid w:val="00B17603"/>
    <w:rsid w:val="00B32A88"/>
    <w:rsid w:val="00B5139D"/>
    <w:rsid w:val="00B644D7"/>
    <w:rsid w:val="00B925AD"/>
    <w:rsid w:val="00BD4CFB"/>
    <w:rsid w:val="00BE17F5"/>
    <w:rsid w:val="00C12B95"/>
    <w:rsid w:val="00C56EA9"/>
    <w:rsid w:val="00CA4E51"/>
    <w:rsid w:val="00CA500A"/>
    <w:rsid w:val="00CC1DA6"/>
    <w:rsid w:val="00CE6EFF"/>
    <w:rsid w:val="00CF5B14"/>
    <w:rsid w:val="00D012A6"/>
    <w:rsid w:val="00D05586"/>
    <w:rsid w:val="00D06D5F"/>
    <w:rsid w:val="00D220AC"/>
    <w:rsid w:val="00D519D9"/>
    <w:rsid w:val="00D5694C"/>
    <w:rsid w:val="00D62B27"/>
    <w:rsid w:val="00D72E49"/>
    <w:rsid w:val="00D73358"/>
    <w:rsid w:val="00D952EF"/>
    <w:rsid w:val="00D969C6"/>
    <w:rsid w:val="00DE41FC"/>
    <w:rsid w:val="00DE64CE"/>
    <w:rsid w:val="00E01F98"/>
    <w:rsid w:val="00E02338"/>
    <w:rsid w:val="00E04EC6"/>
    <w:rsid w:val="00E05A0A"/>
    <w:rsid w:val="00E31862"/>
    <w:rsid w:val="00E37215"/>
    <w:rsid w:val="00E41D46"/>
    <w:rsid w:val="00E44714"/>
    <w:rsid w:val="00E61050"/>
    <w:rsid w:val="00E705DF"/>
    <w:rsid w:val="00E70FD8"/>
    <w:rsid w:val="00E72E9A"/>
    <w:rsid w:val="00EA4D76"/>
    <w:rsid w:val="00EB5B54"/>
    <w:rsid w:val="00EC329F"/>
    <w:rsid w:val="00EC6101"/>
    <w:rsid w:val="00ED3D6D"/>
    <w:rsid w:val="00ED52D4"/>
    <w:rsid w:val="00EE06F4"/>
    <w:rsid w:val="00F20419"/>
    <w:rsid w:val="00F30AA7"/>
    <w:rsid w:val="00F37EC2"/>
    <w:rsid w:val="00F56220"/>
    <w:rsid w:val="00F63BF8"/>
    <w:rsid w:val="00F73374"/>
    <w:rsid w:val="00F95F02"/>
    <w:rsid w:val="00FA0872"/>
    <w:rsid w:val="00FA34D7"/>
    <w:rsid w:val="00FA3E36"/>
    <w:rsid w:val="00FB0690"/>
    <w:rsid w:val="00FC04C5"/>
    <w:rsid w:val="00FD1B70"/>
    <w:rsid w:val="00FD7600"/>
    <w:rsid w:val="00FE020F"/>
    <w:rsid w:val="00FE1C8E"/>
    <w:rsid w:val="00FE51EE"/>
    <w:rsid w:val="00FF0DB5"/>
    <w:rsid w:val="00FF2E2D"/>
    <w:rsid w:val="00FF3048"/>
    <w:rsid w:val="1EA55CC8"/>
    <w:rsid w:val="27945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0C8E50"/>
  <w15:chartTrackingRefBased/>
  <w15:docId w15:val="{FCEC8852-B325-40D4-A292-FE509EF0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unhideWhenUsed/>
    <w:qFormat/>
    <w:rsid w:val="001C4AAA"/>
    <w:pPr>
      <w:keepNext/>
      <w:keepLines/>
      <w:spacing w:before="40" w:line="276" w:lineRule="auto"/>
      <w:outlineLvl w:val="2"/>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paragraph" w:styleId="BodyText">
    <w:name w:val="Body Text"/>
    <w:basedOn w:val="Normal"/>
    <w:link w:val="BodyTextChar"/>
    <w:unhideWhenUsed/>
    <w:rsid w:val="00EE06F4"/>
    <w:pPr>
      <w:spacing w:after="120" w:line="276" w:lineRule="auto"/>
    </w:pPr>
    <w:rPr>
      <w:rFonts w:ascii="Calibri" w:eastAsia="Calibri" w:hAnsi="Calibri"/>
      <w:sz w:val="22"/>
      <w:szCs w:val="22"/>
    </w:rPr>
  </w:style>
  <w:style w:type="character" w:customStyle="1" w:styleId="BodyTextChar">
    <w:name w:val="Body Text Char"/>
    <w:link w:val="BodyText"/>
    <w:rsid w:val="00EE06F4"/>
    <w:rPr>
      <w:rFonts w:ascii="Calibri" w:eastAsia="Calibri" w:hAnsi="Calibri"/>
      <w:sz w:val="22"/>
      <w:szCs w:val="22"/>
    </w:rPr>
  </w:style>
  <w:style w:type="character" w:customStyle="1" w:styleId="Heading3Char">
    <w:name w:val="Heading 3 Char"/>
    <w:link w:val="Heading3"/>
    <w:rsid w:val="001C4AAA"/>
    <w:rPr>
      <w:rFonts w:ascii="Cambria" w:hAnsi="Cambria"/>
      <w:color w:val="243F60"/>
      <w:sz w:val="24"/>
      <w:szCs w:val="24"/>
    </w:rPr>
  </w:style>
  <w:style w:type="paragraph" w:styleId="NormalWeb">
    <w:name w:val="Normal (Web)"/>
    <w:basedOn w:val="Normal"/>
    <w:uiPriority w:val="99"/>
    <w:unhideWhenUsed/>
    <w:rsid w:val="003F6226"/>
    <w:pPr>
      <w:spacing w:before="100" w:beforeAutospacing="1" w:after="100" w:afterAutospacing="1"/>
    </w:pPr>
  </w:style>
  <w:style w:type="paragraph" w:styleId="FootnoteText">
    <w:name w:val="footnote text"/>
    <w:basedOn w:val="Normal"/>
    <w:link w:val="FootnoteTextChar"/>
    <w:uiPriority w:val="99"/>
    <w:unhideWhenUsed/>
    <w:rsid w:val="00471272"/>
    <w:rPr>
      <w:rFonts w:ascii="Lato" w:hAnsi="Lato" w:eastAsiaTheme="minorHAnsi" w:cstheme="minorBidi"/>
      <w:sz w:val="20"/>
      <w:szCs w:val="20"/>
    </w:rPr>
  </w:style>
  <w:style w:type="character" w:customStyle="1" w:styleId="FootnoteTextChar">
    <w:name w:val="Footnote Text Char"/>
    <w:basedOn w:val="DefaultParagraphFont"/>
    <w:link w:val="FootnoteText"/>
    <w:uiPriority w:val="99"/>
    <w:rsid w:val="00471272"/>
    <w:rPr>
      <w:rFonts w:ascii="Lato" w:hAnsi="Lato" w:eastAsiaTheme="minorHAnsi" w:cstheme="minorBidi"/>
    </w:rPr>
  </w:style>
  <w:style w:type="character" w:styleId="FootnoteReference">
    <w:name w:val="footnote reference"/>
    <w:basedOn w:val="DefaultParagraphFont"/>
    <w:uiPriority w:val="99"/>
    <w:unhideWhenUsed/>
    <w:rsid w:val="00471272"/>
    <w:rPr>
      <w:vertAlign w:val="superscript"/>
    </w:rPr>
  </w:style>
  <w:style w:type="paragraph" w:styleId="ListParagraph">
    <w:name w:val="List Paragraph"/>
    <w:basedOn w:val="Normal"/>
    <w:link w:val="ListParagraphChar"/>
    <w:uiPriority w:val="34"/>
    <w:qFormat/>
    <w:rsid w:val="0043025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43025B"/>
    <w:rPr>
      <w:rFonts w:asciiTheme="minorHAnsi" w:eastAsiaTheme="minorHAnsi" w:hAnsiTheme="minorHAnsi" w:cstheme="minorBidi"/>
      <w:sz w:val="22"/>
      <w:szCs w:val="22"/>
    </w:rPr>
  </w:style>
  <w:style w:type="paragraph" w:styleId="Revision">
    <w:name w:val="Revision"/>
    <w:hidden/>
    <w:uiPriority w:val="99"/>
    <w:semiHidden/>
    <w:rsid w:val="00B644D7"/>
    <w:rPr>
      <w:sz w:val="24"/>
      <w:szCs w:val="24"/>
    </w:rPr>
  </w:style>
  <w:style w:type="character" w:styleId="UnresolvedMention">
    <w:name w:val="Unresolved Mention"/>
    <w:basedOn w:val="DefaultParagraphFont"/>
    <w:uiPriority w:val="99"/>
    <w:semiHidden/>
    <w:unhideWhenUsed/>
    <w:rsid w:val="006D5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hbernstein@urban.org"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C09FD-2362-4DDE-8A28-AD58CB7F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Wantz, Joseph (ACF) (CTR)</cp:lastModifiedBy>
  <cp:revision>2</cp:revision>
  <cp:lastPrinted>2009-01-26T16:35:00Z</cp:lastPrinted>
  <dcterms:created xsi:type="dcterms:W3CDTF">2023-03-17T15:17:00Z</dcterms:created>
  <dcterms:modified xsi:type="dcterms:W3CDTF">2023-03-17T15:17:00Z</dcterms:modified>
</cp:coreProperties>
</file>