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7D4D" w:rsidRPr="00942D11" w:rsidP="2896E249" w14:paraId="614D34AA" w14:textId="4FC64111">
      <w:pPr>
        <w:pStyle w:val="ReportCover-Title"/>
        <w:jc w:val="center"/>
        <w:rPr>
          <w:rFonts w:ascii="Arial" w:eastAsia="Arial" w:hAnsi="Arial" w:cs="Arial"/>
          <w:color w:val="auto"/>
          <w:sz w:val="32"/>
          <w:szCs w:val="32"/>
        </w:rPr>
      </w:pPr>
      <w:r w:rsidRPr="00942D11">
        <w:rPr>
          <w:rFonts w:ascii="Arial" w:eastAsia="Arial" w:hAnsi="Arial" w:cs="Arial"/>
          <w:color w:val="auto"/>
          <w:sz w:val="32"/>
          <w:szCs w:val="32"/>
        </w:rPr>
        <w:t>OMB Information Collection Request</w:t>
      </w:r>
    </w:p>
    <w:p w:rsidR="00CE7D4D" w:rsidRPr="00942D11" w:rsidP="2896E249" w14:paraId="2DF6377B" w14:textId="3DEAAC5F">
      <w:pPr>
        <w:pStyle w:val="ReportCover-Title"/>
        <w:jc w:val="center"/>
        <w:rPr>
          <w:rFonts w:ascii="Arial" w:eastAsia="Arial" w:hAnsi="Arial" w:cs="Arial"/>
          <w:color w:val="auto"/>
          <w:sz w:val="32"/>
          <w:szCs w:val="32"/>
        </w:rPr>
      </w:pPr>
      <w:r w:rsidRPr="00942D11">
        <w:rPr>
          <w:rFonts w:ascii="Arial" w:eastAsia="Arial" w:hAnsi="Arial" w:cs="Arial"/>
          <w:color w:val="auto"/>
          <w:sz w:val="32"/>
          <w:szCs w:val="32"/>
        </w:rPr>
        <w:t>0970 - NEW</w:t>
      </w:r>
    </w:p>
    <w:p w:rsidR="00CE7D4D" w:rsidRPr="00942D11" w:rsidP="2896E249" w14:paraId="053FB638" w14:textId="0A6570F7">
      <w:pPr>
        <w:widowControl w:val="0"/>
        <w:rPr>
          <w:rFonts w:ascii="Arial" w:eastAsia="Arial" w:hAnsi="Arial" w:cs="Arial"/>
          <w:sz w:val="20"/>
          <w:szCs w:val="20"/>
        </w:rPr>
      </w:pPr>
    </w:p>
    <w:p w:rsidR="00CE7D4D" w:rsidRPr="00942D11" w:rsidP="2896E249" w14:paraId="4DFA8A92" w14:textId="3821A712">
      <w:pPr>
        <w:spacing w:after="840" w:line="260" w:lineRule="exact"/>
        <w:jc w:val="center"/>
        <w:rPr>
          <w:rFonts w:ascii="Arial" w:eastAsia="Arial" w:hAnsi="Arial" w:cs="Arial"/>
          <w:b/>
          <w:bCs/>
          <w:sz w:val="24"/>
          <w:szCs w:val="24"/>
        </w:rPr>
      </w:pPr>
    </w:p>
    <w:p w:rsidR="00CE7D4D" w:rsidRPr="00942D11" w:rsidP="2896E249" w14:paraId="2F0AD9F5" w14:textId="36C0710D">
      <w:pPr>
        <w:pStyle w:val="ReportCover-Date"/>
        <w:spacing w:after="360" w:line="240" w:lineRule="auto"/>
        <w:jc w:val="center"/>
        <w:rPr>
          <w:rFonts w:ascii="Arial" w:eastAsia="Arial" w:hAnsi="Arial" w:cs="Arial"/>
          <w:color w:val="auto"/>
          <w:sz w:val="48"/>
          <w:szCs w:val="48"/>
        </w:rPr>
      </w:pPr>
      <w:r w:rsidRPr="00942D11">
        <w:rPr>
          <w:rFonts w:ascii="Arial" w:eastAsia="Arial" w:hAnsi="Arial" w:cs="Arial"/>
          <w:color w:val="auto"/>
          <w:sz w:val="48"/>
          <w:szCs w:val="48"/>
        </w:rPr>
        <w:t xml:space="preserve">Supporting Statement Part B – </w:t>
      </w:r>
    </w:p>
    <w:p w:rsidR="00CE7D4D" w:rsidRPr="00942D11" w:rsidP="2896E249" w14:paraId="7E2060C7" w14:textId="2FE0FFA1">
      <w:pPr>
        <w:pStyle w:val="ReportCover-Date"/>
        <w:spacing w:after="360" w:line="240" w:lineRule="auto"/>
        <w:jc w:val="center"/>
        <w:rPr>
          <w:rFonts w:ascii="Arial" w:eastAsia="Arial" w:hAnsi="Arial" w:cs="Arial"/>
          <w:color w:val="auto"/>
          <w:sz w:val="48"/>
          <w:szCs w:val="48"/>
        </w:rPr>
      </w:pPr>
      <w:r w:rsidRPr="00942D11">
        <w:rPr>
          <w:rFonts w:ascii="Arial" w:eastAsia="Arial" w:hAnsi="Arial" w:cs="Arial"/>
          <w:color w:val="auto"/>
          <w:sz w:val="48"/>
          <w:szCs w:val="48"/>
        </w:rPr>
        <w:t>Statistical Methods</w:t>
      </w:r>
    </w:p>
    <w:p w:rsidR="00CE7D4D" w:rsidRPr="00942D11" w:rsidP="567F9370" w14:paraId="4E17DD89" w14:textId="473508E8">
      <w:pPr>
        <w:pStyle w:val="ReportCover-Date"/>
        <w:jc w:val="center"/>
        <w:rPr>
          <w:rFonts w:ascii="Arial" w:eastAsia="Arial" w:hAnsi="Arial" w:cs="Arial"/>
          <w:color w:val="auto"/>
        </w:rPr>
      </w:pPr>
      <w:r>
        <w:rPr>
          <w:rFonts w:ascii="Arial" w:eastAsia="Arial" w:hAnsi="Arial" w:cs="Arial"/>
          <w:color w:val="auto"/>
        </w:rPr>
        <w:t>Febru</w:t>
      </w:r>
      <w:r w:rsidRPr="00942D11" w:rsidR="79D24DED">
        <w:rPr>
          <w:rFonts w:ascii="Arial" w:eastAsia="Arial" w:hAnsi="Arial" w:cs="Arial"/>
          <w:color w:val="auto"/>
        </w:rPr>
        <w:t>ary 2024</w:t>
      </w:r>
    </w:p>
    <w:p w:rsidR="00CE7D4D" w:rsidRPr="00942D11" w:rsidP="2896E249" w14:paraId="62DBBF3D" w14:textId="71FF0BEF">
      <w:pPr>
        <w:widowControl w:val="0"/>
        <w:jc w:val="center"/>
        <w:rPr>
          <w:rFonts w:ascii="Arial" w:eastAsia="Arial" w:hAnsi="Arial" w:cs="Arial"/>
          <w:sz w:val="20"/>
          <w:szCs w:val="20"/>
        </w:rPr>
      </w:pPr>
    </w:p>
    <w:p w:rsidR="00CE7D4D" w:rsidRPr="00942D11" w:rsidP="2896E249" w14:paraId="6D2F9262" w14:textId="539CFB37">
      <w:pPr>
        <w:widowControl w:val="0"/>
        <w:jc w:val="center"/>
        <w:rPr>
          <w:rFonts w:ascii="Arial" w:eastAsia="Arial" w:hAnsi="Arial" w:cs="Arial"/>
          <w:sz w:val="20"/>
          <w:szCs w:val="20"/>
        </w:rPr>
      </w:pPr>
    </w:p>
    <w:p w:rsidR="00CE7D4D" w:rsidRPr="00942D11" w:rsidP="2896E249" w14:paraId="76F27E42" w14:textId="21F3695D">
      <w:pPr>
        <w:widowControl w:val="0"/>
        <w:jc w:val="center"/>
        <w:rPr>
          <w:rFonts w:ascii="Arial" w:eastAsia="Arial" w:hAnsi="Arial" w:cs="Arial"/>
          <w:sz w:val="20"/>
          <w:szCs w:val="20"/>
        </w:rPr>
      </w:pPr>
    </w:p>
    <w:p w:rsidR="00CE7D4D" w:rsidRPr="00942D11" w:rsidP="2896E249" w14:paraId="2EFBA516" w14:textId="3C879FF3">
      <w:pPr>
        <w:widowControl w:val="0"/>
        <w:jc w:val="center"/>
        <w:rPr>
          <w:rFonts w:ascii="Arial" w:eastAsia="Arial" w:hAnsi="Arial" w:cs="Arial"/>
          <w:sz w:val="20"/>
          <w:szCs w:val="20"/>
        </w:rPr>
      </w:pPr>
    </w:p>
    <w:p w:rsidR="00CE7D4D" w:rsidRPr="00942D11" w:rsidP="2896E249" w14:paraId="15880795" w14:textId="7DBB1B7D">
      <w:pPr>
        <w:widowControl w:val="0"/>
        <w:jc w:val="center"/>
        <w:rPr>
          <w:rFonts w:ascii="Arial" w:eastAsia="Arial" w:hAnsi="Arial" w:cs="Arial"/>
          <w:sz w:val="20"/>
          <w:szCs w:val="20"/>
        </w:rPr>
      </w:pPr>
    </w:p>
    <w:p w:rsidR="00CE7D4D" w:rsidRPr="00942D11" w:rsidP="2896E249" w14:paraId="5CB0317F" w14:textId="4C808732">
      <w:pPr>
        <w:widowControl w:val="0"/>
        <w:jc w:val="center"/>
        <w:rPr>
          <w:rFonts w:ascii="Arial" w:eastAsia="Arial" w:hAnsi="Arial" w:cs="Arial"/>
          <w:sz w:val="20"/>
          <w:szCs w:val="20"/>
        </w:rPr>
      </w:pPr>
    </w:p>
    <w:p w:rsidR="00CE7D4D" w:rsidRPr="00942D11" w:rsidP="2896E249" w14:paraId="6B9E56BF" w14:textId="66C63607">
      <w:pPr>
        <w:widowControl w:val="0"/>
        <w:jc w:val="center"/>
        <w:rPr>
          <w:rFonts w:ascii="Arial" w:eastAsia="Arial" w:hAnsi="Arial" w:cs="Arial"/>
          <w:sz w:val="20"/>
          <w:szCs w:val="20"/>
        </w:rPr>
      </w:pPr>
    </w:p>
    <w:p w:rsidR="00CE7D4D" w:rsidRPr="00942D11" w:rsidP="2896E249" w14:paraId="2D44D29A" w14:textId="22DF74D8">
      <w:pPr>
        <w:widowControl w:val="0"/>
        <w:jc w:val="center"/>
        <w:rPr>
          <w:rFonts w:ascii="Arial" w:eastAsia="Arial" w:hAnsi="Arial" w:cs="Arial"/>
          <w:sz w:val="20"/>
          <w:szCs w:val="20"/>
        </w:rPr>
      </w:pPr>
    </w:p>
    <w:p w:rsidR="00CE7D4D" w:rsidRPr="00942D11" w:rsidP="2896E249" w14:paraId="13248E28" w14:textId="60276DA4">
      <w:pPr>
        <w:widowControl w:val="0"/>
        <w:jc w:val="center"/>
        <w:rPr>
          <w:rFonts w:ascii="Arial" w:eastAsia="Arial" w:hAnsi="Arial" w:cs="Arial"/>
          <w:sz w:val="20"/>
          <w:szCs w:val="20"/>
        </w:rPr>
      </w:pPr>
    </w:p>
    <w:p w:rsidR="00CE7D4D" w:rsidRPr="00942D11" w:rsidP="2896E249" w14:paraId="0CA69EC2" w14:textId="170FEB49">
      <w:pPr>
        <w:widowControl w:val="0"/>
        <w:jc w:val="center"/>
        <w:rPr>
          <w:rFonts w:ascii="Arial" w:eastAsia="Arial" w:hAnsi="Arial" w:cs="Arial"/>
          <w:sz w:val="20"/>
          <w:szCs w:val="20"/>
        </w:rPr>
      </w:pPr>
    </w:p>
    <w:p w:rsidR="00CE7D4D" w:rsidRPr="00942D11" w:rsidP="567F9370" w14:paraId="7FCF206E" w14:textId="196E9BDF">
      <w:pPr>
        <w:widowControl w:val="0"/>
        <w:jc w:val="center"/>
        <w:rPr>
          <w:rFonts w:ascii="Arial" w:eastAsia="Arial" w:hAnsi="Arial" w:cs="Arial"/>
          <w:sz w:val="20"/>
          <w:szCs w:val="20"/>
        </w:rPr>
      </w:pPr>
    </w:p>
    <w:p w:rsidR="567F9370" w:rsidRPr="00942D11" w:rsidP="00942D11" w14:paraId="0FA9DA85" w14:textId="0343AC45">
      <w:pPr>
        <w:widowControl w:val="0"/>
        <w:spacing w:after="0" w:line="240" w:lineRule="auto"/>
        <w:jc w:val="center"/>
        <w:rPr>
          <w:rFonts w:ascii="Arial" w:eastAsia="Arial" w:hAnsi="Arial" w:cs="Arial"/>
          <w:sz w:val="20"/>
          <w:szCs w:val="20"/>
        </w:rPr>
      </w:pPr>
    </w:p>
    <w:p w:rsidR="00CE7D4D" w:rsidRPr="00942D11" w:rsidP="00942D11" w14:paraId="060AE08E" w14:textId="319B3BA8">
      <w:pPr>
        <w:widowControl w:val="0"/>
        <w:spacing w:after="0" w:line="240" w:lineRule="auto"/>
        <w:jc w:val="center"/>
        <w:rPr>
          <w:rFonts w:ascii="Arial" w:eastAsia="Arial" w:hAnsi="Arial" w:cs="Arial"/>
          <w:sz w:val="20"/>
          <w:szCs w:val="20"/>
        </w:rPr>
      </w:pPr>
      <w:r w:rsidRPr="00942D11">
        <w:rPr>
          <w:rFonts w:ascii="Arial" w:eastAsia="Arial" w:hAnsi="Arial" w:cs="Arial"/>
          <w:sz w:val="20"/>
          <w:szCs w:val="20"/>
        </w:rPr>
        <w:t>Submitted By:</w:t>
      </w:r>
    </w:p>
    <w:p w:rsidR="00CE7D4D" w:rsidRPr="00942D11" w:rsidP="00942D11" w14:paraId="142A19A7" w14:textId="52201280">
      <w:pPr>
        <w:widowControl w:val="0"/>
        <w:spacing w:after="0" w:line="240" w:lineRule="auto"/>
        <w:jc w:val="center"/>
        <w:rPr>
          <w:rFonts w:ascii="Arial" w:eastAsia="Arial" w:hAnsi="Arial" w:cs="Arial"/>
          <w:sz w:val="20"/>
          <w:szCs w:val="20"/>
        </w:rPr>
      </w:pPr>
      <w:r w:rsidRPr="00942D11">
        <w:rPr>
          <w:rFonts w:ascii="Arial" w:eastAsia="Arial" w:hAnsi="Arial" w:cs="Arial"/>
          <w:sz w:val="20"/>
          <w:szCs w:val="20"/>
        </w:rPr>
        <w:t>Office of Community Services</w:t>
      </w:r>
    </w:p>
    <w:p w:rsidR="00CE7D4D" w:rsidRPr="00942D11" w:rsidP="00942D11" w14:paraId="25E86492" w14:textId="5A820A29">
      <w:pPr>
        <w:widowControl w:val="0"/>
        <w:spacing w:after="0" w:line="240" w:lineRule="auto"/>
        <w:jc w:val="center"/>
        <w:rPr>
          <w:rFonts w:ascii="Arial" w:eastAsia="Arial" w:hAnsi="Arial" w:cs="Arial"/>
          <w:sz w:val="20"/>
          <w:szCs w:val="20"/>
        </w:rPr>
      </w:pPr>
      <w:r w:rsidRPr="00942D11">
        <w:rPr>
          <w:rFonts w:ascii="Arial" w:eastAsia="Arial" w:hAnsi="Arial" w:cs="Arial"/>
          <w:sz w:val="20"/>
          <w:szCs w:val="20"/>
        </w:rPr>
        <w:t xml:space="preserve">Administration for Children and Families </w:t>
      </w:r>
    </w:p>
    <w:p w:rsidR="00CE7D4D" w:rsidRPr="00942D11" w:rsidP="00942D11" w14:paraId="5225B179" w14:textId="7B188131">
      <w:pPr>
        <w:widowControl w:val="0"/>
        <w:spacing w:after="0" w:line="240" w:lineRule="auto"/>
        <w:jc w:val="center"/>
        <w:rPr>
          <w:rFonts w:ascii="Arial" w:eastAsia="Arial" w:hAnsi="Arial" w:cs="Arial"/>
          <w:sz w:val="20"/>
          <w:szCs w:val="20"/>
        </w:rPr>
      </w:pPr>
      <w:r w:rsidRPr="00942D11">
        <w:rPr>
          <w:rFonts w:ascii="Arial" w:eastAsia="Arial" w:hAnsi="Arial" w:cs="Arial"/>
          <w:sz w:val="20"/>
          <w:szCs w:val="20"/>
        </w:rPr>
        <w:t>U.S. Department of Health and Human Services</w:t>
      </w:r>
    </w:p>
    <w:p w:rsidR="00CE7D4D" w:rsidRPr="00942D11" w:rsidP="2896E249" w14:paraId="12D9F9C1" w14:textId="50B79CA2">
      <w:pPr>
        <w:widowControl w:val="0"/>
        <w:jc w:val="center"/>
        <w:rPr>
          <w:rFonts w:ascii="Arial" w:eastAsia="Arial" w:hAnsi="Arial" w:cs="Arial"/>
          <w:sz w:val="20"/>
          <w:szCs w:val="20"/>
        </w:rPr>
      </w:pPr>
    </w:p>
    <w:p w:rsidR="00CE7D4D" w:rsidP="567F9370" w14:paraId="64B8591A" w14:textId="34C43DEF">
      <w:pPr>
        <w:widowControl w:val="0"/>
        <w:jc w:val="center"/>
        <w:rPr>
          <w:rFonts w:ascii="Arial" w:eastAsia="Arial" w:hAnsi="Arial" w:cs="Arial"/>
          <w:sz w:val="20"/>
          <w:szCs w:val="20"/>
        </w:rPr>
      </w:pPr>
    </w:p>
    <w:p w:rsidR="000E470D" w:rsidP="567F9370" w14:paraId="6788D456" w14:textId="45B89F43">
      <w:pPr>
        <w:widowControl w:val="0"/>
        <w:jc w:val="center"/>
        <w:rPr>
          <w:rFonts w:ascii="Arial" w:eastAsia="Arial" w:hAnsi="Arial" w:cs="Arial"/>
          <w:sz w:val="20"/>
          <w:szCs w:val="20"/>
        </w:rPr>
      </w:pPr>
    </w:p>
    <w:p w:rsidR="000E470D" w:rsidRPr="00942D11" w:rsidP="00942D11" w14:paraId="56C2B08B" w14:textId="77777777">
      <w:pPr>
        <w:widowControl w:val="0"/>
        <w:spacing w:after="0"/>
        <w:jc w:val="center"/>
        <w:rPr>
          <w:rFonts w:ascii="Arial" w:eastAsia="Arial" w:hAnsi="Arial" w:cs="Arial"/>
          <w:sz w:val="20"/>
          <w:szCs w:val="20"/>
        </w:rPr>
      </w:pPr>
    </w:p>
    <w:p w:rsidR="00CE7D4D" w:rsidRPr="00942D11" w:rsidP="2896E249" w14:paraId="28AA6592" w14:textId="0B548D3F">
      <w:pPr>
        <w:pStyle w:val="ListParagraph"/>
        <w:numPr>
          <w:ilvl w:val="0"/>
          <w:numId w:val="5"/>
        </w:numPr>
        <w:tabs>
          <w:tab w:val="num" w:pos="360"/>
        </w:tabs>
        <w:spacing w:after="120"/>
        <w:ind w:left="360"/>
        <w:rPr>
          <w:rFonts w:ascii="Times New Roman" w:eastAsia="Times New Roman" w:hAnsi="Times New Roman" w:cs="Times New Roman"/>
          <w:sz w:val="24"/>
          <w:szCs w:val="24"/>
        </w:rPr>
      </w:pPr>
      <w:r w:rsidRPr="00942D11">
        <w:rPr>
          <w:rFonts w:ascii="Times New Roman" w:eastAsia="Times New Roman" w:hAnsi="Times New Roman" w:cs="Times New Roman"/>
          <w:b/>
          <w:bCs/>
          <w:sz w:val="24"/>
          <w:szCs w:val="24"/>
        </w:rPr>
        <w:t xml:space="preserve">Respondent Universe and Sampling Methods </w:t>
      </w:r>
    </w:p>
    <w:p w:rsidR="00CE7D4D" w:rsidRPr="00942D11" w:rsidP="06E69ED9" w14:paraId="26E79045" w14:textId="4A21CD48">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 Arizona Self-Sufficiency Matrix and the Service Receipt Questionnaire, the respondent universe is intensively case-managed adult residents living in affordable housing funded by the Affordable Housing and Supportive Services Demonstration.</w:t>
      </w:r>
      <w:r w:rsidRPr="00942D11" w:rsidR="32FC809E">
        <w:rPr>
          <w:rFonts w:ascii="Times New Roman" w:eastAsia="Times New Roman" w:hAnsi="Times New Roman" w:cs="Times New Roman"/>
          <w:sz w:val="24"/>
          <w:szCs w:val="24"/>
        </w:rPr>
        <w:t xml:space="preserve"> The Office of Community Services (</w:t>
      </w:r>
      <w:r w:rsidRPr="00942D11">
        <w:rPr>
          <w:rFonts w:ascii="Times New Roman" w:eastAsia="Times New Roman" w:hAnsi="Times New Roman" w:cs="Times New Roman"/>
          <w:sz w:val="24"/>
          <w:szCs w:val="24"/>
        </w:rPr>
        <w:t>OCS</w:t>
      </w:r>
      <w:r w:rsidRPr="00942D11" w:rsidR="09406050">
        <w:rPr>
          <w:rFonts w:ascii="Times New Roman" w:eastAsia="Times New Roman" w:hAnsi="Times New Roman" w:cs="Times New Roman"/>
          <w:sz w:val="24"/>
          <w:szCs w:val="24"/>
        </w:rPr>
        <w:t>)</w:t>
      </w:r>
      <w:r w:rsidRPr="00942D11">
        <w:rPr>
          <w:rFonts w:ascii="Times New Roman" w:eastAsia="Times New Roman" w:hAnsi="Times New Roman" w:cs="Times New Roman"/>
          <w:sz w:val="24"/>
          <w:szCs w:val="24"/>
        </w:rPr>
        <w:t xml:space="preserve"> hopes to collect Matrix and Questionnaire data from the majority of these residents. </w:t>
      </w:r>
      <w:r w:rsidRPr="00942D11" w:rsidR="0CD71FC0">
        <w:rPr>
          <w:rFonts w:ascii="Times New Roman" w:eastAsia="Times New Roman" w:hAnsi="Times New Roman" w:cs="Times New Roman"/>
          <w:sz w:val="24"/>
          <w:szCs w:val="24"/>
        </w:rPr>
        <w:t>As this is a demonstration program, there is a wide variety of the anticipated number of case-managed residents by different grant recipients, with some sites planning to only offer intensive services to a handful of residents and other sites planning to case-manage close to a hundred residents. Due to this variety and the fact that most grant recipients are already collecting the Matrix, OCS is not planning to stratify or take a random sample of intensively case-managed residents.</w:t>
      </w:r>
    </w:p>
    <w:p w:rsidR="00CE7D4D" w:rsidRPr="00942D11" w:rsidP="489AAE41" w14:paraId="518E5C54" w14:textId="51E3B53F">
      <w:pPr>
        <w:spacing w:after="0"/>
        <w:ind w:left="360"/>
        <w:rPr>
          <w:rFonts w:ascii="Times New Roman" w:eastAsia="Times New Roman" w:hAnsi="Times New Roman" w:cs="Times New Roman"/>
          <w:sz w:val="24"/>
          <w:szCs w:val="24"/>
        </w:rPr>
      </w:pPr>
    </w:p>
    <w:p w:rsidR="00CE7D4D" w:rsidRPr="00942D11" w:rsidP="489AAE41" w14:paraId="5A8D1D78" w14:textId="1B98DBF3">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OCS estimates that the maximum number of possible residents who may receive intensive case-management is 700 individuals, based on conversations with the grant recipients and a review of the grant recipients’ applications. By focusing only on the universe of residents who are receiving the highest intensity of services and who are in regular contact with their caseworkers, OCS anticipates a high overall response rate and measurable change on the Matrix and Questionnaire. These Matrix and Questionnaire results will not be generalizable to all the residents living in affordable housing funded by the demonstration program.</w:t>
      </w:r>
    </w:p>
    <w:p w:rsidR="00CE7D4D" w:rsidRPr="00942D11" w:rsidP="489AAE41" w14:paraId="6003FC21" w14:textId="28235C41">
      <w:pPr>
        <w:spacing w:after="0"/>
        <w:ind w:left="360"/>
        <w:rPr>
          <w:rFonts w:ascii="Times New Roman" w:eastAsia="Times New Roman" w:hAnsi="Times New Roman" w:cs="Times New Roman"/>
          <w:sz w:val="24"/>
          <w:szCs w:val="24"/>
        </w:rPr>
      </w:pPr>
    </w:p>
    <w:p w:rsidR="00CE7D4D" w:rsidRPr="00942D11" w:rsidP="489AAE41" w14:paraId="1693186C" w14:textId="6E02326A">
      <w:pPr>
        <w:spacing w:after="0"/>
        <w:ind w:left="360"/>
        <w:rPr>
          <w:rFonts w:ascii="Times New Roman" w:eastAsia="Times New Roman" w:hAnsi="Times New Roman" w:cs="Times New Roman"/>
          <w:sz w:val="24"/>
          <w:szCs w:val="24"/>
          <w:u w:val="single"/>
        </w:rPr>
      </w:pPr>
      <w:r w:rsidRPr="00942D11">
        <w:rPr>
          <w:rFonts w:ascii="Times New Roman" w:eastAsia="Times New Roman" w:hAnsi="Times New Roman" w:cs="Times New Roman"/>
          <w:sz w:val="24"/>
          <w:szCs w:val="24"/>
        </w:rPr>
        <w:t>OCS plans to conduct the Matrix and Questionnaire at t</w:t>
      </w:r>
      <w:r w:rsidRPr="00942D11" w:rsidR="3AD9A3C8">
        <w:rPr>
          <w:rFonts w:ascii="Times New Roman" w:eastAsia="Times New Roman" w:hAnsi="Times New Roman" w:cs="Times New Roman"/>
          <w:sz w:val="24"/>
          <w:szCs w:val="24"/>
        </w:rPr>
        <w:t>wo</w:t>
      </w:r>
      <w:r w:rsidRPr="00942D11">
        <w:rPr>
          <w:rFonts w:ascii="Times New Roman" w:eastAsia="Times New Roman" w:hAnsi="Times New Roman" w:cs="Times New Roman"/>
          <w:sz w:val="24"/>
          <w:szCs w:val="24"/>
        </w:rPr>
        <w:t xml:space="preserve"> separate time points (baseline</w:t>
      </w:r>
      <w:r w:rsidRPr="00942D11" w:rsidR="7A9A04EB">
        <w:rPr>
          <w:rFonts w:ascii="Times New Roman" w:eastAsia="Times New Roman" w:hAnsi="Times New Roman" w:cs="Times New Roman"/>
          <w:sz w:val="24"/>
          <w:szCs w:val="24"/>
        </w:rPr>
        <w:t xml:space="preserve"> and follow up</w:t>
      </w:r>
      <w:r w:rsidRPr="00942D11">
        <w:rPr>
          <w:rFonts w:ascii="Times New Roman" w:eastAsia="Times New Roman" w:hAnsi="Times New Roman" w:cs="Times New Roman"/>
          <w:sz w:val="24"/>
          <w:szCs w:val="24"/>
        </w:rPr>
        <w:t xml:space="preserve">) to evaluate change over time. At baseline, OCS anticipates a response rate of 85% for the two instruments. For the </w:t>
      </w:r>
      <w:r w:rsidRPr="00942D11" w:rsidR="55768623">
        <w:rPr>
          <w:rFonts w:ascii="Times New Roman" w:eastAsia="Times New Roman" w:hAnsi="Times New Roman" w:cs="Times New Roman"/>
          <w:sz w:val="24"/>
          <w:szCs w:val="24"/>
        </w:rPr>
        <w:t>second</w:t>
      </w:r>
      <w:r w:rsidRPr="00942D11">
        <w:rPr>
          <w:rFonts w:ascii="Times New Roman" w:eastAsia="Times New Roman" w:hAnsi="Times New Roman" w:cs="Times New Roman"/>
          <w:sz w:val="24"/>
          <w:szCs w:val="24"/>
        </w:rPr>
        <w:t xml:space="preserve"> time point, OCS anticipates that some residents may move away from the affordable housing community or finish receiving services, and thus the response rate for the </w:t>
      </w:r>
      <w:r w:rsidRPr="00942D11" w:rsidR="31708FE1">
        <w:rPr>
          <w:rFonts w:ascii="Times New Roman" w:eastAsia="Times New Roman" w:hAnsi="Times New Roman" w:cs="Times New Roman"/>
          <w:sz w:val="24"/>
          <w:szCs w:val="24"/>
        </w:rPr>
        <w:t>follow-up</w:t>
      </w:r>
      <w:r w:rsidRPr="00942D11">
        <w:rPr>
          <w:rFonts w:ascii="Times New Roman" w:eastAsia="Times New Roman" w:hAnsi="Times New Roman" w:cs="Times New Roman"/>
          <w:sz w:val="24"/>
          <w:szCs w:val="24"/>
        </w:rPr>
        <w:t xml:space="preserve"> </w:t>
      </w:r>
      <w:r w:rsidRPr="00942D11" w:rsidR="21952A7C">
        <w:rPr>
          <w:rFonts w:ascii="Times New Roman" w:eastAsia="Times New Roman" w:hAnsi="Times New Roman" w:cs="Times New Roman"/>
          <w:sz w:val="24"/>
          <w:szCs w:val="24"/>
        </w:rPr>
        <w:t>is anticipated to be 75%</w:t>
      </w:r>
      <w:r w:rsidRPr="00942D11">
        <w:rPr>
          <w:rFonts w:ascii="Times New Roman" w:eastAsia="Times New Roman" w:hAnsi="Times New Roman" w:cs="Times New Roman"/>
          <w:sz w:val="24"/>
          <w:szCs w:val="24"/>
        </w:rPr>
        <w:t>.</w:t>
      </w:r>
    </w:p>
    <w:p w:rsidR="00CE7D4D" w:rsidRPr="00942D11" w:rsidP="489AAE41" w14:paraId="67E729A3" w14:textId="7B0853FA">
      <w:pPr>
        <w:spacing w:after="0"/>
        <w:ind w:left="360"/>
        <w:rPr>
          <w:rFonts w:ascii="Times New Roman" w:eastAsia="Times New Roman" w:hAnsi="Times New Roman" w:cs="Times New Roman"/>
          <w:sz w:val="24"/>
          <w:szCs w:val="24"/>
        </w:rPr>
      </w:pPr>
    </w:p>
    <w:p w:rsidR="00CE7D4D" w:rsidRPr="00942D11" w:rsidP="2896E249" w14:paraId="1687685E" w14:textId="76E50BE9">
      <w:pPr>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 interviews with program staff (program directors and caseworkers) and the focus groups with residents, OCS anticipates a response rate approaching 100%. All grant recipients have expressed a willingness for their staff to be interviewed and have offered estimates of the total number of staff currently involved with the program (36 individuals</w:t>
      </w:r>
      <w:r w:rsidRPr="00942D11" w:rsidR="01041E22">
        <w:rPr>
          <w:rFonts w:ascii="Times New Roman" w:eastAsia="Times New Roman" w:hAnsi="Times New Roman" w:cs="Times New Roman"/>
          <w:sz w:val="24"/>
          <w:szCs w:val="24"/>
        </w:rPr>
        <w:t>, i.e., 18 program directors and 18 caseworkers</w:t>
      </w:r>
      <w:r w:rsidRPr="00942D11">
        <w:rPr>
          <w:rFonts w:ascii="Times New Roman" w:eastAsia="Times New Roman" w:hAnsi="Times New Roman" w:cs="Times New Roman"/>
          <w:sz w:val="24"/>
          <w:szCs w:val="24"/>
        </w:rPr>
        <w:t xml:space="preserve">). By interviewing several different staff members from each grant recipient organization, OCS hopes to obtain a holistic understanding of perceived program impact and implementation. Most of the grant recipients have also previously conducted focus groups with their residents and have stated that it would be fairly easy to convene groups of 5-7 residents to discuss their experiences of the program. </w:t>
      </w:r>
      <w:r w:rsidRPr="00942D11" w:rsidR="1151C73D">
        <w:rPr>
          <w:rFonts w:ascii="Times New Roman" w:eastAsia="Times New Roman" w:hAnsi="Times New Roman" w:cs="Times New Roman"/>
          <w:sz w:val="24"/>
          <w:szCs w:val="24"/>
        </w:rPr>
        <w:t xml:space="preserve">To accommodate OCS staff constraints and to be able to conduct the majority of the focus groups in person, OCS plans to conduct focus groups at only half of the sites. </w:t>
      </w:r>
      <w:r w:rsidRPr="00942D11">
        <w:rPr>
          <w:rFonts w:ascii="Times New Roman" w:eastAsia="Times New Roman" w:hAnsi="Times New Roman" w:cs="Times New Roman"/>
          <w:sz w:val="24"/>
          <w:szCs w:val="24"/>
        </w:rPr>
        <w:t xml:space="preserve">OCS plans to work with the grant recipients to recruit residents with diverse experiences of the program, including intensively case-managed residents and residents who only briefly engaged with offered services. </w:t>
      </w:r>
      <w:r w:rsidRPr="00942D11" w:rsidR="56C3CBB1">
        <w:rPr>
          <w:rFonts w:ascii="Times New Roman" w:eastAsia="Times New Roman" w:hAnsi="Times New Roman" w:cs="Times New Roman"/>
          <w:sz w:val="24"/>
          <w:szCs w:val="24"/>
        </w:rPr>
        <w:t xml:space="preserve">OCS hopes to include residents from a variety of backgrounds and lived experiences in the focus groups (including people of different genders, racial and ethnic backgrounds, languages spoken, marital and family status, and age). </w:t>
      </w:r>
    </w:p>
    <w:p w:rsidR="00CE7D4D" w:rsidRPr="00942D11" w:rsidP="2896E249" w14:paraId="17BAC4E8" w14:textId="54406F75">
      <w:pPr>
        <w:ind w:left="360"/>
        <w:rPr>
          <w:rFonts w:ascii="Times New Roman" w:eastAsia="Times New Roman" w:hAnsi="Times New Roman" w:cs="Times New Roman"/>
          <w:sz w:val="24"/>
          <w:szCs w:val="24"/>
        </w:rPr>
      </w:pPr>
    </w:p>
    <w:p w:rsidR="00CE7D4D" w:rsidRPr="00942D11" w:rsidP="00942D11" w14:paraId="0BA6ADF9" w14:textId="08F2C8E3">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OCS anticipates that 100% of the grant recipients will complete the Quarterly PPRs and Semi-Annual Mandatory Reports. For the Mandatory Reports, many of the grant recipients have indicated that they are already tracking</w:t>
      </w:r>
      <w:r w:rsidRPr="00942D11" w:rsidR="0F22C492">
        <w:rPr>
          <w:rFonts w:ascii="Times New Roman" w:eastAsia="Times New Roman" w:hAnsi="Times New Roman" w:cs="Times New Roman"/>
          <w:sz w:val="24"/>
          <w:szCs w:val="24"/>
        </w:rPr>
        <w:t xml:space="preserve"> much of</w:t>
      </w:r>
      <w:r w:rsidRPr="00942D11">
        <w:rPr>
          <w:rFonts w:ascii="Times New Roman" w:eastAsia="Times New Roman" w:hAnsi="Times New Roman" w:cs="Times New Roman"/>
          <w:sz w:val="24"/>
          <w:szCs w:val="24"/>
        </w:rPr>
        <w:t xml:space="preserve"> the information</w:t>
      </w:r>
      <w:r w:rsidRPr="00942D11" w:rsidR="23875753">
        <w:rPr>
          <w:rFonts w:ascii="Times New Roman" w:eastAsia="Times New Roman" w:hAnsi="Times New Roman" w:cs="Times New Roman"/>
          <w:sz w:val="24"/>
          <w:szCs w:val="24"/>
        </w:rPr>
        <w:t xml:space="preserve"> proposed to be requested.</w:t>
      </w:r>
      <w:r w:rsidRPr="00942D11">
        <w:rPr>
          <w:rFonts w:ascii="Times New Roman" w:eastAsia="Times New Roman" w:hAnsi="Times New Roman" w:cs="Times New Roman"/>
          <w:sz w:val="24"/>
          <w:szCs w:val="24"/>
        </w:rPr>
        <w:t xml:space="preserve"> OCS anticipates that only around a third of the grant recipients will complete the Semi-Annual Optional Reports. The questions in the Optional Reports are based on information that some of the grant recipients indicated in their applications that they were planning to collect. </w:t>
      </w:r>
    </w:p>
    <w:p w:rsidR="00CE7D4D" w:rsidRPr="00942D11" w:rsidP="00942D11" w14:paraId="6623D275" w14:textId="4A0EF369">
      <w:pPr>
        <w:spacing w:after="0"/>
        <w:ind w:left="360"/>
        <w:rPr>
          <w:rFonts w:ascii="Times New Roman" w:eastAsia="Times New Roman" w:hAnsi="Times New Roman" w:cs="Times New Roman"/>
          <w:sz w:val="24"/>
          <w:szCs w:val="24"/>
        </w:rPr>
      </w:pP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6A0"/>
      </w:tblPr>
      <w:tblGrid>
        <w:gridCol w:w="2250"/>
        <w:gridCol w:w="2250"/>
        <w:gridCol w:w="2250"/>
        <w:gridCol w:w="2250"/>
      </w:tblGrid>
      <w:tr w14:paraId="0DDF5CD8" w14:textId="77777777" w:rsidTr="0CCEF88E">
        <w:tblPrEx>
          <w:tblW w:w="0" w:type="auto"/>
          <w:tblInd w:w="360"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250" w:type="dxa"/>
            <w:tcMar>
              <w:left w:w="105" w:type="dxa"/>
              <w:right w:w="105" w:type="dxa"/>
            </w:tcMar>
          </w:tcPr>
          <w:p w:rsidR="2896E249" w:rsidRPr="000E470D" w:rsidP="2896E249" w14:paraId="3DD3D02A" w14:textId="056F527E">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b/>
                <w:bCs/>
                <w:sz w:val="20"/>
                <w:szCs w:val="20"/>
              </w:rPr>
              <w:t>Instrument</w:t>
            </w:r>
          </w:p>
        </w:tc>
        <w:tc>
          <w:tcPr>
            <w:tcW w:w="2250" w:type="dxa"/>
            <w:tcMar>
              <w:left w:w="105" w:type="dxa"/>
              <w:right w:w="105" w:type="dxa"/>
            </w:tcMar>
          </w:tcPr>
          <w:p w:rsidR="2896E249" w:rsidRPr="000E470D" w:rsidP="2896E249" w14:paraId="6464B155" w14:textId="3F3C7DC7">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b/>
                <w:bCs/>
                <w:sz w:val="20"/>
                <w:szCs w:val="20"/>
              </w:rPr>
              <w:t>Respondent Universe</w:t>
            </w:r>
          </w:p>
        </w:tc>
        <w:tc>
          <w:tcPr>
            <w:tcW w:w="2250" w:type="dxa"/>
            <w:tcMar>
              <w:left w:w="105" w:type="dxa"/>
              <w:right w:w="105" w:type="dxa"/>
            </w:tcMar>
          </w:tcPr>
          <w:p w:rsidR="2896E249" w:rsidRPr="000E470D" w:rsidP="2896E249" w14:paraId="2D6DFD88" w14:textId="4CEFD829">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b/>
                <w:bCs/>
                <w:sz w:val="20"/>
                <w:szCs w:val="20"/>
              </w:rPr>
              <w:t>Intended Sample</w:t>
            </w:r>
          </w:p>
        </w:tc>
        <w:tc>
          <w:tcPr>
            <w:tcW w:w="2250" w:type="dxa"/>
            <w:tcMar>
              <w:left w:w="105" w:type="dxa"/>
              <w:right w:w="105" w:type="dxa"/>
            </w:tcMar>
          </w:tcPr>
          <w:p w:rsidR="2896E249" w:rsidRPr="000E470D" w:rsidP="2896E249" w14:paraId="34F2249E" w14:textId="405ED480">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b/>
                <w:bCs/>
                <w:sz w:val="20"/>
                <w:szCs w:val="20"/>
              </w:rPr>
              <w:t>Response Rate</w:t>
            </w:r>
          </w:p>
        </w:tc>
      </w:tr>
      <w:tr w14:paraId="7240A96B"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68453D4A" w14:textId="6BCD0BC1">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Self-Sufficiency Matrix</w:t>
            </w:r>
          </w:p>
        </w:tc>
        <w:tc>
          <w:tcPr>
            <w:tcW w:w="2250" w:type="dxa"/>
            <w:tcMar>
              <w:left w:w="105" w:type="dxa"/>
              <w:right w:w="105" w:type="dxa"/>
            </w:tcMar>
          </w:tcPr>
          <w:p w:rsidR="2896E249" w:rsidRPr="000E470D" w:rsidP="2896E249" w14:paraId="1C9BA62E" w14:textId="1975A7DB">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Intensively case-managed adult residents living in affordable housing funded by the Affordable Housing and Supportive Services Demonstration</w:t>
            </w:r>
          </w:p>
        </w:tc>
        <w:tc>
          <w:tcPr>
            <w:tcW w:w="2250" w:type="dxa"/>
            <w:tcMar>
              <w:left w:w="105" w:type="dxa"/>
              <w:right w:w="105" w:type="dxa"/>
            </w:tcMar>
          </w:tcPr>
          <w:p w:rsidR="2896E249" w:rsidRPr="000E470D" w:rsidP="2896E249" w14:paraId="433A99B7" w14:textId="609FF629">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Entire respondent universe (maximum: 700 residents)</w:t>
            </w:r>
          </w:p>
        </w:tc>
        <w:tc>
          <w:tcPr>
            <w:tcW w:w="2250" w:type="dxa"/>
            <w:tcMar>
              <w:left w:w="105" w:type="dxa"/>
              <w:right w:w="105" w:type="dxa"/>
            </w:tcMar>
          </w:tcPr>
          <w:p w:rsidR="2896E249" w:rsidRPr="000E470D" w:rsidP="2896E249" w14:paraId="69860715" w14:textId="55533F75">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85% for baseline; 7</w:t>
            </w:r>
            <w:r w:rsidRPr="000E470D" w:rsidR="5ED46606">
              <w:rPr>
                <w:rFonts w:ascii="Times New Roman" w:eastAsia="Times New Roman" w:hAnsi="Times New Roman" w:cs="Times New Roman"/>
                <w:sz w:val="20"/>
                <w:szCs w:val="20"/>
              </w:rPr>
              <w:t>5</w:t>
            </w:r>
            <w:r w:rsidRPr="000E470D">
              <w:rPr>
                <w:rFonts w:ascii="Times New Roman" w:eastAsia="Times New Roman" w:hAnsi="Times New Roman" w:cs="Times New Roman"/>
                <w:sz w:val="20"/>
                <w:szCs w:val="20"/>
              </w:rPr>
              <w:t xml:space="preserve">% for </w:t>
            </w:r>
            <w:r w:rsidRPr="000E470D" w:rsidR="1FC130B3">
              <w:rPr>
                <w:rFonts w:ascii="Times New Roman" w:eastAsia="Times New Roman" w:hAnsi="Times New Roman" w:cs="Times New Roman"/>
                <w:sz w:val="20"/>
                <w:szCs w:val="20"/>
              </w:rPr>
              <w:t>follow-up</w:t>
            </w:r>
          </w:p>
        </w:tc>
      </w:tr>
      <w:tr w14:paraId="72A30B1A"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1AC76B49" w14:textId="3B55C769">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Service Receipt Questionnaire</w:t>
            </w:r>
          </w:p>
        </w:tc>
        <w:tc>
          <w:tcPr>
            <w:tcW w:w="2250" w:type="dxa"/>
            <w:tcMar>
              <w:left w:w="105" w:type="dxa"/>
              <w:right w:w="105" w:type="dxa"/>
            </w:tcMar>
          </w:tcPr>
          <w:p w:rsidR="2896E249" w:rsidRPr="000E470D" w:rsidP="2896E249" w14:paraId="596D1ED6" w14:textId="7A09A493">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Intensively case-managed adult residents living in affordable housing funded by the Affordable Housing and Supportive Services Demonstration</w:t>
            </w:r>
          </w:p>
        </w:tc>
        <w:tc>
          <w:tcPr>
            <w:tcW w:w="2250" w:type="dxa"/>
            <w:tcMar>
              <w:left w:w="105" w:type="dxa"/>
              <w:right w:w="105" w:type="dxa"/>
            </w:tcMar>
          </w:tcPr>
          <w:p w:rsidR="2896E249" w:rsidRPr="000E470D" w:rsidP="2896E249" w14:paraId="150D4EBF" w14:textId="1E30D79C">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Entire respondent universe (maximum: 700 residents)</w:t>
            </w:r>
          </w:p>
        </w:tc>
        <w:tc>
          <w:tcPr>
            <w:tcW w:w="2250" w:type="dxa"/>
            <w:tcMar>
              <w:left w:w="105" w:type="dxa"/>
              <w:right w:w="105" w:type="dxa"/>
            </w:tcMar>
          </w:tcPr>
          <w:p w:rsidR="2896E249" w:rsidRPr="000E470D" w:rsidP="2896E249" w14:paraId="5DF8AEFA" w14:textId="0C28CA1D">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85% for baseline; 7</w:t>
            </w:r>
            <w:r w:rsidRPr="000E470D" w:rsidR="641AD8C8">
              <w:rPr>
                <w:rFonts w:ascii="Times New Roman" w:eastAsia="Times New Roman" w:hAnsi="Times New Roman" w:cs="Times New Roman"/>
                <w:sz w:val="20"/>
                <w:szCs w:val="20"/>
              </w:rPr>
              <w:t>5</w:t>
            </w:r>
            <w:r w:rsidRPr="000E470D">
              <w:rPr>
                <w:rFonts w:ascii="Times New Roman" w:eastAsia="Times New Roman" w:hAnsi="Times New Roman" w:cs="Times New Roman"/>
                <w:sz w:val="20"/>
                <w:szCs w:val="20"/>
              </w:rPr>
              <w:t xml:space="preserve">% for </w:t>
            </w:r>
            <w:r w:rsidRPr="000E470D" w:rsidR="6D437D18">
              <w:rPr>
                <w:rFonts w:ascii="Times New Roman" w:eastAsia="Times New Roman" w:hAnsi="Times New Roman" w:cs="Times New Roman"/>
                <w:sz w:val="20"/>
                <w:szCs w:val="20"/>
              </w:rPr>
              <w:t>follow-up</w:t>
            </w:r>
          </w:p>
          <w:p w:rsidR="2896E249" w:rsidRPr="000E470D" w:rsidP="2896E249" w14:paraId="680926ED" w14:textId="7DC3D63C">
            <w:pPr>
              <w:widowControl w:val="0"/>
              <w:rPr>
                <w:rFonts w:ascii="Times New Roman" w:eastAsia="Times New Roman" w:hAnsi="Times New Roman" w:cs="Times New Roman"/>
                <w:sz w:val="20"/>
                <w:szCs w:val="20"/>
              </w:rPr>
            </w:pPr>
          </w:p>
        </w:tc>
      </w:tr>
      <w:tr w14:paraId="1E3B403E"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4C1AE6DC" w14:textId="5B9F3B6B">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Resident Focus Group</w:t>
            </w:r>
          </w:p>
        </w:tc>
        <w:tc>
          <w:tcPr>
            <w:tcW w:w="2250" w:type="dxa"/>
            <w:tcMar>
              <w:left w:w="105" w:type="dxa"/>
              <w:right w:w="105" w:type="dxa"/>
            </w:tcMar>
          </w:tcPr>
          <w:p w:rsidR="2896E249" w:rsidRPr="000E470D" w:rsidP="2896E249" w14:paraId="264F0BF0" w14:textId="64A31EA8">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adult residents living in affordable housing funded by the Affordable Housing and Supportive Services Demonstration</w:t>
            </w:r>
          </w:p>
        </w:tc>
        <w:tc>
          <w:tcPr>
            <w:tcW w:w="2250" w:type="dxa"/>
            <w:tcMar>
              <w:left w:w="105" w:type="dxa"/>
              <w:right w:w="105" w:type="dxa"/>
            </w:tcMar>
          </w:tcPr>
          <w:p w:rsidR="2896E249" w:rsidRPr="000E470D" w:rsidP="2896E249" w14:paraId="1BD84B0A" w14:textId="04ACE338">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25 residents chosen by grant recipients to represent</w:t>
            </w:r>
          </w:p>
        </w:tc>
        <w:tc>
          <w:tcPr>
            <w:tcW w:w="2250" w:type="dxa"/>
            <w:tcMar>
              <w:left w:w="105" w:type="dxa"/>
              <w:right w:w="105" w:type="dxa"/>
            </w:tcMar>
          </w:tcPr>
          <w:p w:rsidR="2896E249" w:rsidRPr="000E470D" w:rsidP="2896E249" w14:paraId="7B0C4301" w14:textId="1BFD7683">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100%</w:t>
            </w:r>
          </w:p>
        </w:tc>
      </w:tr>
      <w:tr w14:paraId="7C682D21"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550A42EF" w14:textId="2E35669E">
            <w:pPr>
              <w:widowControl w:val="0"/>
              <w:tabs>
                <w:tab w:val="center" w:pos="4320"/>
                <w:tab w:val="right" w:pos="8640"/>
              </w:tabs>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Quarterly PPR Collections</w:t>
            </w:r>
          </w:p>
        </w:tc>
        <w:tc>
          <w:tcPr>
            <w:tcW w:w="2250" w:type="dxa"/>
            <w:tcMar>
              <w:left w:w="105" w:type="dxa"/>
              <w:right w:w="105" w:type="dxa"/>
            </w:tcMar>
          </w:tcPr>
          <w:p w:rsidR="2896E249" w:rsidRPr="000E470D" w:rsidP="2896E249" w14:paraId="5173B6E8" w14:textId="6E891EF3">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grant recipients funded by the Affordable Housing and Supportive Services Demonstration</w:t>
            </w:r>
          </w:p>
        </w:tc>
        <w:tc>
          <w:tcPr>
            <w:tcW w:w="2250" w:type="dxa"/>
            <w:tcMar>
              <w:left w:w="105" w:type="dxa"/>
              <w:right w:w="105" w:type="dxa"/>
            </w:tcMar>
          </w:tcPr>
          <w:p w:rsidR="2896E249" w:rsidRPr="000E470D" w:rsidP="2896E249" w14:paraId="7E5AA3C3" w14:textId="412268CB">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9 grant recipients</w:t>
            </w:r>
          </w:p>
        </w:tc>
        <w:tc>
          <w:tcPr>
            <w:tcW w:w="2250" w:type="dxa"/>
            <w:tcMar>
              <w:left w:w="105" w:type="dxa"/>
              <w:right w:w="105" w:type="dxa"/>
            </w:tcMar>
          </w:tcPr>
          <w:p w:rsidR="2896E249" w:rsidRPr="000E470D" w:rsidP="2896E249" w14:paraId="71E573D8" w14:textId="064B5194">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100%</w:t>
            </w:r>
          </w:p>
        </w:tc>
      </w:tr>
      <w:tr w14:paraId="4F95015B"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3D250D02" w14:textId="7EE9687D">
            <w:pPr>
              <w:widowControl w:val="0"/>
              <w:tabs>
                <w:tab w:val="center" w:pos="4320"/>
                <w:tab w:val="right" w:pos="8640"/>
              </w:tabs>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Semi Annual Report MANDATORY</w:t>
            </w:r>
          </w:p>
        </w:tc>
        <w:tc>
          <w:tcPr>
            <w:tcW w:w="2250" w:type="dxa"/>
            <w:tcMar>
              <w:left w:w="105" w:type="dxa"/>
              <w:right w:w="105" w:type="dxa"/>
            </w:tcMar>
          </w:tcPr>
          <w:p w:rsidR="2896E249" w:rsidRPr="000E470D" w:rsidP="2896E249" w14:paraId="76F7C31D" w14:textId="69CC4918">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grant recipients funded by the Affordable Housing and Supportive Services Demonstration</w:t>
            </w:r>
          </w:p>
        </w:tc>
        <w:tc>
          <w:tcPr>
            <w:tcW w:w="2250" w:type="dxa"/>
            <w:tcMar>
              <w:left w:w="105" w:type="dxa"/>
              <w:right w:w="105" w:type="dxa"/>
            </w:tcMar>
          </w:tcPr>
          <w:p w:rsidR="2896E249" w:rsidRPr="000E470D" w:rsidP="2896E249" w14:paraId="58B2F1ED" w14:textId="399C2C50">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9 grant recipients</w:t>
            </w:r>
          </w:p>
        </w:tc>
        <w:tc>
          <w:tcPr>
            <w:tcW w:w="2250" w:type="dxa"/>
            <w:tcMar>
              <w:left w:w="105" w:type="dxa"/>
              <w:right w:w="105" w:type="dxa"/>
            </w:tcMar>
          </w:tcPr>
          <w:p w:rsidR="2896E249" w:rsidRPr="000E470D" w:rsidP="2896E249" w14:paraId="193F0EE7" w14:textId="4C1863DB">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100%</w:t>
            </w:r>
          </w:p>
        </w:tc>
      </w:tr>
      <w:tr w14:paraId="11C6BD45"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6B4DFE48" w14:textId="460105C8">
            <w:pPr>
              <w:widowControl w:val="0"/>
              <w:tabs>
                <w:tab w:val="center" w:pos="4320"/>
                <w:tab w:val="right" w:pos="8640"/>
              </w:tabs>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Semi Annual Report OPTIONAL</w:t>
            </w:r>
          </w:p>
        </w:tc>
        <w:tc>
          <w:tcPr>
            <w:tcW w:w="2250" w:type="dxa"/>
            <w:tcMar>
              <w:left w:w="105" w:type="dxa"/>
              <w:right w:w="105" w:type="dxa"/>
            </w:tcMar>
          </w:tcPr>
          <w:p w:rsidR="2896E249" w:rsidRPr="000E470D" w:rsidP="2896E249" w14:paraId="4BD92059" w14:textId="7AF1634A">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grant recipients funded by the Affordable Housing and Supportive Services Demonstration</w:t>
            </w:r>
          </w:p>
        </w:tc>
        <w:tc>
          <w:tcPr>
            <w:tcW w:w="2250" w:type="dxa"/>
            <w:tcMar>
              <w:left w:w="105" w:type="dxa"/>
              <w:right w:w="105" w:type="dxa"/>
            </w:tcMar>
          </w:tcPr>
          <w:p w:rsidR="2896E249" w:rsidRPr="000E470D" w:rsidP="2896E249" w14:paraId="78E1EF30" w14:textId="3604F79C">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9 grant recipients</w:t>
            </w:r>
          </w:p>
        </w:tc>
        <w:tc>
          <w:tcPr>
            <w:tcW w:w="2250" w:type="dxa"/>
            <w:tcMar>
              <w:left w:w="105" w:type="dxa"/>
              <w:right w:w="105" w:type="dxa"/>
            </w:tcMar>
          </w:tcPr>
          <w:p w:rsidR="2896E249" w:rsidRPr="000E470D" w:rsidP="2896E249" w14:paraId="511BED74" w14:textId="7325336C">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33%</w:t>
            </w:r>
          </w:p>
        </w:tc>
      </w:tr>
      <w:tr w14:paraId="0A403DA9"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267B4CE5" w14:textId="61F83BDB">
            <w:pPr>
              <w:widowControl w:val="0"/>
              <w:tabs>
                <w:tab w:val="center" w:pos="4320"/>
                <w:tab w:val="right" w:pos="8640"/>
              </w:tabs>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Interviews with Program Directors</w:t>
            </w:r>
          </w:p>
        </w:tc>
        <w:tc>
          <w:tcPr>
            <w:tcW w:w="2250" w:type="dxa"/>
            <w:tcMar>
              <w:left w:w="105" w:type="dxa"/>
              <w:right w:w="105" w:type="dxa"/>
            </w:tcMar>
          </w:tcPr>
          <w:p w:rsidR="2896E249" w:rsidRPr="000E470D" w:rsidP="2896E249" w14:paraId="38A0A232" w14:textId="164FB3C0">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program directors overseeing programs associated with the Affordable Housing and Supportive Services Demonstration</w:t>
            </w:r>
          </w:p>
        </w:tc>
        <w:tc>
          <w:tcPr>
            <w:tcW w:w="2250" w:type="dxa"/>
            <w:tcMar>
              <w:left w:w="105" w:type="dxa"/>
              <w:right w:w="105" w:type="dxa"/>
            </w:tcMar>
          </w:tcPr>
          <w:p w:rsidR="2896E249" w:rsidRPr="000E470D" w:rsidP="2896E249" w14:paraId="0ECC8142" w14:textId="74B956F4">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program directors overseeing programs associated with the Affordable Housing and Supportive Services Demonstration (18)</w:t>
            </w:r>
          </w:p>
        </w:tc>
        <w:tc>
          <w:tcPr>
            <w:tcW w:w="2250" w:type="dxa"/>
            <w:tcMar>
              <w:left w:w="105" w:type="dxa"/>
              <w:right w:w="105" w:type="dxa"/>
            </w:tcMar>
          </w:tcPr>
          <w:p w:rsidR="2896E249" w:rsidRPr="000E470D" w:rsidP="2896E249" w14:paraId="3AEC4D9A" w14:textId="25257C33">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100%</w:t>
            </w:r>
          </w:p>
        </w:tc>
      </w:tr>
      <w:tr w14:paraId="439D07B0" w14:textId="77777777" w:rsidTr="0CCEF88E">
        <w:tblPrEx>
          <w:tblW w:w="0" w:type="auto"/>
          <w:tblInd w:w="360" w:type="dxa"/>
          <w:tblLayout w:type="fixed"/>
          <w:tblLook w:val="06A0"/>
        </w:tblPrEx>
        <w:trPr>
          <w:trHeight w:val="300"/>
        </w:trPr>
        <w:tc>
          <w:tcPr>
            <w:tcW w:w="2250" w:type="dxa"/>
            <w:tcMar>
              <w:left w:w="105" w:type="dxa"/>
              <w:right w:w="105" w:type="dxa"/>
            </w:tcMar>
          </w:tcPr>
          <w:p w:rsidR="2896E249" w:rsidRPr="000E470D" w:rsidP="2896E249" w14:paraId="4A73CEFF" w14:textId="456E470D">
            <w:pPr>
              <w:widowControl w:val="0"/>
              <w:tabs>
                <w:tab w:val="center" w:pos="4320"/>
                <w:tab w:val="right" w:pos="8640"/>
              </w:tabs>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Interviews with Caseworkers</w:t>
            </w:r>
          </w:p>
        </w:tc>
        <w:tc>
          <w:tcPr>
            <w:tcW w:w="2250" w:type="dxa"/>
            <w:tcMar>
              <w:left w:w="105" w:type="dxa"/>
              <w:right w:w="105" w:type="dxa"/>
            </w:tcMar>
          </w:tcPr>
          <w:p w:rsidR="2896E249" w:rsidRPr="000E470D" w:rsidP="2896E249" w14:paraId="791F41FB" w14:textId="20806E28">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caseworkers working on the Affordable Housing and Supportive Services Demonstration</w:t>
            </w:r>
          </w:p>
        </w:tc>
        <w:tc>
          <w:tcPr>
            <w:tcW w:w="2250" w:type="dxa"/>
            <w:tcMar>
              <w:left w:w="105" w:type="dxa"/>
              <w:right w:w="105" w:type="dxa"/>
            </w:tcMar>
          </w:tcPr>
          <w:p w:rsidR="2896E249" w:rsidRPr="000E470D" w:rsidP="2896E249" w14:paraId="541DF9A9" w14:textId="3CE8D05B">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All caseworkers working on the Affordable Housing and Supportive Services Demonstration (18)</w:t>
            </w:r>
          </w:p>
        </w:tc>
        <w:tc>
          <w:tcPr>
            <w:tcW w:w="2250" w:type="dxa"/>
            <w:tcMar>
              <w:left w:w="105" w:type="dxa"/>
              <w:right w:w="105" w:type="dxa"/>
            </w:tcMar>
          </w:tcPr>
          <w:p w:rsidR="2896E249" w:rsidRPr="000E470D" w:rsidP="2896E249" w14:paraId="2EEEB4C1" w14:textId="221415C6">
            <w:pPr>
              <w:widowControl w:val="0"/>
              <w:rPr>
                <w:rFonts w:ascii="Times New Roman" w:eastAsia="Times New Roman" w:hAnsi="Times New Roman" w:cs="Times New Roman"/>
                <w:sz w:val="20"/>
                <w:szCs w:val="20"/>
              </w:rPr>
            </w:pPr>
            <w:r w:rsidRPr="000E470D">
              <w:rPr>
                <w:rFonts w:ascii="Times New Roman" w:eastAsia="Times New Roman" w:hAnsi="Times New Roman" w:cs="Times New Roman"/>
                <w:sz w:val="20"/>
                <w:szCs w:val="20"/>
              </w:rPr>
              <w:t>100%</w:t>
            </w:r>
          </w:p>
        </w:tc>
      </w:tr>
    </w:tbl>
    <w:p w:rsidR="00CE7D4D" w:rsidRPr="00942D11" w:rsidP="2896E249" w14:paraId="14860391" w14:textId="446DF86E">
      <w:pPr>
        <w:ind w:left="360"/>
        <w:rPr>
          <w:rFonts w:ascii="Times New Roman" w:eastAsia="Times New Roman" w:hAnsi="Times New Roman" w:cs="Times New Roman"/>
          <w:sz w:val="24"/>
          <w:szCs w:val="24"/>
        </w:rPr>
      </w:pPr>
    </w:p>
    <w:p w:rsidR="00CE7D4D" w:rsidRPr="00942D11" w:rsidP="2896E249" w14:paraId="35629312" w14:textId="17ABC698">
      <w:pPr>
        <w:pStyle w:val="ListParagraph"/>
        <w:numPr>
          <w:ilvl w:val="0"/>
          <w:numId w:val="5"/>
        </w:numPr>
        <w:tabs>
          <w:tab w:val="num" w:pos="360"/>
        </w:tabs>
        <w:spacing w:after="120"/>
        <w:ind w:left="360"/>
        <w:rPr>
          <w:rFonts w:ascii="Times New Roman" w:eastAsia="Times New Roman" w:hAnsi="Times New Roman" w:cs="Times New Roman"/>
          <w:sz w:val="24"/>
          <w:szCs w:val="24"/>
        </w:rPr>
      </w:pPr>
      <w:r w:rsidRPr="00942D11">
        <w:rPr>
          <w:rFonts w:ascii="Times New Roman" w:eastAsia="Times New Roman" w:hAnsi="Times New Roman" w:cs="Times New Roman"/>
          <w:b/>
          <w:bCs/>
          <w:sz w:val="24"/>
          <w:szCs w:val="24"/>
        </w:rPr>
        <w:t xml:space="preserve">Procedures for the Collection of Information </w:t>
      </w:r>
    </w:p>
    <w:p w:rsidR="00CE7D4D" w:rsidRPr="00942D11" w:rsidP="2896E249" w14:paraId="0551D067" w14:textId="0C6C78A9">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The majority of the grant recipients are already administering the Arizona Self-Sufficiency Matrix and collecting the results in their internal information databases. For the</w:t>
      </w:r>
      <w:r w:rsidRPr="00942D11" w:rsidR="53388964">
        <w:rPr>
          <w:rFonts w:ascii="Times New Roman" w:eastAsia="Times New Roman" w:hAnsi="Times New Roman" w:cs="Times New Roman"/>
          <w:sz w:val="24"/>
          <w:szCs w:val="24"/>
        </w:rPr>
        <w:t xml:space="preserve"> grant</w:t>
      </w:r>
      <w:r w:rsidRPr="00942D11">
        <w:rPr>
          <w:rFonts w:ascii="Times New Roman" w:eastAsia="Times New Roman" w:hAnsi="Times New Roman" w:cs="Times New Roman"/>
          <w:sz w:val="24"/>
          <w:szCs w:val="24"/>
        </w:rPr>
        <w:t xml:space="preserve"> recipients with pre-existing collection procedures, OCS is requesting that the recipients report the results of the Matrix from their databases at each requested time point for the subset of intensively case-managed residents. </w:t>
      </w:r>
      <w:r w:rsidRPr="00942D11" w:rsidR="22E1D962">
        <w:rPr>
          <w:rFonts w:ascii="Times New Roman" w:eastAsia="Times New Roman" w:hAnsi="Times New Roman" w:cs="Times New Roman"/>
          <w:sz w:val="24"/>
          <w:szCs w:val="24"/>
        </w:rPr>
        <w:t>Residents will receive a gift card for each completion of the Matrix, to ensure a high response rate and</w:t>
      </w:r>
      <w:r w:rsidRPr="00942D11" w:rsidR="459FE990">
        <w:rPr>
          <w:rFonts w:ascii="Times New Roman" w:eastAsia="Times New Roman" w:hAnsi="Times New Roman" w:cs="Times New Roman"/>
          <w:sz w:val="24"/>
          <w:szCs w:val="24"/>
        </w:rPr>
        <w:t xml:space="preserve"> help ensure quality</w:t>
      </w:r>
      <w:r w:rsidRPr="00942D11" w:rsidR="75493EE5">
        <w:rPr>
          <w:rFonts w:ascii="Times New Roman" w:eastAsia="Times New Roman" w:hAnsi="Times New Roman" w:cs="Times New Roman"/>
          <w:sz w:val="24"/>
          <w:szCs w:val="24"/>
        </w:rPr>
        <w:t xml:space="preserve"> </w:t>
      </w:r>
      <w:r w:rsidRPr="00942D11" w:rsidR="22E1D962">
        <w:rPr>
          <w:rFonts w:ascii="Times New Roman" w:eastAsia="Times New Roman" w:hAnsi="Times New Roman" w:cs="Times New Roman"/>
          <w:sz w:val="24"/>
          <w:szCs w:val="24"/>
        </w:rPr>
        <w:t xml:space="preserve">data </w:t>
      </w:r>
      <w:r w:rsidRPr="00942D11" w:rsidR="7604A66A">
        <w:rPr>
          <w:rFonts w:ascii="Times New Roman" w:eastAsia="Times New Roman" w:hAnsi="Times New Roman" w:cs="Times New Roman"/>
          <w:sz w:val="24"/>
          <w:szCs w:val="24"/>
        </w:rPr>
        <w:t>with utility for the government</w:t>
      </w:r>
      <w:r w:rsidRPr="00942D11" w:rsidR="22E1D962">
        <w:rPr>
          <w:rFonts w:ascii="Times New Roman" w:eastAsia="Times New Roman" w:hAnsi="Times New Roman" w:cs="Times New Roman"/>
          <w:sz w:val="24"/>
          <w:szCs w:val="24"/>
        </w:rPr>
        <w:t xml:space="preserve">. </w:t>
      </w:r>
      <w:r w:rsidRPr="00942D11">
        <w:rPr>
          <w:rFonts w:ascii="Times New Roman" w:eastAsia="Times New Roman" w:hAnsi="Times New Roman" w:cs="Times New Roman"/>
          <w:sz w:val="24"/>
          <w:szCs w:val="24"/>
        </w:rPr>
        <w:t>For the two recipients that are not currently using the Matrix, OCS will create an online version of the Matrix and meet with the caseworkers to discuss collection procedures. The Matrix is typically conducted via a collaborative conversation between a caseworker and a resident</w:t>
      </w:r>
      <w:r w:rsidRPr="00942D11" w:rsidR="3FC46A52">
        <w:rPr>
          <w:rFonts w:ascii="Times New Roman" w:eastAsia="Times New Roman" w:hAnsi="Times New Roman" w:cs="Times New Roman"/>
          <w:sz w:val="24"/>
          <w:szCs w:val="24"/>
        </w:rPr>
        <w:t xml:space="preserve"> (see Attachment D)</w:t>
      </w:r>
      <w:r w:rsidRPr="00942D11">
        <w:rPr>
          <w:rFonts w:ascii="Times New Roman" w:eastAsia="Times New Roman" w:hAnsi="Times New Roman" w:cs="Times New Roman"/>
          <w:sz w:val="24"/>
          <w:szCs w:val="24"/>
        </w:rPr>
        <w:t>. The case-managed residents will each be assigned a unique identifier for the Matrix, so that OCS can evaluate change over time at the individual level, at the grant recipient level, and for the demonstration program collectively.</w:t>
      </w:r>
    </w:p>
    <w:p w:rsidR="00CE7D4D" w:rsidRPr="00942D11" w:rsidP="567F9370" w14:paraId="7514E93E" w14:textId="0EE13E8E">
      <w:pPr>
        <w:widowControl w:val="0"/>
        <w:spacing w:after="0"/>
        <w:ind w:left="360"/>
        <w:rPr>
          <w:rFonts w:ascii="Times New Roman" w:eastAsia="Times New Roman" w:hAnsi="Times New Roman" w:cs="Times New Roman"/>
          <w:sz w:val="24"/>
          <w:szCs w:val="24"/>
        </w:rPr>
      </w:pPr>
    </w:p>
    <w:p w:rsidR="00CE7D4D" w:rsidRPr="00942D11" w:rsidP="2896E249" w14:paraId="4CC7E4D5" w14:textId="479EFB13">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 Service Receipt Questionnaire, OCS plans to create a</w:t>
      </w:r>
      <w:r w:rsidRPr="00942D11" w:rsidR="5A19F7B9">
        <w:rPr>
          <w:rFonts w:ascii="Times New Roman" w:eastAsia="Times New Roman" w:hAnsi="Times New Roman" w:cs="Times New Roman"/>
          <w:sz w:val="24"/>
          <w:szCs w:val="24"/>
        </w:rPr>
        <w:t xml:space="preserve">n online </w:t>
      </w:r>
      <w:r w:rsidRPr="00942D11">
        <w:rPr>
          <w:rFonts w:ascii="Times New Roman" w:eastAsia="Times New Roman" w:hAnsi="Times New Roman" w:cs="Times New Roman"/>
          <w:sz w:val="24"/>
          <w:szCs w:val="24"/>
        </w:rPr>
        <w:t xml:space="preserve">survey that can be quickly filled out during a meeting between a resident and a caseworker. OCS will request that this Questionnaire be filled out around the same time as the corresponding Matrix (ideally in the same meeting, but alternatively at another meeting during the same quarter). This Questionnaire will also have the unique identifier attached, so that OCS will be able to not only assess if the program is increasing access to services, but also analyze if there are particular services associated with change on the Matrix. </w:t>
      </w:r>
    </w:p>
    <w:p w:rsidR="06E69ED9" w:rsidRPr="00942D11" w:rsidP="06E69ED9" w14:paraId="7EA1EC62" w14:textId="124E04CF">
      <w:pPr>
        <w:widowControl w:val="0"/>
        <w:spacing w:after="0"/>
        <w:ind w:left="360"/>
        <w:rPr>
          <w:rFonts w:ascii="Times New Roman" w:eastAsia="Times New Roman" w:hAnsi="Times New Roman" w:cs="Times New Roman"/>
          <w:sz w:val="24"/>
          <w:szCs w:val="24"/>
        </w:rPr>
      </w:pPr>
    </w:p>
    <w:p w:rsidR="1BA61578" w:rsidRPr="00942D11" w:rsidP="06E69ED9" w14:paraId="583C1B4A" w14:textId="7B9786EF">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 Resident Focus Groups, OCS plans to send</w:t>
      </w:r>
      <w:r w:rsidRPr="00942D11" w:rsidR="4ED847B4">
        <w:rPr>
          <w:rFonts w:ascii="Times New Roman" w:eastAsia="Times New Roman" w:hAnsi="Times New Roman" w:cs="Times New Roman"/>
          <w:sz w:val="24"/>
          <w:szCs w:val="24"/>
        </w:rPr>
        <w:t xml:space="preserve"> Attachments B and C to the grant recipients and ask them to recruit residents who have had varying levels of engagement with the program. OCS staff will then travel to the si</w:t>
      </w:r>
      <w:r w:rsidRPr="00942D11" w:rsidR="3E2B5153">
        <w:rPr>
          <w:rFonts w:ascii="Times New Roman" w:eastAsia="Times New Roman" w:hAnsi="Times New Roman" w:cs="Times New Roman"/>
          <w:sz w:val="24"/>
          <w:szCs w:val="24"/>
        </w:rPr>
        <w:t>tes and conduct the focus groups in the affordable housing complexes where the residents live. OCS will work with the grant recipients to ensure that participants have adequate childcare (and transportation if needed).</w:t>
      </w:r>
      <w:r w:rsidRPr="00942D11" w:rsidR="18491080">
        <w:rPr>
          <w:rFonts w:ascii="Times New Roman" w:eastAsia="Times New Roman" w:hAnsi="Times New Roman" w:cs="Times New Roman"/>
          <w:sz w:val="24"/>
          <w:szCs w:val="24"/>
        </w:rPr>
        <w:t xml:space="preserve"> Recipients will be given a gift card</w:t>
      </w:r>
      <w:r w:rsidRPr="00942D11" w:rsidR="1999B82E">
        <w:rPr>
          <w:rFonts w:ascii="Times New Roman" w:eastAsia="Times New Roman" w:hAnsi="Times New Roman" w:cs="Times New Roman"/>
          <w:sz w:val="24"/>
          <w:szCs w:val="24"/>
        </w:rPr>
        <w:t xml:space="preserve"> at the close of the discussion.</w:t>
      </w:r>
      <w:r w:rsidRPr="00942D11" w:rsidR="3E2B5153">
        <w:rPr>
          <w:rFonts w:ascii="Times New Roman" w:eastAsia="Times New Roman" w:hAnsi="Times New Roman" w:cs="Times New Roman"/>
          <w:sz w:val="24"/>
          <w:szCs w:val="24"/>
        </w:rPr>
        <w:t xml:space="preserve"> The focus groups wil</w:t>
      </w:r>
      <w:r w:rsidRPr="00942D11" w:rsidR="286721D0">
        <w:rPr>
          <w:rFonts w:ascii="Times New Roman" w:eastAsia="Times New Roman" w:hAnsi="Times New Roman" w:cs="Times New Roman"/>
          <w:sz w:val="24"/>
          <w:szCs w:val="24"/>
        </w:rPr>
        <w:t>l be recorded</w:t>
      </w:r>
      <w:r w:rsidRPr="00942D11" w:rsidR="6EFFA43C">
        <w:rPr>
          <w:rFonts w:ascii="Times New Roman" w:eastAsia="Times New Roman" w:hAnsi="Times New Roman" w:cs="Times New Roman"/>
          <w:sz w:val="24"/>
          <w:szCs w:val="24"/>
        </w:rPr>
        <w:t>,</w:t>
      </w:r>
      <w:r w:rsidRPr="00942D11" w:rsidR="286721D0">
        <w:rPr>
          <w:rFonts w:ascii="Times New Roman" w:eastAsia="Times New Roman" w:hAnsi="Times New Roman" w:cs="Times New Roman"/>
          <w:sz w:val="24"/>
          <w:szCs w:val="24"/>
        </w:rPr>
        <w:t xml:space="preserve"> and OCS staff will then code the discussions to identify how </w:t>
      </w:r>
      <w:r w:rsidRPr="00942D11" w:rsidR="449A92D7">
        <w:rPr>
          <w:rFonts w:ascii="Times New Roman" w:eastAsia="Times New Roman" w:hAnsi="Times New Roman" w:cs="Times New Roman"/>
          <w:sz w:val="24"/>
          <w:szCs w:val="24"/>
        </w:rPr>
        <w:t>residents experienced the program.</w:t>
      </w:r>
    </w:p>
    <w:p w:rsidR="61F282F9" w:rsidRPr="00942D11" w:rsidP="61F282F9" w14:paraId="30A65808" w14:textId="303D74DD">
      <w:pPr>
        <w:widowControl w:val="0"/>
        <w:spacing w:after="0"/>
        <w:ind w:left="360"/>
        <w:rPr>
          <w:rFonts w:ascii="Times New Roman" w:eastAsia="Times New Roman" w:hAnsi="Times New Roman" w:cs="Times New Roman"/>
          <w:sz w:val="24"/>
          <w:szCs w:val="24"/>
        </w:rPr>
      </w:pPr>
    </w:p>
    <w:p w:rsidR="449A92D7" w:rsidRPr="00942D11" w:rsidP="61F282F9" w14:paraId="7D0003DB" w14:textId="2ACEEFF4">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OCS plans to conduct the interviews with program directors and caseworkers virtually. OCS will record</w:t>
      </w:r>
      <w:r w:rsidRPr="00942D11" w:rsidR="02125B02">
        <w:rPr>
          <w:rFonts w:ascii="Times New Roman" w:eastAsia="Times New Roman" w:hAnsi="Times New Roman" w:cs="Times New Roman"/>
          <w:sz w:val="24"/>
          <w:szCs w:val="24"/>
        </w:rPr>
        <w:t xml:space="preserve"> the virtual meetings and then qualitatively</w:t>
      </w:r>
      <w:r w:rsidRPr="00942D11" w:rsidR="4FB9571F">
        <w:rPr>
          <w:rFonts w:ascii="Times New Roman" w:eastAsia="Times New Roman" w:hAnsi="Times New Roman" w:cs="Times New Roman"/>
          <w:sz w:val="24"/>
          <w:szCs w:val="24"/>
        </w:rPr>
        <w:t xml:space="preserve"> code the interviews</w:t>
      </w:r>
      <w:r w:rsidRPr="00942D11" w:rsidR="08FAC8F9">
        <w:rPr>
          <w:rFonts w:ascii="Times New Roman" w:eastAsia="Times New Roman" w:hAnsi="Times New Roman" w:cs="Times New Roman"/>
          <w:sz w:val="24"/>
          <w:szCs w:val="24"/>
        </w:rPr>
        <w:t xml:space="preserve"> to assess implementation and perceived best practices.</w:t>
      </w:r>
    </w:p>
    <w:p w:rsidR="61F282F9" w:rsidRPr="00942D11" w:rsidP="61F282F9" w14:paraId="600D728D" w14:textId="2F83B373">
      <w:pPr>
        <w:widowControl w:val="0"/>
        <w:spacing w:after="0"/>
        <w:ind w:left="360"/>
        <w:rPr>
          <w:rFonts w:ascii="Times New Roman" w:eastAsia="Times New Roman" w:hAnsi="Times New Roman" w:cs="Times New Roman"/>
          <w:sz w:val="24"/>
          <w:szCs w:val="24"/>
        </w:rPr>
      </w:pPr>
    </w:p>
    <w:p w:rsidR="08FAC8F9" w:rsidRPr="00942D11" w:rsidP="61F282F9" w14:paraId="2D498EA6" w14:textId="37611427">
      <w:pPr>
        <w:widowControl w:val="0"/>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w:t>
      </w:r>
      <w:r w:rsidRPr="00942D11" w:rsidR="5EA533C3">
        <w:rPr>
          <w:rFonts w:ascii="Times New Roman" w:eastAsia="Times New Roman" w:hAnsi="Times New Roman" w:cs="Times New Roman"/>
          <w:sz w:val="24"/>
          <w:szCs w:val="24"/>
        </w:rPr>
        <w:t xml:space="preserve"> </w:t>
      </w:r>
      <w:r w:rsidRPr="00942D11" w:rsidR="3DF7A65C">
        <w:rPr>
          <w:rFonts w:ascii="Times New Roman" w:eastAsia="Times New Roman" w:hAnsi="Times New Roman" w:cs="Times New Roman"/>
          <w:sz w:val="24"/>
          <w:szCs w:val="24"/>
        </w:rPr>
        <w:t xml:space="preserve">Mandatory </w:t>
      </w:r>
      <w:r w:rsidRPr="00942D11">
        <w:rPr>
          <w:rFonts w:ascii="Times New Roman" w:eastAsia="Times New Roman" w:hAnsi="Times New Roman" w:cs="Times New Roman"/>
          <w:sz w:val="24"/>
          <w:szCs w:val="24"/>
        </w:rPr>
        <w:t>Semi Annual Reports, the grant recipients will use their existing databases to track service delivery, ref</w:t>
      </w:r>
      <w:r w:rsidRPr="00942D11" w:rsidR="64879805">
        <w:rPr>
          <w:rFonts w:ascii="Times New Roman" w:eastAsia="Times New Roman" w:hAnsi="Times New Roman" w:cs="Times New Roman"/>
          <w:sz w:val="24"/>
          <w:szCs w:val="24"/>
        </w:rPr>
        <w:t>errals, and</w:t>
      </w:r>
      <w:r w:rsidRPr="00942D11">
        <w:rPr>
          <w:rFonts w:ascii="Times New Roman" w:eastAsia="Times New Roman" w:hAnsi="Times New Roman" w:cs="Times New Roman"/>
          <w:sz w:val="24"/>
          <w:szCs w:val="24"/>
        </w:rPr>
        <w:t xml:space="preserve"> demographics of residents</w:t>
      </w:r>
      <w:r w:rsidRPr="00942D11" w:rsidR="499AFDE8">
        <w:rPr>
          <w:rFonts w:ascii="Times New Roman" w:eastAsia="Times New Roman" w:hAnsi="Times New Roman" w:cs="Times New Roman"/>
          <w:sz w:val="24"/>
          <w:szCs w:val="24"/>
        </w:rPr>
        <w:t>. The recipients</w:t>
      </w:r>
      <w:r w:rsidRPr="00942D11" w:rsidR="2E01B439">
        <w:rPr>
          <w:rFonts w:ascii="Times New Roman" w:eastAsia="Times New Roman" w:hAnsi="Times New Roman" w:cs="Times New Roman"/>
          <w:sz w:val="24"/>
          <w:szCs w:val="24"/>
        </w:rPr>
        <w:t xml:space="preserve"> will then provide total</w:t>
      </w:r>
      <w:r w:rsidRPr="00942D11" w:rsidR="6184241F">
        <w:rPr>
          <w:rFonts w:ascii="Times New Roman" w:eastAsia="Times New Roman" w:hAnsi="Times New Roman" w:cs="Times New Roman"/>
          <w:sz w:val="24"/>
          <w:szCs w:val="24"/>
        </w:rPr>
        <w:t xml:space="preserve"> counts of these indicators </w:t>
      </w:r>
      <w:r w:rsidRPr="00942D11" w:rsidR="2E01B439">
        <w:rPr>
          <w:rFonts w:ascii="Times New Roman" w:eastAsia="Times New Roman" w:hAnsi="Times New Roman" w:cs="Times New Roman"/>
          <w:sz w:val="24"/>
          <w:szCs w:val="24"/>
        </w:rPr>
        <w:t xml:space="preserve">in the </w:t>
      </w:r>
      <w:r w:rsidRPr="00942D11" w:rsidR="09CFAE53">
        <w:rPr>
          <w:rFonts w:ascii="Times New Roman" w:eastAsia="Times New Roman" w:hAnsi="Times New Roman" w:cs="Times New Roman"/>
          <w:sz w:val="24"/>
          <w:szCs w:val="24"/>
        </w:rPr>
        <w:t xml:space="preserve">Mandatory </w:t>
      </w:r>
      <w:r w:rsidRPr="00942D11" w:rsidR="2E01B439">
        <w:rPr>
          <w:rFonts w:ascii="Times New Roman" w:eastAsia="Times New Roman" w:hAnsi="Times New Roman" w:cs="Times New Roman"/>
          <w:sz w:val="24"/>
          <w:szCs w:val="24"/>
        </w:rPr>
        <w:t>Report and will also list</w:t>
      </w:r>
      <w:r w:rsidRPr="00942D11" w:rsidR="6AA3FD5D">
        <w:rPr>
          <w:rFonts w:ascii="Times New Roman" w:eastAsia="Times New Roman" w:hAnsi="Times New Roman" w:cs="Times New Roman"/>
          <w:sz w:val="24"/>
          <w:szCs w:val="24"/>
        </w:rPr>
        <w:t xml:space="preserve"> organizational</w:t>
      </w:r>
      <w:r w:rsidRPr="00942D11" w:rsidR="2E01B439">
        <w:rPr>
          <w:rFonts w:ascii="Times New Roman" w:eastAsia="Times New Roman" w:hAnsi="Times New Roman" w:cs="Times New Roman"/>
          <w:sz w:val="24"/>
          <w:szCs w:val="24"/>
        </w:rPr>
        <w:t xml:space="preserve"> partners</w:t>
      </w:r>
      <w:r w:rsidRPr="00942D11" w:rsidR="484987EF">
        <w:rPr>
          <w:rFonts w:ascii="Times New Roman" w:eastAsia="Times New Roman" w:hAnsi="Times New Roman" w:cs="Times New Roman"/>
          <w:sz w:val="24"/>
          <w:szCs w:val="24"/>
        </w:rPr>
        <w:t xml:space="preserve"> and attributes of the housing community. The </w:t>
      </w:r>
      <w:r w:rsidRPr="00942D11" w:rsidR="443A3A68">
        <w:rPr>
          <w:rFonts w:ascii="Times New Roman" w:eastAsia="Times New Roman" w:hAnsi="Times New Roman" w:cs="Times New Roman"/>
          <w:sz w:val="24"/>
          <w:szCs w:val="24"/>
        </w:rPr>
        <w:t>Option</w:t>
      </w:r>
      <w:r w:rsidRPr="00942D11" w:rsidR="54BF96F4">
        <w:rPr>
          <w:rFonts w:ascii="Times New Roman" w:eastAsia="Times New Roman" w:hAnsi="Times New Roman" w:cs="Times New Roman"/>
          <w:sz w:val="24"/>
          <w:szCs w:val="24"/>
        </w:rPr>
        <w:t>al</w:t>
      </w:r>
      <w:r w:rsidRPr="00942D11" w:rsidR="443A3A68">
        <w:rPr>
          <w:rFonts w:ascii="Times New Roman" w:eastAsia="Times New Roman" w:hAnsi="Times New Roman" w:cs="Times New Roman"/>
          <w:sz w:val="24"/>
          <w:szCs w:val="24"/>
        </w:rPr>
        <w:t xml:space="preserve"> Report is a place for grant recipients to detail other activities or metrics that they may be tracking on </w:t>
      </w:r>
      <w:r w:rsidRPr="00942D11" w:rsidR="443A3A68">
        <w:rPr>
          <w:rFonts w:ascii="Times New Roman" w:eastAsia="Times New Roman" w:hAnsi="Times New Roman" w:cs="Times New Roman"/>
          <w:sz w:val="24"/>
          <w:szCs w:val="24"/>
        </w:rPr>
        <w:t>resident outcomes. The grant recipients will supplement these Reports with the narrative PPRs, which will include information about the progr</w:t>
      </w:r>
      <w:r w:rsidRPr="00942D11" w:rsidR="558867C2">
        <w:rPr>
          <w:rFonts w:ascii="Times New Roman" w:eastAsia="Times New Roman" w:hAnsi="Times New Roman" w:cs="Times New Roman"/>
          <w:sz w:val="24"/>
          <w:szCs w:val="24"/>
        </w:rPr>
        <w:t>ess of implementing the program.</w:t>
      </w:r>
    </w:p>
    <w:p w:rsidR="00CE7D4D" w:rsidRPr="00942D11" w:rsidP="00942D11" w14:paraId="71FD6180" w14:textId="4494E060">
      <w:pPr>
        <w:widowControl w:val="0"/>
        <w:spacing w:after="0"/>
        <w:rPr>
          <w:rFonts w:ascii="Times New Roman" w:eastAsia="Times New Roman" w:hAnsi="Times New Roman" w:cs="Times New Roman"/>
          <w:sz w:val="24"/>
          <w:szCs w:val="24"/>
        </w:rPr>
      </w:pPr>
    </w:p>
    <w:p w:rsidR="00CE7D4D" w:rsidRPr="00942D11" w:rsidP="2896E249" w14:paraId="144EA42B" w14:textId="7C83AF49">
      <w:pPr>
        <w:pStyle w:val="ListParagraph"/>
        <w:widowControl w:val="0"/>
        <w:numPr>
          <w:ilvl w:val="0"/>
          <w:numId w:val="5"/>
        </w:numPr>
        <w:tabs>
          <w:tab w:val="num" w:pos="360"/>
        </w:tabs>
        <w:spacing w:after="120"/>
        <w:ind w:left="360"/>
        <w:rPr>
          <w:rFonts w:ascii="Times New Roman" w:eastAsia="Times New Roman" w:hAnsi="Times New Roman" w:cs="Times New Roman"/>
          <w:sz w:val="24"/>
          <w:szCs w:val="24"/>
        </w:rPr>
      </w:pPr>
      <w:r w:rsidRPr="00942D11">
        <w:rPr>
          <w:rFonts w:ascii="Times New Roman" w:eastAsia="Times New Roman" w:hAnsi="Times New Roman" w:cs="Times New Roman"/>
          <w:b/>
          <w:bCs/>
          <w:sz w:val="24"/>
          <w:szCs w:val="24"/>
        </w:rPr>
        <w:t>Methods to Maximize Response Rates and Deal with Nonresponse</w:t>
      </w:r>
      <w:r w:rsidRPr="000E470D">
        <w:tab/>
      </w:r>
    </w:p>
    <w:p w:rsidR="3917F83A" w:rsidRPr="00942D11" w:rsidP="3B951E89" w14:paraId="0E68FA48" w14:textId="7DF709D8">
      <w:pPr>
        <w:widowControl w:val="0"/>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The primary procedures to deal with non-response on the Arizona Self-Sufficiency Matrix and Service Receipt Questionnaire are to limit the respondent universe to intensively case-managed residents and to offer a</w:t>
      </w:r>
      <w:r w:rsidRPr="00942D11" w:rsidR="254FA6F7">
        <w:rPr>
          <w:rFonts w:ascii="Times New Roman" w:eastAsia="Times New Roman" w:hAnsi="Times New Roman" w:cs="Times New Roman"/>
          <w:sz w:val="24"/>
          <w:szCs w:val="24"/>
        </w:rPr>
        <w:t xml:space="preserve"> token of appreciation </w:t>
      </w:r>
      <w:r w:rsidRPr="00942D11">
        <w:rPr>
          <w:rFonts w:ascii="Times New Roman" w:eastAsia="Times New Roman" w:hAnsi="Times New Roman" w:cs="Times New Roman"/>
          <w:sz w:val="24"/>
          <w:szCs w:val="24"/>
        </w:rPr>
        <w:t>for each completion of the Matrix. By offering a gift card at e</w:t>
      </w:r>
      <w:r w:rsidRPr="00942D11" w:rsidR="22F892BC">
        <w:rPr>
          <w:rFonts w:ascii="Times New Roman" w:eastAsia="Times New Roman" w:hAnsi="Times New Roman" w:cs="Times New Roman"/>
          <w:sz w:val="24"/>
          <w:szCs w:val="24"/>
        </w:rPr>
        <w:t>ach</w:t>
      </w:r>
      <w:r w:rsidRPr="00942D11">
        <w:rPr>
          <w:rFonts w:ascii="Times New Roman" w:eastAsia="Times New Roman" w:hAnsi="Times New Roman" w:cs="Times New Roman"/>
          <w:sz w:val="24"/>
          <w:szCs w:val="24"/>
        </w:rPr>
        <w:t xml:space="preserve"> time point, OCS anticipates that the response rate will remain high for all collections</w:t>
      </w:r>
      <w:r w:rsidRPr="00942D11" w:rsidR="3A7847C6">
        <w:rPr>
          <w:rFonts w:ascii="Times New Roman" w:eastAsia="Times New Roman" w:hAnsi="Times New Roman" w:cs="Times New Roman"/>
          <w:sz w:val="24"/>
          <w:szCs w:val="24"/>
        </w:rPr>
        <w:t xml:space="preserve"> and that residents will answer all or most of the questions on the Matrix</w:t>
      </w:r>
      <w:r w:rsidRPr="00942D11">
        <w:rPr>
          <w:rFonts w:ascii="Times New Roman" w:eastAsia="Times New Roman" w:hAnsi="Times New Roman" w:cs="Times New Roman"/>
          <w:sz w:val="24"/>
          <w:szCs w:val="24"/>
        </w:rPr>
        <w:t>.</w:t>
      </w:r>
      <w:r w:rsidRPr="00942D11" w:rsidR="04DC2687">
        <w:rPr>
          <w:rFonts w:ascii="Times New Roman" w:eastAsia="Times New Roman" w:hAnsi="Times New Roman" w:cs="Times New Roman"/>
          <w:sz w:val="24"/>
          <w:szCs w:val="24"/>
        </w:rPr>
        <w:t xml:space="preserve"> OCS’ goal is </w:t>
      </w:r>
      <w:r w:rsidRPr="00942D11" w:rsidR="03287562">
        <w:rPr>
          <w:rFonts w:ascii="Times New Roman" w:eastAsia="Times New Roman" w:hAnsi="Times New Roman" w:cs="Times New Roman"/>
          <w:sz w:val="24"/>
          <w:szCs w:val="24"/>
        </w:rPr>
        <w:t xml:space="preserve">for </w:t>
      </w:r>
      <w:r w:rsidRPr="00942D11" w:rsidR="3B1DFE34">
        <w:rPr>
          <w:rFonts w:ascii="Times New Roman" w:eastAsia="Times New Roman" w:hAnsi="Times New Roman" w:cs="Times New Roman"/>
          <w:sz w:val="24"/>
          <w:szCs w:val="24"/>
        </w:rPr>
        <w:t>most</w:t>
      </w:r>
      <w:r w:rsidRPr="00942D11" w:rsidR="03287562">
        <w:rPr>
          <w:rFonts w:ascii="Times New Roman" w:eastAsia="Times New Roman" w:hAnsi="Times New Roman" w:cs="Times New Roman"/>
          <w:sz w:val="24"/>
          <w:szCs w:val="24"/>
        </w:rPr>
        <w:t xml:space="preserve"> of the</w:t>
      </w:r>
      <w:r w:rsidRPr="00942D11" w:rsidR="11FC1FCA">
        <w:rPr>
          <w:rFonts w:ascii="Times New Roman" w:eastAsia="Times New Roman" w:hAnsi="Times New Roman" w:cs="Times New Roman"/>
          <w:sz w:val="24"/>
          <w:szCs w:val="24"/>
        </w:rPr>
        <w:t xml:space="preserve"> submitted</w:t>
      </w:r>
      <w:r w:rsidRPr="00942D11" w:rsidR="03287562">
        <w:rPr>
          <w:rFonts w:ascii="Times New Roman" w:eastAsia="Times New Roman" w:hAnsi="Times New Roman" w:cs="Times New Roman"/>
          <w:sz w:val="24"/>
          <w:szCs w:val="24"/>
        </w:rPr>
        <w:t xml:space="preserve"> matrices to be fully complete (i.e., a numerical selection on the scale from 1 to 5 selected for </w:t>
      </w:r>
      <w:r w:rsidRPr="00942D11" w:rsidR="42E6A85E">
        <w:rPr>
          <w:rFonts w:ascii="Times New Roman" w:eastAsia="Times New Roman" w:hAnsi="Times New Roman" w:cs="Times New Roman"/>
          <w:sz w:val="24"/>
          <w:szCs w:val="24"/>
        </w:rPr>
        <w:t>all</w:t>
      </w:r>
      <w:r w:rsidRPr="00942D11" w:rsidR="03287562">
        <w:rPr>
          <w:rFonts w:ascii="Times New Roman" w:eastAsia="Times New Roman" w:hAnsi="Times New Roman" w:cs="Times New Roman"/>
          <w:sz w:val="24"/>
          <w:szCs w:val="24"/>
        </w:rPr>
        <w:t xml:space="preserve"> self-sufficiency domain</w:t>
      </w:r>
      <w:r w:rsidRPr="00942D11" w:rsidR="5CC07BAE">
        <w:rPr>
          <w:rFonts w:ascii="Times New Roman" w:eastAsia="Times New Roman" w:hAnsi="Times New Roman" w:cs="Times New Roman"/>
          <w:sz w:val="24"/>
          <w:szCs w:val="24"/>
        </w:rPr>
        <w:t>s</w:t>
      </w:r>
      <w:r w:rsidRPr="00942D11" w:rsidR="03287562">
        <w:rPr>
          <w:rFonts w:ascii="Times New Roman" w:eastAsia="Times New Roman" w:hAnsi="Times New Roman" w:cs="Times New Roman"/>
          <w:sz w:val="24"/>
          <w:szCs w:val="24"/>
        </w:rPr>
        <w:t>).</w:t>
      </w:r>
      <w:r w:rsidRPr="00942D11" w:rsidR="75E4A0A1">
        <w:rPr>
          <w:rFonts w:ascii="Times New Roman" w:eastAsia="Times New Roman" w:hAnsi="Times New Roman" w:cs="Times New Roman"/>
          <w:sz w:val="24"/>
          <w:szCs w:val="24"/>
        </w:rPr>
        <w:t xml:space="preserve"> </w:t>
      </w:r>
      <w:r w:rsidRPr="00942D11" w:rsidR="72CC8EE1">
        <w:rPr>
          <w:rFonts w:ascii="Times New Roman" w:eastAsia="Times New Roman" w:hAnsi="Times New Roman" w:cs="Times New Roman"/>
          <w:sz w:val="24"/>
          <w:szCs w:val="24"/>
        </w:rPr>
        <w:t>OCS is planning to primarily base an</w:t>
      </w:r>
      <w:r w:rsidRPr="00942D11" w:rsidR="3F7F6BC1">
        <w:rPr>
          <w:rFonts w:ascii="Times New Roman" w:eastAsia="Times New Roman" w:hAnsi="Times New Roman" w:cs="Times New Roman"/>
          <w:sz w:val="24"/>
          <w:szCs w:val="24"/>
        </w:rPr>
        <w:t>alysis of the Matrix on surveys that were completely filled out, in order to reduce</w:t>
      </w:r>
      <w:r w:rsidRPr="00942D11" w:rsidR="32CF2450">
        <w:rPr>
          <w:rFonts w:ascii="Times New Roman" w:eastAsia="Times New Roman" w:hAnsi="Times New Roman" w:cs="Times New Roman"/>
          <w:sz w:val="24"/>
          <w:szCs w:val="24"/>
        </w:rPr>
        <w:t xml:space="preserve"> non-response</w:t>
      </w:r>
      <w:r w:rsidRPr="00942D11" w:rsidR="3F7F6BC1">
        <w:rPr>
          <w:rFonts w:ascii="Times New Roman" w:eastAsia="Times New Roman" w:hAnsi="Times New Roman" w:cs="Times New Roman"/>
          <w:sz w:val="24"/>
          <w:szCs w:val="24"/>
        </w:rPr>
        <w:t xml:space="preserve"> bias</w:t>
      </w:r>
      <w:r w:rsidRPr="00942D11" w:rsidR="6FE5B926">
        <w:rPr>
          <w:rFonts w:ascii="Times New Roman" w:eastAsia="Times New Roman" w:hAnsi="Times New Roman" w:cs="Times New Roman"/>
          <w:sz w:val="24"/>
          <w:szCs w:val="24"/>
        </w:rPr>
        <w:t xml:space="preserve"> in results</w:t>
      </w:r>
      <w:r w:rsidRPr="00942D11" w:rsidR="3F7F6BC1">
        <w:rPr>
          <w:rFonts w:ascii="Times New Roman" w:eastAsia="Times New Roman" w:hAnsi="Times New Roman" w:cs="Times New Roman"/>
          <w:sz w:val="24"/>
          <w:szCs w:val="24"/>
        </w:rPr>
        <w:t xml:space="preserve">. </w:t>
      </w:r>
      <w:r w:rsidRPr="00942D11" w:rsidR="0FA7E645">
        <w:rPr>
          <w:rFonts w:ascii="Times New Roman" w:eastAsia="Times New Roman" w:hAnsi="Times New Roman" w:cs="Times New Roman"/>
          <w:sz w:val="24"/>
          <w:szCs w:val="24"/>
        </w:rPr>
        <w:t>In addition, full completion of the Matrix is necessary to c</w:t>
      </w:r>
      <w:r w:rsidRPr="00942D11" w:rsidR="532DF90C">
        <w:rPr>
          <w:rFonts w:ascii="Times New Roman" w:eastAsia="Times New Roman" w:hAnsi="Times New Roman" w:cs="Times New Roman"/>
          <w:sz w:val="24"/>
          <w:szCs w:val="24"/>
        </w:rPr>
        <w:t>alculate</w:t>
      </w:r>
      <w:r w:rsidRPr="00942D11" w:rsidR="0FA7E645">
        <w:rPr>
          <w:rFonts w:ascii="Times New Roman" w:eastAsia="Times New Roman" w:hAnsi="Times New Roman" w:cs="Times New Roman"/>
          <w:sz w:val="24"/>
          <w:szCs w:val="24"/>
        </w:rPr>
        <w:t xml:space="preserve"> the full self-sufficiency score</w:t>
      </w:r>
      <w:r w:rsidRPr="00942D11" w:rsidR="6910C43D">
        <w:rPr>
          <w:rFonts w:ascii="Times New Roman" w:eastAsia="Times New Roman" w:hAnsi="Times New Roman" w:cs="Times New Roman"/>
          <w:sz w:val="24"/>
          <w:szCs w:val="24"/>
        </w:rPr>
        <w:t xml:space="preserve"> for an individual</w:t>
      </w:r>
      <w:r w:rsidRPr="00942D11" w:rsidR="0FA7E645">
        <w:rPr>
          <w:rFonts w:ascii="Times New Roman" w:eastAsia="Times New Roman" w:hAnsi="Times New Roman" w:cs="Times New Roman"/>
          <w:sz w:val="24"/>
          <w:szCs w:val="24"/>
        </w:rPr>
        <w:t xml:space="preserve"> </w:t>
      </w:r>
      <w:r w:rsidRPr="00942D11" w:rsidR="70B76B97">
        <w:rPr>
          <w:rFonts w:ascii="Times New Roman" w:eastAsia="Times New Roman" w:hAnsi="Times New Roman" w:cs="Times New Roman"/>
          <w:sz w:val="24"/>
          <w:szCs w:val="24"/>
        </w:rPr>
        <w:t xml:space="preserve">(i.e., the sum </w:t>
      </w:r>
      <w:r w:rsidRPr="00942D11" w:rsidR="0FA7E645">
        <w:rPr>
          <w:rFonts w:ascii="Times New Roman" w:eastAsia="Times New Roman" w:hAnsi="Times New Roman" w:cs="Times New Roman"/>
          <w:sz w:val="24"/>
          <w:szCs w:val="24"/>
        </w:rPr>
        <w:t>across all domains</w:t>
      </w:r>
      <w:r w:rsidRPr="00942D11" w:rsidR="15D28FF8">
        <w:rPr>
          <w:rFonts w:ascii="Times New Roman" w:eastAsia="Times New Roman" w:hAnsi="Times New Roman" w:cs="Times New Roman"/>
          <w:sz w:val="24"/>
          <w:szCs w:val="24"/>
        </w:rPr>
        <w:t>)</w:t>
      </w:r>
      <w:r w:rsidRPr="00942D11" w:rsidR="0FA7E645">
        <w:rPr>
          <w:rFonts w:ascii="Times New Roman" w:eastAsia="Times New Roman" w:hAnsi="Times New Roman" w:cs="Times New Roman"/>
          <w:sz w:val="24"/>
          <w:szCs w:val="24"/>
        </w:rPr>
        <w:t>. OCS also</w:t>
      </w:r>
      <w:r w:rsidRPr="00942D11" w:rsidR="7C26C4BE">
        <w:rPr>
          <w:rFonts w:ascii="Times New Roman" w:eastAsia="Times New Roman" w:hAnsi="Times New Roman" w:cs="Times New Roman"/>
          <w:sz w:val="24"/>
          <w:szCs w:val="24"/>
        </w:rPr>
        <w:t xml:space="preserve"> needs a high item response rate in order to have sufficient power to detect change over time </w:t>
      </w:r>
      <w:r w:rsidRPr="00942D11" w:rsidR="6668C7BA">
        <w:rPr>
          <w:rFonts w:ascii="Times New Roman" w:eastAsia="Times New Roman" w:hAnsi="Times New Roman" w:cs="Times New Roman"/>
          <w:sz w:val="24"/>
          <w:szCs w:val="24"/>
        </w:rPr>
        <w:t xml:space="preserve">from </w:t>
      </w:r>
      <w:r w:rsidRPr="00942D11" w:rsidR="7C26C4BE">
        <w:rPr>
          <w:rFonts w:ascii="Times New Roman" w:eastAsia="Times New Roman" w:hAnsi="Times New Roman" w:cs="Times New Roman"/>
          <w:sz w:val="24"/>
          <w:szCs w:val="24"/>
        </w:rPr>
        <w:t>administration</w:t>
      </w:r>
      <w:r w:rsidRPr="00942D11" w:rsidR="3C744F41">
        <w:rPr>
          <w:rFonts w:ascii="Times New Roman" w:eastAsia="Times New Roman" w:hAnsi="Times New Roman" w:cs="Times New Roman"/>
          <w:sz w:val="24"/>
          <w:szCs w:val="24"/>
        </w:rPr>
        <w:t xml:space="preserve"> to administration</w:t>
      </w:r>
      <w:r w:rsidRPr="00942D11" w:rsidR="7C26C4BE">
        <w:rPr>
          <w:rFonts w:ascii="Times New Roman" w:eastAsia="Times New Roman" w:hAnsi="Times New Roman" w:cs="Times New Roman"/>
          <w:sz w:val="24"/>
          <w:szCs w:val="24"/>
        </w:rPr>
        <w:t xml:space="preserve">. </w:t>
      </w:r>
      <w:r w:rsidRPr="00942D11" w:rsidR="75E4A0A1">
        <w:rPr>
          <w:rFonts w:ascii="Times New Roman" w:eastAsia="Times New Roman" w:hAnsi="Times New Roman" w:cs="Times New Roman"/>
          <w:sz w:val="24"/>
          <w:szCs w:val="24"/>
        </w:rPr>
        <w:t>The</w:t>
      </w:r>
      <w:r w:rsidRPr="00942D11" w:rsidR="7C0379C5">
        <w:rPr>
          <w:rFonts w:ascii="Times New Roman" w:eastAsia="Times New Roman" w:hAnsi="Times New Roman" w:cs="Times New Roman"/>
          <w:sz w:val="24"/>
          <w:szCs w:val="24"/>
        </w:rPr>
        <w:t xml:space="preserve"> Arizona</w:t>
      </w:r>
      <w:r w:rsidRPr="00942D11" w:rsidR="75E4A0A1">
        <w:rPr>
          <w:rFonts w:ascii="Times New Roman" w:eastAsia="Times New Roman" w:hAnsi="Times New Roman" w:cs="Times New Roman"/>
          <w:sz w:val="24"/>
          <w:szCs w:val="24"/>
        </w:rPr>
        <w:t xml:space="preserve"> Matrix was chosen</w:t>
      </w:r>
      <w:r w:rsidRPr="00942D11" w:rsidR="5CBB121F">
        <w:rPr>
          <w:rFonts w:ascii="Times New Roman" w:eastAsia="Times New Roman" w:hAnsi="Times New Roman" w:cs="Times New Roman"/>
          <w:sz w:val="24"/>
          <w:szCs w:val="24"/>
        </w:rPr>
        <w:t xml:space="preserve"> in part</w:t>
      </w:r>
      <w:r w:rsidRPr="00942D11" w:rsidR="75E4A0A1">
        <w:rPr>
          <w:rFonts w:ascii="Times New Roman" w:eastAsia="Times New Roman" w:hAnsi="Times New Roman" w:cs="Times New Roman"/>
          <w:sz w:val="24"/>
          <w:szCs w:val="24"/>
        </w:rPr>
        <w:t xml:space="preserve"> because most of the grant recipients are already familiar with this instrument, and many of the residents may have encountered it previously</w:t>
      </w:r>
      <w:r w:rsidRPr="00942D11" w:rsidR="39253D77">
        <w:rPr>
          <w:rFonts w:ascii="Times New Roman" w:eastAsia="Times New Roman" w:hAnsi="Times New Roman" w:cs="Times New Roman"/>
          <w:sz w:val="24"/>
          <w:szCs w:val="24"/>
        </w:rPr>
        <w:t>, which should thus improve both response rates and data quality</w:t>
      </w:r>
      <w:r w:rsidRPr="00942D11" w:rsidR="75E4A0A1">
        <w:rPr>
          <w:rFonts w:ascii="Times New Roman" w:eastAsia="Times New Roman" w:hAnsi="Times New Roman" w:cs="Times New Roman"/>
          <w:sz w:val="24"/>
          <w:szCs w:val="24"/>
        </w:rPr>
        <w:t>.</w:t>
      </w:r>
    </w:p>
    <w:p w:rsidR="00CE7D4D" w:rsidRPr="00942D11" w:rsidP="5787DDBA" w14:paraId="504F03C3" w14:textId="43C90FFF">
      <w:pPr>
        <w:widowControl w:val="0"/>
        <w:tabs>
          <w:tab w:val="left" w:pos="360"/>
        </w:tabs>
        <w:spacing w:after="0"/>
        <w:ind w:left="360"/>
        <w:rPr>
          <w:rFonts w:ascii="Times New Roman" w:eastAsia="Times New Roman" w:hAnsi="Times New Roman" w:cs="Times New Roman"/>
          <w:sz w:val="24"/>
          <w:szCs w:val="24"/>
        </w:rPr>
      </w:pPr>
    </w:p>
    <w:p w:rsidR="00CE7D4D" w:rsidP="00ED0126" w14:paraId="29C61B3D" w14:textId="63EDB774">
      <w:pPr>
        <w:widowControl w:val="0"/>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For the Resident Focus Groups, OCS plans to offer gift cards to ensure that both a diversity of people </w:t>
      </w:r>
      <w:r w:rsidRPr="00942D11" w:rsidR="0312DD46">
        <w:rPr>
          <w:rFonts w:ascii="Times New Roman" w:eastAsia="Times New Roman" w:hAnsi="Times New Roman" w:cs="Times New Roman"/>
          <w:sz w:val="24"/>
          <w:szCs w:val="24"/>
        </w:rPr>
        <w:t>is</w:t>
      </w:r>
      <w:r w:rsidRPr="00942D11">
        <w:rPr>
          <w:rFonts w:ascii="Times New Roman" w:eastAsia="Times New Roman" w:hAnsi="Times New Roman" w:cs="Times New Roman"/>
          <w:sz w:val="24"/>
          <w:szCs w:val="24"/>
        </w:rPr>
        <w:t xml:space="preserve"> included and that participants give rich, clear answers. By offering a gift card, respondent</w:t>
      </w:r>
      <w:r w:rsidRPr="00942D11" w:rsidR="4887F3B6">
        <w:rPr>
          <w:rFonts w:ascii="Times New Roman" w:eastAsia="Times New Roman" w:hAnsi="Times New Roman" w:cs="Times New Roman"/>
          <w:sz w:val="24"/>
          <w:szCs w:val="24"/>
        </w:rPr>
        <w:t>s who</w:t>
      </w:r>
      <w:r w:rsidRPr="00942D11" w:rsidR="47B5CC70">
        <w:rPr>
          <w:rFonts w:ascii="Times New Roman" w:eastAsia="Times New Roman" w:hAnsi="Times New Roman" w:cs="Times New Roman"/>
          <w:sz w:val="24"/>
          <w:szCs w:val="24"/>
        </w:rPr>
        <w:t xml:space="preserve"> might ordinarily refrain from participating (i.e., busy parents)</w:t>
      </w:r>
      <w:r w:rsidRPr="00942D11" w:rsidR="4887F3B6">
        <w:rPr>
          <w:rFonts w:ascii="Times New Roman" w:eastAsia="Times New Roman" w:hAnsi="Times New Roman" w:cs="Times New Roman"/>
          <w:sz w:val="24"/>
          <w:szCs w:val="24"/>
        </w:rPr>
        <w:t xml:space="preserve"> </w:t>
      </w:r>
      <w:r w:rsidRPr="00942D11" w:rsidR="66B41BC8">
        <w:rPr>
          <w:rFonts w:ascii="Times New Roman" w:eastAsia="Times New Roman" w:hAnsi="Times New Roman" w:cs="Times New Roman"/>
          <w:sz w:val="24"/>
          <w:szCs w:val="24"/>
        </w:rPr>
        <w:t xml:space="preserve">are more likely to take part in the focus group. This will give OCS a more complete understanding of the experiences of residents. Furthermore, </w:t>
      </w:r>
      <w:r w:rsidRPr="00942D11" w:rsidR="1E4DF88B">
        <w:rPr>
          <w:rFonts w:ascii="Times New Roman" w:eastAsia="Times New Roman" w:hAnsi="Times New Roman" w:cs="Times New Roman"/>
          <w:sz w:val="24"/>
          <w:szCs w:val="24"/>
        </w:rPr>
        <w:t>if respondents feel that their input is valuable</w:t>
      </w:r>
      <w:r w:rsidRPr="00942D11" w:rsidR="7E6244FE">
        <w:rPr>
          <w:rFonts w:ascii="Times New Roman" w:eastAsia="Times New Roman" w:hAnsi="Times New Roman" w:cs="Times New Roman"/>
          <w:sz w:val="24"/>
          <w:szCs w:val="24"/>
        </w:rPr>
        <w:t>, they will be more likely</w:t>
      </w:r>
      <w:r w:rsidRPr="00942D11" w:rsidR="4820C3E3">
        <w:rPr>
          <w:rFonts w:ascii="Times New Roman" w:eastAsia="Times New Roman" w:hAnsi="Times New Roman" w:cs="Times New Roman"/>
          <w:sz w:val="24"/>
          <w:szCs w:val="24"/>
        </w:rPr>
        <w:t xml:space="preserve"> to offer full answers to each focus group question.</w:t>
      </w:r>
    </w:p>
    <w:p w:rsidR="00ED0126" w:rsidRPr="00942D11" w:rsidP="00942D11" w14:paraId="31A3C85D" w14:textId="77777777">
      <w:pPr>
        <w:widowControl w:val="0"/>
        <w:tabs>
          <w:tab w:val="left" w:pos="360"/>
        </w:tabs>
        <w:spacing w:after="0"/>
        <w:ind w:left="360"/>
        <w:rPr>
          <w:rFonts w:ascii="Times New Roman" w:eastAsia="Times New Roman" w:hAnsi="Times New Roman" w:cs="Times New Roman"/>
          <w:sz w:val="24"/>
          <w:szCs w:val="24"/>
        </w:rPr>
      </w:pPr>
    </w:p>
    <w:p w:rsidR="72A9F135" w:rsidRPr="00942D11" w:rsidP="204E1DEA" w14:paraId="4E342F73" w14:textId="44C43152">
      <w:pPr>
        <w:widowControl w:val="0"/>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OCS’ main method to maximize response rates for the Program Director and Caseworker Intervi</w:t>
      </w:r>
      <w:r w:rsidRPr="00942D11" w:rsidR="33FCB6FC">
        <w:rPr>
          <w:rFonts w:ascii="Times New Roman" w:eastAsia="Times New Roman" w:hAnsi="Times New Roman" w:cs="Times New Roman"/>
          <w:sz w:val="24"/>
          <w:szCs w:val="24"/>
        </w:rPr>
        <w:t xml:space="preserve">ews are to conduct them virtually, so that the respondents can choose any date or time that is convenient to them. </w:t>
      </w:r>
      <w:r w:rsidRPr="00942D11" w:rsidR="4D4B6B77">
        <w:rPr>
          <w:rFonts w:ascii="Times New Roman" w:eastAsia="Times New Roman" w:hAnsi="Times New Roman" w:cs="Times New Roman"/>
          <w:sz w:val="24"/>
          <w:szCs w:val="24"/>
        </w:rPr>
        <w:t xml:space="preserve">By also interviewing two of each staff member (i.e., two caseworkers from each site), OCS will improve the </w:t>
      </w:r>
      <w:r w:rsidRPr="00942D11" w:rsidR="60A0B25C">
        <w:rPr>
          <w:rFonts w:ascii="Times New Roman" w:eastAsia="Times New Roman" w:hAnsi="Times New Roman" w:cs="Times New Roman"/>
          <w:sz w:val="24"/>
          <w:szCs w:val="24"/>
        </w:rPr>
        <w:t>information gained about each grant recipient.</w:t>
      </w:r>
    </w:p>
    <w:p w:rsidR="489AAE41" w:rsidRPr="00942D11" w:rsidP="204E1DEA" w14:paraId="7741F92D" w14:textId="59F2A97E">
      <w:pPr>
        <w:widowControl w:val="0"/>
        <w:tabs>
          <w:tab w:val="left" w:pos="360"/>
        </w:tabs>
        <w:spacing w:after="0"/>
        <w:ind w:left="360"/>
        <w:rPr>
          <w:rFonts w:ascii="Times New Roman" w:eastAsia="Times New Roman" w:hAnsi="Times New Roman" w:cs="Times New Roman"/>
          <w:sz w:val="24"/>
          <w:szCs w:val="24"/>
        </w:rPr>
      </w:pPr>
    </w:p>
    <w:p w:rsidR="1D74CDE9" w:rsidRPr="00942D11" w:rsidP="00942D11" w14:paraId="7D6D5895" w14:textId="3F522384">
      <w:pPr>
        <w:widowControl w:val="0"/>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For the Repo</w:t>
      </w:r>
      <w:r w:rsidRPr="00942D11" w:rsidR="5B9AAA6F">
        <w:rPr>
          <w:rFonts w:ascii="Times New Roman" w:eastAsia="Times New Roman" w:hAnsi="Times New Roman" w:cs="Times New Roman"/>
          <w:sz w:val="24"/>
          <w:szCs w:val="24"/>
        </w:rPr>
        <w:t>rts</w:t>
      </w:r>
      <w:r w:rsidRPr="00942D11" w:rsidR="3AD8DBAA">
        <w:rPr>
          <w:rFonts w:ascii="Times New Roman" w:eastAsia="Times New Roman" w:hAnsi="Times New Roman" w:cs="Times New Roman"/>
          <w:sz w:val="24"/>
          <w:szCs w:val="24"/>
        </w:rPr>
        <w:t xml:space="preserve">, OCS is requesting metrics that almost all of the grant recipients already collect or have </w:t>
      </w:r>
      <w:r w:rsidRPr="00942D11" w:rsidR="2F361C08">
        <w:rPr>
          <w:rFonts w:ascii="Times New Roman" w:eastAsia="Times New Roman" w:hAnsi="Times New Roman" w:cs="Times New Roman"/>
          <w:sz w:val="24"/>
          <w:szCs w:val="24"/>
        </w:rPr>
        <w:t xml:space="preserve">previously indicated that they would like to collect, which OCS believes will lead to a high response rate. </w:t>
      </w:r>
    </w:p>
    <w:p w:rsidR="00CE7D4D" w:rsidRPr="00942D11" w:rsidP="204E1DEA" w14:paraId="66F7FDBA" w14:textId="474DD8D3">
      <w:pPr>
        <w:widowControl w:val="0"/>
        <w:tabs>
          <w:tab w:val="left" w:pos="360"/>
        </w:tabs>
        <w:spacing w:after="0"/>
        <w:ind w:left="360"/>
        <w:rPr>
          <w:rFonts w:ascii="Times New Roman" w:eastAsia="Times New Roman" w:hAnsi="Times New Roman" w:cs="Times New Roman"/>
          <w:sz w:val="24"/>
          <w:szCs w:val="24"/>
        </w:rPr>
      </w:pPr>
    </w:p>
    <w:p w:rsidR="00CE7D4D" w:rsidRPr="00942D11" w:rsidP="2896E249" w14:paraId="39F32CEA" w14:textId="3789AFAB">
      <w:pPr>
        <w:pStyle w:val="ListParagraph"/>
        <w:numPr>
          <w:ilvl w:val="0"/>
          <w:numId w:val="5"/>
        </w:numPr>
        <w:tabs>
          <w:tab w:val="num" w:pos="360"/>
        </w:tabs>
        <w:spacing w:after="120"/>
        <w:ind w:left="360"/>
        <w:rPr>
          <w:rFonts w:ascii="Times New Roman" w:eastAsia="Times New Roman" w:hAnsi="Times New Roman" w:cs="Times New Roman"/>
          <w:sz w:val="24"/>
          <w:szCs w:val="24"/>
        </w:rPr>
      </w:pPr>
      <w:r w:rsidRPr="00942D11">
        <w:rPr>
          <w:rFonts w:ascii="Times New Roman" w:eastAsia="Times New Roman" w:hAnsi="Times New Roman" w:cs="Times New Roman"/>
          <w:b/>
          <w:bCs/>
          <w:sz w:val="24"/>
          <w:szCs w:val="24"/>
        </w:rPr>
        <w:t xml:space="preserve">Test of Procedures or Methods to be Undertaken </w:t>
      </w:r>
    </w:p>
    <w:p w:rsidR="47C60E10" w:rsidRPr="00942D11" w:rsidP="00942D11" w14:paraId="62C37B3A" w14:textId="7947269F">
      <w:pPr>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The Arizona Self-Sufficiency Matrix is a validated </w:t>
      </w:r>
      <w:r w:rsidRPr="00942D11" w:rsidR="3E7C6FD8">
        <w:rPr>
          <w:rFonts w:ascii="Times New Roman" w:eastAsia="Times New Roman" w:hAnsi="Times New Roman" w:cs="Times New Roman"/>
          <w:sz w:val="24"/>
          <w:szCs w:val="24"/>
        </w:rPr>
        <w:t xml:space="preserve">and reliable </w:t>
      </w:r>
      <w:r w:rsidRPr="00942D11">
        <w:rPr>
          <w:rFonts w:ascii="Times New Roman" w:eastAsia="Times New Roman" w:hAnsi="Times New Roman" w:cs="Times New Roman"/>
          <w:sz w:val="24"/>
          <w:szCs w:val="24"/>
        </w:rPr>
        <w:t>measure</w:t>
      </w:r>
      <w:r w:rsidRPr="00942D11" w:rsidR="587DE409">
        <w:rPr>
          <w:rFonts w:ascii="Times New Roman" w:eastAsia="Times New Roman" w:hAnsi="Times New Roman" w:cs="Times New Roman"/>
          <w:sz w:val="24"/>
          <w:szCs w:val="24"/>
        </w:rPr>
        <w:t>ment tool</w:t>
      </w:r>
      <w:r w:rsidRPr="00942D11" w:rsidR="0AC0CE9B">
        <w:rPr>
          <w:rFonts w:ascii="Times New Roman" w:eastAsia="Times New Roman" w:hAnsi="Times New Roman" w:cs="Times New Roman"/>
          <w:sz w:val="24"/>
          <w:szCs w:val="24"/>
        </w:rPr>
        <w:t xml:space="preserve">. </w:t>
      </w:r>
      <w:r w:rsidRPr="00942D11" w:rsidR="60CF275D">
        <w:rPr>
          <w:rFonts w:ascii="Times New Roman" w:eastAsia="Times New Roman" w:hAnsi="Times New Roman" w:cs="Times New Roman"/>
          <w:sz w:val="24"/>
          <w:szCs w:val="24"/>
        </w:rPr>
        <w:t xml:space="preserve">In a review of ten different instruments for assessing the self-sufficiency of homeless clients, </w:t>
      </w:r>
      <w:r w:rsidRPr="00942D11" w:rsidR="0493B58F">
        <w:rPr>
          <w:rFonts w:ascii="Times New Roman" w:eastAsia="Times New Roman" w:hAnsi="Times New Roman" w:cs="Times New Roman"/>
          <w:sz w:val="24"/>
          <w:szCs w:val="24"/>
        </w:rPr>
        <w:t xml:space="preserve">Culhane et al. (2007) </w:t>
      </w:r>
      <w:r w:rsidRPr="00942D11" w:rsidR="280CA66E">
        <w:rPr>
          <w:rFonts w:ascii="Times New Roman" w:eastAsia="Times New Roman" w:hAnsi="Times New Roman" w:cs="Times New Roman"/>
          <w:sz w:val="24"/>
          <w:szCs w:val="24"/>
        </w:rPr>
        <w:t xml:space="preserve">found that </w:t>
      </w:r>
      <w:r w:rsidRPr="00942D11" w:rsidR="5587609D">
        <w:rPr>
          <w:rFonts w:ascii="Times New Roman" w:eastAsia="Times New Roman" w:hAnsi="Times New Roman" w:cs="Times New Roman"/>
          <w:sz w:val="24"/>
          <w:szCs w:val="24"/>
        </w:rPr>
        <w:t xml:space="preserve">that the Arizona Matrix was the only </w:t>
      </w:r>
      <w:r w:rsidRPr="00942D11" w:rsidR="3DE8661D">
        <w:rPr>
          <w:rFonts w:ascii="Times New Roman" w:eastAsia="Times New Roman" w:hAnsi="Times New Roman" w:cs="Times New Roman"/>
          <w:sz w:val="24"/>
          <w:szCs w:val="24"/>
        </w:rPr>
        <w:t xml:space="preserve">tool that “met acceptable reliability and validity standards” (p. 12-21). </w:t>
      </w:r>
      <w:r w:rsidRPr="00942D11" w:rsidR="0AC0CE9B">
        <w:rPr>
          <w:rFonts w:ascii="Times New Roman" w:eastAsia="Times New Roman" w:hAnsi="Times New Roman" w:cs="Times New Roman"/>
          <w:sz w:val="24"/>
          <w:szCs w:val="24"/>
        </w:rPr>
        <w:t>The instrument has</w:t>
      </w:r>
      <w:r w:rsidRPr="00942D11" w:rsidR="10F1DE10">
        <w:rPr>
          <w:rFonts w:ascii="Times New Roman" w:eastAsia="Times New Roman" w:hAnsi="Times New Roman" w:cs="Times New Roman"/>
          <w:sz w:val="24"/>
          <w:szCs w:val="24"/>
        </w:rPr>
        <w:t xml:space="preserve"> subsequently</w:t>
      </w:r>
      <w:r w:rsidRPr="00942D11" w:rsidR="0AC0CE9B">
        <w:rPr>
          <w:rFonts w:ascii="Times New Roman" w:eastAsia="Times New Roman" w:hAnsi="Times New Roman" w:cs="Times New Roman"/>
          <w:sz w:val="24"/>
          <w:szCs w:val="24"/>
        </w:rPr>
        <w:t xml:space="preserve"> </w:t>
      </w:r>
      <w:r w:rsidRPr="00942D11" w:rsidR="0AC0CE9B">
        <w:rPr>
          <w:rFonts w:ascii="Times New Roman" w:eastAsia="Times New Roman" w:hAnsi="Times New Roman" w:cs="Times New Roman"/>
          <w:sz w:val="24"/>
          <w:szCs w:val="24"/>
        </w:rPr>
        <w:t xml:space="preserve">been successfully tested and </w:t>
      </w:r>
      <w:r w:rsidRPr="00942D11" w:rsidR="4B39455B">
        <w:rPr>
          <w:rFonts w:ascii="Times New Roman" w:eastAsia="Times New Roman" w:hAnsi="Times New Roman" w:cs="Times New Roman"/>
          <w:sz w:val="24"/>
          <w:szCs w:val="24"/>
        </w:rPr>
        <w:t xml:space="preserve">is </w:t>
      </w:r>
      <w:r w:rsidRPr="00942D11" w:rsidR="0AC0CE9B">
        <w:rPr>
          <w:rFonts w:ascii="Times New Roman" w:eastAsia="Times New Roman" w:hAnsi="Times New Roman" w:cs="Times New Roman"/>
          <w:sz w:val="24"/>
          <w:szCs w:val="24"/>
        </w:rPr>
        <w:t>used</w:t>
      </w:r>
      <w:r w:rsidRPr="00942D11" w:rsidR="75379DF5">
        <w:rPr>
          <w:rFonts w:ascii="Times New Roman" w:eastAsia="Times New Roman" w:hAnsi="Times New Roman" w:cs="Times New Roman"/>
          <w:sz w:val="24"/>
          <w:szCs w:val="24"/>
        </w:rPr>
        <w:t xml:space="preserve"> by many cities, counties, and states</w:t>
      </w:r>
      <w:r w:rsidRPr="00942D11" w:rsidR="0AC0CE9B">
        <w:rPr>
          <w:rFonts w:ascii="Times New Roman" w:eastAsia="Times New Roman" w:hAnsi="Times New Roman" w:cs="Times New Roman"/>
          <w:sz w:val="24"/>
          <w:szCs w:val="24"/>
        </w:rPr>
        <w:t xml:space="preserve"> to identify </w:t>
      </w:r>
      <w:r w:rsidRPr="00942D11" w:rsidR="078EEF56">
        <w:rPr>
          <w:rFonts w:ascii="Times New Roman" w:eastAsia="Times New Roman" w:hAnsi="Times New Roman" w:cs="Times New Roman"/>
          <w:sz w:val="24"/>
          <w:szCs w:val="24"/>
        </w:rPr>
        <w:t xml:space="preserve">the </w:t>
      </w:r>
      <w:r w:rsidRPr="00942D11" w:rsidR="0AC0CE9B">
        <w:rPr>
          <w:rFonts w:ascii="Times New Roman" w:eastAsia="Times New Roman" w:hAnsi="Times New Roman" w:cs="Times New Roman"/>
          <w:sz w:val="24"/>
          <w:szCs w:val="24"/>
        </w:rPr>
        <w:t>needs of people receiving housing stability services</w:t>
      </w:r>
      <w:r w:rsidRPr="00942D11" w:rsidR="55A9620E">
        <w:rPr>
          <w:rFonts w:ascii="Times New Roman" w:eastAsia="Times New Roman" w:hAnsi="Times New Roman" w:cs="Times New Roman"/>
          <w:sz w:val="24"/>
          <w:szCs w:val="24"/>
        </w:rPr>
        <w:t xml:space="preserve"> and to predict outcomes for clients based on baseline Matrix characteristics</w:t>
      </w:r>
      <w:r w:rsidRPr="00942D11" w:rsidR="0AC0CE9B">
        <w:rPr>
          <w:rFonts w:ascii="Times New Roman" w:eastAsia="Times New Roman" w:hAnsi="Times New Roman" w:cs="Times New Roman"/>
          <w:sz w:val="24"/>
          <w:szCs w:val="24"/>
        </w:rPr>
        <w:t xml:space="preserve">. </w:t>
      </w:r>
      <w:r w:rsidRPr="00942D11" w:rsidR="3BE26920">
        <w:rPr>
          <w:rFonts w:ascii="Times New Roman" w:eastAsia="Times New Roman" w:hAnsi="Times New Roman" w:cs="Times New Roman"/>
          <w:sz w:val="24"/>
          <w:szCs w:val="24"/>
        </w:rPr>
        <w:t xml:space="preserve">The majority of the grant recipients have already </w:t>
      </w:r>
      <w:r w:rsidRPr="00942D11" w:rsidR="1D81E884">
        <w:rPr>
          <w:rFonts w:ascii="Times New Roman" w:eastAsia="Times New Roman" w:hAnsi="Times New Roman" w:cs="Times New Roman"/>
          <w:sz w:val="24"/>
          <w:szCs w:val="24"/>
        </w:rPr>
        <w:t>used</w:t>
      </w:r>
      <w:r w:rsidRPr="00942D11" w:rsidR="3BE26920">
        <w:rPr>
          <w:rFonts w:ascii="Times New Roman" w:eastAsia="Times New Roman" w:hAnsi="Times New Roman" w:cs="Times New Roman"/>
          <w:sz w:val="24"/>
          <w:szCs w:val="24"/>
        </w:rPr>
        <w:t xml:space="preserve"> th</w:t>
      </w:r>
      <w:r w:rsidRPr="00942D11" w:rsidR="5C151602">
        <w:rPr>
          <w:rFonts w:ascii="Times New Roman" w:eastAsia="Times New Roman" w:hAnsi="Times New Roman" w:cs="Times New Roman"/>
          <w:sz w:val="24"/>
          <w:szCs w:val="24"/>
        </w:rPr>
        <w:t>e Arizona</w:t>
      </w:r>
      <w:r w:rsidRPr="00942D11" w:rsidR="3BE26920">
        <w:rPr>
          <w:rFonts w:ascii="Times New Roman" w:eastAsia="Times New Roman" w:hAnsi="Times New Roman" w:cs="Times New Roman"/>
          <w:sz w:val="24"/>
          <w:szCs w:val="24"/>
        </w:rPr>
        <w:t xml:space="preserve"> Matrix</w:t>
      </w:r>
      <w:r w:rsidRPr="00942D11" w:rsidR="38CA5A6A">
        <w:rPr>
          <w:rFonts w:ascii="Times New Roman" w:eastAsia="Times New Roman" w:hAnsi="Times New Roman" w:cs="Times New Roman"/>
          <w:sz w:val="24"/>
          <w:szCs w:val="24"/>
        </w:rPr>
        <w:t xml:space="preserve"> with their clients</w:t>
      </w:r>
      <w:r w:rsidRPr="00942D11" w:rsidR="3BE26920">
        <w:rPr>
          <w:rFonts w:ascii="Times New Roman" w:eastAsia="Times New Roman" w:hAnsi="Times New Roman" w:cs="Times New Roman"/>
          <w:sz w:val="24"/>
          <w:szCs w:val="24"/>
        </w:rPr>
        <w:t>.</w:t>
      </w:r>
    </w:p>
    <w:p w:rsidR="00ED0126" w:rsidP="00942D11" w14:paraId="76CF7235" w14:textId="77777777">
      <w:pPr>
        <w:tabs>
          <w:tab w:val="left" w:pos="360"/>
        </w:tabs>
        <w:spacing w:after="0"/>
        <w:ind w:left="360"/>
        <w:rPr>
          <w:rFonts w:ascii="Times New Roman" w:eastAsia="Times New Roman" w:hAnsi="Times New Roman" w:cs="Times New Roman"/>
          <w:sz w:val="24"/>
          <w:szCs w:val="24"/>
        </w:rPr>
      </w:pPr>
    </w:p>
    <w:p w:rsidR="00CE7D4D" w:rsidRPr="00942D11" w:rsidP="00942D11" w14:paraId="42D33D59" w14:textId="76460234">
      <w:pPr>
        <w:tabs>
          <w:tab w:val="left" w:pos="360"/>
        </w:tabs>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OCS also anticipates conduc</w:t>
      </w:r>
      <w:r w:rsidRPr="00942D11" w:rsidR="3AB95DC2">
        <w:rPr>
          <w:rFonts w:ascii="Times New Roman" w:eastAsia="Times New Roman" w:hAnsi="Times New Roman" w:cs="Times New Roman"/>
          <w:sz w:val="24"/>
          <w:szCs w:val="24"/>
        </w:rPr>
        <w:t xml:space="preserve">ting an internal pilot of the Interview </w:t>
      </w:r>
      <w:r w:rsidRPr="00942D11" w:rsidR="6AF95A78">
        <w:rPr>
          <w:rFonts w:ascii="Times New Roman" w:eastAsia="Times New Roman" w:hAnsi="Times New Roman" w:cs="Times New Roman"/>
          <w:sz w:val="24"/>
          <w:szCs w:val="24"/>
        </w:rPr>
        <w:t xml:space="preserve">protocol </w:t>
      </w:r>
      <w:r w:rsidRPr="00942D11" w:rsidR="3AB95DC2">
        <w:rPr>
          <w:rFonts w:ascii="Times New Roman" w:eastAsia="Times New Roman" w:hAnsi="Times New Roman" w:cs="Times New Roman"/>
          <w:sz w:val="24"/>
          <w:szCs w:val="24"/>
        </w:rPr>
        <w:t>with ACF staff serving as test respondents.</w:t>
      </w:r>
      <w:r w:rsidRPr="00942D11" w:rsidR="73F8E075">
        <w:rPr>
          <w:rFonts w:ascii="Times New Roman" w:eastAsia="Times New Roman" w:hAnsi="Times New Roman" w:cs="Times New Roman"/>
          <w:sz w:val="24"/>
          <w:szCs w:val="24"/>
        </w:rPr>
        <w:t xml:space="preserve"> If staff capacity permits, OCS may also perform an in</w:t>
      </w:r>
      <w:r w:rsidRPr="00942D11" w:rsidR="42559C67">
        <w:rPr>
          <w:rFonts w:ascii="Times New Roman" w:eastAsia="Times New Roman" w:hAnsi="Times New Roman" w:cs="Times New Roman"/>
          <w:sz w:val="24"/>
          <w:szCs w:val="24"/>
        </w:rPr>
        <w:t>ternal test of the Focus Group protocol.</w:t>
      </w:r>
    </w:p>
    <w:p w:rsidR="36E493A7" w:rsidRPr="00942D11" w:rsidP="00942D11" w14:paraId="3113CA63" w14:textId="19D58FCE">
      <w:pPr>
        <w:tabs>
          <w:tab w:val="left" w:pos="360"/>
        </w:tabs>
        <w:spacing w:after="0"/>
        <w:ind w:left="360"/>
        <w:rPr>
          <w:rFonts w:ascii="Times New Roman" w:eastAsia="Times New Roman" w:hAnsi="Times New Roman" w:cs="Times New Roman"/>
          <w:sz w:val="24"/>
          <w:szCs w:val="24"/>
        </w:rPr>
      </w:pPr>
    </w:p>
    <w:p w:rsidR="00CE7D4D" w:rsidRPr="00942D11" w:rsidP="2896E249" w14:paraId="577C6417" w14:textId="1D319A5A">
      <w:pPr>
        <w:pStyle w:val="ListParagraph"/>
        <w:numPr>
          <w:ilvl w:val="0"/>
          <w:numId w:val="5"/>
        </w:numPr>
        <w:tabs>
          <w:tab w:val="num" w:pos="360"/>
        </w:tabs>
        <w:spacing w:after="120"/>
        <w:ind w:left="360"/>
        <w:rPr>
          <w:rFonts w:ascii="Times New Roman" w:eastAsia="Times New Roman" w:hAnsi="Times New Roman" w:cs="Times New Roman"/>
          <w:sz w:val="24"/>
          <w:szCs w:val="24"/>
        </w:rPr>
      </w:pPr>
      <w:r w:rsidRPr="00942D11">
        <w:rPr>
          <w:rFonts w:ascii="Times New Roman" w:eastAsia="Times New Roman" w:hAnsi="Times New Roman" w:cs="Times New Roman"/>
          <w:b/>
          <w:bCs/>
          <w:sz w:val="24"/>
          <w:szCs w:val="24"/>
        </w:rPr>
        <w:t>Individuals Consulted on Statistical Aspects and Individuals Collecting and/or Analyzing Data</w:t>
      </w:r>
    </w:p>
    <w:p w:rsidR="00CE7D4D" w:rsidRPr="00942D11" w:rsidP="00942D11" w14:paraId="534E8E88" w14:textId="12C7E46C">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Dr. Jessica Hale, Program Evaluator, Division of Community Discretionary and Demonstration Programs, Office of Community Services, Administration for Children and Families, </w:t>
      </w:r>
      <w:hyperlink r:id="rId7">
        <w:r w:rsidRPr="00942D11">
          <w:rPr>
            <w:rStyle w:val="Hyperlink"/>
            <w:rFonts w:ascii="Times New Roman" w:eastAsia="Times New Roman" w:hAnsi="Times New Roman" w:cs="Times New Roman"/>
            <w:color w:val="auto"/>
            <w:sz w:val="24"/>
            <w:szCs w:val="24"/>
          </w:rPr>
          <w:t>jessica.hale@acf.hhs.gov</w:t>
        </w:r>
      </w:hyperlink>
      <w:r w:rsidRPr="00942D11">
        <w:rPr>
          <w:rFonts w:ascii="Times New Roman" w:eastAsia="Times New Roman" w:hAnsi="Times New Roman" w:cs="Times New Roman"/>
          <w:sz w:val="24"/>
          <w:szCs w:val="24"/>
        </w:rPr>
        <w:t>, (202) 401-4835</w:t>
      </w:r>
    </w:p>
    <w:p w:rsidR="00CE7D4D" w:rsidRPr="00942D11" w:rsidP="00942D11" w14:paraId="54CE78B4" w14:textId="59273059">
      <w:pPr>
        <w:spacing w:after="0"/>
        <w:ind w:left="360"/>
        <w:rPr>
          <w:rFonts w:ascii="Times New Roman" w:eastAsia="Times New Roman" w:hAnsi="Times New Roman" w:cs="Times New Roman"/>
          <w:sz w:val="24"/>
          <w:szCs w:val="24"/>
        </w:rPr>
      </w:pPr>
    </w:p>
    <w:p w:rsidR="00CE7D4D" w:rsidRPr="00942D11" w:rsidP="00942D11" w14:paraId="604BF390" w14:textId="3E2A1C0E">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Juliana Melara, </w:t>
      </w:r>
      <w:r w:rsidRPr="00942D11" w:rsidR="7608B005">
        <w:rPr>
          <w:rFonts w:ascii="Times New Roman" w:eastAsia="Times New Roman" w:hAnsi="Times New Roman" w:cs="Times New Roman"/>
          <w:sz w:val="24"/>
          <w:szCs w:val="24"/>
        </w:rPr>
        <w:t>Policy Advisor</w:t>
      </w:r>
      <w:r w:rsidRPr="00942D11">
        <w:rPr>
          <w:rFonts w:ascii="Times New Roman" w:eastAsia="Times New Roman" w:hAnsi="Times New Roman" w:cs="Times New Roman"/>
          <w:sz w:val="24"/>
          <w:szCs w:val="24"/>
        </w:rPr>
        <w:t xml:space="preserve">, Office of the Director, Office of Community Services, Administration for Children &amp; Families, </w:t>
      </w:r>
      <w:hyperlink r:id="rId8">
        <w:r w:rsidRPr="00942D11">
          <w:rPr>
            <w:rStyle w:val="Hyperlink"/>
            <w:rFonts w:ascii="Times New Roman" w:eastAsia="Times New Roman" w:hAnsi="Times New Roman" w:cs="Times New Roman"/>
            <w:color w:val="auto"/>
            <w:sz w:val="24"/>
            <w:szCs w:val="24"/>
          </w:rPr>
          <w:t>j</w:t>
        </w:r>
        <w:r w:rsidRPr="00942D11" w:rsidR="3037BECA">
          <w:rPr>
            <w:rStyle w:val="Hyperlink"/>
            <w:rFonts w:ascii="Times New Roman" w:eastAsia="Times New Roman" w:hAnsi="Times New Roman" w:cs="Times New Roman"/>
            <w:color w:val="auto"/>
            <w:sz w:val="24"/>
            <w:szCs w:val="24"/>
          </w:rPr>
          <w:t>uliana.melara</w:t>
        </w:r>
        <w:r w:rsidRPr="00942D11">
          <w:rPr>
            <w:rStyle w:val="Hyperlink"/>
            <w:rFonts w:ascii="Times New Roman" w:eastAsia="Times New Roman" w:hAnsi="Times New Roman" w:cs="Times New Roman"/>
            <w:color w:val="auto"/>
            <w:sz w:val="24"/>
            <w:szCs w:val="24"/>
          </w:rPr>
          <w:t>@acf.hhs.gov</w:t>
        </w:r>
      </w:hyperlink>
      <w:r w:rsidRPr="00942D11">
        <w:rPr>
          <w:rFonts w:ascii="Times New Roman" w:eastAsia="Times New Roman" w:hAnsi="Times New Roman" w:cs="Times New Roman"/>
          <w:sz w:val="24"/>
          <w:szCs w:val="24"/>
        </w:rPr>
        <w:t>, 315-744-2490</w:t>
      </w:r>
    </w:p>
    <w:p w:rsidR="00CE7D4D" w:rsidRPr="00942D11" w:rsidP="00942D11" w14:paraId="6BF6396F" w14:textId="73A29E90">
      <w:pPr>
        <w:spacing w:after="0"/>
        <w:ind w:left="360"/>
        <w:rPr>
          <w:rFonts w:ascii="Times New Roman" w:eastAsia="Times New Roman" w:hAnsi="Times New Roman" w:cs="Times New Roman"/>
          <w:sz w:val="24"/>
          <w:szCs w:val="24"/>
        </w:rPr>
      </w:pPr>
    </w:p>
    <w:p w:rsidR="00CE7D4D" w:rsidRPr="00942D11" w:rsidP="00942D11" w14:paraId="2F469E36" w14:textId="44820157">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Benjamin Wills, Program Specialist, Office of Community Services, Administration for Children and Families, </w:t>
      </w:r>
      <w:hyperlink r:id="rId9">
        <w:r w:rsidRPr="00942D11">
          <w:rPr>
            <w:rStyle w:val="Hyperlink"/>
            <w:rFonts w:ascii="Times New Roman" w:eastAsia="Times New Roman" w:hAnsi="Times New Roman" w:cs="Times New Roman"/>
            <w:color w:val="auto"/>
            <w:sz w:val="24"/>
            <w:szCs w:val="24"/>
          </w:rPr>
          <w:t>Benjamin.Wills@acf.hhs.gov</w:t>
        </w:r>
      </w:hyperlink>
      <w:r w:rsidRPr="00942D11">
        <w:rPr>
          <w:rFonts w:ascii="Times New Roman" w:eastAsia="Times New Roman" w:hAnsi="Times New Roman" w:cs="Times New Roman"/>
          <w:sz w:val="24"/>
          <w:szCs w:val="24"/>
        </w:rPr>
        <w:t>, 206-550-2471</w:t>
      </w:r>
    </w:p>
    <w:p w:rsidR="00CE7D4D" w:rsidRPr="00942D11" w:rsidP="00942D11" w14:paraId="64C0D3F5" w14:textId="223559F2">
      <w:pPr>
        <w:spacing w:after="0"/>
        <w:ind w:left="360"/>
        <w:rPr>
          <w:rFonts w:ascii="Times New Roman" w:eastAsia="Times New Roman" w:hAnsi="Times New Roman" w:cs="Times New Roman"/>
          <w:sz w:val="24"/>
          <w:szCs w:val="24"/>
        </w:rPr>
      </w:pPr>
    </w:p>
    <w:p w:rsidR="00CE7D4D" w:rsidRPr="00942D11" w:rsidP="00942D11" w14:paraId="04D4FD09" w14:textId="6A07D3F1">
      <w:pPr>
        <w:spacing w:after="0"/>
        <w:ind w:left="360"/>
        <w:rPr>
          <w:rFonts w:ascii="Times New Roman" w:eastAsia="Times New Roman" w:hAnsi="Times New Roman" w:cs="Times New Roman"/>
          <w:sz w:val="24"/>
          <w:szCs w:val="24"/>
        </w:rPr>
      </w:pPr>
      <w:r w:rsidRPr="00942D11">
        <w:rPr>
          <w:rFonts w:ascii="Times New Roman" w:eastAsia="Times New Roman" w:hAnsi="Times New Roman" w:cs="Times New Roman"/>
          <w:sz w:val="24"/>
          <w:szCs w:val="24"/>
        </w:rPr>
        <w:t xml:space="preserve">Regine Adrien, Program Specialist, Office of Community Services, Administration for Children and Families, </w:t>
      </w:r>
      <w:hyperlink r:id="rId10">
        <w:r w:rsidRPr="00942D11">
          <w:rPr>
            <w:rStyle w:val="Hyperlink"/>
            <w:rFonts w:ascii="Times New Roman" w:eastAsia="Times New Roman" w:hAnsi="Times New Roman" w:cs="Times New Roman"/>
            <w:color w:val="auto"/>
            <w:sz w:val="24"/>
            <w:szCs w:val="24"/>
          </w:rPr>
          <w:t>regine.adrien@acf.hhs.gov</w:t>
        </w:r>
      </w:hyperlink>
      <w:r w:rsidRPr="00942D11">
        <w:rPr>
          <w:rFonts w:ascii="Times New Roman" w:eastAsia="Times New Roman" w:hAnsi="Times New Roman" w:cs="Times New Roman"/>
          <w:sz w:val="24"/>
          <w:szCs w:val="24"/>
        </w:rPr>
        <w:t>, 202-205-9741</w:t>
      </w:r>
    </w:p>
    <w:p w:rsidR="00CE7D4D" w:rsidRPr="00942D11" w:rsidP="00942D11" w14:paraId="420F19F6" w14:textId="3EE18602">
      <w:pPr>
        <w:spacing w:after="0"/>
        <w:ind w:left="360"/>
        <w:rPr>
          <w:rFonts w:ascii="Times New Roman" w:eastAsia="Times New Roman" w:hAnsi="Times New Roman" w:cs="Times New Roman"/>
          <w:sz w:val="24"/>
          <w:szCs w:val="24"/>
        </w:rPr>
      </w:pPr>
    </w:p>
    <w:p w:rsidR="00CE7D4D" w:rsidRPr="00942D11" w:rsidP="00942D11" w14:paraId="611E6F02" w14:textId="1E7F5D4A">
      <w:pPr>
        <w:spacing w:after="0"/>
        <w:ind w:left="360"/>
        <w:rPr>
          <w:rFonts w:ascii="Times New Roman" w:eastAsia="Times New Roman" w:hAnsi="Times New Roman" w:cs="Times New Roman"/>
          <w:b/>
          <w:bCs/>
          <w:sz w:val="24"/>
          <w:szCs w:val="24"/>
        </w:rPr>
      </w:pPr>
      <w:r w:rsidRPr="00942D11">
        <w:rPr>
          <w:rFonts w:ascii="Times New Roman" w:eastAsia="Times New Roman" w:hAnsi="Times New Roman" w:cs="Times New Roman"/>
          <w:sz w:val="24"/>
          <w:szCs w:val="24"/>
        </w:rPr>
        <w:t xml:space="preserve">Brontë Nevins, Community Development Project Support Specialist, Division of Community Discretionary and Demonstration Programs, Office of Community Services, Administration for Children &amp; Families, </w:t>
      </w:r>
      <w:hyperlink r:id="rId11">
        <w:r w:rsidRPr="00942D11">
          <w:rPr>
            <w:rStyle w:val="Hyperlink"/>
            <w:rFonts w:ascii="Times New Roman" w:eastAsia="Times New Roman" w:hAnsi="Times New Roman" w:cs="Times New Roman"/>
            <w:color w:val="auto"/>
            <w:sz w:val="24"/>
            <w:szCs w:val="24"/>
          </w:rPr>
          <w:t>bronte.nevins@acf.hhs.gov</w:t>
        </w:r>
      </w:hyperlink>
      <w:r w:rsidRPr="00942D11">
        <w:rPr>
          <w:rFonts w:ascii="Times New Roman" w:eastAsia="Times New Roman" w:hAnsi="Times New Roman" w:cs="Times New Roman"/>
          <w:sz w:val="24"/>
          <w:szCs w:val="24"/>
        </w:rPr>
        <w:t>, 240-274-1442</w:t>
      </w:r>
    </w:p>
    <w:p w:rsidR="00CE7D4D" w:rsidRPr="00942D11" w:rsidP="00942D11" w14:paraId="7561F56F" w14:textId="581B8345">
      <w:pPr>
        <w:spacing w:after="0"/>
        <w:rPr>
          <w:rFonts w:ascii="Times New Roman" w:eastAsia="Times New Roman" w:hAnsi="Times New Roman" w:cs="Times New Roman"/>
          <w:b/>
          <w:bCs/>
          <w:sz w:val="24"/>
          <w:szCs w:val="24"/>
        </w:rPr>
      </w:pPr>
    </w:p>
    <w:p w:rsidR="00CE7D4D" w:rsidRPr="00942D11" w:rsidP="204E1DEA" w14:paraId="08A9EACF" w14:textId="5BB1E618">
      <w:pPr>
        <w:rPr>
          <w:rFonts w:ascii="Times New Roman" w:eastAsia="Times New Roman" w:hAnsi="Times New Roman" w:cs="Times New Roman"/>
          <w:b/>
          <w:bCs/>
          <w:sz w:val="24"/>
          <w:szCs w:val="24"/>
        </w:rPr>
      </w:pPr>
      <w:r w:rsidRPr="00942D11">
        <w:rPr>
          <w:rFonts w:ascii="Times New Roman" w:eastAsia="Times New Roman" w:hAnsi="Times New Roman" w:cs="Times New Roman"/>
          <w:b/>
          <w:bCs/>
          <w:sz w:val="24"/>
          <w:szCs w:val="24"/>
        </w:rPr>
        <w:t>References</w:t>
      </w:r>
    </w:p>
    <w:p w:rsidR="00CE7D4D" w:rsidRPr="000E470D" w:rsidP="204E1DEA" w14:paraId="2C078E63" w14:textId="3400BD0A">
      <w:pPr>
        <w:rPr>
          <w:rFonts w:ascii="Times New Roman" w:eastAsia="Times New Roman" w:hAnsi="Times New Roman" w:cs="Times New Roman"/>
          <w:sz w:val="24"/>
          <w:szCs w:val="24"/>
        </w:rPr>
      </w:pPr>
      <w:r w:rsidRPr="000E470D">
        <w:rPr>
          <w:rFonts w:ascii="Times New Roman" w:eastAsia="Times New Roman" w:hAnsi="Times New Roman" w:cs="Times New Roman"/>
          <w:sz w:val="24"/>
          <w:szCs w:val="24"/>
        </w:rPr>
        <w:t xml:space="preserve">Culhane, D.P., Parker, W. D., Poppe, B., Gross, K.D., and Sykes, E. (2007). Accountability, Cost-Effectiveness, and Program Performance: Progress Since 1998. 2007 National Symposium on Homelessness Research. Retrieved from: </w:t>
      </w:r>
      <w:r w:rsidRPr="000E470D">
        <w:rPr>
          <w:rFonts w:ascii="Times New Roman" w:eastAsia="Times New Roman" w:hAnsi="Times New Roman" w:cs="Times New Roman"/>
          <w:sz w:val="24"/>
          <w:szCs w:val="24"/>
          <w:u w:val="single"/>
        </w:rPr>
        <w:t>https://aspe.hhs.gov/sites/default/files/migrated_legacy_files//84166/report.pdf</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9E3158"/>
    <w:multiLevelType w:val="multilevel"/>
    <w:tmpl w:val="0718837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E1FC95"/>
    <w:multiLevelType w:val="multilevel"/>
    <w:tmpl w:val="9D4AAB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BF0CE0"/>
    <w:multiLevelType w:val="multilevel"/>
    <w:tmpl w:val="7FAA2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340A77"/>
    <w:multiLevelType w:val="multilevel"/>
    <w:tmpl w:val="4D1206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AD908CD"/>
    <w:multiLevelType w:val="multilevel"/>
    <w:tmpl w:val="D088798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1437155">
    <w:abstractNumId w:val="0"/>
  </w:num>
  <w:num w:numId="2" w16cid:durableId="98919534">
    <w:abstractNumId w:val="4"/>
  </w:num>
  <w:num w:numId="3" w16cid:durableId="915284279">
    <w:abstractNumId w:val="1"/>
  </w:num>
  <w:num w:numId="4" w16cid:durableId="171917065">
    <w:abstractNumId w:val="3"/>
  </w:num>
  <w:num w:numId="5" w16cid:durableId="139165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4FC363"/>
    <w:rsid w:val="000C0EB3"/>
    <w:rsid w:val="000E470D"/>
    <w:rsid w:val="00151095"/>
    <w:rsid w:val="001E3456"/>
    <w:rsid w:val="001F2D28"/>
    <w:rsid w:val="00307E19"/>
    <w:rsid w:val="003D39AE"/>
    <w:rsid w:val="004D3A02"/>
    <w:rsid w:val="00502F7F"/>
    <w:rsid w:val="005F637D"/>
    <w:rsid w:val="008F00CC"/>
    <w:rsid w:val="00936DA5"/>
    <w:rsid w:val="00942D11"/>
    <w:rsid w:val="00AD0A67"/>
    <w:rsid w:val="00AD4C15"/>
    <w:rsid w:val="00B02BE0"/>
    <w:rsid w:val="00B1595C"/>
    <w:rsid w:val="00C977FB"/>
    <w:rsid w:val="00CD0358"/>
    <w:rsid w:val="00CE7D4D"/>
    <w:rsid w:val="00DD043D"/>
    <w:rsid w:val="00ED0126"/>
    <w:rsid w:val="00F079B5"/>
    <w:rsid w:val="00FD0F98"/>
    <w:rsid w:val="01041E22"/>
    <w:rsid w:val="0166281A"/>
    <w:rsid w:val="018897D3"/>
    <w:rsid w:val="019EB636"/>
    <w:rsid w:val="02125B02"/>
    <w:rsid w:val="0251FD87"/>
    <w:rsid w:val="0265192A"/>
    <w:rsid w:val="0284E0FD"/>
    <w:rsid w:val="02C5EA4F"/>
    <w:rsid w:val="0312DD46"/>
    <w:rsid w:val="03287562"/>
    <w:rsid w:val="03487B50"/>
    <w:rsid w:val="03F05123"/>
    <w:rsid w:val="0400E98B"/>
    <w:rsid w:val="0493B58F"/>
    <w:rsid w:val="04DC2687"/>
    <w:rsid w:val="04FD579C"/>
    <w:rsid w:val="05C912E3"/>
    <w:rsid w:val="0649D105"/>
    <w:rsid w:val="0656BB75"/>
    <w:rsid w:val="0694F831"/>
    <w:rsid w:val="06E69ED9"/>
    <w:rsid w:val="070C464D"/>
    <w:rsid w:val="07886E10"/>
    <w:rsid w:val="078EEF56"/>
    <w:rsid w:val="07AE0D18"/>
    <w:rsid w:val="08D0806B"/>
    <w:rsid w:val="08D45AAE"/>
    <w:rsid w:val="08FAC8F9"/>
    <w:rsid w:val="09406050"/>
    <w:rsid w:val="094AEA2D"/>
    <w:rsid w:val="09CFAE53"/>
    <w:rsid w:val="0AC0CE9B"/>
    <w:rsid w:val="0C10A452"/>
    <w:rsid w:val="0C2BC343"/>
    <w:rsid w:val="0CCEF88E"/>
    <w:rsid w:val="0CD71FC0"/>
    <w:rsid w:val="0CE0B336"/>
    <w:rsid w:val="0D5CA2C8"/>
    <w:rsid w:val="0DFE76EA"/>
    <w:rsid w:val="0E3FEC9B"/>
    <w:rsid w:val="0E5147DA"/>
    <w:rsid w:val="0F22C492"/>
    <w:rsid w:val="0FA7E645"/>
    <w:rsid w:val="10069950"/>
    <w:rsid w:val="1050FC9A"/>
    <w:rsid w:val="10F1DE10"/>
    <w:rsid w:val="114C0866"/>
    <w:rsid w:val="1151C73D"/>
    <w:rsid w:val="11A63587"/>
    <w:rsid w:val="11E8AD73"/>
    <w:rsid w:val="11FC1FCA"/>
    <w:rsid w:val="11FD5F33"/>
    <w:rsid w:val="1256E67A"/>
    <w:rsid w:val="133D2C03"/>
    <w:rsid w:val="13B03889"/>
    <w:rsid w:val="14EC4790"/>
    <w:rsid w:val="15183A21"/>
    <w:rsid w:val="158E873C"/>
    <w:rsid w:val="15D28FF8"/>
    <w:rsid w:val="15E95767"/>
    <w:rsid w:val="164B2137"/>
    <w:rsid w:val="16607E4D"/>
    <w:rsid w:val="170307E8"/>
    <w:rsid w:val="1705E148"/>
    <w:rsid w:val="172A579D"/>
    <w:rsid w:val="179A856B"/>
    <w:rsid w:val="18109D26"/>
    <w:rsid w:val="18491080"/>
    <w:rsid w:val="18B5899B"/>
    <w:rsid w:val="18C627FE"/>
    <w:rsid w:val="190FBDBF"/>
    <w:rsid w:val="193040BC"/>
    <w:rsid w:val="1999B82E"/>
    <w:rsid w:val="19D2F23F"/>
    <w:rsid w:val="19E4E0E1"/>
    <w:rsid w:val="1A11803F"/>
    <w:rsid w:val="1B97FDD6"/>
    <w:rsid w:val="1B9E80F0"/>
    <w:rsid w:val="1BA61578"/>
    <w:rsid w:val="1BAA1857"/>
    <w:rsid w:val="1D74CDE9"/>
    <w:rsid w:val="1D81E884"/>
    <w:rsid w:val="1E4DF88B"/>
    <w:rsid w:val="1EB85204"/>
    <w:rsid w:val="1F014328"/>
    <w:rsid w:val="1F356982"/>
    <w:rsid w:val="1F74AFAC"/>
    <w:rsid w:val="1FC130B3"/>
    <w:rsid w:val="1FC316EF"/>
    <w:rsid w:val="1FFEB179"/>
    <w:rsid w:val="204E1DEA"/>
    <w:rsid w:val="20B25E71"/>
    <w:rsid w:val="20D139E3"/>
    <w:rsid w:val="21952A7C"/>
    <w:rsid w:val="22BFBDFA"/>
    <w:rsid w:val="22E1D962"/>
    <w:rsid w:val="22F892BC"/>
    <w:rsid w:val="23875753"/>
    <w:rsid w:val="23C2A66D"/>
    <w:rsid w:val="23E87764"/>
    <w:rsid w:val="245A5DEC"/>
    <w:rsid w:val="2467E126"/>
    <w:rsid w:val="247DDCF1"/>
    <w:rsid w:val="254FA6F7"/>
    <w:rsid w:val="258FDB89"/>
    <w:rsid w:val="25D6DB63"/>
    <w:rsid w:val="268491E4"/>
    <w:rsid w:val="26C0F5DB"/>
    <w:rsid w:val="272BABEA"/>
    <w:rsid w:val="280CA66E"/>
    <w:rsid w:val="286721D0"/>
    <w:rsid w:val="2896E249"/>
    <w:rsid w:val="28BBE887"/>
    <w:rsid w:val="2906356B"/>
    <w:rsid w:val="290CC706"/>
    <w:rsid w:val="2A9D2BE7"/>
    <w:rsid w:val="2B16D04E"/>
    <w:rsid w:val="2C656FD1"/>
    <w:rsid w:val="2D506056"/>
    <w:rsid w:val="2D6FD89A"/>
    <w:rsid w:val="2E01B439"/>
    <w:rsid w:val="2E75576C"/>
    <w:rsid w:val="2E89A182"/>
    <w:rsid w:val="2F361C08"/>
    <w:rsid w:val="30096553"/>
    <w:rsid w:val="3037BECA"/>
    <w:rsid w:val="3087DC6E"/>
    <w:rsid w:val="30FA9AEC"/>
    <w:rsid w:val="315E0922"/>
    <w:rsid w:val="31708FE1"/>
    <w:rsid w:val="32A83DCC"/>
    <w:rsid w:val="32CF2450"/>
    <w:rsid w:val="32FC809E"/>
    <w:rsid w:val="335A88FE"/>
    <w:rsid w:val="338FDB6B"/>
    <w:rsid w:val="33FCB6FC"/>
    <w:rsid w:val="34575959"/>
    <w:rsid w:val="35224D86"/>
    <w:rsid w:val="3525DD05"/>
    <w:rsid w:val="35292DD9"/>
    <w:rsid w:val="3544FC2F"/>
    <w:rsid w:val="354BC424"/>
    <w:rsid w:val="3579C5D7"/>
    <w:rsid w:val="35D3914D"/>
    <w:rsid w:val="36E493A7"/>
    <w:rsid w:val="372AD2BA"/>
    <w:rsid w:val="38CA5A6A"/>
    <w:rsid w:val="3917F83A"/>
    <w:rsid w:val="39253D77"/>
    <w:rsid w:val="39F94E28"/>
    <w:rsid w:val="3A0D9019"/>
    <w:rsid w:val="3A7847C6"/>
    <w:rsid w:val="3AB95DC2"/>
    <w:rsid w:val="3AD8DBAA"/>
    <w:rsid w:val="3AD9A3C8"/>
    <w:rsid w:val="3B1DFE34"/>
    <w:rsid w:val="3B951E89"/>
    <w:rsid w:val="3BB43DB3"/>
    <w:rsid w:val="3BE26920"/>
    <w:rsid w:val="3C4CA4E4"/>
    <w:rsid w:val="3C744F41"/>
    <w:rsid w:val="3CCEEE5A"/>
    <w:rsid w:val="3D50B6BD"/>
    <w:rsid w:val="3DE8661D"/>
    <w:rsid w:val="3DF7A65C"/>
    <w:rsid w:val="3E2B5153"/>
    <w:rsid w:val="3E7C6FD8"/>
    <w:rsid w:val="3E9FD57A"/>
    <w:rsid w:val="3EB0C49B"/>
    <w:rsid w:val="3F01D4D7"/>
    <w:rsid w:val="3F73E217"/>
    <w:rsid w:val="3F7F6BC1"/>
    <w:rsid w:val="3FC46A52"/>
    <w:rsid w:val="42559C67"/>
    <w:rsid w:val="42E6A85E"/>
    <w:rsid w:val="43A461D6"/>
    <w:rsid w:val="43C56FB5"/>
    <w:rsid w:val="443A3A68"/>
    <w:rsid w:val="449A92D7"/>
    <w:rsid w:val="459F5482"/>
    <w:rsid w:val="459FE990"/>
    <w:rsid w:val="45E1E42D"/>
    <w:rsid w:val="45ECAD43"/>
    <w:rsid w:val="46547BF1"/>
    <w:rsid w:val="4690403B"/>
    <w:rsid w:val="474DAC6E"/>
    <w:rsid w:val="47B5CC70"/>
    <w:rsid w:val="47C60E10"/>
    <w:rsid w:val="4820C3E3"/>
    <w:rsid w:val="484987EF"/>
    <w:rsid w:val="48537B0C"/>
    <w:rsid w:val="4887F3B6"/>
    <w:rsid w:val="489AAE41"/>
    <w:rsid w:val="499AFDE8"/>
    <w:rsid w:val="4AB0A113"/>
    <w:rsid w:val="4AF4205B"/>
    <w:rsid w:val="4B001C10"/>
    <w:rsid w:val="4B09D45B"/>
    <w:rsid w:val="4B39455B"/>
    <w:rsid w:val="4BCF70BC"/>
    <w:rsid w:val="4BD67CF0"/>
    <w:rsid w:val="4BF08E1D"/>
    <w:rsid w:val="4C487A91"/>
    <w:rsid w:val="4C8F3598"/>
    <w:rsid w:val="4CE912A8"/>
    <w:rsid w:val="4D4B6B77"/>
    <w:rsid w:val="4D796BA8"/>
    <w:rsid w:val="4DFB2F2B"/>
    <w:rsid w:val="4E02E6FF"/>
    <w:rsid w:val="4ED847B4"/>
    <w:rsid w:val="4FB9571F"/>
    <w:rsid w:val="50F5DEC5"/>
    <w:rsid w:val="51594E0C"/>
    <w:rsid w:val="51A3106C"/>
    <w:rsid w:val="53143D97"/>
    <w:rsid w:val="532DF90C"/>
    <w:rsid w:val="53388964"/>
    <w:rsid w:val="53C26B22"/>
    <w:rsid w:val="53F7983A"/>
    <w:rsid w:val="54BF96F4"/>
    <w:rsid w:val="54F984EC"/>
    <w:rsid w:val="5530639E"/>
    <w:rsid w:val="557004B6"/>
    <w:rsid w:val="55768623"/>
    <w:rsid w:val="5587609D"/>
    <w:rsid w:val="558867C2"/>
    <w:rsid w:val="55A9620E"/>
    <w:rsid w:val="55EE00DB"/>
    <w:rsid w:val="562D5A2A"/>
    <w:rsid w:val="565E164A"/>
    <w:rsid w:val="567F9370"/>
    <w:rsid w:val="5692963D"/>
    <w:rsid w:val="56A5C337"/>
    <w:rsid w:val="56AD3522"/>
    <w:rsid w:val="56C3CBB1"/>
    <w:rsid w:val="570BD517"/>
    <w:rsid w:val="5787DDBA"/>
    <w:rsid w:val="57AF6733"/>
    <w:rsid w:val="587DE409"/>
    <w:rsid w:val="596AFF67"/>
    <w:rsid w:val="59C581B5"/>
    <w:rsid w:val="5A19F7B9"/>
    <w:rsid w:val="5B06CFC8"/>
    <w:rsid w:val="5B2E0D0D"/>
    <w:rsid w:val="5B4C6A4D"/>
    <w:rsid w:val="5B9AAA6F"/>
    <w:rsid w:val="5BC21F61"/>
    <w:rsid w:val="5BEEFE26"/>
    <w:rsid w:val="5C151602"/>
    <w:rsid w:val="5C554C8E"/>
    <w:rsid w:val="5CBB121F"/>
    <w:rsid w:val="5CC07BAE"/>
    <w:rsid w:val="5D34FFE3"/>
    <w:rsid w:val="5D72A593"/>
    <w:rsid w:val="5E3268FF"/>
    <w:rsid w:val="5E7553D0"/>
    <w:rsid w:val="5EA533C3"/>
    <w:rsid w:val="5ED46606"/>
    <w:rsid w:val="5F0D0B4F"/>
    <w:rsid w:val="5FDA40EB"/>
    <w:rsid w:val="605690BA"/>
    <w:rsid w:val="60A0B25C"/>
    <w:rsid w:val="60CF275D"/>
    <w:rsid w:val="60D7373E"/>
    <w:rsid w:val="6184241F"/>
    <w:rsid w:val="618F2418"/>
    <w:rsid w:val="61F282F9"/>
    <w:rsid w:val="6263CFC4"/>
    <w:rsid w:val="629C4E5F"/>
    <w:rsid w:val="62AFC076"/>
    <w:rsid w:val="6319CF33"/>
    <w:rsid w:val="638D6CDB"/>
    <w:rsid w:val="63916CBD"/>
    <w:rsid w:val="63D93BF7"/>
    <w:rsid w:val="641AD8C8"/>
    <w:rsid w:val="641E2454"/>
    <w:rsid w:val="64726112"/>
    <w:rsid w:val="64879805"/>
    <w:rsid w:val="65450438"/>
    <w:rsid w:val="6583B7E4"/>
    <w:rsid w:val="65A69CD1"/>
    <w:rsid w:val="65A7944D"/>
    <w:rsid w:val="66056422"/>
    <w:rsid w:val="6668C7BA"/>
    <w:rsid w:val="668F7194"/>
    <w:rsid w:val="66B41BC8"/>
    <w:rsid w:val="671F8845"/>
    <w:rsid w:val="673DCDA2"/>
    <w:rsid w:val="67E672E8"/>
    <w:rsid w:val="682CBA1B"/>
    <w:rsid w:val="6855DEA9"/>
    <w:rsid w:val="6910C43D"/>
    <w:rsid w:val="69D0B04D"/>
    <w:rsid w:val="6A456E5F"/>
    <w:rsid w:val="6AA3FD5D"/>
    <w:rsid w:val="6AF95A78"/>
    <w:rsid w:val="6B27687A"/>
    <w:rsid w:val="6BACFB55"/>
    <w:rsid w:val="6BB1ED64"/>
    <w:rsid w:val="6CB7B7A6"/>
    <w:rsid w:val="6D437D18"/>
    <w:rsid w:val="6D4BF9E0"/>
    <w:rsid w:val="6E093B23"/>
    <w:rsid w:val="6E75018E"/>
    <w:rsid w:val="6EB93617"/>
    <w:rsid w:val="6EFFA43C"/>
    <w:rsid w:val="6FE5B926"/>
    <w:rsid w:val="70761111"/>
    <w:rsid w:val="709F535C"/>
    <w:rsid w:val="70A921AB"/>
    <w:rsid w:val="70B76B97"/>
    <w:rsid w:val="71411510"/>
    <w:rsid w:val="71B0D28C"/>
    <w:rsid w:val="7221A816"/>
    <w:rsid w:val="72493F07"/>
    <w:rsid w:val="72A9F135"/>
    <w:rsid w:val="72CC8EE1"/>
    <w:rsid w:val="73EE412E"/>
    <w:rsid w:val="73F8E075"/>
    <w:rsid w:val="74A525A1"/>
    <w:rsid w:val="74D34DF0"/>
    <w:rsid w:val="75379DF5"/>
    <w:rsid w:val="754503CA"/>
    <w:rsid w:val="75493EE5"/>
    <w:rsid w:val="754FB52F"/>
    <w:rsid w:val="75E4A0A1"/>
    <w:rsid w:val="7604A66A"/>
    <w:rsid w:val="7608B005"/>
    <w:rsid w:val="78A1F9BA"/>
    <w:rsid w:val="78DDFEB6"/>
    <w:rsid w:val="79A4ABF5"/>
    <w:rsid w:val="79D24DED"/>
    <w:rsid w:val="7A9A04EB"/>
    <w:rsid w:val="7AEFABB1"/>
    <w:rsid w:val="7B3A5C39"/>
    <w:rsid w:val="7C0379C5"/>
    <w:rsid w:val="7C1C056B"/>
    <w:rsid w:val="7C26C4BE"/>
    <w:rsid w:val="7C4FC363"/>
    <w:rsid w:val="7C5F53EA"/>
    <w:rsid w:val="7C88B42E"/>
    <w:rsid w:val="7E274C73"/>
    <w:rsid w:val="7E6244FE"/>
    <w:rsid w:val="7E9740CB"/>
    <w:rsid w:val="7F67083A"/>
    <w:rsid w:val="7FEE3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FC363"/>
  <w15:chartTrackingRefBased/>
  <w15:docId w15:val="{D5A4424D-1827-491F-872D-02777C4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uiPriority w:val="1"/>
    <w:rsid w:val="2896E249"/>
    <w:pPr>
      <w:spacing w:line="420" w:lineRule="exact"/>
    </w:pPr>
    <w:rPr>
      <w:rFonts w:ascii="Franklin Gothic Medium" w:eastAsia="Times New Roman" w:hAnsi="Franklin Gothic Medium" w:cs="Times New Roman"/>
      <w:b/>
      <w:bCs/>
      <w:color w:val="003C79"/>
      <w:sz w:val="40"/>
      <w:szCs w:val="40"/>
    </w:rPr>
  </w:style>
  <w:style w:type="paragraph" w:customStyle="1" w:styleId="ReportCover-Date">
    <w:name w:val="ReportCover-Date"/>
    <w:basedOn w:val="Normal"/>
    <w:uiPriority w:val="1"/>
    <w:rsid w:val="2896E249"/>
    <w:pPr>
      <w:spacing w:after="840" w:line="260" w:lineRule="exact"/>
    </w:pPr>
    <w:rPr>
      <w:rFonts w:ascii="Franklin Gothic Medium" w:eastAsia="Times New Roman" w:hAnsi="Franklin Gothic Medium" w:cs="Times New Roman"/>
      <w:b/>
      <w:bCs/>
      <w:color w:val="003C79"/>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F637D"/>
    <w:rPr>
      <w:sz w:val="16"/>
      <w:szCs w:val="16"/>
    </w:rPr>
  </w:style>
  <w:style w:type="paragraph" w:styleId="CommentText">
    <w:name w:val="annotation text"/>
    <w:basedOn w:val="Normal"/>
    <w:link w:val="CommentTextChar"/>
    <w:uiPriority w:val="99"/>
    <w:semiHidden/>
    <w:unhideWhenUsed/>
    <w:rsid w:val="005F637D"/>
    <w:pPr>
      <w:spacing w:line="240" w:lineRule="auto"/>
    </w:pPr>
    <w:rPr>
      <w:sz w:val="20"/>
      <w:szCs w:val="20"/>
    </w:rPr>
  </w:style>
  <w:style w:type="character" w:customStyle="1" w:styleId="CommentTextChar">
    <w:name w:val="Comment Text Char"/>
    <w:basedOn w:val="DefaultParagraphFont"/>
    <w:link w:val="CommentText"/>
    <w:uiPriority w:val="99"/>
    <w:semiHidden/>
    <w:rsid w:val="005F637D"/>
    <w:rPr>
      <w:sz w:val="20"/>
      <w:szCs w:val="20"/>
    </w:rPr>
  </w:style>
  <w:style w:type="paragraph" w:styleId="CommentSubject">
    <w:name w:val="annotation subject"/>
    <w:basedOn w:val="CommentText"/>
    <w:next w:val="CommentText"/>
    <w:link w:val="CommentSubjectChar"/>
    <w:uiPriority w:val="99"/>
    <w:semiHidden/>
    <w:unhideWhenUsed/>
    <w:rsid w:val="005F637D"/>
    <w:rPr>
      <w:b/>
      <w:bCs/>
    </w:rPr>
  </w:style>
  <w:style w:type="character" w:customStyle="1" w:styleId="CommentSubjectChar">
    <w:name w:val="Comment Subject Char"/>
    <w:basedOn w:val="CommentTextChar"/>
    <w:link w:val="CommentSubject"/>
    <w:uiPriority w:val="99"/>
    <w:semiHidden/>
    <w:rsid w:val="005F637D"/>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4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gine.adrien@acf.hhs.gov" TargetMode="External" /><Relationship Id="rId11" Type="http://schemas.openxmlformats.org/officeDocument/2006/relationships/hyperlink" Target="mailto:bronte.nevins@acf.hh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essica.hale@acf.hhs.gov" TargetMode="External" /><Relationship Id="rId8" Type="http://schemas.openxmlformats.org/officeDocument/2006/relationships/hyperlink" Target="mailto:juliana.melara@acf.hhs.gov" TargetMode="External" /><Relationship Id="rId9" Type="http://schemas.openxmlformats.org/officeDocument/2006/relationships/hyperlink" Target="mailto:Benjamin.Will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1" ma:contentTypeDescription="Create a new document." ma:contentTypeScope="" ma:versionID="23cd1ca229973f16999944ae800c6fc3">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6ad83249731cba0f1e97b2dacc57f09b"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D7FDE-0904-49A3-B183-19F8D291EC02}">
  <ds:schemaRefs>
    <ds:schemaRef ds:uri="http://schemas.microsoft.com/sharepoint/v3/contenttype/forms"/>
  </ds:schemaRefs>
</ds:datastoreItem>
</file>

<file path=customXml/itemProps2.xml><?xml version="1.0" encoding="utf-8"?>
<ds:datastoreItem xmlns:ds="http://schemas.openxmlformats.org/officeDocument/2006/customXml" ds:itemID="{361EDB4B-2C96-4145-9DC4-3969B112134A}">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1A06B97D-7C3A-4AA6-9CA1-E775433E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39</cp:revision>
  <dcterms:created xsi:type="dcterms:W3CDTF">2024-01-02T18:37:00Z</dcterms:created>
  <dcterms:modified xsi:type="dcterms:W3CDTF">2024-01-25T15:26:00Z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