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0124" w:rsidP="001C0124" w14:paraId="2494E226" w14:textId="75B27236">
      <w:pPr>
        <w:pStyle w:val="AppendixTitle"/>
        <w:spacing w:before="2680"/>
        <w:sectPr w:rsidSect="00A76857">
          <w:footerReference w:type="first" r:id="rId8"/>
          <w:endnotePr>
            <w:numFmt w:val="decimal"/>
          </w:endnotePr>
          <w:pgSz w:w="12240" w:h="15840"/>
          <w:pgMar w:top="1440" w:right="1440" w:bottom="1440" w:left="1440" w:header="720" w:footer="720" w:gutter="0"/>
          <w:cols w:space="720"/>
          <w:docGrid w:linePitch="299"/>
        </w:sectPr>
      </w:pPr>
      <w:r>
        <w:t>Appendix H</w:t>
      </w:r>
      <w:r>
        <w:br/>
      </w:r>
      <w:r>
        <w:br/>
      </w:r>
      <w:bookmarkStart w:id="0" w:name="_Hlk115343572"/>
      <w:r w:rsidRPr="000B7952">
        <w:t xml:space="preserve">HBCC-NSAC Toolkit English </w:t>
      </w:r>
      <w:r w:rsidR="00087C6C">
        <w:t>v</w:t>
      </w:r>
      <w:r w:rsidRPr="000B7952">
        <w:t xml:space="preserve">ersion </w:t>
      </w:r>
      <w:r w:rsidR="00087C6C">
        <w:t>p</w:t>
      </w:r>
      <w:r w:rsidRPr="000B7952">
        <w:t xml:space="preserve">re-test </w:t>
      </w:r>
      <w:r w:rsidR="00087C6C">
        <w:t>s</w:t>
      </w:r>
      <w:r w:rsidRPr="000B7952">
        <w:t>ummary</w:t>
      </w:r>
      <w:r>
        <w:t xml:space="preserve"> </w:t>
      </w:r>
      <w:bookmarkEnd w:id="0"/>
    </w:p>
    <w:p w:rsidR="00EA2D24" w:rsidP="001C0124" w14:paraId="205BF754" w14:textId="21D1F071">
      <w:pPr>
        <w:pStyle w:val="H2"/>
      </w:pPr>
      <w:r>
        <w:t>A.</w:t>
      </w:r>
      <w:r w:rsidR="001C0124">
        <w:tab/>
      </w:r>
      <w:r>
        <w:t>Introduction</w:t>
      </w:r>
    </w:p>
    <w:p w:rsidR="00EA2D24" w:rsidP="001C0124" w14:paraId="032C0E96" w14:textId="3E4FCFEA">
      <w:pPr>
        <w:pStyle w:val="ParagraphContinued"/>
      </w:pPr>
      <w:r>
        <w:t xml:space="preserve">In July 2022, </w:t>
      </w:r>
      <w:r w:rsidR="00236548">
        <w:t>the study team</w:t>
      </w:r>
      <w:r>
        <w:t xml:space="preserve"> conducted a pre-test of the </w:t>
      </w:r>
      <w:r w:rsidR="00E452EC">
        <w:t>English</w:t>
      </w:r>
      <w:r w:rsidR="00E94B0B">
        <w:t xml:space="preserve"> version of the home-based child care </w:t>
      </w:r>
      <w:r w:rsidR="00E452EC">
        <w:t xml:space="preserve"> </w:t>
      </w:r>
      <w:r w:rsidR="00E94B0B">
        <w:t>(</w:t>
      </w:r>
      <w:r w:rsidR="008A44DA">
        <w:t>HBCC</w:t>
      </w:r>
      <w:r w:rsidR="00E94B0B">
        <w:t>)</w:t>
      </w:r>
      <w:r w:rsidR="008A44DA">
        <w:t xml:space="preserve"> </w:t>
      </w:r>
      <w:r w:rsidR="00E94B0B">
        <w:t>provider questionnaire</w:t>
      </w:r>
      <w:r w:rsidR="00E452EC">
        <w:t xml:space="preserve"> in the </w:t>
      </w:r>
      <w:r>
        <w:t xml:space="preserve">Home-Based Child Care Toolkit for Nurturing School-Age Children (HBCC-NSAC Toolkit) as part of the Home-Based Child Care Supply and Quality (HBCCSQ) </w:t>
      </w:r>
      <w:r w:rsidR="00480A28">
        <w:t>project</w:t>
      </w:r>
      <w:r>
        <w:t xml:space="preserve">. The goals of this pre-test were to: 1) </w:t>
      </w:r>
      <w:r w:rsidRPr="004B4B7E">
        <w:t xml:space="preserve">ensure providers with different characteristics interpret items in the </w:t>
      </w:r>
      <w:r w:rsidR="00ED37BF">
        <w:t>provider questionnaire</w:t>
      </w:r>
      <w:r w:rsidRPr="004B4B7E">
        <w:t xml:space="preserve"> in the same way</w:t>
      </w:r>
      <w:r>
        <w:t xml:space="preserve">, 2) test how long it took providers to complete the </w:t>
      </w:r>
      <w:r w:rsidR="00ED37BF">
        <w:t>provider questionnaire</w:t>
      </w:r>
      <w:r>
        <w:t xml:space="preserve">, and 3) collect information about </w:t>
      </w:r>
      <w:r w:rsidR="00480A28">
        <w:t xml:space="preserve">provider </w:t>
      </w:r>
      <w:r>
        <w:t xml:space="preserve">specific practices that could </w:t>
      </w:r>
      <w:r w:rsidR="00480A28">
        <w:t xml:space="preserve">be </w:t>
      </w:r>
      <w:r>
        <w:t>use</w:t>
      </w:r>
      <w:r w:rsidR="00480A28">
        <w:t>d</w:t>
      </w:r>
      <w:r>
        <w:t xml:space="preserve"> as examples in the </w:t>
      </w:r>
      <w:r w:rsidR="00ED37BF">
        <w:t>provider questionnaire</w:t>
      </w:r>
      <w:r>
        <w:t xml:space="preserve"> items. </w:t>
      </w:r>
    </w:p>
    <w:p w:rsidR="00EA2D24" w:rsidP="00EA2D24" w14:paraId="4C384564" w14:textId="3F1844BD">
      <w:pPr>
        <w:pStyle w:val="Paragraph"/>
      </w:pPr>
      <w:r>
        <w:t>T</w:t>
      </w:r>
      <w:r>
        <w:t xml:space="preserve">his </w:t>
      </w:r>
      <w:r w:rsidR="00BC65E8">
        <w:t>appendix</w:t>
      </w:r>
      <w:r>
        <w:t xml:space="preserve"> describe</w:t>
      </w:r>
      <w:r>
        <w:t>s</w:t>
      </w:r>
      <w:r>
        <w:t xml:space="preserve"> the respondents and procedures for conducting the pre-test</w:t>
      </w:r>
      <w:r>
        <w:t xml:space="preserve"> and</w:t>
      </w:r>
      <w:r>
        <w:t xml:space="preserve"> summarize</w:t>
      </w:r>
      <w:r>
        <w:t>s</w:t>
      </w:r>
      <w:r>
        <w:t xml:space="preserve"> recommendations for refining specific items</w:t>
      </w:r>
      <w:r w:rsidR="001C3973">
        <w:t xml:space="preserve"> and subsequent updates</w:t>
      </w:r>
      <w:r>
        <w:t xml:space="preserve">. </w:t>
      </w:r>
    </w:p>
    <w:p w:rsidR="00EA2D24" w:rsidP="001C0124" w14:paraId="25CAF050" w14:textId="1C81E217">
      <w:pPr>
        <w:pStyle w:val="H2"/>
      </w:pPr>
      <w:r>
        <w:t>B.</w:t>
      </w:r>
      <w:r w:rsidR="001C0124">
        <w:tab/>
      </w:r>
      <w:r>
        <w:t>Respondent recruitment</w:t>
      </w:r>
    </w:p>
    <w:p w:rsidR="00000837" w:rsidP="00EA2D24" w14:paraId="62FC8A96" w14:textId="4972738E">
      <w:pPr>
        <w:pStyle w:val="ParagraphContinued"/>
      </w:pPr>
      <w:r>
        <w:t>The study team</w:t>
      </w:r>
      <w:r w:rsidRPr="004B4B7E">
        <w:t xml:space="preserve"> </w:t>
      </w:r>
      <w:r>
        <w:t>worked with staff from</w:t>
      </w:r>
      <w:r w:rsidRPr="004B4B7E">
        <w:t xml:space="preserve"> </w:t>
      </w:r>
      <w:r w:rsidR="00776B33">
        <w:t>five</w:t>
      </w:r>
      <w:r w:rsidRPr="004B4B7E">
        <w:t xml:space="preserve"> </w:t>
      </w:r>
      <w:r w:rsidR="00890DAD">
        <w:t>community organizations</w:t>
      </w:r>
      <w:r w:rsidRPr="004B4B7E">
        <w:t xml:space="preserve"> to</w:t>
      </w:r>
      <w:r>
        <w:t xml:space="preserve"> identify and</w:t>
      </w:r>
      <w:r w:rsidRPr="004B4B7E">
        <w:t xml:space="preserve"> </w:t>
      </w:r>
      <w:r>
        <w:t xml:space="preserve">recruit nine HBCC providers to participate in the pre-test. These </w:t>
      </w:r>
      <w:r w:rsidR="00A66116">
        <w:t xml:space="preserve">organizations </w:t>
      </w:r>
      <w:r>
        <w:t xml:space="preserve">shared contact information for potential participants with recruiters who contacted them using a recruitment script. </w:t>
      </w:r>
      <w:r w:rsidR="00564A1F">
        <w:t>T</w:t>
      </w:r>
      <w:r w:rsidR="00850A6C">
        <w:t>he study team attempted to recruit</w:t>
      </w:r>
      <w:r>
        <w:t xml:space="preserve"> </w:t>
      </w:r>
      <w:r w:rsidRPr="004B4B7E">
        <w:t xml:space="preserve">HBCC providers who </w:t>
      </w:r>
      <w:r w:rsidR="00850A6C">
        <w:t>were a mix of</w:t>
      </w:r>
      <w:r w:rsidRPr="004B4B7E">
        <w:t xml:space="preserve">: licensed and license-exempt, in both urban and rural areas, from different racial and ethnic backgrounds, and </w:t>
      </w:r>
      <w:r>
        <w:t>Spanish-English bilingual.</w:t>
      </w:r>
      <w:r w:rsidR="00A64808">
        <w:t xml:space="preserve"> </w:t>
      </w:r>
      <w:r w:rsidR="00A66116">
        <w:t xml:space="preserve">The study team </w:t>
      </w:r>
      <w:r w:rsidR="00A64808">
        <w:t>aimed to have</w:t>
      </w:r>
      <w:r w:rsidR="00C1507E">
        <w:t xml:space="preserve"> three providers with a given characteristic.</w:t>
      </w:r>
    </w:p>
    <w:p w:rsidR="00000837" w:rsidP="00EA2D24" w14:paraId="6B7D519B" w14:textId="4185C570">
      <w:pPr>
        <w:pStyle w:val="ParagraphContinued"/>
      </w:pPr>
      <w:r>
        <w:t xml:space="preserve">The </w:t>
      </w:r>
      <w:r w:rsidR="0036581E">
        <w:t xml:space="preserve">study </w:t>
      </w:r>
      <w:r>
        <w:t>team</w:t>
      </w:r>
      <w:r w:rsidR="00564A1F">
        <w:t xml:space="preserve"> encountered </w:t>
      </w:r>
      <w:r w:rsidR="00957F0D">
        <w:t>a few</w:t>
      </w:r>
      <w:r w:rsidR="00F861D8">
        <w:t xml:space="preserve"> </w:t>
      </w:r>
      <w:r w:rsidR="00564A1F">
        <w:t>challenges recruiting providers across all of the target characteristics</w:t>
      </w:r>
      <w:r w:rsidR="00330416">
        <w:t xml:space="preserve">. Exhibit </w:t>
      </w:r>
      <w:r w:rsidR="00D93399">
        <w:t xml:space="preserve">1 </w:t>
      </w:r>
      <w:r w:rsidR="00330416">
        <w:t>describes each challenge</w:t>
      </w:r>
      <w:r w:rsidR="000421A9">
        <w:t xml:space="preserve"> and</w:t>
      </w:r>
      <w:r w:rsidR="000D60A7">
        <w:t xml:space="preserve"> lessons learned </w:t>
      </w:r>
      <w:r w:rsidR="004F7BAB">
        <w:t>that the study team</w:t>
      </w:r>
      <w:r w:rsidR="00330416">
        <w:t xml:space="preserve"> will apply to</w:t>
      </w:r>
      <w:r w:rsidR="000D60A7">
        <w:t xml:space="preserve"> the pilot study recruitment approach. </w:t>
      </w:r>
      <w:r w:rsidR="00C21E89">
        <w:t>Exhibit 1 references relevant attachments from the</w:t>
      </w:r>
      <w:r w:rsidRPr="00DC355E" w:rsidR="000E6BCA">
        <w:t xml:space="preserve"> request for Office of Management and Budget approval under the umbrella generic, Pre-testing of Evaluation Data Collection Activities</w:t>
      </w:r>
      <w:r w:rsidRPr="00DC355E" w:rsidR="00C21E89">
        <w:t xml:space="preserve">. </w:t>
      </w:r>
    </w:p>
    <w:p w:rsidR="00330416" w:rsidP="00330416" w14:paraId="17A49730" w14:textId="77777777">
      <w:pPr>
        <w:pStyle w:val="TitleRule"/>
        <w:keepLines/>
      </w:pPr>
      <w:r w:rsidRPr="00465BF8">
        <w:rPr>
          <w:noProof/>
        </w:rPr>
        <mc:AlternateContent>
          <mc:Choice Requires="wps">
            <w:drawing>
              <wp:inline distT="0" distB="0" distL="0" distR="0">
                <wp:extent cx="2971800" cy="0"/>
                <wp:effectExtent l="0" t="38100" r="38100" b="38100"/>
                <wp:docPr id="4" name="Straight Connector 4"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5" alt="decorative "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330416" w:rsidP="00330416" w14:paraId="2048B86C" w14:textId="4F6AC222">
      <w:pPr>
        <w:pStyle w:val="TableTitle"/>
      </w:pPr>
      <w:r>
        <w:t xml:space="preserve">Exhibit 1. Pre-test recruitment challenges and lessons learned for </w:t>
      </w:r>
      <w:r w:rsidR="004F7BAB">
        <w:t xml:space="preserve">the </w:t>
      </w:r>
      <w:r>
        <w:t>pilot stud</w:t>
      </w:r>
      <w:r w:rsidR="004F7BAB">
        <w:t>y</w:t>
      </w:r>
    </w:p>
    <w:tbl>
      <w:tblPr>
        <w:tblStyle w:val="BaseTable"/>
        <w:tblW w:w="0" w:type="auto"/>
        <w:tblLook w:val="04A0"/>
      </w:tblPr>
      <w:tblGrid>
        <w:gridCol w:w="4770"/>
        <w:gridCol w:w="4410"/>
      </w:tblGrid>
      <w:tr w14:paraId="162E3F70" w14:textId="50713809" w:rsidTr="003E62F5">
        <w:tblPrEx>
          <w:tblW w:w="0" w:type="auto"/>
          <w:tblLook w:val="04A0"/>
        </w:tblPrEx>
        <w:tc>
          <w:tcPr>
            <w:tcW w:w="4770" w:type="dxa"/>
            <w:tcBorders>
              <w:top w:val="single" w:sz="4" w:space="0" w:color="auto"/>
            </w:tcBorders>
          </w:tcPr>
          <w:p w:rsidR="00F12304" w:rsidP="00F12304" w14:paraId="2514D8E3" w14:textId="39A6B6C0">
            <w:pPr>
              <w:pStyle w:val="ParagraphContinued"/>
            </w:pPr>
            <w:r>
              <w:t xml:space="preserve">Pre-test </w:t>
            </w:r>
            <w:r w:rsidR="007D7BCA">
              <w:t>recruitment</w:t>
            </w:r>
            <w:r>
              <w:t xml:space="preserve"> challenge</w:t>
            </w:r>
          </w:p>
        </w:tc>
        <w:tc>
          <w:tcPr>
            <w:tcW w:w="4410" w:type="dxa"/>
            <w:tcBorders>
              <w:top w:val="single" w:sz="4" w:space="0" w:color="auto"/>
            </w:tcBorders>
          </w:tcPr>
          <w:p w:rsidR="00F12304" w:rsidP="00F12304" w14:paraId="227F9FCA" w14:textId="06DBCB18">
            <w:pPr>
              <w:pStyle w:val="ParagraphContinued"/>
            </w:pPr>
            <w:r>
              <w:t>Lessons learned for pilot study recruitment</w:t>
            </w:r>
          </w:p>
        </w:tc>
      </w:tr>
      <w:tr w14:paraId="70DD2F7D" w14:textId="46FCCE5B" w:rsidTr="004F7BAB">
        <w:tblPrEx>
          <w:tblW w:w="0" w:type="auto"/>
          <w:tblLook w:val="04A0"/>
        </w:tblPrEx>
        <w:tc>
          <w:tcPr>
            <w:tcW w:w="4770" w:type="dxa"/>
          </w:tcPr>
          <w:p w:rsidR="00F12304" w:rsidP="00F12304" w14:paraId="677CA0F3" w14:textId="59D8AF8A">
            <w:pPr>
              <w:pStyle w:val="ParagraphContinued"/>
            </w:pPr>
            <w:r w:rsidRPr="00F12304">
              <w:t xml:space="preserve">Most </w:t>
            </w:r>
            <w:r w:rsidR="009A75EE">
              <w:t>community organizations</w:t>
            </w:r>
            <w:r w:rsidRPr="00F12304">
              <w:t xml:space="preserve"> said it would likely be too difficult or time consuming for their Spanish-speaking providers to fill out the English version of the provider questionnaire. We ultimately recruited one Hispanic or Latino provider who is Spanish-English bilingual and one Black provider who is Spanish-English bilingual.</w:t>
            </w:r>
          </w:p>
        </w:tc>
        <w:tc>
          <w:tcPr>
            <w:tcW w:w="4410" w:type="dxa"/>
          </w:tcPr>
          <w:p w:rsidR="00F12304" w:rsidP="00F12304" w14:paraId="6B8543C3" w14:textId="041CBA93">
            <w:pPr>
              <w:pStyle w:val="ParagraphContinued"/>
            </w:pPr>
            <w:r>
              <w:t>The study team</w:t>
            </w:r>
            <w:r w:rsidR="007D7BCA">
              <w:t xml:space="preserve"> will return to </w:t>
            </w:r>
            <w:r w:rsidR="00330416">
              <w:t xml:space="preserve">these </w:t>
            </w:r>
            <w:r w:rsidR="00067CFA">
              <w:t xml:space="preserve">community organizations </w:t>
            </w:r>
            <w:r w:rsidR="00330416">
              <w:t>during the pilot stud</w:t>
            </w:r>
            <w:r w:rsidR="00067CFA">
              <w:t>y</w:t>
            </w:r>
            <w:r w:rsidR="00330416">
              <w:t xml:space="preserve"> to recruit </w:t>
            </w:r>
            <w:r w:rsidR="00B62095">
              <w:t>primarily Spanish-speaking providers to complete the Spanish instruments</w:t>
            </w:r>
            <w:r w:rsidR="00AC3F5E">
              <w:t>. Recruiters will be trained to understand that bilingual providers may be comfortable reading and answering questions in one language more than the other and to confirm providers</w:t>
            </w:r>
            <w:r w:rsidR="00EC2324">
              <w:t>’</w:t>
            </w:r>
            <w:r w:rsidR="00AC3F5E">
              <w:t xml:space="preserve"> preferred language for data collection during the recruitment calls</w:t>
            </w:r>
            <w:r w:rsidR="0017194C">
              <w:t xml:space="preserve"> (Instruments 1 and 2)</w:t>
            </w:r>
            <w:r w:rsidR="00AC3F5E">
              <w:t>.</w:t>
            </w:r>
          </w:p>
        </w:tc>
      </w:tr>
      <w:tr w14:paraId="54FE3E69" w14:textId="19E64136" w:rsidTr="004F7BAB">
        <w:tblPrEx>
          <w:tblW w:w="0" w:type="auto"/>
          <w:tblLook w:val="04A0"/>
        </w:tblPrEx>
        <w:tc>
          <w:tcPr>
            <w:tcW w:w="4770" w:type="dxa"/>
          </w:tcPr>
          <w:p w:rsidR="00F12304" w:rsidP="00F12304" w14:paraId="7073BA9B" w14:textId="50658197">
            <w:pPr>
              <w:pStyle w:val="ParagraphContinued"/>
            </w:pPr>
            <w:r>
              <w:t>S</w:t>
            </w:r>
            <w:r w:rsidR="008405A6">
              <w:t xml:space="preserve">ince the initial four </w:t>
            </w:r>
            <w:r w:rsidR="009A75EE">
              <w:t>community organizations</w:t>
            </w:r>
            <w:r w:rsidRPr="00F12304" w:rsidR="009A75EE">
              <w:t xml:space="preserve"> </w:t>
            </w:r>
            <w:r w:rsidR="008405A6">
              <w:t xml:space="preserve">did not recommend any rural providers, </w:t>
            </w:r>
            <w:r w:rsidR="00C73635">
              <w:t>the study team</w:t>
            </w:r>
            <w:r w:rsidRPr="00F12304">
              <w:t xml:space="preserve"> added a fifth </w:t>
            </w:r>
            <w:r w:rsidR="009A75EE">
              <w:t>organization</w:t>
            </w:r>
            <w:r w:rsidRPr="00F12304">
              <w:t xml:space="preserve"> to </w:t>
            </w:r>
            <w:r w:rsidR="007D7BCA">
              <w:t xml:space="preserve">specifically </w:t>
            </w:r>
            <w:r w:rsidRPr="00F12304">
              <w:t>recruit providers who live in rural communities. We ultimately recruited three rural providers.</w:t>
            </w:r>
          </w:p>
        </w:tc>
        <w:tc>
          <w:tcPr>
            <w:tcW w:w="4410" w:type="dxa"/>
          </w:tcPr>
          <w:p w:rsidR="00F12304" w:rsidP="00F12304" w14:paraId="316075CE" w14:textId="028A8620">
            <w:pPr>
              <w:pStyle w:val="ParagraphContinued"/>
            </w:pPr>
            <w:r>
              <w:t>During</w:t>
            </w:r>
            <w:r w:rsidR="000B4A40">
              <w:t xml:space="preserve"> site selection, </w:t>
            </w:r>
            <w:r>
              <w:t>the study team</w:t>
            </w:r>
            <w:r w:rsidR="000B4A40">
              <w:t xml:space="preserve"> will consider the types of providers community organizations primarily work with including </w:t>
            </w:r>
            <w:r w:rsidR="00A04875">
              <w:t>the geographic areas they serve</w:t>
            </w:r>
            <w:r w:rsidR="000B4A40">
              <w:t xml:space="preserve"> in order to purposively include one or more with rural providers. During the initial calls with community organizations</w:t>
            </w:r>
            <w:r w:rsidR="00C61D47">
              <w:t xml:space="preserve"> (Appendix A)</w:t>
            </w:r>
            <w:r w:rsidR="000B4A40">
              <w:t xml:space="preserve">, </w:t>
            </w:r>
            <w:r w:rsidR="001039A8">
              <w:t>the study team</w:t>
            </w:r>
            <w:r w:rsidR="000B4A40">
              <w:t xml:space="preserve"> will ask about the characteristics of providers they work with, including whether they work with</w:t>
            </w:r>
            <w:r w:rsidR="00156AB7">
              <w:t xml:space="preserve"> providers in urban or rural areas</w:t>
            </w:r>
            <w:r w:rsidR="000B4A40">
              <w:t>.</w:t>
            </w:r>
          </w:p>
        </w:tc>
      </w:tr>
      <w:tr w14:paraId="50A81089" w14:textId="65B7592C" w:rsidTr="003E62F5">
        <w:tblPrEx>
          <w:tblW w:w="0" w:type="auto"/>
          <w:tblLook w:val="04A0"/>
        </w:tblPrEx>
        <w:tc>
          <w:tcPr>
            <w:tcW w:w="4770" w:type="dxa"/>
            <w:tcBorders>
              <w:bottom w:val="single" w:sz="4" w:space="0" w:color="046B5C" w:themeColor="text2"/>
            </w:tcBorders>
          </w:tcPr>
          <w:p w:rsidR="00F12304" w:rsidP="00F12304" w14:paraId="38AD2666" w14:textId="0A002D4D">
            <w:pPr>
              <w:pStyle w:val="ParagraphContinued"/>
            </w:pPr>
            <w:r w:rsidRPr="00F12304">
              <w:t xml:space="preserve">None of the </w:t>
            </w:r>
            <w:r w:rsidR="009A75EE">
              <w:t>community organizations</w:t>
            </w:r>
            <w:r w:rsidRPr="00F12304" w:rsidR="009A75EE">
              <w:t xml:space="preserve"> </w:t>
            </w:r>
            <w:r w:rsidRPr="00F12304">
              <w:t>were able to recommend providers who are Asian or Pacific Islander</w:t>
            </w:r>
            <w:r w:rsidR="007D7BCA">
              <w:t xml:space="preserve"> for the pre-test</w:t>
            </w:r>
            <w:r w:rsidRPr="00F12304">
              <w:t>.</w:t>
            </w:r>
          </w:p>
        </w:tc>
        <w:tc>
          <w:tcPr>
            <w:tcW w:w="4410" w:type="dxa"/>
            <w:tcBorders>
              <w:bottom w:val="single" w:sz="4" w:space="0" w:color="046B5C" w:themeColor="text2"/>
            </w:tcBorders>
          </w:tcPr>
          <w:p w:rsidR="00F12304" w:rsidP="00F12304" w14:paraId="45E4E6D1" w14:textId="48BD69BF">
            <w:pPr>
              <w:pStyle w:val="ParagraphContinued"/>
            </w:pPr>
            <w:r>
              <w:t>During</w:t>
            </w:r>
            <w:r w:rsidR="00DF13C0">
              <w:t xml:space="preserve"> site selection, </w:t>
            </w:r>
            <w:r>
              <w:t>the study team</w:t>
            </w:r>
            <w:r w:rsidR="00DF13C0">
              <w:t xml:space="preserve"> will</w:t>
            </w:r>
            <w:r w:rsidR="000B4A40">
              <w:t xml:space="preserve"> </w:t>
            </w:r>
            <w:r w:rsidR="00423C5E">
              <w:t xml:space="preserve">consider </w:t>
            </w:r>
            <w:r w:rsidR="00DF13C0">
              <w:t xml:space="preserve">the </w:t>
            </w:r>
            <w:r w:rsidR="000B4A40">
              <w:t xml:space="preserve">types of providers </w:t>
            </w:r>
            <w:r w:rsidR="00423C5E">
              <w:t>community organizations</w:t>
            </w:r>
            <w:r w:rsidR="000B4A40">
              <w:t xml:space="preserve"> primarily work with including racial or ethnic groups in order to purposively include one or more with </w:t>
            </w:r>
            <w:r w:rsidRPr="00F12304" w:rsidR="000B4A40">
              <w:t>Asian or Pacific Islander</w:t>
            </w:r>
            <w:r w:rsidR="000B4A40">
              <w:t xml:space="preserve"> providers</w:t>
            </w:r>
            <w:r w:rsidR="00423C5E">
              <w:t>. During the initial calls with community organizations</w:t>
            </w:r>
            <w:r w:rsidR="00C61D47">
              <w:t xml:space="preserve"> (Appendix A)</w:t>
            </w:r>
            <w:r w:rsidR="00423C5E">
              <w:t xml:space="preserve">, </w:t>
            </w:r>
            <w:r>
              <w:t>the study team</w:t>
            </w:r>
            <w:r w:rsidR="00423C5E">
              <w:t xml:space="preserve"> will ask about the </w:t>
            </w:r>
            <w:r w:rsidR="00DF13C0">
              <w:t>characteristics of providers they work with, including whether they work with any particular racial or ethnic groups.</w:t>
            </w:r>
          </w:p>
        </w:tc>
      </w:tr>
    </w:tbl>
    <w:p w:rsidR="00F12304" w:rsidP="00C21E89" w14:paraId="61AB4319" w14:textId="77777777">
      <w:pPr>
        <w:pStyle w:val="ParagraphContinued"/>
      </w:pPr>
    </w:p>
    <w:p w:rsidR="00ED18AF" w:rsidP="0038169C" w14:paraId="22595B41" w14:textId="5DC86BD6">
      <w:pPr>
        <w:pStyle w:val="ParagraphContinued"/>
      </w:pPr>
      <w:r>
        <w:t xml:space="preserve">Exhibit </w:t>
      </w:r>
      <w:r w:rsidR="00330416">
        <w:t>2</w:t>
      </w:r>
      <w:r>
        <w:t xml:space="preserve"> shows the pre-test respondents by these characteristics. </w:t>
      </w:r>
    </w:p>
    <w:p w:rsidR="00EA2D24" w:rsidP="00EA2D24" w14:paraId="2FE4BB98" w14:textId="7C0B34C2">
      <w:pPr>
        <w:pStyle w:val="TitleRule"/>
        <w:keepLines/>
      </w:pPr>
      <w:r w:rsidRPr="00465BF8">
        <w:rPr>
          <w:noProof/>
        </w:rPr>
        <mc:AlternateContent>
          <mc:Choice Requires="wps">
            <w:drawing>
              <wp:inline distT="0" distB="0" distL="0" distR="0">
                <wp:extent cx="2971800" cy="0"/>
                <wp:effectExtent l="0" t="38100" r="38100" b="38100"/>
                <wp:docPr id="1" name="Straight Connector 1"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6" alt="decorative "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EA2D24" w:rsidP="00EA2D24" w14:paraId="74FD8CC2" w14:textId="6CDDD991">
      <w:pPr>
        <w:pStyle w:val="TableTitle"/>
      </w:pPr>
      <w:bookmarkStart w:id="1" w:name="_Toc34920062"/>
      <w:r>
        <w:t xml:space="preserve">Exhibit </w:t>
      </w:r>
      <w:r w:rsidR="00330416">
        <w:t>2</w:t>
      </w:r>
      <w:r>
        <w:t xml:space="preserve">. </w:t>
      </w:r>
      <w:bookmarkEnd w:id="1"/>
      <w:r w:rsidR="001662A2">
        <w:t>July 2022 English version p</w:t>
      </w:r>
      <w:r>
        <w:t>re-test respondent characteristics</w:t>
      </w:r>
    </w:p>
    <w:tbl>
      <w:tblPr>
        <w:tblStyle w:val="BaseTable"/>
        <w:tblW w:w="0" w:type="auto"/>
        <w:tblLook w:val="04A0"/>
      </w:tblPr>
      <w:tblGrid>
        <w:gridCol w:w="3240"/>
        <w:gridCol w:w="1527"/>
        <w:gridCol w:w="1528"/>
        <w:gridCol w:w="1527"/>
        <w:gridCol w:w="1528"/>
      </w:tblGrid>
      <w:tr w14:paraId="5294C37D" w14:textId="77777777" w:rsidTr="005D23E9">
        <w:tblPrEx>
          <w:tblW w:w="0" w:type="auto"/>
          <w:tblLook w:val="04A0"/>
        </w:tblPrEx>
        <w:trPr>
          <w:trHeight w:val="120"/>
          <w:tblHeader/>
        </w:trPr>
        <w:tc>
          <w:tcPr>
            <w:tcW w:w="3240" w:type="dxa"/>
            <w:vMerge w:val="restart"/>
            <w:tcBorders>
              <w:bottom w:val="single" w:sz="4" w:space="0" w:color="FFFFFF"/>
            </w:tcBorders>
          </w:tcPr>
          <w:p w:rsidR="00EA2D24" w:rsidRPr="008A6428" w:rsidP="000E2D32" w14:paraId="3E0DE6D0" w14:textId="77777777">
            <w:pPr>
              <w:pStyle w:val="TableHeaderLeft"/>
              <w:rPr>
                <w:b w:val="0"/>
              </w:rPr>
            </w:pPr>
            <w:r w:rsidRPr="008A6428">
              <w:t>Data collection</w:t>
            </w:r>
          </w:p>
        </w:tc>
        <w:tc>
          <w:tcPr>
            <w:tcW w:w="3055" w:type="dxa"/>
            <w:gridSpan w:val="2"/>
            <w:tcBorders>
              <w:bottom w:val="single" w:sz="4" w:space="0" w:color="FFFFFF"/>
            </w:tcBorders>
          </w:tcPr>
          <w:p w:rsidR="00EA2D24" w:rsidRPr="008A6428" w:rsidP="000E2D32" w14:paraId="365C889D" w14:textId="77777777">
            <w:pPr>
              <w:pStyle w:val="TableHeaderCenter"/>
              <w:rPr>
                <w:b w:val="0"/>
              </w:rPr>
            </w:pPr>
            <w:r>
              <w:rPr>
                <w:rFonts w:cstheme="majorHAnsi"/>
                <w:szCs w:val="20"/>
              </w:rPr>
              <w:t>Urban</w:t>
            </w:r>
          </w:p>
        </w:tc>
        <w:tc>
          <w:tcPr>
            <w:tcW w:w="3055" w:type="dxa"/>
            <w:gridSpan w:val="2"/>
            <w:tcBorders>
              <w:bottom w:val="single" w:sz="4" w:space="0" w:color="FFFFFF"/>
            </w:tcBorders>
          </w:tcPr>
          <w:p w:rsidR="00EA2D24" w:rsidRPr="008A6428" w:rsidP="000E2D32" w14:paraId="16F1BAB7" w14:textId="77777777">
            <w:pPr>
              <w:pStyle w:val="TableHeaderCenter"/>
              <w:rPr>
                <w:b w:val="0"/>
              </w:rPr>
            </w:pPr>
            <w:r>
              <w:rPr>
                <w:rFonts w:cstheme="majorHAnsi"/>
                <w:szCs w:val="20"/>
              </w:rPr>
              <w:t>Rural</w:t>
            </w:r>
          </w:p>
        </w:tc>
      </w:tr>
      <w:tr w14:paraId="3E301D51" w14:textId="77777777" w:rsidTr="005D23E9">
        <w:tblPrEx>
          <w:tblW w:w="0" w:type="auto"/>
          <w:tblLook w:val="04A0"/>
        </w:tblPrEx>
        <w:trPr>
          <w:trHeight w:val="120"/>
          <w:tblHeader/>
        </w:trPr>
        <w:tc>
          <w:tcPr>
            <w:tcW w:w="3240" w:type="dxa"/>
            <w:vMerge/>
            <w:tcBorders>
              <w:top w:val="single" w:sz="4" w:space="0" w:color="FFFFFF"/>
            </w:tcBorders>
          </w:tcPr>
          <w:p w:rsidR="00EA2D24" w:rsidRPr="008A6428" w:rsidP="001C0124" w14:paraId="301C776A" w14:textId="77777777">
            <w:pPr>
              <w:pStyle w:val="TableHeaderCenter"/>
              <w:rPr>
                <w:rFonts w:cstheme="majorHAnsi"/>
                <w:b w:val="0"/>
                <w:szCs w:val="20"/>
              </w:rPr>
            </w:pPr>
          </w:p>
        </w:tc>
        <w:tc>
          <w:tcPr>
            <w:tcW w:w="1527" w:type="dxa"/>
            <w:tcBorders>
              <w:top w:val="single" w:sz="4" w:space="0" w:color="FFFFFF"/>
            </w:tcBorders>
          </w:tcPr>
          <w:p w:rsidR="00EA2D24" w:rsidRPr="008A6428" w:rsidP="000E2D32" w14:paraId="4F1DF1A7" w14:textId="77777777">
            <w:pPr>
              <w:pStyle w:val="TableHeaderCenter"/>
              <w:rPr>
                <w:b w:val="0"/>
              </w:rPr>
            </w:pPr>
            <w:r w:rsidRPr="005F5F5D">
              <w:rPr>
                <w:rFonts w:cstheme="majorHAnsi"/>
                <w:szCs w:val="20"/>
              </w:rPr>
              <w:t>English-speaking providers</w:t>
            </w:r>
          </w:p>
        </w:tc>
        <w:tc>
          <w:tcPr>
            <w:tcW w:w="1528" w:type="dxa"/>
            <w:tcBorders>
              <w:top w:val="single" w:sz="4" w:space="0" w:color="FFFFFF"/>
            </w:tcBorders>
          </w:tcPr>
          <w:p w:rsidR="00EA2D24" w:rsidRPr="008A6428" w:rsidP="000E2D32" w14:paraId="4ACC6CD5" w14:textId="77777777">
            <w:pPr>
              <w:pStyle w:val="TableHeaderCenter"/>
              <w:rPr>
                <w:b w:val="0"/>
              </w:rPr>
            </w:pPr>
            <w:r w:rsidRPr="005F5F5D">
              <w:rPr>
                <w:rFonts w:cstheme="majorHAnsi"/>
                <w:szCs w:val="20"/>
              </w:rPr>
              <w:t>Spanish-</w:t>
            </w:r>
            <w:r>
              <w:rPr>
                <w:rFonts w:cstheme="majorHAnsi"/>
                <w:szCs w:val="20"/>
              </w:rPr>
              <w:t>English bilingual providers</w:t>
            </w:r>
          </w:p>
        </w:tc>
        <w:tc>
          <w:tcPr>
            <w:tcW w:w="1527" w:type="dxa"/>
            <w:tcBorders>
              <w:top w:val="single" w:sz="4" w:space="0" w:color="FFFFFF"/>
            </w:tcBorders>
          </w:tcPr>
          <w:p w:rsidR="00EA2D24" w:rsidRPr="008A6428" w:rsidP="000E2D32" w14:paraId="1F780711" w14:textId="77777777">
            <w:pPr>
              <w:pStyle w:val="TableHeaderCenter"/>
              <w:rPr>
                <w:b w:val="0"/>
              </w:rPr>
            </w:pPr>
            <w:r w:rsidRPr="005F5F5D">
              <w:rPr>
                <w:rFonts w:cstheme="majorHAnsi"/>
                <w:szCs w:val="20"/>
              </w:rPr>
              <w:t>English-speaking providers</w:t>
            </w:r>
          </w:p>
        </w:tc>
        <w:tc>
          <w:tcPr>
            <w:tcW w:w="1528" w:type="dxa"/>
            <w:tcBorders>
              <w:top w:val="single" w:sz="4" w:space="0" w:color="FFFFFF"/>
            </w:tcBorders>
          </w:tcPr>
          <w:p w:rsidR="00EA2D24" w:rsidRPr="008A6428" w:rsidP="000E2D32" w14:paraId="5AB3C8ED" w14:textId="77777777">
            <w:pPr>
              <w:pStyle w:val="TableHeaderCenter"/>
              <w:rPr>
                <w:b w:val="0"/>
              </w:rPr>
            </w:pPr>
            <w:r w:rsidRPr="005F5F5D">
              <w:rPr>
                <w:rFonts w:cstheme="majorHAnsi"/>
                <w:szCs w:val="20"/>
              </w:rPr>
              <w:t>Spanish-</w:t>
            </w:r>
            <w:r>
              <w:rPr>
                <w:rFonts w:cstheme="majorHAnsi"/>
                <w:szCs w:val="20"/>
              </w:rPr>
              <w:t>English bilingual providers</w:t>
            </w:r>
          </w:p>
        </w:tc>
      </w:tr>
      <w:tr w14:paraId="1A50CCE1" w14:textId="77777777" w:rsidTr="005D23E9">
        <w:tblPrEx>
          <w:tblW w:w="0" w:type="auto"/>
          <w:tblLook w:val="04A0"/>
        </w:tblPrEx>
        <w:trPr>
          <w:trHeight w:val="120"/>
        </w:trPr>
        <w:tc>
          <w:tcPr>
            <w:tcW w:w="3240" w:type="dxa"/>
          </w:tcPr>
          <w:p w:rsidR="00EA2D24" w:rsidRPr="005F5F5D" w:rsidP="000E2D32" w14:paraId="56E17182" w14:textId="77777777">
            <w:pPr>
              <w:pStyle w:val="TableTextLeft"/>
            </w:pPr>
            <w:r w:rsidRPr="00605799">
              <w:t>Black</w:t>
            </w:r>
            <w:r>
              <w:t>, non-Hispanic</w:t>
            </w:r>
          </w:p>
        </w:tc>
        <w:tc>
          <w:tcPr>
            <w:tcW w:w="1527" w:type="dxa"/>
          </w:tcPr>
          <w:p w:rsidR="00EA2D24" w:rsidRPr="00E136E0" w:rsidP="001C0124" w14:paraId="21CC7433" w14:textId="77777777">
            <w:pPr>
              <w:pStyle w:val="TableTextLeft"/>
              <w:rPr>
                <w:vertAlign w:val="superscript"/>
              </w:rPr>
            </w:pPr>
            <w:r>
              <w:t>3</w:t>
            </w:r>
            <w:r>
              <w:rPr>
                <w:vertAlign w:val="superscript"/>
              </w:rPr>
              <w:t>a</w:t>
            </w:r>
          </w:p>
        </w:tc>
        <w:tc>
          <w:tcPr>
            <w:tcW w:w="1528" w:type="dxa"/>
          </w:tcPr>
          <w:p w:rsidR="00EA2D24" w:rsidRPr="005F5F5D" w:rsidP="001C0124" w14:paraId="3B92988D" w14:textId="77777777">
            <w:pPr>
              <w:pStyle w:val="TableTextLeft"/>
            </w:pPr>
            <w:r>
              <w:t>1</w:t>
            </w:r>
          </w:p>
        </w:tc>
        <w:tc>
          <w:tcPr>
            <w:tcW w:w="1527" w:type="dxa"/>
          </w:tcPr>
          <w:p w:rsidR="00EA2D24" w:rsidRPr="005F5F5D" w:rsidP="001C0124" w14:paraId="01F332C4" w14:textId="77777777">
            <w:pPr>
              <w:pStyle w:val="TableTextLeft"/>
            </w:pPr>
            <w:r>
              <w:t>0</w:t>
            </w:r>
          </w:p>
        </w:tc>
        <w:tc>
          <w:tcPr>
            <w:tcW w:w="1528" w:type="dxa"/>
          </w:tcPr>
          <w:p w:rsidR="00EA2D24" w:rsidRPr="005F5F5D" w:rsidP="001C0124" w14:paraId="69EF3F00" w14:textId="77777777">
            <w:pPr>
              <w:pStyle w:val="TableTextLeft"/>
            </w:pPr>
            <w:r>
              <w:t>0</w:t>
            </w:r>
          </w:p>
        </w:tc>
      </w:tr>
      <w:tr w14:paraId="7CD20692" w14:textId="77777777" w:rsidTr="005D23E9">
        <w:tblPrEx>
          <w:tblW w:w="0" w:type="auto"/>
          <w:tblLook w:val="04A0"/>
        </w:tblPrEx>
        <w:trPr>
          <w:trHeight w:val="120"/>
        </w:trPr>
        <w:tc>
          <w:tcPr>
            <w:tcW w:w="3240" w:type="dxa"/>
          </w:tcPr>
          <w:p w:rsidR="00EA2D24" w:rsidRPr="005F5F5D" w:rsidP="000E2D32" w14:paraId="28D0911B" w14:textId="77777777">
            <w:pPr>
              <w:pStyle w:val="TableTextLeft"/>
            </w:pPr>
            <w:r w:rsidRPr="00605799">
              <w:t>Hispanic</w:t>
            </w:r>
            <w:r>
              <w:t xml:space="preserve"> or Latino</w:t>
            </w:r>
          </w:p>
        </w:tc>
        <w:tc>
          <w:tcPr>
            <w:tcW w:w="1527" w:type="dxa"/>
          </w:tcPr>
          <w:p w:rsidR="00EA2D24" w:rsidRPr="005F5F5D" w:rsidP="001C0124" w14:paraId="645B8994" w14:textId="77777777">
            <w:pPr>
              <w:pStyle w:val="TableTextLeft"/>
            </w:pPr>
            <w:r>
              <w:t>0</w:t>
            </w:r>
          </w:p>
        </w:tc>
        <w:tc>
          <w:tcPr>
            <w:tcW w:w="1528" w:type="dxa"/>
          </w:tcPr>
          <w:p w:rsidR="00EA2D24" w:rsidRPr="005F5F5D" w:rsidP="001C0124" w14:paraId="26B9EBA0" w14:textId="77777777">
            <w:pPr>
              <w:pStyle w:val="TableTextLeft"/>
            </w:pPr>
            <w:r>
              <w:t>1</w:t>
            </w:r>
          </w:p>
        </w:tc>
        <w:tc>
          <w:tcPr>
            <w:tcW w:w="1527" w:type="dxa"/>
          </w:tcPr>
          <w:p w:rsidR="00EA2D24" w:rsidRPr="005F5F5D" w:rsidP="001C0124" w14:paraId="45913271" w14:textId="77777777">
            <w:pPr>
              <w:pStyle w:val="TableTextLeft"/>
            </w:pPr>
            <w:r>
              <w:t>0</w:t>
            </w:r>
          </w:p>
        </w:tc>
        <w:tc>
          <w:tcPr>
            <w:tcW w:w="1528" w:type="dxa"/>
          </w:tcPr>
          <w:p w:rsidR="00EA2D24" w:rsidRPr="005F5F5D" w:rsidP="001C0124" w14:paraId="6E48E04E" w14:textId="77777777">
            <w:pPr>
              <w:pStyle w:val="TableTextLeft"/>
            </w:pPr>
            <w:r>
              <w:t>0</w:t>
            </w:r>
          </w:p>
        </w:tc>
      </w:tr>
      <w:tr w14:paraId="3F1E4E5D" w14:textId="77777777" w:rsidTr="005D23E9">
        <w:tblPrEx>
          <w:tblW w:w="0" w:type="auto"/>
          <w:tblLook w:val="04A0"/>
        </w:tblPrEx>
        <w:trPr>
          <w:trHeight w:val="120"/>
        </w:trPr>
        <w:tc>
          <w:tcPr>
            <w:tcW w:w="3240" w:type="dxa"/>
          </w:tcPr>
          <w:p w:rsidR="00EA2D24" w:rsidRPr="005F5F5D" w:rsidP="000E2D32" w14:paraId="20530128" w14:textId="77777777">
            <w:pPr>
              <w:pStyle w:val="TableTextLeft"/>
            </w:pPr>
            <w:r w:rsidRPr="00605799">
              <w:t>White</w:t>
            </w:r>
            <w:r>
              <w:t>, non-Hispanic</w:t>
            </w:r>
          </w:p>
        </w:tc>
        <w:tc>
          <w:tcPr>
            <w:tcW w:w="1527" w:type="dxa"/>
          </w:tcPr>
          <w:p w:rsidR="00EA2D24" w:rsidP="001C0124" w14:paraId="2B602796" w14:textId="77777777">
            <w:pPr>
              <w:pStyle w:val="TableTextLeft"/>
            </w:pPr>
            <w:r>
              <w:t>1</w:t>
            </w:r>
          </w:p>
        </w:tc>
        <w:tc>
          <w:tcPr>
            <w:tcW w:w="1528" w:type="dxa"/>
          </w:tcPr>
          <w:p w:rsidR="00EA2D24" w:rsidP="001C0124" w14:paraId="22DB66FB" w14:textId="77777777">
            <w:pPr>
              <w:pStyle w:val="TableTextLeft"/>
            </w:pPr>
            <w:r>
              <w:t>0</w:t>
            </w:r>
          </w:p>
        </w:tc>
        <w:tc>
          <w:tcPr>
            <w:tcW w:w="1527" w:type="dxa"/>
          </w:tcPr>
          <w:p w:rsidR="00EA2D24" w:rsidP="001C0124" w14:paraId="560A7B95" w14:textId="77777777">
            <w:pPr>
              <w:pStyle w:val="TableTextLeft"/>
            </w:pPr>
            <w:r>
              <w:t>3</w:t>
            </w:r>
          </w:p>
        </w:tc>
        <w:tc>
          <w:tcPr>
            <w:tcW w:w="1528" w:type="dxa"/>
          </w:tcPr>
          <w:p w:rsidR="00EA2D24" w:rsidP="001C0124" w14:paraId="6B33D925" w14:textId="77777777">
            <w:pPr>
              <w:pStyle w:val="TableTextLeft"/>
            </w:pPr>
            <w:r>
              <w:t>0</w:t>
            </w:r>
          </w:p>
        </w:tc>
      </w:tr>
      <w:tr w14:paraId="2EA8A5A7" w14:textId="77777777" w:rsidTr="005D23E9">
        <w:tblPrEx>
          <w:tblW w:w="0" w:type="auto"/>
          <w:tblLook w:val="04A0"/>
        </w:tblPrEx>
        <w:trPr>
          <w:trHeight w:val="120"/>
        </w:trPr>
        <w:tc>
          <w:tcPr>
            <w:tcW w:w="3240" w:type="dxa"/>
          </w:tcPr>
          <w:p w:rsidR="00EA2D24" w:rsidRPr="00605799" w:rsidP="000E2D32" w14:paraId="08B10B3F" w14:textId="77777777">
            <w:pPr>
              <w:pStyle w:val="TableTextLeft"/>
            </w:pPr>
            <w:r>
              <w:t>Asian or Pacific Islander, non-Hispanic</w:t>
            </w:r>
          </w:p>
        </w:tc>
        <w:tc>
          <w:tcPr>
            <w:tcW w:w="1527" w:type="dxa"/>
          </w:tcPr>
          <w:p w:rsidR="00EA2D24" w:rsidP="001C0124" w14:paraId="0B0931FA" w14:textId="77777777">
            <w:pPr>
              <w:pStyle w:val="TableTextLeft"/>
            </w:pPr>
            <w:r>
              <w:t>0</w:t>
            </w:r>
          </w:p>
        </w:tc>
        <w:tc>
          <w:tcPr>
            <w:tcW w:w="1528" w:type="dxa"/>
          </w:tcPr>
          <w:p w:rsidR="00EA2D24" w:rsidP="001C0124" w14:paraId="7ACEFF3C" w14:textId="77777777">
            <w:pPr>
              <w:pStyle w:val="TableTextLeft"/>
            </w:pPr>
            <w:r>
              <w:t>0</w:t>
            </w:r>
          </w:p>
        </w:tc>
        <w:tc>
          <w:tcPr>
            <w:tcW w:w="1527" w:type="dxa"/>
          </w:tcPr>
          <w:p w:rsidR="00EA2D24" w:rsidP="001C0124" w14:paraId="7222A292" w14:textId="77777777">
            <w:pPr>
              <w:pStyle w:val="TableTextLeft"/>
            </w:pPr>
            <w:r>
              <w:t>0</w:t>
            </w:r>
          </w:p>
        </w:tc>
        <w:tc>
          <w:tcPr>
            <w:tcW w:w="1528" w:type="dxa"/>
          </w:tcPr>
          <w:p w:rsidR="00EA2D24" w:rsidP="001C0124" w14:paraId="35C3ABF5" w14:textId="77777777">
            <w:pPr>
              <w:pStyle w:val="TableTextLeft"/>
            </w:pPr>
            <w:r>
              <w:t>0</w:t>
            </w:r>
          </w:p>
        </w:tc>
      </w:tr>
    </w:tbl>
    <w:p w:rsidR="00EA2D24" w:rsidP="00EA2D24" w14:paraId="16E7D4BB" w14:textId="324EA2AC">
      <w:pPr>
        <w:pStyle w:val="TableFootnote"/>
        <w:rPr>
          <w:rFonts w:ascii="Arial" w:hAnsi="Arial" w:cs="Arial"/>
        </w:rPr>
      </w:pPr>
      <w:r w:rsidRPr="00205654">
        <w:rPr>
          <w:rStyle w:val="Superscript"/>
        </w:rPr>
        <w:t>a</w:t>
      </w:r>
      <w:r>
        <w:rPr>
          <w:rFonts w:ascii="Arial" w:hAnsi="Arial" w:cs="Arial"/>
        </w:rPr>
        <w:t xml:space="preserve"> Two</w:t>
      </w:r>
      <w:r>
        <w:rPr>
          <w:rFonts w:ascii="Arial" w:hAnsi="Arial" w:cs="Arial"/>
        </w:rPr>
        <w:t xml:space="preserve"> of the four respondents in this category were Family, Friend, and Neighbor (FFN) providers. All other providers were Family Child Care (FCC) providers. </w:t>
      </w:r>
    </w:p>
    <w:p w:rsidR="00EA2D24" w:rsidP="005D23E9" w14:paraId="56D8D456" w14:textId="577F54E7">
      <w:pPr>
        <w:pStyle w:val="H2"/>
      </w:pPr>
      <w:r>
        <w:t>C.</w:t>
      </w:r>
      <w:r w:rsidR="005D23E9">
        <w:tab/>
      </w:r>
      <w:r>
        <w:t>Pre-test procedures</w:t>
      </w:r>
    </w:p>
    <w:p w:rsidR="00EA2D24" w:rsidP="00EA2D24" w14:paraId="5756CF3E" w14:textId="32F5AE6D">
      <w:pPr>
        <w:pStyle w:val="ParagraphContinued"/>
      </w:pPr>
      <w:r w:rsidRPr="00FA2614">
        <w:t>Respondents</w:t>
      </w:r>
      <w:r>
        <w:t xml:space="preserve"> ha</w:t>
      </w:r>
      <w:r w:rsidR="00C9705A">
        <w:t>d</w:t>
      </w:r>
      <w:r>
        <w:t xml:space="preserve"> the option to receive an electronic</w:t>
      </w:r>
      <w:r w:rsidR="00850A6C">
        <w:t xml:space="preserve">, Word </w:t>
      </w:r>
      <w:r w:rsidR="008A44DA">
        <w:t>version</w:t>
      </w:r>
      <w:r>
        <w:t xml:space="preserve"> of the </w:t>
      </w:r>
      <w:r w:rsidR="000A18A8">
        <w:t xml:space="preserve">provider </w:t>
      </w:r>
      <w:r w:rsidR="00B7543F">
        <w:t>questionnaire</w:t>
      </w:r>
      <w:r>
        <w:t xml:space="preserve"> via email, or paper cop</w:t>
      </w:r>
      <w:r w:rsidR="00B7543F">
        <w:t>ies</w:t>
      </w:r>
      <w:r>
        <w:t xml:space="preserve"> through the mail. </w:t>
      </w:r>
      <w:r w:rsidR="00420491">
        <w:t>R</w:t>
      </w:r>
      <w:r w:rsidRPr="00E94F6C">
        <w:t xml:space="preserve">espondents </w:t>
      </w:r>
      <w:r w:rsidR="00420491">
        <w:t xml:space="preserve">were asked </w:t>
      </w:r>
      <w:r w:rsidRPr="00E94F6C">
        <w:t xml:space="preserve">to complete the </w:t>
      </w:r>
      <w:r w:rsidR="007306CE">
        <w:t xml:space="preserve">English </w:t>
      </w:r>
      <w:r w:rsidR="007F4D32">
        <w:t>version</w:t>
      </w:r>
      <w:r w:rsidR="007306CE">
        <w:t xml:space="preserve"> </w:t>
      </w:r>
      <w:r w:rsidR="007F4D32">
        <w:t>of the provider questionnaire</w:t>
      </w:r>
      <w:r>
        <w:t xml:space="preserve">, </w:t>
      </w:r>
      <w:r w:rsidRPr="00E94F6C">
        <w:t xml:space="preserve">track how long </w:t>
      </w:r>
      <w:r w:rsidR="00A52EF6">
        <w:t>it</w:t>
      </w:r>
      <w:r w:rsidRPr="00E94F6C" w:rsidR="00A52EF6">
        <w:t xml:space="preserve"> </w:t>
      </w:r>
      <w:r w:rsidRPr="00E94F6C">
        <w:t>took them</w:t>
      </w:r>
      <w:r>
        <w:t xml:space="preserve">, and return it to the study team a few days before </w:t>
      </w:r>
      <w:r w:rsidR="008A44DA">
        <w:t xml:space="preserve">a </w:t>
      </w:r>
      <w:r>
        <w:t>cognitive interview.</w:t>
      </w:r>
    </w:p>
    <w:p w:rsidR="00EA2D24" w:rsidP="005D23E9" w14:paraId="38595BDC" w14:textId="16316511">
      <w:pPr>
        <w:pStyle w:val="Paragraph"/>
      </w:pPr>
      <w:r>
        <w:t>T</w:t>
      </w:r>
      <w:r w:rsidRPr="00FA2614">
        <w:t xml:space="preserve">wo </w:t>
      </w:r>
      <w:r w:rsidR="000868CB">
        <w:t>study team members</w:t>
      </w:r>
      <w:r w:rsidRPr="00FA2614">
        <w:t>, with one serving as lead interviewer and the second as note taker</w:t>
      </w:r>
      <w:r>
        <w:t xml:space="preserve">, conducted 30-minute cognitive interviews via </w:t>
      </w:r>
      <w:r w:rsidR="00DE6517">
        <w:t>a virtual meeting platform</w:t>
      </w:r>
      <w:r>
        <w:t xml:space="preserve"> </w:t>
      </w:r>
      <w:r w:rsidRPr="00127EF0">
        <w:t xml:space="preserve">with each </w:t>
      </w:r>
      <w:r>
        <w:t>pre-test</w:t>
      </w:r>
      <w:r w:rsidRPr="00127EF0">
        <w:t xml:space="preserve"> respondent</w:t>
      </w:r>
      <w:r w:rsidR="008A44DA">
        <w:t>. The purpose of the cognitive interviews was</w:t>
      </w:r>
      <w:r w:rsidRPr="00127EF0">
        <w:t xml:space="preserve"> to identify questions that were confusing or difficult </w:t>
      </w:r>
      <w:r w:rsidR="008A44DA">
        <w:t xml:space="preserve">for respondents </w:t>
      </w:r>
      <w:r w:rsidRPr="00127EF0">
        <w:t xml:space="preserve">to answer and </w:t>
      </w:r>
      <w:r w:rsidR="008A44DA">
        <w:t>get respondents’</w:t>
      </w:r>
      <w:r>
        <w:t xml:space="preserve"> </w:t>
      </w:r>
      <w:r w:rsidRPr="00127EF0">
        <w:t>recommendations for changes</w:t>
      </w:r>
      <w:r w:rsidRPr="00FA2614">
        <w:t xml:space="preserve">. </w:t>
      </w:r>
      <w:r>
        <w:t xml:space="preserve">With respondents’ consent, </w:t>
      </w:r>
      <w:r w:rsidR="004873AB">
        <w:t>the study team</w:t>
      </w:r>
      <w:r>
        <w:t xml:space="preserve"> recorded the interviews. </w:t>
      </w:r>
      <w:r w:rsidR="004873AB">
        <w:t>The team members</w:t>
      </w:r>
      <w:r>
        <w:t xml:space="preserve"> used</w:t>
      </w:r>
      <w:r w:rsidRPr="00FA2614">
        <w:t xml:space="preserve"> concurrent probing techniques to assess item-specific issues and then use</w:t>
      </w:r>
      <w:r>
        <w:t>d</w:t>
      </w:r>
      <w:r w:rsidRPr="00FA2614">
        <w:t xml:space="preserve"> a retrospective approach for more general discussion (for example, asking if there were any questions that were difficult to respond to). </w:t>
      </w:r>
      <w:r>
        <w:t xml:space="preserve">During the interview, respondents were asked to have a copy of the </w:t>
      </w:r>
      <w:r w:rsidR="0005352A">
        <w:t xml:space="preserve">provider questionnaire </w:t>
      </w:r>
      <w:r>
        <w:t>in front of them to refer to specific items</w:t>
      </w:r>
      <w:r w:rsidR="00D411A3">
        <w:t xml:space="preserve"> and</w:t>
      </w:r>
      <w:r>
        <w:t xml:space="preserve"> interviewer</w:t>
      </w:r>
      <w:r w:rsidR="00D411A3">
        <w:t>s</w:t>
      </w:r>
      <w:r>
        <w:t xml:space="preserve"> read item</w:t>
      </w:r>
      <w:r w:rsidR="00D411A3">
        <w:t>s</w:t>
      </w:r>
      <w:r>
        <w:t xml:space="preserve"> aloud</w:t>
      </w:r>
      <w:r w:rsidR="0016775D">
        <w:t xml:space="preserve"> </w:t>
      </w:r>
      <w:r w:rsidR="00D411A3">
        <w:t>as needed</w:t>
      </w:r>
      <w:r>
        <w:t xml:space="preserve">. </w:t>
      </w:r>
    </w:p>
    <w:p w:rsidR="00EA2D24" w:rsidP="005D23E9" w14:paraId="5725D4B2" w14:textId="680C07C4">
      <w:pPr>
        <w:pStyle w:val="H2"/>
      </w:pPr>
      <w:r>
        <w:t>D.</w:t>
      </w:r>
      <w:r w:rsidR="005D23E9">
        <w:tab/>
      </w:r>
      <w:r>
        <w:t>Pre-test findings</w:t>
      </w:r>
      <w:r w:rsidR="001D4814">
        <w:t xml:space="preserve"> and </w:t>
      </w:r>
      <w:r w:rsidR="008C3E34">
        <w:t xml:space="preserve">subsequent </w:t>
      </w:r>
      <w:r w:rsidR="00CC359B">
        <w:t>updates</w:t>
      </w:r>
    </w:p>
    <w:p w:rsidR="007C4D03" w:rsidP="00EA2D24" w14:paraId="615D9F55" w14:textId="71B0D05B">
      <w:pPr>
        <w:pStyle w:val="ParagraphContinued"/>
      </w:pPr>
      <w:r w:rsidRPr="0039174C">
        <w:t xml:space="preserve">Based on issues identified in the </w:t>
      </w:r>
      <w:r>
        <w:t>pre-test</w:t>
      </w:r>
      <w:r w:rsidRPr="0039174C">
        <w:t xml:space="preserve">, </w:t>
      </w:r>
      <w:r w:rsidR="004873AB">
        <w:t>the study team</w:t>
      </w:r>
      <w:r w:rsidRPr="0039174C">
        <w:t xml:space="preserve"> </w:t>
      </w:r>
      <w:r>
        <w:t>made</w:t>
      </w:r>
      <w:r w:rsidRPr="0039174C">
        <w:t xml:space="preserve"> </w:t>
      </w:r>
      <w:r w:rsidR="00E65DEB">
        <w:t xml:space="preserve">some </w:t>
      </w:r>
      <w:r w:rsidRPr="0039174C">
        <w:t xml:space="preserve">item-level changes to </w:t>
      </w:r>
      <w:r w:rsidR="00E65DEB">
        <w:t xml:space="preserve">the </w:t>
      </w:r>
      <w:r w:rsidR="00875E5B">
        <w:t xml:space="preserve">provider </w:t>
      </w:r>
      <w:r w:rsidR="00B50D76">
        <w:t>questionnaire</w:t>
      </w:r>
      <w:r>
        <w:t xml:space="preserve">. Exhibit </w:t>
      </w:r>
      <w:r w:rsidR="00330416">
        <w:t>3</w:t>
      </w:r>
      <w:r>
        <w:t xml:space="preserve"> describes </w:t>
      </w:r>
      <w:r w:rsidR="00921183">
        <w:t xml:space="preserve">overall </w:t>
      </w:r>
      <w:r>
        <w:t>changes made to the</w:t>
      </w:r>
      <w:r w:rsidR="0015541C">
        <w:t xml:space="preserve"> </w:t>
      </w:r>
      <w:r w:rsidR="00B50D76">
        <w:t>provider questionnaire</w:t>
      </w:r>
      <w:r>
        <w:t xml:space="preserve"> instructions, format, or scales. Exhibit </w:t>
      </w:r>
      <w:r w:rsidR="00330416">
        <w:t>4</w:t>
      </w:r>
      <w:r>
        <w:t xml:space="preserve"> describes item-level changes made to the</w:t>
      </w:r>
      <w:r w:rsidR="0015541C">
        <w:t xml:space="preserve"> </w:t>
      </w:r>
      <w:r w:rsidR="00B50D76">
        <w:t>provider questionnaire items</w:t>
      </w:r>
      <w:r>
        <w:t xml:space="preserve">, organized by domain. </w:t>
      </w:r>
    </w:p>
    <w:p w:rsidR="00EA2D24" w:rsidP="00EA2D24" w14:paraId="5FB66495" w14:textId="77777777">
      <w:pPr>
        <w:pStyle w:val="TitleRule"/>
        <w:keepLines/>
      </w:pPr>
      <w:r w:rsidRPr="00465BF8">
        <w:rPr>
          <w:noProof/>
        </w:rPr>
        <mc:AlternateContent>
          <mc:Choice Requires="wps">
            <w:drawing>
              <wp:inline distT="0" distB="0" distL="0" distR="0">
                <wp:extent cx="2971800" cy="0"/>
                <wp:effectExtent l="0" t="38100" r="38100" b="38100"/>
                <wp:docPr id="2" name="Straight Connector 2"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7" alt="decorative "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EA2D24" w:rsidP="00EA2D24" w14:paraId="733D86C3" w14:textId="273625C7">
      <w:pPr>
        <w:pStyle w:val="TableTitle"/>
      </w:pPr>
      <w:r>
        <w:t xml:space="preserve">Exhibit </w:t>
      </w:r>
      <w:r w:rsidR="00330416">
        <w:t>3</w:t>
      </w:r>
      <w:r>
        <w:t xml:space="preserve">. </w:t>
      </w:r>
      <w:r w:rsidR="00921183">
        <w:t>Overall</w:t>
      </w:r>
      <w:r>
        <w:t xml:space="preserve"> feedback and subsequent changes</w:t>
      </w:r>
    </w:p>
    <w:tbl>
      <w:tblPr>
        <w:tblStyle w:val="MathUBaseTable"/>
        <w:tblW w:w="0" w:type="auto"/>
        <w:tblLook w:val="04A0"/>
      </w:tblPr>
      <w:tblGrid>
        <w:gridCol w:w="1260"/>
        <w:gridCol w:w="4590"/>
        <w:gridCol w:w="3510"/>
      </w:tblGrid>
      <w:tr w14:paraId="7498DD90" w14:textId="77777777" w:rsidTr="00B9000A">
        <w:tblPrEx>
          <w:tblW w:w="0" w:type="auto"/>
          <w:tblLook w:val="04A0"/>
        </w:tblPrEx>
        <w:trPr>
          <w:tblHeader/>
        </w:trPr>
        <w:tc>
          <w:tcPr>
            <w:tcW w:w="1260" w:type="dxa"/>
          </w:tcPr>
          <w:p w:rsidR="00EA2D24" w:rsidP="000E2D32" w14:paraId="1A67D07E" w14:textId="77777777">
            <w:pPr>
              <w:pStyle w:val="Paragraph"/>
            </w:pPr>
            <w:r>
              <w:t>Topic</w:t>
            </w:r>
          </w:p>
        </w:tc>
        <w:tc>
          <w:tcPr>
            <w:tcW w:w="4590" w:type="dxa"/>
          </w:tcPr>
          <w:p w:rsidR="00EA2D24" w:rsidP="000E2D32" w14:paraId="1BB629BF" w14:textId="77777777">
            <w:pPr>
              <w:pStyle w:val="Paragraph"/>
            </w:pPr>
            <w:r>
              <w:t>Feedback</w:t>
            </w:r>
          </w:p>
        </w:tc>
        <w:tc>
          <w:tcPr>
            <w:tcW w:w="3510" w:type="dxa"/>
          </w:tcPr>
          <w:p w:rsidR="00EA2D24" w:rsidP="000E2D32" w14:paraId="366C522A" w14:textId="77777777">
            <w:pPr>
              <w:pStyle w:val="Paragraph"/>
            </w:pPr>
            <w:r>
              <w:t>Changes made</w:t>
            </w:r>
          </w:p>
        </w:tc>
      </w:tr>
      <w:tr w14:paraId="4D0C830B" w14:textId="77777777" w:rsidTr="000E2D32">
        <w:tblPrEx>
          <w:tblW w:w="0" w:type="auto"/>
          <w:tblLook w:val="04A0"/>
        </w:tblPrEx>
        <w:trPr>
          <w:trHeight w:val="77"/>
        </w:trPr>
        <w:tc>
          <w:tcPr>
            <w:tcW w:w="1260" w:type="dxa"/>
          </w:tcPr>
          <w:p w:rsidR="00EA2D24" w:rsidP="000E2D32" w14:paraId="2778C205" w14:textId="77777777">
            <w:pPr>
              <w:pStyle w:val="Paragraph"/>
            </w:pPr>
            <w:r>
              <w:t>Instructions</w:t>
            </w:r>
          </w:p>
        </w:tc>
        <w:tc>
          <w:tcPr>
            <w:tcW w:w="4590" w:type="dxa"/>
          </w:tcPr>
          <w:p w:rsidR="00EA2D24" w:rsidP="000E2D32" w14:paraId="51CF1FA4" w14:textId="3092D893">
            <w:pPr>
              <w:pStyle w:val="Paragraph"/>
            </w:pPr>
            <w:r>
              <w:t xml:space="preserve">One respondent said that she did not think the </w:t>
            </w:r>
            <w:r w:rsidR="00EA3027">
              <w:t xml:space="preserve">HBCC-NSAC </w:t>
            </w:r>
            <w:r>
              <w:t>Toolkit was for FFN respondents, as it seemed more geared toward center-based care.</w:t>
            </w:r>
          </w:p>
        </w:tc>
        <w:tc>
          <w:tcPr>
            <w:tcW w:w="3510" w:type="dxa"/>
          </w:tcPr>
          <w:p w:rsidR="00EA2D24" w:rsidP="000E2D32" w14:paraId="11FDB4C4" w14:textId="0B174A18">
            <w:pPr>
              <w:pStyle w:val="Paragraph"/>
            </w:pPr>
            <w:r>
              <w:t xml:space="preserve">Added more inclusive language to the instructions specifying who </w:t>
            </w:r>
            <w:r w:rsidR="00EA3027">
              <w:t>the HBCC-NSAC Toolkit</w:t>
            </w:r>
            <w:r>
              <w:t xml:space="preserve"> is for.</w:t>
            </w:r>
          </w:p>
        </w:tc>
      </w:tr>
      <w:tr w14:paraId="4DB1C461" w14:textId="77777777" w:rsidTr="000E2D32">
        <w:tblPrEx>
          <w:tblW w:w="0" w:type="auto"/>
          <w:tblLook w:val="04A0"/>
        </w:tblPrEx>
        <w:trPr>
          <w:trHeight w:val="77"/>
        </w:trPr>
        <w:tc>
          <w:tcPr>
            <w:tcW w:w="1260" w:type="dxa"/>
          </w:tcPr>
          <w:p w:rsidR="00EA2D24" w:rsidP="000E2D32" w14:paraId="740C0D8B" w14:textId="77777777">
            <w:pPr>
              <w:pStyle w:val="Paragraph"/>
            </w:pPr>
            <w:r>
              <w:t>Instructions</w:t>
            </w:r>
          </w:p>
        </w:tc>
        <w:tc>
          <w:tcPr>
            <w:tcW w:w="4590" w:type="dxa"/>
          </w:tcPr>
          <w:p w:rsidR="00EA2D24" w:rsidP="000E2D32" w14:paraId="0D707174" w14:textId="77777777">
            <w:pPr>
              <w:pStyle w:val="Paragraph"/>
            </w:pPr>
            <w:r>
              <w:t>One respondent explained that she was not sure how to answer some of the statements because there were things she might do a lot with some kids, but not as much with others.</w:t>
            </w:r>
          </w:p>
        </w:tc>
        <w:tc>
          <w:tcPr>
            <w:tcW w:w="3510" w:type="dxa"/>
          </w:tcPr>
          <w:p w:rsidR="00EA2D24" w:rsidP="000E2D32" w14:paraId="2DBD2E9B" w14:textId="77777777">
            <w:pPr>
              <w:pStyle w:val="Paragraph"/>
            </w:pPr>
            <w:r>
              <w:t>Added specific language to instructions for how to handle this.</w:t>
            </w:r>
          </w:p>
        </w:tc>
      </w:tr>
      <w:tr w14:paraId="6D3543F4" w14:textId="77777777" w:rsidTr="000E2D32">
        <w:tblPrEx>
          <w:tblW w:w="0" w:type="auto"/>
          <w:tblLook w:val="04A0"/>
        </w:tblPrEx>
        <w:tc>
          <w:tcPr>
            <w:tcW w:w="1260" w:type="dxa"/>
          </w:tcPr>
          <w:p w:rsidR="00EA2D24" w:rsidP="000E2D32" w14:paraId="37C78F6F" w14:textId="77777777">
            <w:pPr>
              <w:pStyle w:val="Paragraph"/>
            </w:pPr>
            <w:r>
              <w:t>Format</w:t>
            </w:r>
          </w:p>
        </w:tc>
        <w:tc>
          <w:tcPr>
            <w:tcW w:w="4590" w:type="dxa"/>
          </w:tcPr>
          <w:p w:rsidR="00EA2D24" w:rsidP="000E2D32" w14:paraId="7DD67920" w14:textId="5D328C2F">
            <w:pPr>
              <w:pStyle w:val="Paragraph"/>
            </w:pPr>
            <w:r>
              <w:t xml:space="preserve">At least two respondents explicitly stated that they would like to see a section for next steps and resources to make the </w:t>
            </w:r>
            <w:r w:rsidRPr="007C5E94" w:rsidR="007C5E94">
              <w:t>HBCC-NSAC Toolkit</w:t>
            </w:r>
            <w:r w:rsidR="00E51BCC">
              <w:t xml:space="preserve"> </w:t>
            </w:r>
            <w:r>
              <w:t xml:space="preserve">actionable and to warrant taking the time to fill </w:t>
            </w:r>
            <w:r w:rsidR="00E51BCC">
              <w:t xml:space="preserve">it </w:t>
            </w:r>
            <w:r>
              <w:t>out.</w:t>
            </w:r>
          </w:p>
          <w:p w:rsidR="00EA2D24" w:rsidP="000E2D32" w14:paraId="002EDA63" w14:textId="7738C94D">
            <w:pPr>
              <w:pStyle w:val="Paragraph"/>
            </w:pPr>
            <w:r>
              <w:t>Similarly, a</w:t>
            </w:r>
            <w:r>
              <w:t>nother</w:t>
            </w:r>
            <w:r w:rsidRPr="004E58A1">
              <w:t xml:space="preserve"> respondent </w:t>
            </w:r>
            <w:r>
              <w:t>said</w:t>
            </w:r>
            <w:r w:rsidRPr="004E58A1">
              <w:t xml:space="preserve"> she had to shift her mindset as she was completing the </w:t>
            </w:r>
            <w:r w:rsidR="0005352A">
              <w:t>provider questionnaire</w:t>
            </w:r>
            <w:r w:rsidRPr="004E58A1">
              <w:t xml:space="preserve">. In the past, when she has seen a rating scale, there is a tendency to want to rate yourself high, but she realized that in order to truly use this as a “tool”, she needed to be reflective and answer honestly. </w:t>
            </w:r>
          </w:p>
        </w:tc>
        <w:tc>
          <w:tcPr>
            <w:tcW w:w="3510" w:type="dxa"/>
          </w:tcPr>
          <w:p w:rsidR="00EA2D24" w:rsidP="000E2D32" w14:paraId="207CC243" w14:textId="3D023239">
            <w:pPr>
              <w:pStyle w:val="Paragraph"/>
            </w:pPr>
            <w:r>
              <w:t>Added a “What Do I Do Now?” section to the end with more specific instructions for next steps. This section also includes recommended reflection questions to guide the provider in creating a professional development plan based on their responses.</w:t>
            </w:r>
            <w:r w:rsidR="0016775D">
              <w:t xml:space="preserve"> The reflection questions will prompt providers to think about this as a tool for self-reflection rather than a rating scale or monitoring tool.  </w:t>
            </w:r>
          </w:p>
        </w:tc>
      </w:tr>
      <w:tr w14:paraId="57E06809" w14:textId="77777777" w:rsidTr="000E2D32">
        <w:tblPrEx>
          <w:tblW w:w="0" w:type="auto"/>
          <w:tblLook w:val="04A0"/>
        </w:tblPrEx>
        <w:tc>
          <w:tcPr>
            <w:tcW w:w="1260" w:type="dxa"/>
          </w:tcPr>
          <w:p w:rsidR="00EA2D24" w:rsidP="000E2D32" w14:paraId="2F7CD809" w14:textId="77777777">
            <w:pPr>
              <w:pStyle w:val="Paragraph"/>
            </w:pPr>
            <w:r>
              <w:t>Scale</w:t>
            </w:r>
          </w:p>
        </w:tc>
        <w:tc>
          <w:tcPr>
            <w:tcW w:w="4590" w:type="dxa"/>
          </w:tcPr>
          <w:p w:rsidR="00E51BCC" w:rsidP="000E2D32" w14:paraId="19E53C8F" w14:textId="77777777">
            <w:pPr>
              <w:pStyle w:val="Paragraph"/>
            </w:pPr>
            <w:r>
              <w:t>The consensus among FCC respondents was that</w:t>
            </w:r>
            <w:r>
              <w:t>:</w:t>
            </w:r>
          </w:p>
          <w:p w:rsidR="00E51BCC" w:rsidP="000E2D32" w14:paraId="49F9CC4C" w14:textId="7FFA8F79">
            <w:pPr>
              <w:pStyle w:val="Paragraph"/>
            </w:pPr>
            <w:r>
              <w:t xml:space="preserve">“a lot” = multiple times/day, </w:t>
            </w:r>
          </w:p>
          <w:p w:rsidR="00E51BCC" w:rsidP="000E2D32" w14:paraId="19230544" w14:textId="77777777">
            <w:pPr>
              <w:pStyle w:val="Paragraph"/>
            </w:pPr>
            <w:r>
              <w:t>“rarely” = I have done it before but not often, and</w:t>
            </w:r>
          </w:p>
          <w:p w:rsidR="00E51BCC" w:rsidP="000E2D32" w14:paraId="27CE557E" w14:textId="4A5F0BA5">
            <w:pPr>
              <w:pStyle w:val="Paragraph"/>
            </w:pPr>
            <w:r>
              <w:t xml:space="preserve">“sometimes” = somewhere in between. </w:t>
            </w:r>
          </w:p>
          <w:p w:rsidR="00EA2D24" w:rsidP="000E2D32" w14:paraId="6378966D" w14:textId="5E3A6FBF">
            <w:pPr>
              <w:pStyle w:val="Paragraph"/>
            </w:pPr>
            <w:r>
              <w:t xml:space="preserve">However, one FFN respondent commented that she resorted to the “not sure how to answer” option because she wasn’t sure how to define “a lot.” She wasn’t sure whether to quantify it as “every day” </w:t>
            </w:r>
            <w:r w:rsidR="00E51BCC">
              <w:t>versus</w:t>
            </w:r>
            <w:r>
              <w:t xml:space="preserve"> “every time it comes up” (which might not necessarily be every day).</w:t>
            </w:r>
          </w:p>
        </w:tc>
        <w:tc>
          <w:tcPr>
            <w:tcW w:w="3510" w:type="dxa"/>
          </w:tcPr>
          <w:p w:rsidR="00EA2D24" w:rsidP="000E2D32" w14:paraId="242FC68A" w14:textId="318A8E4D">
            <w:pPr>
              <w:pStyle w:val="Paragraph"/>
            </w:pPr>
            <w:r>
              <w:t>Added more in-depth explanations of the response scales to the instructions</w:t>
            </w:r>
            <w:r w:rsidR="00E51BCC">
              <w:t>.</w:t>
            </w:r>
          </w:p>
        </w:tc>
      </w:tr>
    </w:tbl>
    <w:p w:rsidR="00EA2D24" w:rsidP="00EA2D24" w14:paraId="5CBD6C00" w14:textId="46F1E826">
      <w:pPr>
        <w:pStyle w:val="TitleRule"/>
        <w:keepLines/>
      </w:pPr>
      <w:r w:rsidRPr="00465BF8">
        <w:rPr>
          <w:noProof/>
        </w:rPr>
        <mc:AlternateContent>
          <mc:Choice Requires="wps">
            <w:drawing>
              <wp:inline distT="0" distB="0" distL="0" distR="0">
                <wp:extent cx="2971800" cy="0"/>
                <wp:effectExtent l="0" t="38100" r="38100" b="38100"/>
                <wp:docPr id="3" name="Straight Connector 3"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1028" alt="decorative "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EA2D24" w:rsidP="00EA2D24" w14:paraId="69E520C7" w14:textId="6353FA5D">
      <w:pPr>
        <w:pStyle w:val="TableTitle"/>
      </w:pPr>
      <w:r>
        <w:t xml:space="preserve">Exhibit </w:t>
      </w:r>
      <w:r w:rsidR="00330416">
        <w:t>4</w:t>
      </w:r>
      <w:r>
        <w:t xml:space="preserve">. </w:t>
      </w:r>
      <w:r w:rsidR="00DA47CE">
        <w:t>Item-level r</w:t>
      </w:r>
      <w:r>
        <w:t>eflection statement feedback and subsequent changes</w:t>
      </w:r>
      <w:r w:rsidR="00DA47CE">
        <w:t>,</w:t>
      </w:r>
      <w:r>
        <w:t xml:space="preserve"> by domain</w:t>
      </w:r>
    </w:p>
    <w:tbl>
      <w:tblPr>
        <w:tblStyle w:val="MathUBaseTable"/>
        <w:tblW w:w="0" w:type="auto"/>
        <w:tblLook w:val="04A0"/>
      </w:tblPr>
      <w:tblGrid>
        <w:gridCol w:w="1510"/>
        <w:gridCol w:w="3840"/>
        <w:gridCol w:w="4010"/>
      </w:tblGrid>
      <w:tr w14:paraId="563F783F" w14:textId="77777777" w:rsidTr="00B9000A">
        <w:tblPrEx>
          <w:tblW w:w="0" w:type="auto"/>
          <w:tblLook w:val="04A0"/>
        </w:tblPrEx>
        <w:trPr>
          <w:tblHeader/>
        </w:trPr>
        <w:tc>
          <w:tcPr>
            <w:tcW w:w="1510" w:type="dxa"/>
          </w:tcPr>
          <w:p w:rsidR="00EA2D24" w:rsidRPr="0004772D" w:rsidP="000E2D32" w14:paraId="162757E6" w14:textId="77777777">
            <w:pPr>
              <w:pStyle w:val="Paragraph"/>
              <w:rPr>
                <w:bCs/>
              </w:rPr>
            </w:pPr>
            <w:bookmarkStart w:id="2" w:name="_Hlk112137475"/>
            <w:r>
              <w:rPr>
                <w:bCs/>
              </w:rPr>
              <w:t>Item</w:t>
            </w:r>
          </w:p>
        </w:tc>
        <w:tc>
          <w:tcPr>
            <w:tcW w:w="3840" w:type="dxa"/>
          </w:tcPr>
          <w:p w:rsidR="00EA2D24" w:rsidRPr="0004772D" w:rsidP="005D23E9" w14:paraId="7E63D1B7" w14:textId="77777777">
            <w:pPr>
              <w:pStyle w:val="Paragraph"/>
              <w:jc w:val="center"/>
              <w:rPr>
                <w:b w:val="0"/>
                <w:bCs/>
              </w:rPr>
            </w:pPr>
            <w:r w:rsidRPr="0004772D">
              <w:rPr>
                <w:bCs/>
              </w:rPr>
              <w:t>Feedback</w:t>
            </w:r>
          </w:p>
        </w:tc>
        <w:tc>
          <w:tcPr>
            <w:tcW w:w="4010" w:type="dxa"/>
          </w:tcPr>
          <w:p w:rsidR="00EA2D24" w:rsidRPr="0004772D" w:rsidP="005D23E9" w14:paraId="56715E67" w14:textId="77777777">
            <w:pPr>
              <w:pStyle w:val="Paragraph"/>
              <w:jc w:val="center"/>
              <w:rPr>
                <w:bCs/>
              </w:rPr>
            </w:pPr>
            <w:r w:rsidRPr="0004772D">
              <w:rPr>
                <w:bCs/>
              </w:rPr>
              <w:t>Changes made</w:t>
            </w:r>
          </w:p>
        </w:tc>
      </w:tr>
      <w:tr w14:paraId="60064492" w14:textId="77777777" w:rsidTr="005D23E9">
        <w:tblPrEx>
          <w:tblW w:w="0" w:type="auto"/>
          <w:tblLook w:val="04A0"/>
        </w:tblPrEx>
        <w:tc>
          <w:tcPr>
            <w:tcW w:w="9360" w:type="dxa"/>
            <w:gridSpan w:val="3"/>
            <w:tcBorders>
              <w:top w:val="single" w:sz="4" w:space="0" w:color="FFFFFF" w:themeColor="background1"/>
              <w:bottom w:val="single" w:sz="4" w:space="0" w:color="5B6771" w:themeColor="accent3"/>
            </w:tcBorders>
            <w:shd w:val="clear" w:color="auto" w:fill="0B2949"/>
          </w:tcPr>
          <w:p w:rsidR="00EA2D24" w:rsidRPr="0004772D" w:rsidP="000E2D32" w14:paraId="5BF4F921" w14:textId="77777777">
            <w:pPr>
              <w:pStyle w:val="Paragraph"/>
              <w:rPr>
                <w:b/>
              </w:rPr>
            </w:pPr>
            <w:r w:rsidRPr="0004772D">
              <w:rPr>
                <w:b/>
              </w:rPr>
              <w:t>Support for Social Development</w:t>
            </w:r>
          </w:p>
        </w:tc>
      </w:tr>
      <w:tr w14:paraId="39717819" w14:textId="77777777" w:rsidTr="009655B1">
        <w:tblPrEx>
          <w:tblW w:w="0" w:type="auto"/>
          <w:tblLook w:val="04A0"/>
        </w:tblPrEx>
        <w:tc>
          <w:tcPr>
            <w:tcW w:w="1510" w:type="dxa"/>
            <w:shd w:val="clear" w:color="auto" w:fill="auto"/>
          </w:tcPr>
          <w:p w:rsidR="00EA2D24" w:rsidP="000E2D32" w14:paraId="6B819038" w14:textId="77777777">
            <w:pPr>
              <w:pStyle w:val="Paragraph"/>
            </w:pPr>
            <w:r>
              <w:t>I.57</w:t>
            </w:r>
          </w:p>
        </w:tc>
        <w:tc>
          <w:tcPr>
            <w:tcW w:w="3840" w:type="dxa"/>
            <w:shd w:val="clear" w:color="auto" w:fill="auto"/>
          </w:tcPr>
          <w:p w:rsidR="00EA2D24" w:rsidRPr="00EC06E8" w:rsidP="000E2D32" w14:paraId="6486A5DC" w14:textId="28126764">
            <w:pPr>
              <w:pStyle w:val="Bibliography"/>
              <w:rPr>
                <w:shd w:val="clear" w:color="auto" w:fill="FFFFFF"/>
              </w:rPr>
            </w:pPr>
            <w:r>
              <w:rPr>
                <w:shd w:val="clear" w:color="auto" w:fill="FFFFFF"/>
              </w:rPr>
              <w:t>This item asks about the</w:t>
            </w:r>
            <w:r w:rsidR="0015541C">
              <w:rPr>
                <w:shd w:val="clear" w:color="auto" w:fill="FFFFFF"/>
              </w:rPr>
              <w:t xml:space="preserve"> provider’s</w:t>
            </w:r>
            <w:r>
              <w:rPr>
                <w:shd w:val="clear" w:color="auto" w:fill="FFFFFF"/>
              </w:rPr>
              <w:t xml:space="preserve"> community. One respondent was unsure how “community” was defined and wanted clarification between their HBCC community and the outside, surrounding community</w:t>
            </w:r>
            <w:r w:rsidR="0015541C">
              <w:rPr>
                <w:shd w:val="clear" w:color="auto" w:fill="FFFFFF"/>
              </w:rPr>
              <w:t>.</w:t>
            </w:r>
          </w:p>
        </w:tc>
        <w:tc>
          <w:tcPr>
            <w:tcW w:w="4010" w:type="dxa"/>
            <w:tcBorders>
              <w:right w:val="nil"/>
            </w:tcBorders>
            <w:shd w:val="clear" w:color="auto" w:fill="auto"/>
          </w:tcPr>
          <w:p w:rsidR="00EA2D24" w:rsidRPr="004D1CA9" w:rsidP="000E2D32" w14:paraId="1C95C9F5" w14:textId="1E548249">
            <w:pPr>
              <w:pStyle w:val="Paragraph"/>
            </w:pPr>
            <w:r>
              <w:t>Changed “community” to “wider community” when applicable</w:t>
            </w:r>
            <w:r w:rsidR="00ED18AF">
              <w:t>, so that respondents understand we are not asking about the community within their HBCC</w:t>
            </w:r>
            <w:r w:rsidR="00D411A3">
              <w:t xml:space="preserve"> and added examples</w:t>
            </w:r>
            <w:r>
              <w:t xml:space="preserve">. </w:t>
            </w:r>
          </w:p>
        </w:tc>
      </w:tr>
      <w:bookmarkEnd w:id="2"/>
      <w:tr w14:paraId="5CEFE387" w14:textId="77777777" w:rsidTr="009655B1">
        <w:tblPrEx>
          <w:tblW w:w="0" w:type="auto"/>
          <w:tblLook w:val="04A0"/>
        </w:tblPrEx>
        <w:tc>
          <w:tcPr>
            <w:tcW w:w="1510" w:type="dxa"/>
            <w:shd w:val="clear" w:color="auto" w:fill="auto"/>
          </w:tcPr>
          <w:p w:rsidR="00EA2D24" w:rsidP="000E2D32" w14:paraId="5FC88C1D" w14:textId="77777777">
            <w:pPr>
              <w:pStyle w:val="Paragraph"/>
            </w:pPr>
            <w:r>
              <w:t>I.63</w:t>
            </w:r>
          </w:p>
        </w:tc>
        <w:tc>
          <w:tcPr>
            <w:tcW w:w="3840" w:type="dxa"/>
            <w:shd w:val="clear" w:color="auto" w:fill="auto"/>
          </w:tcPr>
          <w:p w:rsidR="00EA2D24" w:rsidP="000E2D32" w14:paraId="2BB42D05" w14:textId="12529E5F">
            <w:pPr>
              <w:pStyle w:val="Paragraph"/>
            </w:pPr>
            <w:r>
              <w:t>A few respondents mentioned that it is difficult to find “positive news stories” or discuss news/current events with young children in a way that makes sense to the</w:t>
            </w:r>
            <w:r w:rsidR="0015541C">
              <w:t xml:space="preserve"> children</w:t>
            </w:r>
            <w:r>
              <w:t>.</w:t>
            </w:r>
          </w:p>
        </w:tc>
        <w:tc>
          <w:tcPr>
            <w:tcW w:w="4010" w:type="dxa"/>
            <w:tcBorders>
              <w:right w:val="nil"/>
            </w:tcBorders>
            <w:shd w:val="clear" w:color="auto" w:fill="auto"/>
          </w:tcPr>
          <w:p w:rsidR="00EA2D24" w:rsidP="000E2D32" w14:paraId="3A2FF5A7" w14:textId="37023C32">
            <w:pPr>
              <w:pStyle w:val="Paragraph"/>
            </w:pPr>
            <w:r>
              <w:t>Dropped this item, but i</w:t>
            </w:r>
            <w:r>
              <w:t>ncorporated news stories as an example in another item related to supporting a positive self-identity.</w:t>
            </w:r>
          </w:p>
        </w:tc>
      </w:tr>
      <w:tr w14:paraId="581D6ECB" w14:textId="77777777" w:rsidTr="009655B1">
        <w:tblPrEx>
          <w:tblW w:w="0" w:type="auto"/>
          <w:tblLook w:val="04A0"/>
        </w:tblPrEx>
        <w:tc>
          <w:tcPr>
            <w:tcW w:w="1510" w:type="dxa"/>
            <w:shd w:val="clear" w:color="auto" w:fill="auto"/>
          </w:tcPr>
          <w:p w:rsidR="00EA2D24" w:rsidP="000E2D32" w14:paraId="79F8A667" w14:textId="77777777">
            <w:pPr>
              <w:pStyle w:val="Paragraph"/>
            </w:pPr>
            <w:r>
              <w:t>I.64-I.65</w:t>
            </w:r>
          </w:p>
        </w:tc>
        <w:tc>
          <w:tcPr>
            <w:tcW w:w="3840" w:type="dxa"/>
            <w:shd w:val="clear" w:color="auto" w:fill="auto"/>
          </w:tcPr>
          <w:p w:rsidR="00EA2D24" w:rsidP="000E2D32" w14:paraId="5314C0FE" w14:textId="77777777">
            <w:pPr>
              <w:pStyle w:val="Paragraph"/>
            </w:pPr>
            <w:r>
              <w:t>One respondent stated that they don’t necessarily talk about “famous” people from the same or different racial and ethnic backgrounds, but they do talk about everyday people in the children’s lives.</w:t>
            </w:r>
          </w:p>
        </w:tc>
        <w:tc>
          <w:tcPr>
            <w:tcW w:w="4010" w:type="dxa"/>
            <w:tcBorders>
              <w:right w:val="nil"/>
            </w:tcBorders>
            <w:shd w:val="clear" w:color="auto" w:fill="auto"/>
          </w:tcPr>
          <w:p w:rsidR="00EA2D24" w:rsidP="000E2D32" w14:paraId="5E3CA89D" w14:textId="172233FA">
            <w:pPr>
              <w:pStyle w:val="Paragraph"/>
            </w:pPr>
            <w:r>
              <w:t>Removed “famous” from the statements</w:t>
            </w:r>
            <w:r w:rsidR="009655B1">
              <w:t>, so the item is also inclusive of everyday people</w:t>
            </w:r>
            <w:r>
              <w:t>.</w:t>
            </w:r>
            <w:r w:rsidR="009655B1">
              <w:t xml:space="preserve"> The purpose of the item is for providers to talk about people from the same or different backgrounds who exhibit positive values, those people do not need to be “famous”. </w:t>
            </w:r>
          </w:p>
        </w:tc>
      </w:tr>
      <w:tr w14:paraId="0088A341" w14:textId="77777777" w:rsidTr="009655B1">
        <w:tblPrEx>
          <w:tblW w:w="0" w:type="auto"/>
          <w:tblLook w:val="04A0"/>
        </w:tblPrEx>
        <w:tc>
          <w:tcPr>
            <w:tcW w:w="1510" w:type="dxa"/>
            <w:tcBorders>
              <w:bottom w:val="single" w:sz="4" w:space="0" w:color="FFFFFF" w:themeColor="background1"/>
            </w:tcBorders>
          </w:tcPr>
          <w:p w:rsidR="00EA2D24" w:rsidP="000E2D32" w14:paraId="6233F21C" w14:textId="77777777">
            <w:pPr>
              <w:pStyle w:val="Paragraph"/>
            </w:pPr>
            <w:r>
              <w:t>I.61-I.76</w:t>
            </w:r>
          </w:p>
        </w:tc>
        <w:tc>
          <w:tcPr>
            <w:tcW w:w="3840" w:type="dxa"/>
            <w:tcBorders>
              <w:bottom w:val="single" w:sz="4" w:space="0" w:color="FFFFFF" w:themeColor="background1"/>
            </w:tcBorders>
          </w:tcPr>
          <w:p w:rsidR="00EA2D24" w:rsidP="000E2D32" w14:paraId="7DDC07FE" w14:textId="53C2FC07">
            <w:pPr>
              <w:pStyle w:val="Paragraph"/>
            </w:pPr>
            <w:r>
              <w:t>White respondents who care for all or nearly all White children did not know how to answer the items under supporting a positive self-identity that had to do with relating to children’s own racial or ethnic backgrounds</w:t>
            </w:r>
            <w:r w:rsidRPr="00004DA5">
              <w:t xml:space="preserve">. </w:t>
            </w:r>
            <w:r>
              <w:t>All of these</w:t>
            </w:r>
            <w:r w:rsidRPr="00004DA5">
              <w:t xml:space="preserve"> </w:t>
            </w:r>
            <w:r>
              <w:t>respondents</w:t>
            </w:r>
            <w:r w:rsidRPr="00004DA5">
              <w:t xml:space="preserve"> mentioned using resources (dolls, books, TV shows, etc.) as launch points for age-appropriate conversations about </w:t>
            </w:r>
            <w:r w:rsidRPr="00E542D9">
              <w:rPr>
                <w:i/>
                <w:iCs/>
              </w:rPr>
              <w:t>different</w:t>
            </w:r>
            <w:r w:rsidRPr="00004DA5">
              <w:t xml:space="preserve"> races and cultures</w:t>
            </w:r>
            <w:r>
              <w:t xml:space="preserve"> but weren’t sure how to respond to items referring to </w:t>
            </w:r>
            <w:r w:rsidR="00E93654">
              <w:t>White</w:t>
            </w:r>
            <w:r>
              <w:t xml:space="preserve"> children’s own backgrounds</w:t>
            </w:r>
            <w:r w:rsidR="00E93654">
              <w:t xml:space="preserve"> (for example, unsure if it’s appropriate to emphasize White children’s own background)</w:t>
            </w:r>
            <w:r>
              <w:t>.</w:t>
            </w:r>
          </w:p>
          <w:p w:rsidR="00EA2D24" w:rsidRPr="00004DA5" w:rsidP="000E2D32" w14:paraId="23B55224" w14:textId="0C8B483C">
            <w:pPr>
              <w:pStyle w:val="Paragraph"/>
            </w:pPr>
            <w:r>
              <w:t>One</w:t>
            </w:r>
            <w:r w:rsidRPr="00004DA5">
              <w:t xml:space="preserve"> </w:t>
            </w:r>
            <w:r>
              <w:t>respondent</w:t>
            </w:r>
            <w:r w:rsidRPr="00004DA5">
              <w:t xml:space="preserve"> </w:t>
            </w:r>
            <w:r>
              <w:t>of color said</w:t>
            </w:r>
            <w:r w:rsidRPr="00004DA5">
              <w:t xml:space="preserve"> </w:t>
            </w:r>
            <w:r>
              <w:t>one</w:t>
            </w:r>
            <w:r w:rsidRPr="00004DA5">
              <w:t xml:space="preserve"> of her families explicitly told her that they d</w:t>
            </w:r>
            <w:r>
              <w:t>id not</w:t>
            </w:r>
            <w:r w:rsidRPr="00004DA5">
              <w:t xml:space="preserve"> want race discussed because they d</w:t>
            </w:r>
            <w:r>
              <w:t>id not</w:t>
            </w:r>
            <w:r w:rsidRPr="00004DA5">
              <w:t xml:space="preserve"> want their child to feel singled out.</w:t>
            </w:r>
          </w:p>
        </w:tc>
        <w:tc>
          <w:tcPr>
            <w:tcW w:w="4010" w:type="dxa"/>
            <w:tcBorders>
              <w:bottom w:val="single" w:sz="4" w:space="0" w:color="FFFFFF" w:themeColor="background1"/>
              <w:right w:val="nil"/>
            </w:tcBorders>
          </w:tcPr>
          <w:p w:rsidR="00EA2D24" w:rsidP="000E2D32" w14:paraId="7E1CF85B" w14:textId="7EBB0504">
            <w:pPr>
              <w:pStyle w:val="Bibliography"/>
              <w:rPr>
                <w:rFonts w:cs="Segoe UI"/>
                <w:szCs w:val="18"/>
                <w:shd w:val="clear" w:color="auto" w:fill="FFFFFF"/>
              </w:rPr>
            </w:pPr>
            <w:r>
              <w:rPr>
                <w:rFonts w:cs="Segoe UI"/>
                <w:szCs w:val="18"/>
                <w:shd w:val="clear" w:color="auto" w:fill="FFFFFF"/>
              </w:rPr>
              <w:t>I</w:t>
            </w:r>
            <w:r>
              <w:rPr>
                <w:rFonts w:cs="Segoe UI"/>
                <w:szCs w:val="18"/>
                <w:shd w:val="clear" w:color="auto" w:fill="FFFFFF"/>
              </w:rPr>
              <w:t xml:space="preserve">tems related to a child’s own racial or ethnic background were </w:t>
            </w:r>
            <w:r>
              <w:rPr>
                <w:rFonts w:cs="Segoe UI"/>
                <w:szCs w:val="18"/>
                <w:shd w:val="clear" w:color="auto" w:fill="FFFFFF"/>
              </w:rPr>
              <w:t>grouped together</w:t>
            </w:r>
            <w:r w:rsidR="001046BC">
              <w:rPr>
                <w:rFonts w:cs="Segoe UI"/>
                <w:szCs w:val="18"/>
                <w:shd w:val="clear" w:color="auto" w:fill="FFFFFF"/>
              </w:rPr>
              <w:t xml:space="preserve"> into a separate section</w:t>
            </w:r>
            <w:r>
              <w:rPr>
                <w:rFonts w:cs="Segoe UI"/>
                <w:szCs w:val="18"/>
                <w:shd w:val="clear" w:color="auto" w:fill="FFFFFF"/>
              </w:rPr>
              <w:t xml:space="preserve"> titled</w:t>
            </w:r>
            <w:r>
              <w:rPr>
                <w:rFonts w:cs="Segoe UI"/>
                <w:szCs w:val="18"/>
                <w:shd w:val="clear" w:color="auto" w:fill="FFFFFF"/>
              </w:rPr>
              <w:t xml:space="preserve"> “Supporting a positive racial and ethnic identity”</w:t>
            </w:r>
            <w:r w:rsidR="009655B1">
              <w:rPr>
                <w:rFonts w:cs="Segoe UI"/>
                <w:szCs w:val="18"/>
                <w:shd w:val="clear" w:color="auto" w:fill="FFFFFF"/>
              </w:rPr>
              <w:t>, rather than dispersed throughout the other Supporting a positive self-identity dimension</w:t>
            </w:r>
            <w:r>
              <w:rPr>
                <w:rFonts w:cs="Segoe UI"/>
                <w:szCs w:val="18"/>
                <w:shd w:val="clear" w:color="auto" w:fill="FFFFFF"/>
              </w:rPr>
              <w:t xml:space="preserve">. </w:t>
            </w:r>
            <w:r>
              <w:rPr>
                <w:rFonts w:cs="Segoe UI"/>
                <w:szCs w:val="18"/>
                <w:shd w:val="clear" w:color="auto" w:fill="FFFFFF"/>
              </w:rPr>
              <w:t xml:space="preserve">There is individualized introductory information for these items that describe why the items are important and relevant for children of color and White children. </w:t>
            </w:r>
          </w:p>
          <w:p w:rsidR="00EA2D24" w:rsidP="000E2D32" w14:paraId="3F60DDE1" w14:textId="722704D1">
            <w:pPr>
              <w:pStyle w:val="Bibliography"/>
              <w:rPr>
                <w:rFonts w:cs="Segoe UI"/>
                <w:szCs w:val="18"/>
                <w:shd w:val="clear" w:color="auto" w:fill="FFFFFF"/>
              </w:rPr>
            </w:pPr>
            <w:r>
              <w:rPr>
                <w:rFonts w:cs="Segoe UI"/>
                <w:szCs w:val="18"/>
                <w:shd w:val="clear" w:color="auto" w:fill="FFFFFF"/>
              </w:rPr>
              <w:t>Providers may also</w:t>
            </w:r>
            <w:r>
              <w:rPr>
                <w:rFonts w:cs="Segoe UI"/>
                <w:szCs w:val="18"/>
                <w:shd w:val="clear" w:color="auto" w:fill="FFFFFF"/>
              </w:rPr>
              <w:t xml:space="preserve"> respond to items related to support for diversity among varied racial, ethnic, and cultural backgrounds in the support for antibullying and antibias section.</w:t>
            </w:r>
          </w:p>
          <w:p w:rsidR="00E93654" w:rsidRPr="00C850EA" w:rsidP="000E2D32" w14:paraId="55C1A29F" w14:textId="587CE93D">
            <w:pPr>
              <w:pStyle w:val="Bibliography"/>
              <w:rPr>
                <w:rFonts w:cs="Segoe UI"/>
                <w:szCs w:val="18"/>
                <w:shd w:val="clear" w:color="auto" w:fill="FFFFFF"/>
              </w:rPr>
            </w:pPr>
            <w:r>
              <w:rPr>
                <w:rFonts w:cs="Segoe UI"/>
                <w:szCs w:val="18"/>
                <w:shd w:val="clear" w:color="auto" w:fill="FFFFFF"/>
              </w:rPr>
              <w:t>We also reached back out to our academic expert panelists, Iheoma</w:t>
            </w:r>
            <w:r w:rsidR="00C9705A">
              <w:rPr>
                <w:rFonts w:cs="Segoe UI"/>
                <w:szCs w:val="18"/>
                <w:shd w:val="clear" w:color="auto" w:fill="FFFFFF"/>
              </w:rPr>
              <w:t xml:space="preserve"> Iruka</w:t>
            </w:r>
            <w:r>
              <w:rPr>
                <w:rFonts w:cs="Segoe UI"/>
                <w:szCs w:val="18"/>
                <w:shd w:val="clear" w:color="auto" w:fill="FFFFFF"/>
              </w:rPr>
              <w:t xml:space="preserve"> and Stephanie</w:t>
            </w:r>
            <w:r w:rsidR="00C9705A">
              <w:rPr>
                <w:rFonts w:cs="Segoe UI"/>
                <w:szCs w:val="18"/>
                <w:shd w:val="clear" w:color="auto" w:fill="FFFFFF"/>
              </w:rPr>
              <w:t xml:space="preserve"> Curenton</w:t>
            </w:r>
            <w:r>
              <w:rPr>
                <w:rFonts w:cs="Segoe UI"/>
                <w:szCs w:val="18"/>
                <w:shd w:val="clear" w:color="auto" w:fill="FFFFFF"/>
              </w:rPr>
              <w:t xml:space="preserve">, for their thoughts </w:t>
            </w:r>
            <w:r w:rsidR="001046BC">
              <w:rPr>
                <w:rFonts w:cs="Segoe UI"/>
                <w:szCs w:val="18"/>
                <w:shd w:val="clear" w:color="auto" w:fill="FFFFFF"/>
              </w:rPr>
              <w:t xml:space="preserve">and guidance </w:t>
            </w:r>
            <w:r>
              <w:rPr>
                <w:rFonts w:cs="Segoe UI"/>
                <w:szCs w:val="18"/>
                <w:shd w:val="clear" w:color="auto" w:fill="FFFFFF"/>
              </w:rPr>
              <w:t xml:space="preserve">on this approach. We are waiting for their response. </w:t>
            </w:r>
          </w:p>
        </w:tc>
      </w:tr>
      <w:tr w14:paraId="426E08C1" w14:textId="77777777" w:rsidTr="009655B1">
        <w:tblPrEx>
          <w:tblW w:w="0" w:type="auto"/>
          <w:tblLook w:val="04A0"/>
        </w:tblPrEx>
        <w:tc>
          <w:tcPr>
            <w:tcW w:w="1510" w:type="dxa"/>
            <w:tcBorders>
              <w:bottom w:val="single" w:sz="4" w:space="0" w:color="FFFFFF" w:themeColor="background1"/>
            </w:tcBorders>
          </w:tcPr>
          <w:p w:rsidR="009655B1" w:rsidP="009655B1" w14:paraId="0CB1230B" w14:textId="17842DFF">
            <w:pPr>
              <w:pStyle w:val="Paragraph"/>
            </w:pPr>
            <w:r>
              <w:t>I.76</w:t>
            </w:r>
          </w:p>
        </w:tc>
        <w:tc>
          <w:tcPr>
            <w:tcW w:w="3840" w:type="dxa"/>
            <w:tcBorders>
              <w:bottom w:val="single" w:sz="4" w:space="0" w:color="FFFFFF" w:themeColor="background1"/>
            </w:tcBorders>
          </w:tcPr>
          <w:p w:rsidR="009655B1" w:rsidP="009655B1" w14:paraId="029A0B15" w14:textId="04B7B8A1">
            <w:pPr>
              <w:pStyle w:val="Paragraph"/>
            </w:pPr>
            <w:r>
              <w:rPr>
                <w:shd w:val="clear" w:color="auto" w:fill="FFFFFF"/>
              </w:rPr>
              <w:t xml:space="preserve">This item asks about </w:t>
            </w:r>
            <w:r w:rsidR="0074228D">
              <w:rPr>
                <w:shd w:val="clear" w:color="auto" w:fill="FFFFFF"/>
              </w:rPr>
              <w:t>opportunities for children to</w:t>
            </w:r>
            <w:r>
              <w:rPr>
                <w:shd w:val="clear" w:color="auto" w:fill="FFFFFF"/>
              </w:rPr>
              <w:t xml:space="preserve"> </w:t>
            </w:r>
            <w:r w:rsidRPr="0074228D" w:rsidR="0074228D">
              <w:rPr>
                <w:shd w:val="clear" w:color="auto" w:fill="FFFFFF"/>
              </w:rPr>
              <w:t>volunteer in the community</w:t>
            </w:r>
            <w:r>
              <w:rPr>
                <w:shd w:val="clear" w:color="auto" w:fill="FFFFFF"/>
              </w:rPr>
              <w:t>. A few respondents, including both FFN respondents, mentioned that they don’t always have the opportunity or feel safe to bring children outside of their setting and into the wider community.</w:t>
            </w:r>
            <w:r w:rsidR="001427AF">
              <w:rPr>
                <w:shd w:val="clear" w:color="auto" w:fill="FFFFFF"/>
              </w:rPr>
              <w:t xml:space="preserve"> </w:t>
            </w:r>
          </w:p>
        </w:tc>
        <w:tc>
          <w:tcPr>
            <w:tcW w:w="4010" w:type="dxa"/>
            <w:tcBorders>
              <w:bottom w:val="single" w:sz="4" w:space="0" w:color="FFFFFF" w:themeColor="background1"/>
              <w:right w:val="nil"/>
            </w:tcBorders>
          </w:tcPr>
          <w:p w:rsidR="00462840" w:rsidP="00A8439F" w14:paraId="6AA7CCF0" w14:textId="6D3446AD">
            <w:pPr>
              <w:pStyle w:val="Bibliography"/>
              <w:rPr>
                <w:rFonts w:cs="Segoe UI"/>
                <w:szCs w:val="18"/>
                <w:shd w:val="clear" w:color="auto" w:fill="FFFFFF"/>
              </w:rPr>
            </w:pPr>
            <w:r>
              <w:t>Added examples of ways providers can provide opportunities for children to volunteer and support others in their wider community without necessarily leaving their home (for example, writing letters to mayors and state representatives about important neighborhood issues).</w:t>
            </w:r>
          </w:p>
        </w:tc>
      </w:tr>
      <w:tr w14:paraId="2E885872" w14:textId="77777777" w:rsidTr="005D23E9">
        <w:tblPrEx>
          <w:tblW w:w="0" w:type="auto"/>
          <w:tblLook w:val="04A0"/>
        </w:tblPrEx>
        <w:tc>
          <w:tcPr>
            <w:tcW w:w="9360" w:type="dxa"/>
            <w:gridSpan w:val="3"/>
            <w:tcBorders>
              <w:top w:val="single" w:sz="4" w:space="0" w:color="FFFFFF" w:themeColor="background1"/>
              <w:bottom w:val="single" w:sz="4" w:space="0" w:color="5B6771" w:themeColor="accent3"/>
              <w:right w:val="nil"/>
            </w:tcBorders>
            <w:shd w:val="clear" w:color="auto" w:fill="0B2949"/>
          </w:tcPr>
          <w:p w:rsidR="009655B1" w:rsidRPr="002B1072" w:rsidP="009655B1" w14:paraId="14EBA0E6" w14:textId="77777777">
            <w:pPr>
              <w:pStyle w:val="Paragraph"/>
              <w:rPr>
                <w:b/>
                <w:bCs/>
              </w:rPr>
            </w:pPr>
            <w:r>
              <w:rPr>
                <w:b/>
                <w:bCs/>
              </w:rPr>
              <w:t>Suppor</w:t>
            </w:r>
            <w:r w:rsidRPr="002B1072">
              <w:rPr>
                <w:b/>
                <w:bCs/>
              </w:rPr>
              <w:t>t</w:t>
            </w:r>
            <w:r>
              <w:rPr>
                <w:b/>
                <w:bCs/>
              </w:rPr>
              <w:t xml:space="preserve"> for Emotional Development</w:t>
            </w:r>
          </w:p>
        </w:tc>
      </w:tr>
      <w:tr w14:paraId="4210242A" w14:textId="77777777" w:rsidTr="009655B1">
        <w:tblPrEx>
          <w:tblW w:w="0" w:type="auto"/>
          <w:tblLook w:val="04A0"/>
        </w:tblPrEx>
        <w:tc>
          <w:tcPr>
            <w:tcW w:w="1510" w:type="dxa"/>
            <w:tcBorders>
              <w:bottom w:val="single" w:sz="4" w:space="0" w:color="FFFFFF" w:themeColor="background1"/>
            </w:tcBorders>
            <w:shd w:val="clear" w:color="auto" w:fill="auto"/>
          </w:tcPr>
          <w:p w:rsidR="009655B1" w:rsidP="009655B1" w14:paraId="71E201DB" w14:textId="77777777">
            <w:pPr>
              <w:pStyle w:val="Paragraph"/>
            </w:pPr>
            <w:r>
              <w:t>II.20, II.21, II.23</w:t>
            </w:r>
          </w:p>
        </w:tc>
        <w:tc>
          <w:tcPr>
            <w:tcW w:w="3840" w:type="dxa"/>
            <w:tcBorders>
              <w:bottom w:val="single" w:sz="4" w:space="0" w:color="FFFFFF" w:themeColor="background1"/>
            </w:tcBorders>
            <w:shd w:val="clear" w:color="auto" w:fill="auto"/>
          </w:tcPr>
          <w:p w:rsidR="009655B1" w:rsidP="009655B1" w14:paraId="066E2DDE" w14:textId="77777777">
            <w:pPr>
              <w:pStyle w:val="Paragraph"/>
            </w:pPr>
            <w:r>
              <w:t>These items ask about incorporating children’s home language(s). A few respondents were confused about what to put when children’s home language is English.</w:t>
            </w:r>
          </w:p>
        </w:tc>
        <w:tc>
          <w:tcPr>
            <w:tcW w:w="4010" w:type="dxa"/>
            <w:tcBorders>
              <w:bottom w:val="single" w:sz="4" w:space="0" w:color="FFFFFF" w:themeColor="background1"/>
              <w:right w:val="nil"/>
            </w:tcBorders>
            <w:shd w:val="clear" w:color="auto" w:fill="auto"/>
          </w:tcPr>
          <w:p w:rsidR="009655B1" w:rsidP="009655B1" w14:paraId="4BE24223" w14:textId="77777777">
            <w:pPr>
              <w:pStyle w:val="Paragraph"/>
            </w:pPr>
            <w:r>
              <w:t>Reworded items to clarify what is meant by home language to make it clear providers who only speak English with children who only speak English should check Not Applicable.</w:t>
            </w:r>
          </w:p>
        </w:tc>
      </w:tr>
      <w:tr w14:paraId="055058BB" w14:textId="77777777" w:rsidTr="009655B1">
        <w:tblPrEx>
          <w:tblW w:w="0" w:type="auto"/>
          <w:tblLook w:val="04A0"/>
        </w:tblPrEx>
        <w:tc>
          <w:tcPr>
            <w:tcW w:w="1510" w:type="dxa"/>
            <w:tcBorders>
              <w:bottom w:val="single" w:sz="4" w:space="0" w:color="FFFFFF" w:themeColor="background1"/>
            </w:tcBorders>
          </w:tcPr>
          <w:p w:rsidR="009655B1" w:rsidP="009655B1" w14:paraId="004824DF" w14:textId="77777777">
            <w:pPr>
              <w:pStyle w:val="Paragraph"/>
            </w:pPr>
            <w:r>
              <w:t>II.22</w:t>
            </w:r>
          </w:p>
        </w:tc>
        <w:tc>
          <w:tcPr>
            <w:tcW w:w="3840" w:type="dxa"/>
            <w:tcBorders>
              <w:bottom w:val="single" w:sz="4" w:space="0" w:color="FFFFFF" w:themeColor="background1"/>
            </w:tcBorders>
          </w:tcPr>
          <w:p w:rsidR="009655B1" w:rsidP="009655B1" w14:paraId="6ABB28AB" w14:textId="77777777">
            <w:pPr>
              <w:pStyle w:val="Paragraph"/>
            </w:pPr>
            <w:r>
              <w:t>One respondent was not sure if “pictures of children and their families” referred to her actual children and families, or just children and families in general. In addition, this respondent said some families would not want their pictures on display in someone else’s home.</w:t>
            </w:r>
          </w:p>
        </w:tc>
        <w:tc>
          <w:tcPr>
            <w:tcW w:w="4010" w:type="dxa"/>
            <w:tcBorders>
              <w:bottom w:val="single" w:sz="4" w:space="0" w:color="FFFFFF" w:themeColor="background1"/>
              <w:right w:val="nil"/>
            </w:tcBorders>
          </w:tcPr>
          <w:p w:rsidR="009655B1" w:rsidP="009655B1" w14:paraId="29142807" w14:textId="55C10B09">
            <w:pPr>
              <w:pStyle w:val="CommentText"/>
            </w:pPr>
            <w:r>
              <w:t xml:space="preserve">Dropped this </w:t>
            </w:r>
            <w:r w:rsidR="008572B0">
              <w:t>item but</w:t>
            </w:r>
            <w:r>
              <w:t xml:space="preserve"> added photos of children’s family members as an example to another item about materials in the HBCC setting.</w:t>
            </w:r>
          </w:p>
        </w:tc>
      </w:tr>
      <w:tr w14:paraId="0514B912" w14:textId="77777777" w:rsidTr="009655B1">
        <w:tblPrEx>
          <w:tblW w:w="0" w:type="auto"/>
          <w:tblLook w:val="04A0"/>
        </w:tblPrEx>
        <w:tc>
          <w:tcPr>
            <w:tcW w:w="1510" w:type="dxa"/>
            <w:tcBorders>
              <w:bottom w:val="single" w:sz="4" w:space="0" w:color="FFFFFF" w:themeColor="background1"/>
            </w:tcBorders>
          </w:tcPr>
          <w:p w:rsidR="009655B1" w:rsidP="009655B1" w14:paraId="7668BCA5" w14:textId="77777777">
            <w:pPr>
              <w:pStyle w:val="Paragraph"/>
            </w:pPr>
            <w:r>
              <w:t>II.28</w:t>
            </w:r>
          </w:p>
        </w:tc>
        <w:tc>
          <w:tcPr>
            <w:tcW w:w="3840" w:type="dxa"/>
            <w:tcBorders>
              <w:bottom w:val="single" w:sz="4" w:space="0" w:color="FFFFFF" w:themeColor="background1"/>
            </w:tcBorders>
          </w:tcPr>
          <w:p w:rsidR="009655B1" w:rsidP="009655B1" w14:paraId="74C95F46" w14:textId="77777777">
            <w:pPr>
              <w:pStyle w:val="Paragraph"/>
            </w:pPr>
            <w:r>
              <w:t>One respondent noted that “sharing favorite objects from home” was not permitted because it became an opportunity to “show off” and created issues between children.</w:t>
            </w:r>
          </w:p>
          <w:p w:rsidR="003E62F5" w:rsidP="009655B1" w14:paraId="2B972E54" w14:textId="77777777">
            <w:pPr>
              <w:pStyle w:val="Paragraph"/>
            </w:pPr>
          </w:p>
          <w:p w:rsidR="003E62F5" w:rsidP="009655B1" w14:paraId="5E237676" w14:textId="77777777">
            <w:pPr>
              <w:pStyle w:val="Paragraph"/>
            </w:pPr>
          </w:p>
          <w:p w:rsidR="003E62F5" w:rsidP="009655B1" w14:paraId="1F25C246" w14:textId="77777777">
            <w:pPr>
              <w:pStyle w:val="Paragraph"/>
            </w:pPr>
          </w:p>
          <w:p w:rsidR="003E62F5" w:rsidP="009655B1" w14:paraId="78A0C0AC" w14:textId="77777777">
            <w:pPr>
              <w:pStyle w:val="Paragraph"/>
            </w:pPr>
          </w:p>
          <w:p w:rsidR="003E62F5" w:rsidP="009655B1" w14:paraId="2B1A076B" w14:textId="069AB865">
            <w:pPr>
              <w:pStyle w:val="Paragraph"/>
            </w:pPr>
          </w:p>
        </w:tc>
        <w:tc>
          <w:tcPr>
            <w:tcW w:w="4010" w:type="dxa"/>
            <w:tcBorders>
              <w:bottom w:val="single" w:sz="4" w:space="0" w:color="FFFFFF" w:themeColor="background1"/>
              <w:right w:val="nil"/>
            </w:tcBorders>
          </w:tcPr>
          <w:p w:rsidR="00E30EB6" w:rsidP="009655B1" w14:paraId="277BA975" w14:textId="12F27F60">
            <w:pPr>
              <w:pStyle w:val="CommentText"/>
            </w:pPr>
            <w:r>
              <w:t>Removed this item.</w:t>
            </w:r>
          </w:p>
          <w:p w:rsidR="00E30EB6" w:rsidP="009655B1" w14:paraId="209B68EB" w14:textId="3695AF87">
            <w:pPr>
              <w:pStyle w:val="CommentText"/>
            </w:pPr>
          </w:p>
        </w:tc>
      </w:tr>
      <w:tr w14:paraId="08DA832E" w14:textId="77777777" w:rsidTr="005D23E9">
        <w:tblPrEx>
          <w:tblW w:w="0" w:type="auto"/>
          <w:tblLook w:val="04A0"/>
        </w:tblPrEx>
        <w:tc>
          <w:tcPr>
            <w:tcW w:w="9360" w:type="dxa"/>
            <w:gridSpan w:val="3"/>
            <w:tcBorders>
              <w:top w:val="single" w:sz="4" w:space="0" w:color="FFFFFF" w:themeColor="background1"/>
              <w:bottom w:val="single" w:sz="4" w:space="0" w:color="5B6771" w:themeColor="accent3"/>
              <w:right w:val="nil"/>
            </w:tcBorders>
            <w:shd w:val="clear" w:color="auto" w:fill="0B2949"/>
          </w:tcPr>
          <w:p w:rsidR="009655B1" w:rsidRPr="002B1072" w:rsidP="009655B1" w14:paraId="070C95C6" w14:textId="77777777">
            <w:pPr>
              <w:pStyle w:val="Paragraph"/>
              <w:rPr>
                <w:b/>
                <w:bCs/>
              </w:rPr>
            </w:pPr>
            <w:r>
              <w:rPr>
                <w:b/>
                <w:bCs/>
              </w:rPr>
              <w:t>Positive and Proactive Behavior Management</w:t>
            </w:r>
          </w:p>
        </w:tc>
      </w:tr>
      <w:tr w14:paraId="1D627C6D" w14:textId="77777777" w:rsidTr="009655B1">
        <w:tblPrEx>
          <w:tblW w:w="0" w:type="auto"/>
          <w:tblLook w:val="04A0"/>
        </w:tblPrEx>
        <w:tc>
          <w:tcPr>
            <w:tcW w:w="1510" w:type="dxa"/>
          </w:tcPr>
          <w:p w:rsidR="009655B1" w:rsidP="009655B1" w14:paraId="2B68E0D3" w14:textId="77777777">
            <w:pPr>
              <w:pStyle w:val="Paragraph"/>
            </w:pPr>
            <w:r>
              <w:t>III.11</w:t>
            </w:r>
          </w:p>
        </w:tc>
        <w:tc>
          <w:tcPr>
            <w:tcW w:w="3840" w:type="dxa"/>
          </w:tcPr>
          <w:p w:rsidR="009655B1" w:rsidP="009655B1" w14:paraId="7185D81D" w14:textId="77777777">
            <w:pPr>
              <w:pStyle w:val="ExhibitFootnote"/>
            </w:pPr>
            <w:r>
              <w:t>This item asks about incorporating routines from families’ homes. One respondent explained that while she does ask families about home routines, she won’t necessarily use them if they are not feasible in the HBCC setting.</w:t>
            </w:r>
          </w:p>
        </w:tc>
        <w:tc>
          <w:tcPr>
            <w:tcW w:w="4010" w:type="dxa"/>
            <w:tcBorders>
              <w:right w:val="nil"/>
            </w:tcBorders>
          </w:tcPr>
          <w:p w:rsidR="009655B1" w:rsidP="009655B1" w14:paraId="36C0CC18" w14:textId="77777777">
            <w:pPr>
              <w:pStyle w:val="Paragraph"/>
            </w:pPr>
            <w:r>
              <w:t>Added “when possible” to the end of the statement.</w:t>
            </w:r>
          </w:p>
        </w:tc>
      </w:tr>
      <w:tr w14:paraId="35D1B41C" w14:textId="77777777" w:rsidTr="009655B1">
        <w:tblPrEx>
          <w:tblW w:w="0" w:type="auto"/>
          <w:tblLook w:val="04A0"/>
        </w:tblPrEx>
        <w:tc>
          <w:tcPr>
            <w:tcW w:w="1510" w:type="dxa"/>
            <w:shd w:val="clear" w:color="auto" w:fill="auto"/>
          </w:tcPr>
          <w:p w:rsidR="009655B1" w:rsidP="009655B1" w14:paraId="664C34EA" w14:textId="77777777">
            <w:pPr>
              <w:pStyle w:val="Paragraph"/>
            </w:pPr>
            <w:r>
              <w:t>III.25-.26</w:t>
            </w:r>
          </w:p>
        </w:tc>
        <w:tc>
          <w:tcPr>
            <w:tcW w:w="3840" w:type="dxa"/>
            <w:shd w:val="clear" w:color="auto" w:fill="auto"/>
          </w:tcPr>
          <w:p w:rsidR="009655B1" w:rsidP="009655B1" w14:paraId="7E32EB52" w14:textId="75004C29">
            <w:pPr>
              <w:pStyle w:val="Paragraph"/>
            </w:pPr>
            <w:r>
              <w:t>One respondent suggested we replace the word “misbehave” to something else more neutral</w:t>
            </w:r>
            <w:r w:rsidR="00A2095B">
              <w:t xml:space="preserve"> because “younger children do not understand they are misbehaving” since they are just learning what is and is not appropriate behavior</w:t>
            </w:r>
            <w:r>
              <w:t>.</w:t>
            </w:r>
          </w:p>
        </w:tc>
        <w:tc>
          <w:tcPr>
            <w:tcW w:w="4010" w:type="dxa"/>
            <w:tcBorders>
              <w:right w:val="nil"/>
            </w:tcBorders>
            <w:shd w:val="clear" w:color="auto" w:fill="auto"/>
          </w:tcPr>
          <w:p w:rsidR="009655B1" w:rsidP="009655B1" w14:paraId="027AA327" w14:textId="78A22F19">
            <w:pPr>
              <w:pStyle w:val="Paragraph"/>
            </w:pPr>
            <w:r>
              <w:t>Replaced “misbehavior” with “behavior”</w:t>
            </w:r>
            <w:r w:rsidR="00B100A3">
              <w:t xml:space="preserve"> in the phrase “When one child’s behavior harms another child…”</w:t>
            </w:r>
            <w:r>
              <w:t>.</w:t>
            </w:r>
          </w:p>
        </w:tc>
      </w:tr>
      <w:tr w14:paraId="4D926141" w14:textId="77777777" w:rsidTr="009655B1">
        <w:tblPrEx>
          <w:tblW w:w="0" w:type="auto"/>
          <w:tblLook w:val="04A0"/>
        </w:tblPrEx>
        <w:tc>
          <w:tcPr>
            <w:tcW w:w="1510" w:type="dxa"/>
            <w:tcBorders>
              <w:bottom w:val="single" w:sz="4" w:space="0" w:color="FFFFFF" w:themeColor="background1"/>
            </w:tcBorders>
            <w:shd w:val="clear" w:color="auto" w:fill="auto"/>
          </w:tcPr>
          <w:p w:rsidR="009655B1" w:rsidP="009655B1" w14:paraId="48F75EB4" w14:textId="77777777">
            <w:pPr>
              <w:pStyle w:val="Paragraph"/>
            </w:pPr>
            <w:r>
              <w:t>III.29</w:t>
            </w:r>
          </w:p>
        </w:tc>
        <w:tc>
          <w:tcPr>
            <w:tcW w:w="3840" w:type="dxa"/>
            <w:tcBorders>
              <w:bottom w:val="single" w:sz="4" w:space="0" w:color="FFFFFF" w:themeColor="background1"/>
            </w:tcBorders>
            <w:shd w:val="clear" w:color="auto" w:fill="auto"/>
          </w:tcPr>
          <w:p w:rsidR="009655B1" w:rsidP="009655B1" w14:paraId="54F909A3" w14:textId="4B4F15A2">
            <w:pPr>
              <w:pStyle w:val="Paragraph"/>
            </w:pPr>
            <w:r>
              <w:t xml:space="preserve">This item asks about </w:t>
            </w:r>
            <w:r w:rsidR="00B100A3">
              <w:t xml:space="preserve">adapting </w:t>
            </w:r>
            <w:r>
              <w:t>rules. One respondent interpreted this as different rules for different age groups.</w:t>
            </w:r>
          </w:p>
        </w:tc>
        <w:tc>
          <w:tcPr>
            <w:tcW w:w="4010" w:type="dxa"/>
            <w:tcBorders>
              <w:bottom w:val="single" w:sz="4" w:space="0" w:color="FFFFFF" w:themeColor="background1"/>
              <w:right w:val="nil"/>
            </w:tcBorders>
            <w:shd w:val="clear" w:color="auto" w:fill="auto"/>
          </w:tcPr>
          <w:p w:rsidR="009655B1" w:rsidP="009655B1" w14:paraId="70F3A1C8" w14:textId="12305C48">
            <w:pPr>
              <w:pStyle w:val="Paragraph"/>
            </w:pPr>
            <w:r>
              <w:t>Added examples to</w:t>
            </w:r>
            <w:r w:rsidR="00B100A3">
              <w:t xml:space="preserve"> show</w:t>
            </w:r>
            <w:r>
              <w:t xml:space="preserve"> </w:t>
            </w:r>
            <w:r w:rsidR="00B100A3">
              <w:t>various ways providers can adapt rules for children beyond age group.</w:t>
            </w:r>
          </w:p>
        </w:tc>
      </w:tr>
      <w:tr w14:paraId="2456C2AE" w14:textId="77777777" w:rsidTr="005D23E9">
        <w:tblPrEx>
          <w:tblW w:w="0" w:type="auto"/>
          <w:tblLook w:val="04A0"/>
        </w:tblPrEx>
        <w:tc>
          <w:tcPr>
            <w:tcW w:w="9360" w:type="dxa"/>
            <w:gridSpan w:val="3"/>
            <w:tcBorders>
              <w:top w:val="single" w:sz="4" w:space="0" w:color="FFFFFF" w:themeColor="background1"/>
              <w:bottom w:val="single" w:sz="4" w:space="0" w:color="5B6771" w:themeColor="accent3"/>
              <w:right w:val="nil"/>
            </w:tcBorders>
            <w:shd w:val="clear" w:color="auto" w:fill="0B2949"/>
          </w:tcPr>
          <w:p w:rsidR="009655B1" w:rsidRPr="007079F2" w:rsidP="009655B1" w14:paraId="03A9CE2A" w14:textId="77777777">
            <w:pPr>
              <w:pStyle w:val="Paragraph"/>
              <w:rPr>
                <w:b/>
                <w:bCs/>
                <w:color w:val="FFFFFF" w:themeColor="background1"/>
              </w:rPr>
            </w:pPr>
            <w:r w:rsidRPr="002B1072">
              <w:rPr>
                <w:b/>
                <w:bCs/>
              </w:rPr>
              <w:t>Support for Learning</w:t>
            </w:r>
          </w:p>
        </w:tc>
      </w:tr>
      <w:tr w14:paraId="5CAB3987" w14:textId="77777777" w:rsidTr="009655B1">
        <w:tblPrEx>
          <w:tblW w:w="0" w:type="auto"/>
          <w:tblLook w:val="04A0"/>
        </w:tblPrEx>
        <w:tc>
          <w:tcPr>
            <w:tcW w:w="1510" w:type="dxa"/>
          </w:tcPr>
          <w:p w:rsidR="009655B1" w:rsidP="009655B1" w14:paraId="717BFABF" w14:textId="77777777">
            <w:pPr>
              <w:pStyle w:val="Paragraph"/>
            </w:pPr>
            <w:r>
              <w:t>IV.36, IV.45, IV.48</w:t>
            </w:r>
          </w:p>
        </w:tc>
        <w:tc>
          <w:tcPr>
            <w:tcW w:w="3840" w:type="dxa"/>
          </w:tcPr>
          <w:p w:rsidR="009655B1" w:rsidP="009655B1" w14:paraId="3C4F691F" w14:textId="07B52F5C">
            <w:pPr>
              <w:pStyle w:val="ExhibitFootnote"/>
            </w:pPr>
            <w:r>
              <w:t>A few respondents said “homework” is not relevant for 5- &amp; 6-year-olds who are not in kindergarten yet, or do not have homework even if they are. In addition, one respondent said students who attend schools in low-income areas are rarely given homework since expectations for completion in those schools is so low.</w:t>
            </w:r>
          </w:p>
        </w:tc>
        <w:tc>
          <w:tcPr>
            <w:tcW w:w="4010" w:type="dxa"/>
            <w:tcBorders>
              <w:right w:val="nil"/>
            </w:tcBorders>
          </w:tcPr>
          <w:p w:rsidR="009655B1" w:rsidP="009655B1" w14:paraId="4D80AE4A" w14:textId="77777777">
            <w:pPr>
              <w:pStyle w:val="Paragraph"/>
            </w:pPr>
            <w:r>
              <w:t>Removed items specific to homework completion and used “schoolwork” as examples for some items in this domain.</w:t>
            </w:r>
          </w:p>
        </w:tc>
      </w:tr>
      <w:tr w14:paraId="2FF6845A" w14:textId="77777777" w:rsidTr="009655B1">
        <w:tblPrEx>
          <w:tblW w:w="0" w:type="auto"/>
          <w:tblLook w:val="04A0"/>
        </w:tblPrEx>
        <w:tc>
          <w:tcPr>
            <w:tcW w:w="1510" w:type="dxa"/>
          </w:tcPr>
          <w:p w:rsidR="009655B1" w:rsidP="009655B1" w14:paraId="2FCAD86B" w14:textId="77777777">
            <w:pPr>
              <w:pStyle w:val="Paragraph"/>
            </w:pPr>
            <w:r>
              <w:t>IV.46</w:t>
            </w:r>
          </w:p>
        </w:tc>
        <w:tc>
          <w:tcPr>
            <w:tcW w:w="3840" w:type="dxa"/>
          </w:tcPr>
          <w:p w:rsidR="009655B1" w:rsidP="009655B1" w14:paraId="13DD5BB0" w14:textId="77777777">
            <w:pPr>
              <w:pStyle w:val="ExhibitFootnote"/>
            </w:pPr>
            <w:r>
              <w:t>This item asks about incorporating families’ preferences. One respondent said the family’s preferences might not always be reasonable or feasible for the HBCC setting (for example, if the family wants an older and younger sibling to spend the entire day together or, alternatively, stay completely apart from one another).</w:t>
            </w:r>
          </w:p>
        </w:tc>
        <w:tc>
          <w:tcPr>
            <w:tcW w:w="4010" w:type="dxa"/>
            <w:tcBorders>
              <w:right w:val="nil"/>
            </w:tcBorders>
          </w:tcPr>
          <w:p w:rsidR="009655B1" w:rsidP="009655B1" w14:paraId="2E13281C" w14:textId="77777777">
            <w:pPr>
              <w:pStyle w:val="Paragraph"/>
            </w:pPr>
            <w:r>
              <w:t>Changed “I honor families’ preferences…” to “I try to honor…”</w:t>
            </w:r>
          </w:p>
        </w:tc>
      </w:tr>
      <w:tr w14:paraId="7F758714" w14:textId="77777777" w:rsidTr="005D23E9">
        <w:tblPrEx>
          <w:tblW w:w="0" w:type="auto"/>
          <w:tblLook w:val="04A0"/>
        </w:tblPrEx>
        <w:tc>
          <w:tcPr>
            <w:tcW w:w="9360" w:type="dxa"/>
            <w:gridSpan w:val="3"/>
            <w:tcBorders>
              <w:top w:val="single" w:sz="4" w:space="0" w:color="FFFFFF" w:themeColor="background1"/>
              <w:bottom w:val="single" w:sz="4" w:space="0" w:color="5B6771" w:themeColor="accent3"/>
              <w:right w:val="nil"/>
            </w:tcBorders>
            <w:shd w:val="clear" w:color="auto" w:fill="0B2949"/>
          </w:tcPr>
          <w:p w:rsidR="009655B1" w:rsidRPr="007079F2" w:rsidP="009655B1" w14:paraId="1F4043CB" w14:textId="77777777">
            <w:pPr>
              <w:pStyle w:val="Paragraph"/>
              <w:rPr>
                <w:b/>
                <w:bCs/>
              </w:rPr>
            </w:pPr>
            <w:r w:rsidRPr="002B1072">
              <w:rPr>
                <w:b/>
                <w:bCs/>
              </w:rPr>
              <w:t>Support for Physical Development</w:t>
            </w:r>
          </w:p>
        </w:tc>
      </w:tr>
      <w:tr w14:paraId="1835EEF1" w14:textId="77777777" w:rsidTr="009655B1">
        <w:tblPrEx>
          <w:tblW w:w="0" w:type="auto"/>
          <w:tblLook w:val="04A0"/>
        </w:tblPrEx>
        <w:tc>
          <w:tcPr>
            <w:tcW w:w="1510" w:type="dxa"/>
          </w:tcPr>
          <w:p w:rsidR="009655B1" w:rsidP="009655B1" w14:paraId="18D761EE" w14:textId="77777777">
            <w:pPr>
              <w:pStyle w:val="Paragraph"/>
            </w:pPr>
            <w:r>
              <w:t>V.13</w:t>
            </w:r>
          </w:p>
        </w:tc>
        <w:tc>
          <w:tcPr>
            <w:tcW w:w="3840" w:type="dxa"/>
          </w:tcPr>
          <w:p w:rsidR="009655B1" w:rsidP="009655B1" w14:paraId="19D49DF0" w14:textId="4CE683D5">
            <w:pPr>
              <w:pStyle w:val="Paragraph"/>
            </w:pPr>
            <w:r>
              <w:t>Both rural respondents explained that “taking” kids somewhere is not really an option, but they have access to plenty of land and provide opportunities for children to access outdoor activities.</w:t>
            </w:r>
          </w:p>
        </w:tc>
        <w:tc>
          <w:tcPr>
            <w:tcW w:w="4010" w:type="dxa"/>
            <w:tcBorders>
              <w:right w:val="nil"/>
            </w:tcBorders>
          </w:tcPr>
          <w:p w:rsidR="009655B1" w:rsidP="009655B1" w14:paraId="0CBBB5B1" w14:textId="77777777">
            <w:pPr>
              <w:pStyle w:val="Paragraph"/>
            </w:pPr>
            <w:r>
              <w:t>Changed “I take children to the park or other space…” to “I provide children with opportunities to explore…”</w:t>
            </w:r>
          </w:p>
        </w:tc>
      </w:tr>
      <w:tr w14:paraId="69672FDC" w14:textId="77777777" w:rsidTr="009655B1">
        <w:tblPrEx>
          <w:tblW w:w="0" w:type="auto"/>
          <w:tblLook w:val="04A0"/>
        </w:tblPrEx>
        <w:tc>
          <w:tcPr>
            <w:tcW w:w="1510" w:type="dxa"/>
          </w:tcPr>
          <w:p w:rsidR="009655B1" w:rsidP="009655B1" w14:paraId="681C4A65" w14:textId="77777777">
            <w:pPr>
              <w:pStyle w:val="Paragraph"/>
            </w:pPr>
            <w:r>
              <w:t>V.23</w:t>
            </w:r>
          </w:p>
        </w:tc>
        <w:tc>
          <w:tcPr>
            <w:tcW w:w="3840" w:type="dxa"/>
          </w:tcPr>
          <w:p w:rsidR="009655B1" w:rsidP="009655B1" w14:paraId="205F0366" w14:textId="106BCEE4">
            <w:pPr>
              <w:pStyle w:val="Paragraph"/>
            </w:pPr>
            <w:r>
              <w:t xml:space="preserve">One respondent </w:t>
            </w:r>
            <w:r w:rsidR="00410E95">
              <w:t xml:space="preserve">did not understand including children “from </w:t>
            </w:r>
            <w:r>
              <w:t xml:space="preserve">different backgrounds” </w:t>
            </w:r>
            <w:r w:rsidR="00410E95">
              <w:t xml:space="preserve">in physical activities </w:t>
            </w:r>
            <w:r>
              <w:t>because all of her children come from very similar backgrounds.</w:t>
            </w:r>
          </w:p>
        </w:tc>
        <w:tc>
          <w:tcPr>
            <w:tcW w:w="4010" w:type="dxa"/>
            <w:tcBorders>
              <w:right w:val="nil"/>
            </w:tcBorders>
          </w:tcPr>
          <w:p w:rsidR="009655B1" w:rsidP="009655B1" w14:paraId="78121972" w14:textId="12ECB9C7">
            <w:pPr>
              <w:pStyle w:val="Paragraph"/>
            </w:pPr>
            <w:r>
              <w:t>Removed “backgrounds” and included specific examples.</w:t>
            </w:r>
          </w:p>
        </w:tc>
      </w:tr>
      <w:tr w14:paraId="75BADFB8" w14:textId="77777777" w:rsidTr="009655B1">
        <w:tblPrEx>
          <w:tblW w:w="0" w:type="auto"/>
          <w:tblLook w:val="04A0"/>
        </w:tblPrEx>
        <w:tc>
          <w:tcPr>
            <w:tcW w:w="1510" w:type="dxa"/>
          </w:tcPr>
          <w:p w:rsidR="009655B1" w:rsidP="009655B1" w14:paraId="36A3F818" w14:textId="77777777">
            <w:pPr>
              <w:pStyle w:val="Paragraph"/>
            </w:pPr>
            <w:r>
              <w:t>V.34</w:t>
            </w:r>
          </w:p>
        </w:tc>
        <w:tc>
          <w:tcPr>
            <w:tcW w:w="3840" w:type="dxa"/>
          </w:tcPr>
          <w:p w:rsidR="009655B1" w:rsidP="009655B1" w14:paraId="4B717D25" w14:textId="77777777">
            <w:pPr>
              <w:pStyle w:val="Paragraph"/>
            </w:pPr>
            <w:r>
              <w:t>One respondent explained that she talks a lot to parents about the importance of sleep, but not necessarily to the children.</w:t>
            </w:r>
          </w:p>
        </w:tc>
        <w:tc>
          <w:tcPr>
            <w:tcW w:w="4010" w:type="dxa"/>
            <w:tcBorders>
              <w:right w:val="nil"/>
            </w:tcBorders>
          </w:tcPr>
          <w:p w:rsidR="009655B1" w:rsidP="009655B1" w14:paraId="5BDAD8C5" w14:textId="77777777">
            <w:pPr>
              <w:pStyle w:val="Paragraph"/>
            </w:pPr>
            <w:r>
              <w:t>Changed “I talk about the importance of getting enough sleep…” to “I talk to children and families about the importance of getting enough sleep…”</w:t>
            </w:r>
          </w:p>
        </w:tc>
      </w:tr>
      <w:tr w14:paraId="198CCE75" w14:textId="77777777" w:rsidTr="009655B1">
        <w:tblPrEx>
          <w:tblW w:w="0" w:type="auto"/>
          <w:tblLook w:val="04A0"/>
        </w:tblPrEx>
        <w:tc>
          <w:tcPr>
            <w:tcW w:w="1510" w:type="dxa"/>
          </w:tcPr>
          <w:p w:rsidR="009655B1" w:rsidP="009655B1" w14:paraId="1D25941A" w14:textId="77777777">
            <w:pPr>
              <w:pStyle w:val="Paragraph"/>
            </w:pPr>
            <w:r>
              <w:t>V.41</w:t>
            </w:r>
          </w:p>
        </w:tc>
        <w:tc>
          <w:tcPr>
            <w:tcW w:w="3840" w:type="dxa"/>
          </w:tcPr>
          <w:p w:rsidR="009655B1" w:rsidP="009655B1" w14:paraId="45AF5F78" w14:textId="425C710C">
            <w:pPr>
              <w:pStyle w:val="Paragraph"/>
            </w:pPr>
            <w:r>
              <w:t>This item is about including roles for children during meal or snack times. One respondent said there are strict rules around food preparation for licensed respondents, especially since COVID (children have to be spaced apart, children cannot touch each other’s food, etc.)</w:t>
            </w:r>
          </w:p>
        </w:tc>
        <w:tc>
          <w:tcPr>
            <w:tcW w:w="4010" w:type="dxa"/>
            <w:tcBorders>
              <w:right w:val="nil"/>
            </w:tcBorders>
          </w:tcPr>
          <w:p w:rsidR="009655B1" w:rsidP="009655B1" w14:paraId="73EE5702" w14:textId="77777777">
            <w:pPr>
              <w:pStyle w:val="Paragraph"/>
            </w:pPr>
            <w:r>
              <w:t>Added COVID-safe examples of food preparation and planning.</w:t>
            </w:r>
          </w:p>
        </w:tc>
      </w:tr>
      <w:tr w14:paraId="281CB0C0" w14:textId="77777777" w:rsidTr="009655B1">
        <w:tblPrEx>
          <w:tblW w:w="0" w:type="auto"/>
          <w:tblLook w:val="04A0"/>
        </w:tblPrEx>
        <w:tc>
          <w:tcPr>
            <w:tcW w:w="1510" w:type="dxa"/>
            <w:shd w:val="clear" w:color="auto" w:fill="auto"/>
          </w:tcPr>
          <w:p w:rsidR="009655B1" w:rsidP="009655B1" w14:paraId="49D9132E" w14:textId="77777777">
            <w:pPr>
              <w:pStyle w:val="Paragraph"/>
            </w:pPr>
            <w:r>
              <w:t>V.46</w:t>
            </w:r>
          </w:p>
        </w:tc>
        <w:tc>
          <w:tcPr>
            <w:tcW w:w="3840" w:type="dxa"/>
            <w:shd w:val="clear" w:color="auto" w:fill="auto"/>
          </w:tcPr>
          <w:p w:rsidR="009655B1" w:rsidP="009655B1" w14:paraId="27C199CA" w14:textId="56B68FED">
            <w:pPr>
              <w:pStyle w:val="Paragraph"/>
            </w:pPr>
            <w:r>
              <w:t xml:space="preserve">One respondent marked “Never” because none of her children have food allergies but </w:t>
            </w:r>
            <w:r w:rsidR="00A2095B">
              <w:t>asked if a child who</w:t>
            </w:r>
            <w:r>
              <w:t xml:space="preserve"> refuses to eat eggs </w:t>
            </w:r>
            <w:r w:rsidR="00A2095B">
              <w:t>counts as a “nutritional alternative” to talk about with families</w:t>
            </w:r>
            <w:r>
              <w:t>.</w:t>
            </w:r>
          </w:p>
        </w:tc>
        <w:tc>
          <w:tcPr>
            <w:tcW w:w="4010" w:type="dxa"/>
            <w:tcBorders>
              <w:bottom w:val="single" w:sz="4" w:space="0" w:color="046B5C" w:themeColor="text2"/>
              <w:right w:val="nil"/>
            </w:tcBorders>
            <w:shd w:val="clear" w:color="auto" w:fill="auto"/>
          </w:tcPr>
          <w:p w:rsidR="009655B1" w:rsidP="009655B1" w14:paraId="49359833" w14:textId="34BC4E64">
            <w:pPr>
              <w:pStyle w:val="Paragraph"/>
            </w:pPr>
            <w:r>
              <w:t xml:space="preserve">Added examples to item to be inclusive of other ways a provider may need to ask about nutritional alternatives from families. </w:t>
            </w:r>
          </w:p>
        </w:tc>
      </w:tr>
    </w:tbl>
    <w:p w:rsidR="00D84AC5" w:rsidP="00D84AC5" w14:paraId="083EE7A1" w14:textId="3506AAC5">
      <w:pPr>
        <w:pStyle w:val="Paragraph"/>
      </w:pPr>
      <w:r>
        <w:rPr>
          <w:noProof/>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227876</wp:posOffset>
                </wp:positionV>
                <wp:extent cx="6017135" cy="818484"/>
                <wp:effectExtent l="0" t="0" r="22225" b="2032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7135" cy="818484"/>
                        </a:xfrm>
                        <a:prstGeom prst="rect">
                          <a:avLst/>
                        </a:prstGeom>
                        <a:solidFill>
                          <a:schemeClr val="lt1"/>
                        </a:solidFill>
                        <a:ln w="6350">
                          <a:solidFill>
                            <a:prstClr val="black"/>
                          </a:solidFill>
                        </a:ln>
                      </wps:spPr>
                      <wps:txbx>
                        <w:txbxContent>
                          <w:p w:rsidR="003878DC" w:rsidP="003878DC"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3878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width:473.8pt;height:64.45pt;margin-top:17.95pt;margin-left:-3.0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3878DC" w:rsidP="003878DC" w14:paraId="7F1BC57D"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3878DC" w14:paraId="63B12DF3" w14:textId="77777777"/>
                  </w:txbxContent>
                </v:textbox>
              </v:shape>
            </w:pict>
          </mc:Fallback>
        </mc:AlternateContent>
      </w:r>
    </w:p>
    <w:p w:rsidR="003878DC" w:rsidRPr="003878DC" w:rsidP="007C47DF" w14:paraId="687AC1AF" w14:textId="08F986F7">
      <w:pPr>
        <w:pStyle w:val="Paragraph"/>
      </w:pPr>
      <w:r>
        <w:rPr>
          <w:noProof/>
        </w:rPr>
        <mc:AlternateContent>
          <mc:Choice Requires="wps">
            <w:drawing>
              <wp:anchor distT="0" distB="0" distL="114300" distR="114300" simplePos="0" relativeHeight="251658240" behindDoc="0" locked="0" layoutInCell="1" allowOverlap="1">
                <wp:simplePos x="0" y="0"/>
                <wp:positionH relativeFrom="column">
                  <wp:posOffset>-255905</wp:posOffset>
                </wp:positionH>
                <wp:positionV relativeFrom="paragraph">
                  <wp:posOffset>1819733</wp:posOffset>
                </wp:positionV>
                <wp:extent cx="5812514" cy="837667"/>
                <wp:effectExtent l="0" t="0" r="17145" b="1968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2514" cy="837667"/>
                        </a:xfrm>
                        <a:prstGeom prst="rect">
                          <a:avLst/>
                        </a:prstGeom>
                        <a:solidFill>
                          <a:schemeClr val="lt1"/>
                        </a:solidFill>
                        <a:ln w="6350">
                          <a:solidFill>
                            <a:prstClr val="black"/>
                          </a:solidFill>
                        </a:ln>
                      </wps:spPr>
                      <wps:txbx>
                        <w:txbxContent>
                          <w:p w:rsidR="000F37B5" w14:textId="1681AE8A">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width:457.7pt;height:65.95pt;margin-top:143.3pt;margin-left:-20.1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0F37B5" w14:paraId="26D5F9AE" w14:textId="1681AE8A">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txbxContent>
                </v:textbox>
              </v:shape>
            </w:pict>
          </mc:Fallback>
        </mc:AlternateContent>
      </w:r>
    </w:p>
    <w:sectPr w:rsidSect="001C0124">
      <w:headerReference w:type="even" r:id="rId9"/>
      <w:headerReference w:type="default" r:id="rId10"/>
      <w:footerReference w:type="default" r:id="rId11"/>
      <w:footerReference w:type="firs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124" w:rsidP="00AA33D3" w14:paraId="56240422" w14:textId="41B2F16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C355E">
      <w:rPr>
        <w:b/>
        <w:noProof/>
      </w:rPr>
      <w:t>12/01/22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61B" w14:paraId="2B9FE571" w14:textId="77777777">
    <w:pPr>
      <w:pStyle w:val="Footer"/>
    </w:pPr>
    <w:r w:rsidRPr="00C25C16">
      <w:t>Mathematica</w:t>
    </w:r>
    <w:r w:rsidRPr="00C25C16">
      <w:rPr>
        <w:vertAlign w:val="superscript"/>
      </w:rPr>
      <w:t>®</w:t>
    </w:r>
    <w:r w:rsidRPr="00C25C16">
      <w:t xml:space="preserve"> Inc.</w:t>
    </w:r>
    <w:r>
      <w:tab/>
      <w:t>H-</w:t>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AC5" w:rsidP="00D84AC5" w14:paraId="6C6AD95A" w14:textId="77777777">
    <w:pPr>
      <w:pStyle w:val="FooterLetterhead"/>
    </w:pPr>
    <w:bookmarkStart w:id="3" w:name="MPRAddress"/>
    <w:bookmarkEnd w:id="3"/>
    <w:r>
      <w:t>P.O. Box 2393, Princeton, NJ 08543-2393  •  (609) 799-3535 phone  (609) 799-0005 fax  •  mathematica.org</w:t>
    </w:r>
  </w:p>
  <w:p w:rsidR="00372E26" w:rsidP="00D84AC5" w14:paraId="5A2152DF" w14:textId="77777777">
    <w:pPr>
      <w:pStyle w:val="FooterLetterhead"/>
    </w:pPr>
    <w:r>
      <w:t>An Affirmative Action/Equal Opportunity Employer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AC5" w:rsidP="000E2D32" w14:paraId="134D9A27"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84AC5" w:rsidP="00D84AC5" w14:paraId="231F81B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61B" w:rsidRPr="001C0124" w:rsidP="001C0124" w14:paraId="1B34F947" w14:textId="4739129E">
    <w:pPr>
      <w:pBdr>
        <w:bottom w:val="single" w:sz="6" w:space="6" w:color="auto"/>
      </w:pBdr>
      <w:tabs>
        <w:tab w:val="right" w:pos="10080"/>
      </w:tabs>
      <w:ind w:left="-720" w:right="-720"/>
      <w:rPr>
        <w:rFonts w:asciiTheme="majorHAnsi" w:hAnsiTheme="majorHAnsi"/>
        <w:sz w:val="20"/>
      </w:rPr>
    </w:pPr>
    <w:r w:rsidRPr="001C0124">
      <w:rPr>
        <w:rFonts w:asciiTheme="majorHAnsi" w:hAnsiTheme="majorHAnsi"/>
        <w:b/>
        <w:bCs/>
        <w:sz w:val="20"/>
      </w:rPr>
      <w:t xml:space="preserve">Appendix </w:t>
    </w:r>
    <w:r>
      <w:rPr>
        <w:rFonts w:asciiTheme="majorHAnsi" w:hAnsiTheme="majorHAnsi"/>
        <w:b/>
        <w:bCs/>
        <w:sz w:val="20"/>
      </w:rPr>
      <w:t>H</w:t>
    </w:r>
    <w:r w:rsidR="00310840">
      <w:rPr>
        <w:rFonts w:asciiTheme="majorHAnsi" w:hAnsiTheme="majorHAnsi"/>
        <w:b/>
        <w:bCs/>
        <w:sz w:val="20"/>
      </w:rPr>
      <w:t>:</w:t>
    </w:r>
    <w:r w:rsidRPr="001C0124">
      <w:rPr>
        <w:rFonts w:asciiTheme="majorHAnsi" w:hAnsiTheme="majorHAnsi"/>
        <w:sz w:val="20"/>
      </w:rPr>
      <w:t xml:space="preserve">  </w:t>
    </w:r>
    <w:r w:rsidRPr="00087C6C" w:rsidR="00087C6C">
      <w:rPr>
        <w:rFonts w:asciiTheme="majorHAnsi" w:hAnsiTheme="majorHAnsi"/>
        <w:sz w:val="20"/>
      </w:rPr>
      <w:t>HBCC-NSAC Toolkit English version pre-test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1B02C5F"/>
    <w:multiLevelType w:val="hybridMultilevel"/>
    <w:tmpl w:val="41829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1"/>
  </w:num>
  <w:num w:numId="4">
    <w:abstractNumId w:val="25"/>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7"/>
  </w:num>
  <w:num w:numId="18">
    <w:abstractNumId w:val="16"/>
  </w:num>
  <w:num w:numId="19">
    <w:abstractNumId w:val="15"/>
  </w:num>
  <w:num w:numId="20">
    <w:abstractNumId w:val="24"/>
  </w:num>
  <w:num w:numId="21">
    <w:abstractNumId w:val="23"/>
  </w:num>
  <w:num w:numId="22">
    <w:abstractNumId w:val="11"/>
  </w:num>
  <w:num w:numId="23">
    <w:abstractNumId w:val="26"/>
  </w:num>
  <w:num w:numId="24">
    <w:abstractNumId w:val="12"/>
  </w:num>
  <w:num w:numId="25">
    <w:abstractNumId w:val="29"/>
  </w:num>
  <w:num w:numId="26">
    <w:abstractNumId w:val="20"/>
  </w:num>
  <w:num w:numId="27">
    <w:abstractNumId w:val="14"/>
  </w:num>
  <w:num w:numId="28">
    <w:abstractNumId w:val="17"/>
  </w:num>
  <w:num w:numId="29">
    <w:abstractNumId w:val="13"/>
  </w:num>
  <w:num w:numId="30">
    <w:abstractNumId w:val="29"/>
    <w:lvlOverride w:ilvl="0">
      <w:startOverride w:val="1"/>
    </w:lvlOverride>
  </w:num>
  <w:num w:numId="31">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8"/>
  </w:num>
  <w:num w:numId="33">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9"/>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24"/>
    <w:rsid w:val="00000837"/>
    <w:rsid w:val="00003A49"/>
    <w:rsid w:val="00003F6A"/>
    <w:rsid w:val="00004128"/>
    <w:rsid w:val="000043FE"/>
    <w:rsid w:val="00004440"/>
    <w:rsid w:val="00004AAA"/>
    <w:rsid w:val="00004DA5"/>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3ECB"/>
    <w:rsid w:val="00034595"/>
    <w:rsid w:val="00034654"/>
    <w:rsid w:val="00036CF4"/>
    <w:rsid w:val="00037779"/>
    <w:rsid w:val="0004019D"/>
    <w:rsid w:val="00041CBC"/>
    <w:rsid w:val="000421A9"/>
    <w:rsid w:val="000423EF"/>
    <w:rsid w:val="00042906"/>
    <w:rsid w:val="00043A6E"/>
    <w:rsid w:val="00044328"/>
    <w:rsid w:val="00044820"/>
    <w:rsid w:val="0004484A"/>
    <w:rsid w:val="0004548D"/>
    <w:rsid w:val="00045DC6"/>
    <w:rsid w:val="00046646"/>
    <w:rsid w:val="000472D2"/>
    <w:rsid w:val="0004772D"/>
    <w:rsid w:val="000477EB"/>
    <w:rsid w:val="00053204"/>
    <w:rsid w:val="0005352A"/>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67CFA"/>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8CB"/>
    <w:rsid w:val="00086E3E"/>
    <w:rsid w:val="00087C6C"/>
    <w:rsid w:val="00090334"/>
    <w:rsid w:val="000910A5"/>
    <w:rsid w:val="000915A1"/>
    <w:rsid w:val="00091C1C"/>
    <w:rsid w:val="00091C8A"/>
    <w:rsid w:val="00091CC9"/>
    <w:rsid w:val="00091F8F"/>
    <w:rsid w:val="000925DC"/>
    <w:rsid w:val="000933D6"/>
    <w:rsid w:val="00093614"/>
    <w:rsid w:val="000943F6"/>
    <w:rsid w:val="00094C49"/>
    <w:rsid w:val="00095140"/>
    <w:rsid w:val="00095620"/>
    <w:rsid w:val="00095A1E"/>
    <w:rsid w:val="00097653"/>
    <w:rsid w:val="00097BEE"/>
    <w:rsid w:val="00097CD7"/>
    <w:rsid w:val="000A18A8"/>
    <w:rsid w:val="000A2696"/>
    <w:rsid w:val="000A28D0"/>
    <w:rsid w:val="000A39BA"/>
    <w:rsid w:val="000A3A29"/>
    <w:rsid w:val="000A413E"/>
    <w:rsid w:val="000A4398"/>
    <w:rsid w:val="000A47E1"/>
    <w:rsid w:val="000A6656"/>
    <w:rsid w:val="000A6A04"/>
    <w:rsid w:val="000A76F0"/>
    <w:rsid w:val="000B0716"/>
    <w:rsid w:val="000B0F54"/>
    <w:rsid w:val="000B1298"/>
    <w:rsid w:val="000B2065"/>
    <w:rsid w:val="000B29A2"/>
    <w:rsid w:val="000B4A40"/>
    <w:rsid w:val="000B4AAE"/>
    <w:rsid w:val="000B4B97"/>
    <w:rsid w:val="000B4E8A"/>
    <w:rsid w:val="000B57E8"/>
    <w:rsid w:val="000B5F26"/>
    <w:rsid w:val="000B7351"/>
    <w:rsid w:val="000B7952"/>
    <w:rsid w:val="000B7A2E"/>
    <w:rsid w:val="000C151D"/>
    <w:rsid w:val="000C1988"/>
    <w:rsid w:val="000C2429"/>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0A7"/>
    <w:rsid w:val="000D6570"/>
    <w:rsid w:val="000D7265"/>
    <w:rsid w:val="000E0819"/>
    <w:rsid w:val="000E1243"/>
    <w:rsid w:val="000E24C8"/>
    <w:rsid w:val="000E2D32"/>
    <w:rsid w:val="000E2FBA"/>
    <w:rsid w:val="000E4DB0"/>
    <w:rsid w:val="000E5373"/>
    <w:rsid w:val="000E6867"/>
    <w:rsid w:val="000E6BCA"/>
    <w:rsid w:val="000E6FA6"/>
    <w:rsid w:val="000E782C"/>
    <w:rsid w:val="000F0883"/>
    <w:rsid w:val="000F0DB0"/>
    <w:rsid w:val="000F120F"/>
    <w:rsid w:val="000F249C"/>
    <w:rsid w:val="000F37B5"/>
    <w:rsid w:val="000F45D6"/>
    <w:rsid w:val="000F45FC"/>
    <w:rsid w:val="000F54AD"/>
    <w:rsid w:val="000F5520"/>
    <w:rsid w:val="000F5AB1"/>
    <w:rsid w:val="000F5D13"/>
    <w:rsid w:val="000F6BC9"/>
    <w:rsid w:val="000F79B8"/>
    <w:rsid w:val="00100A7A"/>
    <w:rsid w:val="0010121D"/>
    <w:rsid w:val="0010223E"/>
    <w:rsid w:val="001035CC"/>
    <w:rsid w:val="0010390A"/>
    <w:rsid w:val="001039A8"/>
    <w:rsid w:val="00103EA0"/>
    <w:rsid w:val="001046BC"/>
    <w:rsid w:val="00105D76"/>
    <w:rsid w:val="00106059"/>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27EF0"/>
    <w:rsid w:val="001302BD"/>
    <w:rsid w:val="00131893"/>
    <w:rsid w:val="00132040"/>
    <w:rsid w:val="001342BA"/>
    <w:rsid w:val="001343B6"/>
    <w:rsid w:val="00134ABF"/>
    <w:rsid w:val="001360F2"/>
    <w:rsid w:val="00136129"/>
    <w:rsid w:val="001373E3"/>
    <w:rsid w:val="00137626"/>
    <w:rsid w:val="001376D8"/>
    <w:rsid w:val="00140033"/>
    <w:rsid w:val="0014130E"/>
    <w:rsid w:val="00142249"/>
    <w:rsid w:val="001427AF"/>
    <w:rsid w:val="00142CD5"/>
    <w:rsid w:val="00143B19"/>
    <w:rsid w:val="00144005"/>
    <w:rsid w:val="001450E4"/>
    <w:rsid w:val="00145F3A"/>
    <w:rsid w:val="00146BA5"/>
    <w:rsid w:val="00146EC1"/>
    <w:rsid w:val="0014793E"/>
    <w:rsid w:val="00147B6C"/>
    <w:rsid w:val="0015017A"/>
    <w:rsid w:val="001521A9"/>
    <w:rsid w:val="001529D2"/>
    <w:rsid w:val="0015348D"/>
    <w:rsid w:val="00154E93"/>
    <w:rsid w:val="00155075"/>
    <w:rsid w:val="0015541C"/>
    <w:rsid w:val="001555F7"/>
    <w:rsid w:val="00156AB7"/>
    <w:rsid w:val="001574E2"/>
    <w:rsid w:val="0016068B"/>
    <w:rsid w:val="001606FF"/>
    <w:rsid w:val="00161870"/>
    <w:rsid w:val="001637D8"/>
    <w:rsid w:val="0016400A"/>
    <w:rsid w:val="001645B2"/>
    <w:rsid w:val="00165D3E"/>
    <w:rsid w:val="001662A2"/>
    <w:rsid w:val="001670F0"/>
    <w:rsid w:val="0016728D"/>
    <w:rsid w:val="001673B1"/>
    <w:rsid w:val="0016775D"/>
    <w:rsid w:val="0017049A"/>
    <w:rsid w:val="001704C3"/>
    <w:rsid w:val="0017194C"/>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0A6"/>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BA6"/>
    <w:rsid w:val="001B6DCC"/>
    <w:rsid w:val="001B6FFC"/>
    <w:rsid w:val="001C0124"/>
    <w:rsid w:val="001C0671"/>
    <w:rsid w:val="001C3973"/>
    <w:rsid w:val="001C3BCA"/>
    <w:rsid w:val="001C3F59"/>
    <w:rsid w:val="001C4356"/>
    <w:rsid w:val="001C4AAB"/>
    <w:rsid w:val="001C4DCF"/>
    <w:rsid w:val="001D062B"/>
    <w:rsid w:val="001D0FC5"/>
    <w:rsid w:val="001D1175"/>
    <w:rsid w:val="001D25DA"/>
    <w:rsid w:val="001D264A"/>
    <w:rsid w:val="001D30CB"/>
    <w:rsid w:val="001D469C"/>
    <w:rsid w:val="001D4814"/>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470C"/>
    <w:rsid w:val="00204999"/>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548"/>
    <w:rsid w:val="00236F48"/>
    <w:rsid w:val="0024044A"/>
    <w:rsid w:val="00241063"/>
    <w:rsid w:val="00241FA1"/>
    <w:rsid w:val="00242CF7"/>
    <w:rsid w:val="00243C1C"/>
    <w:rsid w:val="00244CD5"/>
    <w:rsid w:val="0024558C"/>
    <w:rsid w:val="00245C35"/>
    <w:rsid w:val="00245E02"/>
    <w:rsid w:val="00245F5B"/>
    <w:rsid w:val="00246294"/>
    <w:rsid w:val="002465D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3C5"/>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072"/>
    <w:rsid w:val="002B1EC4"/>
    <w:rsid w:val="002B3F25"/>
    <w:rsid w:val="002B4434"/>
    <w:rsid w:val="002B4855"/>
    <w:rsid w:val="002B5406"/>
    <w:rsid w:val="002B551B"/>
    <w:rsid w:val="002B6D3C"/>
    <w:rsid w:val="002B6E26"/>
    <w:rsid w:val="002C082E"/>
    <w:rsid w:val="002C090F"/>
    <w:rsid w:val="002C1BCC"/>
    <w:rsid w:val="002C1CC2"/>
    <w:rsid w:val="002C3499"/>
    <w:rsid w:val="002C34F7"/>
    <w:rsid w:val="002C3557"/>
    <w:rsid w:val="002C3B6C"/>
    <w:rsid w:val="002C5DE4"/>
    <w:rsid w:val="002C6116"/>
    <w:rsid w:val="002C637C"/>
    <w:rsid w:val="002C6AD0"/>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28F7"/>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840"/>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16"/>
    <w:rsid w:val="003304D3"/>
    <w:rsid w:val="003306A6"/>
    <w:rsid w:val="003318E2"/>
    <w:rsid w:val="003321E2"/>
    <w:rsid w:val="003322CC"/>
    <w:rsid w:val="00336603"/>
    <w:rsid w:val="00337132"/>
    <w:rsid w:val="00337B88"/>
    <w:rsid w:val="0034283B"/>
    <w:rsid w:val="00343C1D"/>
    <w:rsid w:val="00343C6C"/>
    <w:rsid w:val="00343EA2"/>
    <w:rsid w:val="00344028"/>
    <w:rsid w:val="00344463"/>
    <w:rsid w:val="0034561B"/>
    <w:rsid w:val="00345FA1"/>
    <w:rsid w:val="00346544"/>
    <w:rsid w:val="003503A6"/>
    <w:rsid w:val="00350BCF"/>
    <w:rsid w:val="0035128D"/>
    <w:rsid w:val="003515EE"/>
    <w:rsid w:val="00351630"/>
    <w:rsid w:val="00353AFF"/>
    <w:rsid w:val="00353D8E"/>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581E"/>
    <w:rsid w:val="00366BC6"/>
    <w:rsid w:val="00370758"/>
    <w:rsid w:val="00370799"/>
    <w:rsid w:val="003708F8"/>
    <w:rsid w:val="00370AAF"/>
    <w:rsid w:val="00370E2E"/>
    <w:rsid w:val="003723B6"/>
    <w:rsid w:val="00372E26"/>
    <w:rsid w:val="00374143"/>
    <w:rsid w:val="00376D12"/>
    <w:rsid w:val="003771BE"/>
    <w:rsid w:val="003772F4"/>
    <w:rsid w:val="0038169C"/>
    <w:rsid w:val="00382155"/>
    <w:rsid w:val="00383825"/>
    <w:rsid w:val="00383E94"/>
    <w:rsid w:val="003842A6"/>
    <w:rsid w:val="0038521D"/>
    <w:rsid w:val="00386098"/>
    <w:rsid w:val="003868C5"/>
    <w:rsid w:val="00386D28"/>
    <w:rsid w:val="003878DC"/>
    <w:rsid w:val="0039083D"/>
    <w:rsid w:val="0039174C"/>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2F5"/>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1DB9"/>
    <w:rsid w:val="00403D2C"/>
    <w:rsid w:val="00405CAB"/>
    <w:rsid w:val="00406B98"/>
    <w:rsid w:val="004077C3"/>
    <w:rsid w:val="00410744"/>
    <w:rsid w:val="0041080B"/>
    <w:rsid w:val="0041091C"/>
    <w:rsid w:val="00410E95"/>
    <w:rsid w:val="00411FF6"/>
    <w:rsid w:val="00412D75"/>
    <w:rsid w:val="0041335E"/>
    <w:rsid w:val="00413B73"/>
    <w:rsid w:val="00413B8C"/>
    <w:rsid w:val="004146B1"/>
    <w:rsid w:val="00417A8F"/>
    <w:rsid w:val="00420491"/>
    <w:rsid w:val="00420CE3"/>
    <w:rsid w:val="00420ECE"/>
    <w:rsid w:val="00421951"/>
    <w:rsid w:val="0042260F"/>
    <w:rsid w:val="004229F6"/>
    <w:rsid w:val="00422DE6"/>
    <w:rsid w:val="004230F5"/>
    <w:rsid w:val="00423787"/>
    <w:rsid w:val="004237F7"/>
    <w:rsid w:val="00423C5E"/>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DAC"/>
    <w:rsid w:val="00444F5D"/>
    <w:rsid w:val="004456F4"/>
    <w:rsid w:val="00451083"/>
    <w:rsid w:val="0045155A"/>
    <w:rsid w:val="004515D5"/>
    <w:rsid w:val="004524D0"/>
    <w:rsid w:val="00452845"/>
    <w:rsid w:val="004535E0"/>
    <w:rsid w:val="00453735"/>
    <w:rsid w:val="00455CD5"/>
    <w:rsid w:val="004560AF"/>
    <w:rsid w:val="00456D48"/>
    <w:rsid w:val="0045737F"/>
    <w:rsid w:val="00457A06"/>
    <w:rsid w:val="00460A3B"/>
    <w:rsid w:val="0046198A"/>
    <w:rsid w:val="00461DE8"/>
    <w:rsid w:val="00461FA7"/>
    <w:rsid w:val="00462791"/>
    <w:rsid w:val="00462840"/>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A28"/>
    <w:rsid w:val="00481084"/>
    <w:rsid w:val="00481AAD"/>
    <w:rsid w:val="00482DF6"/>
    <w:rsid w:val="004836DB"/>
    <w:rsid w:val="00484336"/>
    <w:rsid w:val="0048524E"/>
    <w:rsid w:val="0048591A"/>
    <w:rsid w:val="00485BD5"/>
    <w:rsid w:val="004861CD"/>
    <w:rsid w:val="00486AC7"/>
    <w:rsid w:val="004873AB"/>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4B7E"/>
    <w:rsid w:val="004B548E"/>
    <w:rsid w:val="004B64BA"/>
    <w:rsid w:val="004B6825"/>
    <w:rsid w:val="004B7641"/>
    <w:rsid w:val="004B79D8"/>
    <w:rsid w:val="004C0336"/>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1CA9"/>
    <w:rsid w:val="004D20FF"/>
    <w:rsid w:val="004D2149"/>
    <w:rsid w:val="004D25C7"/>
    <w:rsid w:val="004D285F"/>
    <w:rsid w:val="004D32C2"/>
    <w:rsid w:val="004D37EF"/>
    <w:rsid w:val="004D381D"/>
    <w:rsid w:val="004D4709"/>
    <w:rsid w:val="004D4FC2"/>
    <w:rsid w:val="004D6981"/>
    <w:rsid w:val="004D6A6D"/>
    <w:rsid w:val="004D72E2"/>
    <w:rsid w:val="004D7574"/>
    <w:rsid w:val="004D7586"/>
    <w:rsid w:val="004E00D8"/>
    <w:rsid w:val="004E09CD"/>
    <w:rsid w:val="004E247B"/>
    <w:rsid w:val="004E4B07"/>
    <w:rsid w:val="004E58A1"/>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4F7BAB"/>
    <w:rsid w:val="0050059F"/>
    <w:rsid w:val="00501DEA"/>
    <w:rsid w:val="00502528"/>
    <w:rsid w:val="005028C0"/>
    <w:rsid w:val="00502EB5"/>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2057"/>
    <w:rsid w:val="00524E9A"/>
    <w:rsid w:val="00525567"/>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4A1F"/>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EFE"/>
    <w:rsid w:val="00594204"/>
    <w:rsid w:val="005945DD"/>
    <w:rsid w:val="00594929"/>
    <w:rsid w:val="0059556A"/>
    <w:rsid w:val="00595DA8"/>
    <w:rsid w:val="005969A5"/>
    <w:rsid w:val="00596DCD"/>
    <w:rsid w:val="00596E55"/>
    <w:rsid w:val="00597D6E"/>
    <w:rsid w:val="005A0251"/>
    <w:rsid w:val="005A0526"/>
    <w:rsid w:val="005A0818"/>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3E9"/>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5F5D"/>
    <w:rsid w:val="005F6744"/>
    <w:rsid w:val="005F6C58"/>
    <w:rsid w:val="005F7603"/>
    <w:rsid w:val="006011A4"/>
    <w:rsid w:val="00601A45"/>
    <w:rsid w:val="00602577"/>
    <w:rsid w:val="006025BC"/>
    <w:rsid w:val="0060274A"/>
    <w:rsid w:val="00602F66"/>
    <w:rsid w:val="00603176"/>
    <w:rsid w:val="0060468C"/>
    <w:rsid w:val="00605799"/>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0A39"/>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0FB"/>
    <w:rsid w:val="00645138"/>
    <w:rsid w:val="006472B4"/>
    <w:rsid w:val="00647329"/>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311C"/>
    <w:rsid w:val="00673A4A"/>
    <w:rsid w:val="00674F5B"/>
    <w:rsid w:val="00674F5C"/>
    <w:rsid w:val="00675050"/>
    <w:rsid w:val="00675A08"/>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88F"/>
    <w:rsid w:val="006C4C64"/>
    <w:rsid w:val="006C6F09"/>
    <w:rsid w:val="006C7A9C"/>
    <w:rsid w:val="006D2C7B"/>
    <w:rsid w:val="006D2EF0"/>
    <w:rsid w:val="006D3517"/>
    <w:rsid w:val="006D4BFF"/>
    <w:rsid w:val="006D5AA1"/>
    <w:rsid w:val="006D6824"/>
    <w:rsid w:val="006D7237"/>
    <w:rsid w:val="006D7BCF"/>
    <w:rsid w:val="006E00C3"/>
    <w:rsid w:val="006E1491"/>
    <w:rsid w:val="006E1680"/>
    <w:rsid w:val="006E275F"/>
    <w:rsid w:val="006E2D7F"/>
    <w:rsid w:val="006E3081"/>
    <w:rsid w:val="006E3405"/>
    <w:rsid w:val="006E42E7"/>
    <w:rsid w:val="006E575B"/>
    <w:rsid w:val="006E644C"/>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9F2"/>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6CE"/>
    <w:rsid w:val="00730922"/>
    <w:rsid w:val="00731702"/>
    <w:rsid w:val="007336EF"/>
    <w:rsid w:val="00733F53"/>
    <w:rsid w:val="00734998"/>
    <w:rsid w:val="0073661E"/>
    <w:rsid w:val="00737ECE"/>
    <w:rsid w:val="00740CC0"/>
    <w:rsid w:val="00741B12"/>
    <w:rsid w:val="0074228D"/>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6B33"/>
    <w:rsid w:val="00777A7B"/>
    <w:rsid w:val="00777E61"/>
    <w:rsid w:val="00777EF9"/>
    <w:rsid w:val="007807A5"/>
    <w:rsid w:val="00780EBB"/>
    <w:rsid w:val="00781748"/>
    <w:rsid w:val="007828CB"/>
    <w:rsid w:val="00782F2F"/>
    <w:rsid w:val="00783478"/>
    <w:rsid w:val="007851A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47DF"/>
    <w:rsid w:val="007C4D03"/>
    <w:rsid w:val="007C558A"/>
    <w:rsid w:val="007C5E94"/>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D7BCA"/>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4D32"/>
    <w:rsid w:val="007F60B3"/>
    <w:rsid w:val="007F6203"/>
    <w:rsid w:val="007F63D0"/>
    <w:rsid w:val="007F71A9"/>
    <w:rsid w:val="00800245"/>
    <w:rsid w:val="008005AD"/>
    <w:rsid w:val="00800B55"/>
    <w:rsid w:val="00802571"/>
    <w:rsid w:val="008028DF"/>
    <w:rsid w:val="008032D5"/>
    <w:rsid w:val="00803D29"/>
    <w:rsid w:val="0080659E"/>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05A6"/>
    <w:rsid w:val="00841A7F"/>
    <w:rsid w:val="00842033"/>
    <w:rsid w:val="008430F5"/>
    <w:rsid w:val="00844B9C"/>
    <w:rsid w:val="00844DEB"/>
    <w:rsid w:val="00846E70"/>
    <w:rsid w:val="008474C1"/>
    <w:rsid w:val="00850A6C"/>
    <w:rsid w:val="00850DBA"/>
    <w:rsid w:val="00850FB0"/>
    <w:rsid w:val="0085267A"/>
    <w:rsid w:val="00852CC6"/>
    <w:rsid w:val="00854E43"/>
    <w:rsid w:val="00855D22"/>
    <w:rsid w:val="008572B0"/>
    <w:rsid w:val="008606E7"/>
    <w:rsid w:val="00860FE5"/>
    <w:rsid w:val="0086106F"/>
    <w:rsid w:val="008613C7"/>
    <w:rsid w:val="008614CA"/>
    <w:rsid w:val="008637FD"/>
    <w:rsid w:val="0086537A"/>
    <w:rsid w:val="00867946"/>
    <w:rsid w:val="00867B2D"/>
    <w:rsid w:val="00867B41"/>
    <w:rsid w:val="008700B1"/>
    <w:rsid w:val="008727A1"/>
    <w:rsid w:val="00872EB9"/>
    <w:rsid w:val="00873311"/>
    <w:rsid w:val="00873ECD"/>
    <w:rsid w:val="00873F0F"/>
    <w:rsid w:val="00874B16"/>
    <w:rsid w:val="00875E5B"/>
    <w:rsid w:val="008763FC"/>
    <w:rsid w:val="00876676"/>
    <w:rsid w:val="00876B48"/>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0BAE"/>
    <w:rsid w:val="00890DAD"/>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4DA"/>
    <w:rsid w:val="008A5686"/>
    <w:rsid w:val="008A5797"/>
    <w:rsid w:val="008A6428"/>
    <w:rsid w:val="008A66E4"/>
    <w:rsid w:val="008A72D8"/>
    <w:rsid w:val="008A7841"/>
    <w:rsid w:val="008A78DC"/>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E34"/>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5AF"/>
    <w:rsid w:val="00903927"/>
    <w:rsid w:val="00903DAA"/>
    <w:rsid w:val="00903EE4"/>
    <w:rsid w:val="00904406"/>
    <w:rsid w:val="00904744"/>
    <w:rsid w:val="00904D12"/>
    <w:rsid w:val="0090613E"/>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1183"/>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57F0D"/>
    <w:rsid w:val="009618FB"/>
    <w:rsid w:val="00962E94"/>
    <w:rsid w:val="00963A2C"/>
    <w:rsid w:val="00963B5A"/>
    <w:rsid w:val="00965018"/>
    <w:rsid w:val="009655B1"/>
    <w:rsid w:val="00965F6E"/>
    <w:rsid w:val="00966211"/>
    <w:rsid w:val="00966D32"/>
    <w:rsid w:val="00967B6B"/>
    <w:rsid w:val="0097150A"/>
    <w:rsid w:val="00971CA7"/>
    <w:rsid w:val="00971FC6"/>
    <w:rsid w:val="0097208F"/>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5EE"/>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5A2"/>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9F7CD7"/>
    <w:rsid w:val="00A00BE0"/>
    <w:rsid w:val="00A01536"/>
    <w:rsid w:val="00A0206A"/>
    <w:rsid w:val="00A02145"/>
    <w:rsid w:val="00A0226A"/>
    <w:rsid w:val="00A0353E"/>
    <w:rsid w:val="00A043FC"/>
    <w:rsid w:val="00A04640"/>
    <w:rsid w:val="00A04736"/>
    <w:rsid w:val="00A04875"/>
    <w:rsid w:val="00A050C2"/>
    <w:rsid w:val="00A05385"/>
    <w:rsid w:val="00A05A8E"/>
    <w:rsid w:val="00A05D95"/>
    <w:rsid w:val="00A062EF"/>
    <w:rsid w:val="00A06F5B"/>
    <w:rsid w:val="00A073A7"/>
    <w:rsid w:val="00A11349"/>
    <w:rsid w:val="00A13C64"/>
    <w:rsid w:val="00A1535E"/>
    <w:rsid w:val="00A1591D"/>
    <w:rsid w:val="00A170CB"/>
    <w:rsid w:val="00A1717D"/>
    <w:rsid w:val="00A1753F"/>
    <w:rsid w:val="00A177D3"/>
    <w:rsid w:val="00A17CBC"/>
    <w:rsid w:val="00A20640"/>
    <w:rsid w:val="00A2081C"/>
    <w:rsid w:val="00A2095B"/>
    <w:rsid w:val="00A21615"/>
    <w:rsid w:val="00A217A0"/>
    <w:rsid w:val="00A238F6"/>
    <w:rsid w:val="00A2444D"/>
    <w:rsid w:val="00A24BB8"/>
    <w:rsid w:val="00A261EF"/>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2EF6"/>
    <w:rsid w:val="00A5306C"/>
    <w:rsid w:val="00A541E7"/>
    <w:rsid w:val="00A541EF"/>
    <w:rsid w:val="00A54BE2"/>
    <w:rsid w:val="00A54E07"/>
    <w:rsid w:val="00A55579"/>
    <w:rsid w:val="00A557D6"/>
    <w:rsid w:val="00A562A9"/>
    <w:rsid w:val="00A57138"/>
    <w:rsid w:val="00A572EC"/>
    <w:rsid w:val="00A60543"/>
    <w:rsid w:val="00A632FA"/>
    <w:rsid w:val="00A64808"/>
    <w:rsid w:val="00A66116"/>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39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0AE"/>
    <w:rsid w:val="00AB3288"/>
    <w:rsid w:val="00AB39F7"/>
    <w:rsid w:val="00AB3E20"/>
    <w:rsid w:val="00AB47A9"/>
    <w:rsid w:val="00AB4E1F"/>
    <w:rsid w:val="00AB61F7"/>
    <w:rsid w:val="00AB7A09"/>
    <w:rsid w:val="00AC1518"/>
    <w:rsid w:val="00AC16FB"/>
    <w:rsid w:val="00AC17C7"/>
    <w:rsid w:val="00AC18E1"/>
    <w:rsid w:val="00AC1B8D"/>
    <w:rsid w:val="00AC1DAE"/>
    <w:rsid w:val="00AC3F5E"/>
    <w:rsid w:val="00AC5529"/>
    <w:rsid w:val="00AC6C35"/>
    <w:rsid w:val="00AC6EB9"/>
    <w:rsid w:val="00AC6FDC"/>
    <w:rsid w:val="00AC730E"/>
    <w:rsid w:val="00AC75D2"/>
    <w:rsid w:val="00AC7FD1"/>
    <w:rsid w:val="00AD025A"/>
    <w:rsid w:val="00AD2A44"/>
    <w:rsid w:val="00AD3879"/>
    <w:rsid w:val="00AD4C10"/>
    <w:rsid w:val="00AD6654"/>
    <w:rsid w:val="00AD6A60"/>
    <w:rsid w:val="00AD6D16"/>
    <w:rsid w:val="00AE0B85"/>
    <w:rsid w:val="00AE0C9B"/>
    <w:rsid w:val="00AE30E4"/>
    <w:rsid w:val="00AE3292"/>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0A3"/>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41C0"/>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0D76"/>
    <w:rsid w:val="00B5233B"/>
    <w:rsid w:val="00B539E9"/>
    <w:rsid w:val="00B5500B"/>
    <w:rsid w:val="00B551E4"/>
    <w:rsid w:val="00B555F2"/>
    <w:rsid w:val="00B56B0D"/>
    <w:rsid w:val="00B56C79"/>
    <w:rsid w:val="00B577C8"/>
    <w:rsid w:val="00B60F87"/>
    <w:rsid w:val="00B60F8D"/>
    <w:rsid w:val="00B61FEC"/>
    <w:rsid w:val="00B62095"/>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43F"/>
    <w:rsid w:val="00B75F2D"/>
    <w:rsid w:val="00B76083"/>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000A"/>
    <w:rsid w:val="00B92EA3"/>
    <w:rsid w:val="00B9362F"/>
    <w:rsid w:val="00B9587A"/>
    <w:rsid w:val="00B96031"/>
    <w:rsid w:val="00BA0236"/>
    <w:rsid w:val="00BA2DAB"/>
    <w:rsid w:val="00BA498F"/>
    <w:rsid w:val="00BA4D94"/>
    <w:rsid w:val="00BA4EBA"/>
    <w:rsid w:val="00BA66C5"/>
    <w:rsid w:val="00BA6805"/>
    <w:rsid w:val="00BA6BBA"/>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5E8"/>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4E66"/>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07E"/>
    <w:rsid w:val="00C158E7"/>
    <w:rsid w:val="00C17800"/>
    <w:rsid w:val="00C20094"/>
    <w:rsid w:val="00C20EEA"/>
    <w:rsid w:val="00C21025"/>
    <w:rsid w:val="00C21E89"/>
    <w:rsid w:val="00C22255"/>
    <w:rsid w:val="00C22266"/>
    <w:rsid w:val="00C2251A"/>
    <w:rsid w:val="00C22B50"/>
    <w:rsid w:val="00C22E6D"/>
    <w:rsid w:val="00C23734"/>
    <w:rsid w:val="00C23BCE"/>
    <w:rsid w:val="00C23BE5"/>
    <w:rsid w:val="00C24E47"/>
    <w:rsid w:val="00C253B6"/>
    <w:rsid w:val="00C25C16"/>
    <w:rsid w:val="00C261B6"/>
    <w:rsid w:val="00C3223B"/>
    <w:rsid w:val="00C32851"/>
    <w:rsid w:val="00C3348C"/>
    <w:rsid w:val="00C33A4B"/>
    <w:rsid w:val="00C35D29"/>
    <w:rsid w:val="00C35DF7"/>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1D47"/>
    <w:rsid w:val="00C6201A"/>
    <w:rsid w:val="00C63254"/>
    <w:rsid w:val="00C6363D"/>
    <w:rsid w:val="00C6513B"/>
    <w:rsid w:val="00C653BE"/>
    <w:rsid w:val="00C65964"/>
    <w:rsid w:val="00C6664E"/>
    <w:rsid w:val="00C67B72"/>
    <w:rsid w:val="00C70469"/>
    <w:rsid w:val="00C70805"/>
    <w:rsid w:val="00C7142D"/>
    <w:rsid w:val="00C72721"/>
    <w:rsid w:val="00C73383"/>
    <w:rsid w:val="00C73635"/>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50EA"/>
    <w:rsid w:val="00C8725B"/>
    <w:rsid w:val="00C875BC"/>
    <w:rsid w:val="00C91705"/>
    <w:rsid w:val="00C92025"/>
    <w:rsid w:val="00C926D2"/>
    <w:rsid w:val="00C92C6F"/>
    <w:rsid w:val="00C93DF6"/>
    <w:rsid w:val="00C93EE3"/>
    <w:rsid w:val="00C940D8"/>
    <w:rsid w:val="00C96291"/>
    <w:rsid w:val="00C96EB4"/>
    <w:rsid w:val="00C9705A"/>
    <w:rsid w:val="00C97070"/>
    <w:rsid w:val="00C9794C"/>
    <w:rsid w:val="00CA0716"/>
    <w:rsid w:val="00CA3083"/>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4C4E"/>
    <w:rsid w:val="00CB5121"/>
    <w:rsid w:val="00CB5718"/>
    <w:rsid w:val="00CB5723"/>
    <w:rsid w:val="00CB735B"/>
    <w:rsid w:val="00CB7808"/>
    <w:rsid w:val="00CB797C"/>
    <w:rsid w:val="00CB7E1D"/>
    <w:rsid w:val="00CC01A9"/>
    <w:rsid w:val="00CC1A4B"/>
    <w:rsid w:val="00CC2963"/>
    <w:rsid w:val="00CC359B"/>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2ED8"/>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12B"/>
    <w:rsid w:val="00D36532"/>
    <w:rsid w:val="00D36782"/>
    <w:rsid w:val="00D37375"/>
    <w:rsid w:val="00D379B5"/>
    <w:rsid w:val="00D37F5E"/>
    <w:rsid w:val="00D40378"/>
    <w:rsid w:val="00D41107"/>
    <w:rsid w:val="00D411A3"/>
    <w:rsid w:val="00D41363"/>
    <w:rsid w:val="00D41E28"/>
    <w:rsid w:val="00D430C8"/>
    <w:rsid w:val="00D462EA"/>
    <w:rsid w:val="00D46690"/>
    <w:rsid w:val="00D46979"/>
    <w:rsid w:val="00D46B1F"/>
    <w:rsid w:val="00D47BFD"/>
    <w:rsid w:val="00D50844"/>
    <w:rsid w:val="00D51616"/>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89C"/>
    <w:rsid w:val="00D83B88"/>
    <w:rsid w:val="00D83BD3"/>
    <w:rsid w:val="00D83CB1"/>
    <w:rsid w:val="00D84A34"/>
    <w:rsid w:val="00D84AC5"/>
    <w:rsid w:val="00D85852"/>
    <w:rsid w:val="00D86275"/>
    <w:rsid w:val="00D87500"/>
    <w:rsid w:val="00D8765A"/>
    <w:rsid w:val="00D9069C"/>
    <w:rsid w:val="00D90A52"/>
    <w:rsid w:val="00D90C36"/>
    <w:rsid w:val="00D91B25"/>
    <w:rsid w:val="00D92600"/>
    <w:rsid w:val="00D93399"/>
    <w:rsid w:val="00D934BB"/>
    <w:rsid w:val="00D9435E"/>
    <w:rsid w:val="00D9469B"/>
    <w:rsid w:val="00D954AC"/>
    <w:rsid w:val="00D9651B"/>
    <w:rsid w:val="00D97092"/>
    <w:rsid w:val="00DA012B"/>
    <w:rsid w:val="00DA05C1"/>
    <w:rsid w:val="00DA15EE"/>
    <w:rsid w:val="00DA1970"/>
    <w:rsid w:val="00DA24DA"/>
    <w:rsid w:val="00DA2D71"/>
    <w:rsid w:val="00DA306A"/>
    <w:rsid w:val="00DA31F2"/>
    <w:rsid w:val="00DA402D"/>
    <w:rsid w:val="00DA47CE"/>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55E"/>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834"/>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517"/>
    <w:rsid w:val="00DE6F92"/>
    <w:rsid w:val="00DE71D4"/>
    <w:rsid w:val="00DF13C0"/>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07CED"/>
    <w:rsid w:val="00E1014D"/>
    <w:rsid w:val="00E103A7"/>
    <w:rsid w:val="00E11F63"/>
    <w:rsid w:val="00E123F4"/>
    <w:rsid w:val="00E131CC"/>
    <w:rsid w:val="00E136E0"/>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0EB6"/>
    <w:rsid w:val="00E31427"/>
    <w:rsid w:val="00E314A8"/>
    <w:rsid w:val="00E31813"/>
    <w:rsid w:val="00E33193"/>
    <w:rsid w:val="00E344BE"/>
    <w:rsid w:val="00E34D13"/>
    <w:rsid w:val="00E36477"/>
    <w:rsid w:val="00E376FA"/>
    <w:rsid w:val="00E40430"/>
    <w:rsid w:val="00E40756"/>
    <w:rsid w:val="00E408A8"/>
    <w:rsid w:val="00E40EF0"/>
    <w:rsid w:val="00E417DE"/>
    <w:rsid w:val="00E41899"/>
    <w:rsid w:val="00E41D91"/>
    <w:rsid w:val="00E4259A"/>
    <w:rsid w:val="00E43B7D"/>
    <w:rsid w:val="00E43CC9"/>
    <w:rsid w:val="00E441B4"/>
    <w:rsid w:val="00E4493B"/>
    <w:rsid w:val="00E44BC2"/>
    <w:rsid w:val="00E44CD1"/>
    <w:rsid w:val="00E450CA"/>
    <w:rsid w:val="00E452EC"/>
    <w:rsid w:val="00E45580"/>
    <w:rsid w:val="00E47785"/>
    <w:rsid w:val="00E512BC"/>
    <w:rsid w:val="00E518CC"/>
    <w:rsid w:val="00E51BCC"/>
    <w:rsid w:val="00E52A0B"/>
    <w:rsid w:val="00E542D9"/>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5DEB"/>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54"/>
    <w:rsid w:val="00E9377F"/>
    <w:rsid w:val="00E93D2C"/>
    <w:rsid w:val="00E94A1A"/>
    <w:rsid w:val="00E94A6B"/>
    <w:rsid w:val="00E94B0B"/>
    <w:rsid w:val="00E94F6C"/>
    <w:rsid w:val="00E9506A"/>
    <w:rsid w:val="00E95188"/>
    <w:rsid w:val="00E95BB7"/>
    <w:rsid w:val="00E96B1A"/>
    <w:rsid w:val="00E9796B"/>
    <w:rsid w:val="00E97A99"/>
    <w:rsid w:val="00EA056B"/>
    <w:rsid w:val="00EA0DDD"/>
    <w:rsid w:val="00EA1DC9"/>
    <w:rsid w:val="00EA1F88"/>
    <w:rsid w:val="00EA2D24"/>
    <w:rsid w:val="00EA3027"/>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5CE0"/>
    <w:rsid w:val="00EB71D1"/>
    <w:rsid w:val="00EC06E8"/>
    <w:rsid w:val="00EC0B1B"/>
    <w:rsid w:val="00EC2324"/>
    <w:rsid w:val="00EC234A"/>
    <w:rsid w:val="00EC3B6F"/>
    <w:rsid w:val="00EC3EE6"/>
    <w:rsid w:val="00EC4E93"/>
    <w:rsid w:val="00EC5632"/>
    <w:rsid w:val="00EC6A5B"/>
    <w:rsid w:val="00ED0901"/>
    <w:rsid w:val="00ED12B4"/>
    <w:rsid w:val="00ED133D"/>
    <w:rsid w:val="00ED17D9"/>
    <w:rsid w:val="00ED18AF"/>
    <w:rsid w:val="00ED1D72"/>
    <w:rsid w:val="00ED2193"/>
    <w:rsid w:val="00ED2D34"/>
    <w:rsid w:val="00ED37BF"/>
    <w:rsid w:val="00ED5C67"/>
    <w:rsid w:val="00ED60AB"/>
    <w:rsid w:val="00ED7617"/>
    <w:rsid w:val="00ED7E40"/>
    <w:rsid w:val="00EE196B"/>
    <w:rsid w:val="00EE1C3B"/>
    <w:rsid w:val="00EE2F74"/>
    <w:rsid w:val="00EE3D92"/>
    <w:rsid w:val="00EE4ABA"/>
    <w:rsid w:val="00EE4EAE"/>
    <w:rsid w:val="00EE55CD"/>
    <w:rsid w:val="00EE6A34"/>
    <w:rsid w:val="00EE6AB2"/>
    <w:rsid w:val="00EE7862"/>
    <w:rsid w:val="00EF0FEA"/>
    <w:rsid w:val="00EF1D56"/>
    <w:rsid w:val="00EF2111"/>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19B"/>
    <w:rsid w:val="00F10CF4"/>
    <w:rsid w:val="00F10EAB"/>
    <w:rsid w:val="00F1120E"/>
    <w:rsid w:val="00F1130C"/>
    <w:rsid w:val="00F11802"/>
    <w:rsid w:val="00F11A59"/>
    <w:rsid w:val="00F12304"/>
    <w:rsid w:val="00F131BB"/>
    <w:rsid w:val="00F1408A"/>
    <w:rsid w:val="00F156C2"/>
    <w:rsid w:val="00F158B8"/>
    <w:rsid w:val="00F15C7D"/>
    <w:rsid w:val="00F15D04"/>
    <w:rsid w:val="00F15D8D"/>
    <w:rsid w:val="00F1646A"/>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271"/>
    <w:rsid w:val="00F83720"/>
    <w:rsid w:val="00F83E04"/>
    <w:rsid w:val="00F84004"/>
    <w:rsid w:val="00F84335"/>
    <w:rsid w:val="00F8525B"/>
    <w:rsid w:val="00F858A7"/>
    <w:rsid w:val="00F861D8"/>
    <w:rsid w:val="00F86D7F"/>
    <w:rsid w:val="00F90177"/>
    <w:rsid w:val="00F9043D"/>
    <w:rsid w:val="00F90597"/>
    <w:rsid w:val="00F92CCC"/>
    <w:rsid w:val="00F93289"/>
    <w:rsid w:val="00F93368"/>
    <w:rsid w:val="00F93F31"/>
    <w:rsid w:val="00F94EB3"/>
    <w:rsid w:val="00F95A91"/>
    <w:rsid w:val="00F96E71"/>
    <w:rsid w:val="00FA1A45"/>
    <w:rsid w:val="00FA2614"/>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048B"/>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 w:val="00FF780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AA9B7"/>
  <w15:chartTrackingRefBased/>
  <w15:docId w15:val="{4E3A0F06-04B3-4B61-AF6A-48E9FFCD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878DC"/>
    <w:pPr>
      <w:spacing w:after="0" w:line="240" w:lineRule="auto"/>
    </w:pPr>
    <w:rPr>
      <w:rFonts w:ascii="Calibri" w:hAnsi="Calibri" w:cs="Calibri"/>
    </w:rPr>
  </w:style>
  <w:style w:type="paragraph" w:styleId="Heading1">
    <w:name w:val="heading 1"/>
    <w:basedOn w:val="Normal"/>
    <w:next w:val="Normal"/>
    <w:link w:val="Heading1Char"/>
    <w:semiHidden/>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jc w:val="center"/>
    </w:pPr>
    <w:rPr>
      <w:b/>
      <w:bCs/>
    </w:rPr>
  </w:style>
  <w:style w:type="paragraph" w:customStyle="1" w:styleId="Byline">
    <w:name w:val="Byline"/>
    <w:basedOn w:val="Normal"/>
    <w:semiHidden/>
    <w:rsid w:val="00B36B45"/>
    <w:pPr>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ind w:left="0" w:firstLine="0"/>
      <w:outlineLvl w:val="9"/>
    </w:pPr>
  </w:style>
  <w:style w:type="paragraph" w:customStyle="1" w:styleId="Feature2">
    <w:name w:val="Feature2"/>
    <w:basedOn w:val="Normal"/>
    <w:semiHidden/>
    <w:rsid w:val="00B36B45"/>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pPr>
  </w:style>
  <w:style w:type="paragraph" w:customStyle="1" w:styleId="Outline3">
    <w:name w:val="Outline 3"/>
    <w:basedOn w:val="List3"/>
    <w:semiHidden/>
    <w:rsid w:val="00B36B45"/>
    <w:pPr>
      <w:numPr>
        <w:numId w:val="23"/>
      </w:numPr>
    </w:pPr>
  </w:style>
  <w:style w:type="paragraph" w:customStyle="1" w:styleId="Outline4">
    <w:name w:val="Outline 4"/>
    <w:basedOn w:val="List4"/>
    <w:semiHidden/>
    <w:rsid w:val="00B36B45"/>
    <w:pPr>
      <w:numPr>
        <w:ilvl w:val="0"/>
        <w:numId w:val="0"/>
      </w:numPr>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style>
  <w:style w:type="paragraph" w:styleId="Index3">
    <w:name w:val="index 3"/>
    <w:basedOn w:val="Normal"/>
    <w:next w:val="Normal"/>
    <w:autoRedefine/>
    <w:semiHidden/>
    <w:rsid w:val="00B36B45"/>
    <w:pPr>
      <w:ind w:left="660" w:hanging="220"/>
    </w:pPr>
  </w:style>
  <w:style w:type="paragraph" w:styleId="Index4">
    <w:name w:val="index 4"/>
    <w:basedOn w:val="Normal"/>
    <w:next w:val="Normal"/>
    <w:autoRedefine/>
    <w:semiHidden/>
    <w:rsid w:val="00B36B45"/>
    <w:pPr>
      <w:ind w:left="880" w:hanging="220"/>
    </w:pPr>
  </w:style>
  <w:style w:type="paragraph" w:styleId="Index5">
    <w:name w:val="index 5"/>
    <w:basedOn w:val="Normal"/>
    <w:next w:val="Normal"/>
    <w:autoRedefine/>
    <w:semiHidden/>
    <w:rsid w:val="00B36B45"/>
    <w:pPr>
      <w:ind w:left="1100" w:hanging="220"/>
    </w:pPr>
  </w:style>
  <w:style w:type="paragraph" w:styleId="Index6">
    <w:name w:val="index 6"/>
    <w:basedOn w:val="Normal"/>
    <w:next w:val="Normal"/>
    <w:autoRedefine/>
    <w:semiHidden/>
    <w:rsid w:val="00B36B45"/>
    <w:pPr>
      <w:ind w:left="1320" w:hanging="220"/>
    </w:pPr>
  </w:style>
  <w:style w:type="paragraph" w:styleId="Index7">
    <w:name w:val="index 7"/>
    <w:basedOn w:val="Normal"/>
    <w:next w:val="Normal"/>
    <w:autoRedefine/>
    <w:semiHidden/>
    <w:rsid w:val="00B36B45"/>
    <w:pPr>
      <w:ind w:left="1540" w:hanging="220"/>
    </w:pPr>
  </w:style>
  <w:style w:type="paragraph" w:styleId="Index8">
    <w:name w:val="index 8"/>
    <w:basedOn w:val="Normal"/>
    <w:next w:val="Normal"/>
    <w:autoRedefine/>
    <w:semiHidden/>
    <w:rsid w:val="00B36B45"/>
    <w:pPr>
      <w:ind w:left="1760" w:hanging="220"/>
    </w:pPr>
  </w:style>
  <w:style w:type="paragraph" w:styleId="Index9">
    <w:name w:val="index 9"/>
    <w:basedOn w:val="Normal"/>
    <w:next w:val="Normal"/>
    <w:autoRedefine/>
    <w:semiHidden/>
    <w:rsid w:val="00B36B4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ind w:left="220" w:hanging="220"/>
    </w:pPr>
  </w:style>
  <w:style w:type="paragraph" w:styleId="TableofFigures">
    <w:name w:val="table of figures"/>
    <w:basedOn w:val="Normal"/>
    <w:next w:val="Normal"/>
    <w:semiHidden/>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F1646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ExhibitFootnote"/>
    <w:semiHidden/>
    <w:rsid w:val="00EA2D24"/>
  </w:style>
  <w:style w:type="table" w:customStyle="1" w:styleId="MathUBaseTable">
    <w:name w:val="MathU Base Table"/>
    <w:basedOn w:val="TableNormal"/>
    <w:rsid w:val="00EA2D2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83D509-6C01-470F-A60D-DE725A5E522C}">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d7423c9d-eb0c-4af6-9481-6d335a110103"/>
  </ds:schemaRefs>
</ds:datastoreItem>
</file>

<file path=customXml/itemProps3.xml><?xml version="1.0" encoding="utf-8"?>
<ds:datastoreItem xmlns:ds="http://schemas.openxmlformats.org/officeDocument/2006/customXml" ds:itemID="{4A33E7A7-B8BC-4D6D-9EF5-9BBA7475C3C7}">
  <ds:schemaRefs>
    <ds:schemaRef ds:uri="http://schemas.microsoft.com/sharepoint/v3/contenttype/forms"/>
  </ds:schemaRefs>
</ds:datastoreItem>
</file>

<file path=customXml/itemProps4.xml><?xml version="1.0" encoding="utf-8"?>
<ds:datastoreItem xmlns:ds="http://schemas.openxmlformats.org/officeDocument/2006/customXml" ds:itemID="{2698EF6B-8330-4C94-AFC9-79451EFC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4MathUMemo.dotm</Template>
  <TotalTime>2</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Ann Li</dc:creator>
  <cp:keywords>memo</cp:keywords>
  <cp:lastModifiedBy>Ashley Kopack Klein</cp:lastModifiedBy>
  <cp:revision>3</cp:revision>
  <cp:lastPrinted>2020-09-11T23:32:00Z</cp:lastPrinted>
  <dcterms:created xsi:type="dcterms:W3CDTF">2022-12-02T01:56:00Z</dcterms:created>
  <dcterms:modified xsi:type="dcterms:W3CDTF">2022-12-02T01:57:00Z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