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2BD5" w:rsidP="00AA2BD5" w14:paraId="66FB376E" w14:textId="77777777">
      <w:pPr>
        <w:widowControl/>
        <w:jc w:val="center"/>
        <w:rPr>
          <w:b/>
          <w:bCs/>
          <w:color w:val="000000"/>
          <w:sz w:val="32"/>
          <w:szCs w:val="32"/>
        </w:rPr>
      </w:pPr>
      <w:r w:rsidRPr="00EA212D">
        <w:rPr>
          <w:b/>
          <w:bCs/>
          <w:color w:val="000000"/>
          <w:sz w:val="32"/>
          <w:szCs w:val="32"/>
        </w:rPr>
        <w:t>OASH Performance Project Report</w:t>
      </w:r>
      <w:r>
        <w:rPr>
          <w:b/>
          <w:bCs/>
          <w:color w:val="000000"/>
          <w:sz w:val="32"/>
          <w:szCs w:val="32"/>
        </w:rPr>
        <w:t xml:space="preserve"> (PPR)</w:t>
      </w:r>
      <w:r w:rsidRPr="00EA212D">
        <w:rPr>
          <w:b/>
          <w:bCs/>
          <w:color w:val="000000"/>
          <w:sz w:val="32"/>
          <w:szCs w:val="32"/>
        </w:rPr>
        <w:t xml:space="preserve"> </w:t>
      </w:r>
    </w:p>
    <w:p w:rsidR="00AA2BD5" w:rsidP="00AA2BD5" w14:paraId="4E8A5465" w14:textId="77777777">
      <w:pPr>
        <w:widowControl/>
        <w:jc w:val="center"/>
        <w:rPr>
          <w:color w:val="000000"/>
          <w:sz w:val="32"/>
          <w:szCs w:val="32"/>
        </w:rPr>
      </w:pPr>
      <w:r w:rsidRPr="00EA212D">
        <w:rPr>
          <w:b/>
          <w:bCs/>
          <w:color w:val="000000"/>
          <w:sz w:val="32"/>
          <w:szCs w:val="32"/>
        </w:rPr>
        <w:t>for Grants and Cooperative Agreements</w:t>
      </w:r>
      <w:r>
        <w:rPr>
          <w:b/>
          <w:bCs/>
          <w:color w:val="000000"/>
          <w:sz w:val="32"/>
          <w:szCs w:val="32"/>
        </w:rPr>
        <w:t xml:space="preserve"> New</w:t>
      </w:r>
    </w:p>
    <w:p w:rsidR="00AA2BD5" w:rsidP="00AA2BD5" w14:paraId="2BD493F0" w14:textId="77777777">
      <w:pPr>
        <w:widowControl/>
        <w:rPr>
          <w:color w:val="000000"/>
          <w:sz w:val="24"/>
        </w:rPr>
      </w:pPr>
    </w:p>
    <w:p w:rsidR="00AA2BD5" w:rsidP="00AA2BD5" w14:paraId="153C3196" w14:textId="77777777">
      <w:pPr>
        <w:widowControl/>
        <w:rPr>
          <w:color w:val="000000"/>
          <w:sz w:val="24"/>
        </w:rPr>
      </w:pPr>
    </w:p>
    <w:p w:rsidR="00AA2BD5" w:rsidP="00AA2BD5" w14:paraId="41470156" w14:textId="77777777">
      <w:pPr>
        <w:widowControl/>
        <w:rPr>
          <w:color w:val="000000"/>
          <w:sz w:val="24"/>
        </w:rPr>
      </w:pPr>
    </w:p>
    <w:p w:rsidR="00AA2BD5" w:rsidP="00AA2BD5" w14:paraId="5C0B22C6" w14:textId="77777777">
      <w:pPr>
        <w:widowControl/>
        <w:rPr>
          <w:color w:val="000000"/>
          <w:sz w:val="24"/>
        </w:rPr>
      </w:pPr>
    </w:p>
    <w:p w:rsidR="00AA2BD5" w:rsidP="00AA2BD5" w14:paraId="3241DA4D" w14:textId="77777777">
      <w:pPr>
        <w:widowControl/>
        <w:jc w:val="center"/>
        <w:rPr>
          <w:color w:val="000000"/>
          <w:sz w:val="28"/>
          <w:szCs w:val="28"/>
        </w:rPr>
      </w:pPr>
      <w:r>
        <w:rPr>
          <w:color w:val="000000"/>
          <w:sz w:val="28"/>
          <w:szCs w:val="28"/>
        </w:rPr>
        <w:t>Scott Moore</w:t>
      </w:r>
    </w:p>
    <w:p w:rsidR="00AA2BD5" w:rsidP="00AA2BD5" w14:paraId="236083AE" w14:textId="77777777">
      <w:pPr>
        <w:widowControl/>
        <w:jc w:val="center"/>
        <w:rPr>
          <w:color w:val="000000"/>
          <w:sz w:val="28"/>
          <w:szCs w:val="28"/>
        </w:rPr>
      </w:pPr>
      <w:r>
        <w:rPr>
          <w:color w:val="000000"/>
          <w:sz w:val="28"/>
          <w:szCs w:val="28"/>
        </w:rPr>
        <w:t xml:space="preserve">Director/Chief Grants Management Officer (CGMO) </w:t>
      </w:r>
    </w:p>
    <w:p w:rsidR="00AA2BD5" w:rsidP="00AA2BD5" w14:paraId="48A87D88" w14:textId="77777777">
      <w:pPr>
        <w:widowControl/>
        <w:rPr>
          <w:color w:val="000000"/>
          <w:sz w:val="24"/>
        </w:rPr>
      </w:pPr>
    </w:p>
    <w:p w:rsidR="00AA2BD5" w:rsidP="00AA2BD5" w14:paraId="02E4A3A6" w14:textId="77777777">
      <w:pPr>
        <w:widowControl/>
        <w:rPr>
          <w:color w:val="000000"/>
          <w:sz w:val="24"/>
        </w:rPr>
      </w:pPr>
    </w:p>
    <w:p w:rsidR="00AA2BD5" w:rsidP="00AA2BD5" w14:paraId="1866D799" w14:textId="77777777">
      <w:pPr>
        <w:widowControl/>
        <w:rPr>
          <w:color w:val="000000"/>
          <w:sz w:val="24"/>
        </w:rPr>
      </w:pPr>
    </w:p>
    <w:p w:rsidR="00AA2BD5" w:rsidP="00AA2BD5" w14:paraId="3C69B637" w14:textId="77777777">
      <w:pPr>
        <w:widowControl/>
        <w:rPr>
          <w:color w:val="000000"/>
          <w:sz w:val="24"/>
        </w:rPr>
      </w:pPr>
    </w:p>
    <w:p w:rsidR="00AA2BD5" w:rsidP="00AA2BD5" w14:paraId="3E803E36" w14:textId="77777777">
      <w:pPr>
        <w:widowControl/>
        <w:rPr>
          <w:color w:val="000000"/>
          <w:sz w:val="24"/>
        </w:rPr>
      </w:pPr>
    </w:p>
    <w:p w:rsidR="00AA2BD5" w:rsidP="00AA2BD5" w14:paraId="58DF7C7A" w14:textId="77777777">
      <w:pPr>
        <w:widowControl/>
        <w:rPr>
          <w:color w:val="000000"/>
          <w:sz w:val="24"/>
        </w:rPr>
      </w:pPr>
    </w:p>
    <w:p w:rsidR="00AA2BD5" w:rsidP="00AA2BD5" w14:paraId="10B72C84" w14:textId="77777777">
      <w:pPr>
        <w:widowControl/>
        <w:rPr>
          <w:color w:val="000000"/>
          <w:sz w:val="24"/>
        </w:rPr>
      </w:pPr>
    </w:p>
    <w:p w:rsidR="00AA2BD5" w:rsidP="00AA2BD5" w14:paraId="5E336F69" w14:textId="77777777">
      <w:pPr>
        <w:widowControl/>
        <w:rPr>
          <w:color w:val="000000"/>
          <w:sz w:val="24"/>
        </w:rPr>
      </w:pPr>
    </w:p>
    <w:p w:rsidR="00AA2BD5" w:rsidP="00AA2BD5" w14:paraId="7645F678" w14:textId="77777777">
      <w:pPr>
        <w:widowControl/>
        <w:rPr>
          <w:color w:val="000000"/>
          <w:sz w:val="24"/>
        </w:rPr>
      </w:pPr>
    </w:p>
    <w:p w:rsidR="00AA2BD5" w:rsidP="00AA2BD5" w14:paraId="750D45F0" w14:textId="77777777">
      <w:pPr>
        <w:widowControl/>
        <w:rPr>
          <w:color w:val="000000"/>
          <w:sz w:val="24"/>
        </w:rPr>
      </w:pPr>
    </w:p>
    <w:p w:rsidR="00AA2BD5" w:rsidP="00AA2BD5" w14:paraId="1940FB35" w14:textId="77777777">
      <w:pPr>
        <w:widowControl/>
        <w:rPr>
          <w:color w:val="000000"/>
          <w:sz w:val="24"/>
        </w:rPr>
      </w:pPr>
    </w:p>
    <w:p w:rsidR="00AA2BD5" w:rsidP="00AA2BD5" w14:paraId="6CF1CCD5" w14:textId="77777777">
      <w:pPr>
        <w:widowControl/>
        <w:rPr>
          <w:color w:val="000000"/>
          <w:sz w:val="24"/>
        </w:rPr>
      </w:pPr>
    </w:p>
    <w:p w:rsidR="00AA2BD5" w:rsidP="00AA2BD5" w14:paraId="134C0A82" w14:textId="77777777">
      <w:pPr>
        <w:widowControl/>
        <w:rPr>
          <w:color w:val="000000"/>
          <w:sz w:val="28"/>
          <w:szCs w:val="28"/>
        </w:rPr>
      </w:pPr>
      <w:r>
        <w:rPr>
          <w:color w:val="000000"/>
          <w:sz w:val="28"/>
          <w:szCs w:val="28"/>
        </w:rPr>
        <w:t>Department of Health and Human Services</w:t>
      </w:r>
    </w:p>
    <w:p w:rsidR="00AA2BD5" w:rsidP="00AA2BD5" w14:paraId="673BCBE8" w14:textId="77777777">
      <w:pPr>
        <w:widowControl/>
        <w:rPr>
          <w:color w:val="000000"/>
          <w:sz w:val="28"/>
          <w:szCs w:val="28"/>
        </w:rPr>
      </w:pPr>
    </w:p>
    <w:p w:rsidR="00AA2BD5" w:rsidP="00AA2BD5" w14:paraId="7C0A6356" w14:textId="77777777">
      <w:pPr>
        <w:widowControl/>
        <w:rPr>
          <w:color w:val="000000"/>
          <w:sz w:val="28"/>
          <w:szCs w:val="28"/>
        </w:rPr>
      </w:pPr>
      <w:r>
        <w:rPr>
          <w:color w:val="000000"/>
          <w:sz w:val="28"/>
          <w:szCs w:val="28"/>
        </w:rPr>
        <w:t>Office of Assistant Secretary for Health</w:t>
      </w:r>
    </w:p>
    <w:p w:rsidR="00AA2BD5" w:rsidP="00AA2BD5" w14:paraId="3591D533" w14:textId="77777777">
      <w:pPr>
        <w:widowControl/>
        <w:rPr>
          <w:color w:val="000000"/>
          <w:sz w:val="28"/>
          <w:szCs w:val="28"/>
        </w:rPr>
      </w:pPr>
      <w:r>
        <w:rPr>
          <w:color w:val="000000"/>
          <w:sz w:val="28"/>
          <w:szCs w:val="28"/>
        </w:rPr>
        <w:t>Grants and Acquisitions Management Division</w:t>
      </w:r>
    </w:p>
    <w:p w:rsidR="00AA2BD5" w:rsidP="00AA2BD5" w14:paraId="36ACE237" w14:textId="77777777">
      <w:pPr>
        <w:widowControl/>
        <w:rPr>
          <w:color w:val="000000"/>
          <w:sz w:val="28"/>
          <w:szCs w:val="28"/>
        </w:rPr>
      </w:pPr>
      <w:r>
        <w:rPr>
          <w:color w:val="000000"/>
          <w:sz w:val="28"/>
          <w:szCs w:val="28"/>
        </w:rPr>
        <w:t>1101 Wootton Parkway, Plaza Level</w:t>
      </w:r>
    </w:p>
    <w:p w:rsidR="00AA2BD5" w:rsidP="00AA2BD5" w14:paraId="216F25E8" w14:textId="77777777">
      <w:pPr>
        <w:widowControl/>
        <w:rPr>
          <w:color w:val="000000"/>
          <w:sz w:val="28"/>
          <w:szCs w:val="28"/>
        </w:rPr>
      </w:pPr>
      <w:r>
        <w:rPr>
          <w:color w:val="000000"/>
          <w:sz w:val="28"/>
          <w:szCs w:val="28"/>
        </w:rPr>
        <w:t>Rockville, MD  20852</w:t>
      </w:r>
    </w:p>
    <w:p w:rsidR="00AA2BD5" w:rsidP="00AA2BD5" w14:paraId="400E0B86" w14:textId="77777777">
      <w:pPr>
        <w:widowControl/>
        <w:rPr>
          <w:color w:val="000000"/>
          <w:sz w:val="24"/>
        </w:rPr>
      </w:pPr>
    </w:p>
    <w:p w:rsidR="00AA2BD5" w:rsidP="00AA2BD5" w14:paraId="75DCF023" w14:textId="77777777">
      <w:pPr>
        <w:widowControl/>
        <w:rPr>
          <w:color w:val="000000"/>
          <w:sz w:val="24"/>
        </w:rPr>
      </w:pPr>
    </w:p>
    <w:p w:rsidR="00AA2BD5" w:rsidP="00AA2BD5" w14:paraId="37F57476" w14:textId="77777777">
      <w:pPr>
        <w:widowControl/>
        <w:rPr>
          <w:color w:val="000000"/>
          <w:sz w:val="24"/>
        </w:rPr>
      </w:pPr>
      <w:r>
        <w:rPr>
          <w:color w:val="000000"/>
          <w:sz w:val="24"/>
        </w:rPr>
        <w:t>Version: 07/23</w:t>
      </w:r>
    </w:p>
    <w:p w:rsidR="0098164F" w14:paraId="5E81B58C" w14:textId="77777777">
      <w:pPr>
        <w:tabs>
          <w:tab w:val="center" w:pos="4680"/>
        </w:tabs>
        <w:jc w:val="right"/>
        <w:rPr>
          <w:color w:val="000000"/>
          <w:sz w:val="24"/>
        </w:rPr>
      </w:pPr>
    </w:p>
    <w:p w:rsidR="0098164F" w14:paraId="311E9E2B" w14:textId="77777777">
      <w:pPr>
        <w:tabs>
          <w:tab w:val="center" w:pos="4680"/>
        </w:tabs>
        <w:jc w:val="right"/>
        <w:rPr>
          <w:color w:val="000000"/>
          <w:sz w:val="24"/>
        </w:rPr>
      </w:pPr>
    </w:p>
    <w:p w:rsidR="0098164F" w14:paraId="7EA69715" w14:textId="77777777">
      <w:pPr>
        <w:tabs>
          <w:tab w:val="center" w:pos="4680"/>
        </w:tabs>
        <w:jc w:val="center"/>
        <w:rPr>
          <w:b/>
          <w:bCs/>
          <w:sz w:val="32"/>
          <w:szCs w:val="32"/>
        </w:rPr>
      </w:pPr>
    </w:p>
    <w:p w:rsidR="0098164F" w14:paraId="57FEFB10" w14:textId="77777777">
      <w:pPr>
        <w:tabs>
          <w:tab w:val="center" w:pos="4680"/>
        </w:tabs>
        <w:jc w:val="center"/>
        <w:rPr>
          <w:b/>
          <w:bCs/>
          <w:sz w:val="32"/>
          <w:szCs w:val="32"/>
        </w:rPr>
      </w:pPr>
      <w:r>
        <w:rPr>
          <w:b/>
          <w:bCs/>
          <w:sz w:val="32"/>
          <w:szCs w:val="32"/>
        </w:rPr>
        <w:br w:type="page"/>
      </w:r>
    </w:p>
    <w:p w:rsidR="00AA2BD5" w:rsidP="00AA2BD5" w14:paraId="6BF26728" w14:textId="77777777">
      <w:pPr>
        <w:widowControl/>
        <w:jc w:val="center"/>
        <w:rPr>
          <w:b/>
          <w:bCs/>
          <w:sz w:val="32"/>
          <w:szCs w:val="32"/>
        </w:rPr>
      </w:pPr>
      <w:r>
        <w:rPr>
          <w:b/>
          <w:bCs/>
          <w:sz w:val="32"/>
          <w:szCs w:val="32"/>
        </w:rPr>
        <w:t xml:space="preserve">Supporting Statement for </w:t>
      </w:r>
      <w:r w:rsidRPr="00EA212D">
        <w:rPr>
          <w:b/>
          <w:bCs/>
          <w:color w:val="000000"/>
          <w:sz w:val="32"/>
          <w:szCs w:val="32"/>
        </w:rPr>
        <w:t>OASH Performance Project Report</w:t>
      </w:r>
      <w:r>
        <w:rPr>
          <w:b/>
          <w:bCs/>
          <w:color w:val="000000"/>
          <w:sz w:val="32"/>
          <w:szCs w:val="32"/>
        </w:rPr>
        <w:t xml:space="preserve"> (PPR)</w:t>
      </w:r>
      <w:r w:rsidRPr="00EA212D">
        <w:rPr>
          <w:b/>
          <w:bCs/>
          <w:color w:val="000000"/>
          <w:sz w:val="32"/>
          <w:szCs w:val="32"/>
        </w:rPr>
        <w:t xml:space="preserve"> for Grants and Cooperative Agreements</w:t>
      </w:r>
    </w:p>
    <w:p w:rsidR="0098164F" w14:paraId="4D6C5B46" w14:textId="77777777">
      <w:pPr>
        <w:rPr>
          <w:sz w:val="24"/>
        </w:rPr>
      </w:pPr>
    </w:p>
    <w:p w:rsidR="0098164F" w14:paraId="50F65C14" w14:textId="77777777">
      <w:pPr>
        <w:rPr>
          <w:sz w:val="24"/>
        </w:rPr>
      </w:pPr>
    </w:p>
    <w:p w:rsidR="0098164F" w14:paraId="16374854" w14:textId="77777777">
      <w:pPr>
        <w:ind w:firstLine="720"/>
        <w:rPr>
          <w:sz w:val="24"/>
        </w:rPr>
      </w:pPr>
      <w:r>
        <w:rPr>
          <w:sz w:val="24"/>
        </w:rPr>
        <w:tab/>
      </w:r>
    </w:p>
    <w:p w:rsidR="0098164F" w14:paraId="61DE88EB" w14:textId="77777777">
      <w:pPr>
        <w:rPr>
          <w:sz w:val="24"/>
        </w:rPr>
      </w:pPr>
    </w:p>
    <w:p w:rsidR="0098164F" w14:paraId="3137875F" w14:textId="77777777">
      <w:pPr>
        <w:rPr>
          <w:b/>
          <w:bCs/>
          <w:sz w:val="24"/>
        </w:rPr>
      </w:pPr>
      <w:r>
        <w:rPr>
          <w:b/>
          <w:bCs/>
          <w:sz w:val="24"/>
        </w:rPr>
        <w:t>A.</w:t>
      </w:r>
      <w:r>
        <w:rPr>
          <w:b/>
          <w:bCs/>
          <w:sz w:val="24"/>
        </w:rPr>
        <w:tab/>
        <w:t>Justification</w:t>
      </w:r>
    </w:p>
    <w:p w:rsidR="0098164F" w14:paraId="3A5125D9" w14:textId="77777777">
      <w:pPr>
        <w:rPr>
          <w:sz w:val="24"/>
        </w:rPr>
      </w:pPr>
    </w:p>
    <w:p w:rsidR="0098164F" w14:paraId="5625C39B" w14:textId="77777777">
      <w:pPr>
        <w:numPr>
          <w:ilvl w:val="0"/>
          <w:numId w:val="2"/>
        </w:numPr>
        <w:rPr>
          <w:b/>
          <w:sz w:val="24"/>
        </w:rPr>
      </w:pPr>
      <w:r>
        <w:rPr>
          <w:b/>
          <w:sz w:val="24"/>
          <w:u w:val="single"/>
        </w:rPr>
        <w:t>Circumstances Making the Collection of Information Necessary</w:t>
      </w:r>
    </w:p>
    <w:p w:rsidR="002A765F" w:rsidP="00561490" w14:paraId="01CDFFFB" w14:textId="77777777">
      <w:pPr>
        <w:rPr>
          <w:sz w:val="24"/>
        </w:rPr>
      </w:pPr>
      <w:r>
        <w:rPr>
          <w:sz w:val="24"/>
        </w:rPr>
        <w:t xml:space="preserve">The Office of the Assistant Secretary for Health (OASH) </w:t>
      </w:r>
      <w:r w:rsidR="003528D8">
        <w:rPr>
          <w:sz w:val="24"/>
        </w:rPr>
        <w:t>oversees a broad range of federal financial assistance programs within the Office of the Secretary</w:t>
      </w:r>
      <w:r w:rsidR="00FE69FC">
        <w:rPr>
          <w:sz w:val="24"/>
        </w:rPr>
        <w:t xml:space="preserve"> (OS)</w:t>
      </w:r>
      <w:r w:rsidR="00D446C4">
        <w:rPr>
          <w:sz w:val="24"/>
        </w:rPr>
        <w:t>,</w:t>
      </w:r>
      <w:r w:rsidR="003528D8">
        <w:rPr>
          <w:sz w:val="24"/>
        </w:rPr>
        <w:t xml:space="preserve"> Department of Health and Human Services</w:t>
      </w:r>
      <w:r w:rsidR="00FE69FC">
        <w:rPr>
          <w:sz w:val="24"/>
        </w:rPr>
        <w:t xml:space="preserve"> (HHS)</w:t>
      </w:r>
      <w:r w:rsidR="003528D8">
        <w:rPr>
          <w:sz w:val="24"/>
        </w:rPr>
        <w:t xml:space="preserve">.  </w:t>
      </w:r>
      <w:r>
        <w:rPr>
          <w:sz w:val="24"/>
        </w:rPr>
        <w:t>This collection is necessary to meet basic requirements for performance monitoring of grants and cooperative agreements within the OASH portfolio.</w:t>
      </w:r>
    </w:p>
    <w:p w:rsidR="002A765F" w:rsidP="00561490" w14:paraId="56E1FE86" w14:textId="77777777">
      <w:pPr>
        <w:rPr>
          <w:sz w:val="24"/>
        </w:rPr>
      </w:pPr>
    </w:p>
    <w:p w:rsidR="003528D8" w:rsidP="002A765F" w14:paraId="36EE3951" w14:textId="77777777">
      <w:pPr>
        <w:rPr>
          <w:sz w:val="24"/>
        </w:rPr>
      </w:pPr>
      <w:r>
        <w:rPr>
          <w:sz w:val="24"/>
        </w:rPr>
        <w:t xml:space="preserve">The currently active </w:t>
      </w:r>
      <w:r w:rsidR="008660C0">
        <w:rPr>
          <w:sz w:val="24"/>
        </w:rPr>
        <w:t xml:space="preserve">OASH </w:t>
      </w:r>
      <w:r>
        <w:rPr>
          <w:sz w:val="24"/>
        </w:rPr>
        <w:t xml:space="preserve">programs </w:t>
      </w:r>
      <w:r w:rsidR="00C03526">
        <w:rPr>
          <w:sz w:val="24"/>
        </w:rPr>
        <w:t xml:space="preserve">with discretionary grants and cooperative agreements </w:t>
      </w:r>
      <w:r>
        <w:rPr>
          <w:sz w:val="24"/>
        </w:rPr>
        <w:t>include: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3077"/>
        <w:gridCol w:w="4822"/>
      </w:tblGrid>
      <w:tr w14:paraId="37C8B825" w14:textId="77777777" w:rsidTr="00305611">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60" w:type="dxa"/>
            <w:shd w:val="clear" w:color="auto" w:fill="auto"/>
            <w:vAlign w:val="center"/>
          </w:tcPr>
          <w:p w:rsidR="00FE69FC" w:rsidRPr="006F3164" w:rsidP="006F3164" w14:paraId="6C19B2B6" w14:textId="77777777">
            <w:pPr>
              <w:rPr>
                <w:b/>
                <w:bCs/>
                <w:szCs w:val="20"/>
              </w:rPr>
            </w:pPr>
            <w:r w:rsidRPr="006F3164">
              <w:rPr>
                <w:b/>
                <w:bCs/>
                <w:szCs w:val="20"/>
              </w:rPr>
              <w:t>Assistance Listing Number</w:t>
            </w:r>
          </w:p>
        </w:tc>
        <w:tc>
          <w:tcPr>
            <w:tcW w:w="3150" w:type="dxa"/>
            <w:shd w:val="clear" w:color="auto" w:fill="auto"/>
            <w:vAlign w:val="center"/>
          </w:tcPr>
          <w:p w:rsidR="00FE69FC" w:rsidRPr="006F3164" w:rsidP="006F3164" w14:paraId="30E9EB9A" w14:textId="77777777">
            <w:pPr>
              <w:rPr>
                <w:b/>
                <w:bCs/>
                <w:szCs w:val="20"/>
              </w:rPr>
            </w:pPr>
            <w:r w:rsidRPr="006F3164">
              <w:rPr>
                <w:b/>
                <w:bCs/>
                <w:szCs w:val="20"/>
              </w:rPr>
              <w:t>Program Title</w:t>
            </w:r>
          </w:p>
        </w:tc>
        <w:tc>
          <w:tcPr>
            <w:tcW w:w="4968" w:type="dxa"/>
            <w:shd w:val="clear" w:color="auto" w:fill="auto"/>
            <w:vAlign w:val="center"/>
          </w:tcPr>
          <w:p w:rsidR="00FE69FC" w:rsidRPr="006F3164" w:rsidP="006F3164" w14:paraId="1900339C" w14:textId="77777777">
            <w:pPr>
              <w:rPr>
                <w:b/>
                <w:bCs/>
                <w:szCs w:val="20"/>
              </w:rPr>
            </w:pPr>
            <w:r>
              <w:rPr>
                <w:b/>
                <w:bCs/>
                <w:szCs w:val="20"/>
              </w:rPr>
              <w:t xml:space="preserve">Grant Making </w:t>
            </w:r>
            <w:r w:rsidRPr="006F3164">
              <w:rPr>
                <w:b/>
                <w:bCs/>
                <w:szCs w:val="20"/>
              </w:rPr>
              <w:t>Authorization</w:t>
            </w:r>
          </w:p>
        </w:tc>
      </w:tr>
      <w:tr w14:paraId="6E6CD698" w14:textId="77777777" w:rsidTr="00305611">
        <w:tblPrEx>
          <w:tblW w:w="0" w:type="auto"/>
          <w:tblInd w:w="198" w:type="dxa"/>
          <w:tblLook w:val="04A0"/>
        </w:tblPrEx>
        <w:tc>
          <w:tcPr>
            <w:tcW w:w="1260" w:type="dxa"/>
            <w:shd w:val="clear" w:color="auto" w:fill="auto"/>
            <w:vAlign w:val="center"/>
          </w:tcPr>
          <w:p w:rsidR="00FE69FC" w:rsidRPr="006F3164" w:rsidP="006F3164" w14:paraId="2A4D406E" w14:textId="77777777">
            <w:pPr>
              <w:rPr>
                <w:szCs w:val="20"/>
              </w:rPr>
            </w:pPr>
            <w:r w:rsidRPr="006F3164">
              <w:rPr>
                <w:szCs w:val="20"/>
              </w:rPr>
              <w:t>93.007</w:t>
            </w:r>
          </w:p>
        </w:tc>
        <w:tc>
          <w:tcPr>
            <w:tcW w:w="3150" w:type="dxa"/>
            <w:shd w:val="clear" w:color="auto" w:fill="auto"/>
            <w:vAlign w:val="center"/>
          </w:tcPr>
          <w:p w:rsidR="00FE69FC" w:rsidRPr="006F3164" w:rsidP="006F3164" w14:paraId="70AD7F65" w14:textId="77777777">
            <w:pPr>
              <w:rPr>
                <w:szCs w:val="20"/>
              </w:rPr>
            </w:pPr>
            <w:r w:rsidRPr="006F3164">
              <w:rPr>
                <w:szCs w:val="20"/>
              </w:rPr>
              <w:t>Public Awareness Campaigns on Embryo Adoption</w:t>
            </w:r>
          </w:p>
        </w:tc>
        <w:tc>
          <w:tcPr>
            <w:tcW w:w="4968" w:type="dxa"/>
            <w:shd w:val="clear" w:color="auto" w:fill="auto"/>
            <w:vAlign w:val="center"/>
          </w:tcPr>
          <w:p w:rsidR="00FE69FC" w:rsidRPr="006F3164" w:rsidP="006F3164" w14:paraId="4AFD31D0" w14:textId="77777777">
            <w:pPr>
              <w:rPr>
                <w:szCs w:val="20"/>
              </w:rPr>
            </w:pPr>
            <w:hyperlink r:id="rId8" w:history="1">
              <w:r w:rsidRPr="00085B91" w:rsidR="002A765F">
                <w:rPr>
                  <w:rStyle w:val="Hyperlink"/>
                  <w:szCs w:val="20"/>
                </w:rPr>
                <w:t>42 U.S.C. §300u-3</w:t>
              </w:r>
            </w:hyperlink>
            <w:r w:rsidR="002A765F">
              <w:rPr>
                <w:szCs w:val="20"/>
              </w:rPr>
              <w:t xml:space="preserve"> (</w:t>
            </w:r>
            <w:r w:rsidRPr="002A765F" w:rsidR="002A765F">
              <w:rPr>
                <w:szCs w:val="20"/>
              </w:rPr>
              <w:t>Section 1704 of the Public Health Service Act)</w:t>
            </w:r>
            <w:r w:rsidRPr="006F3164" w:rsidR="006F3164">
              <w:rPr>
                <w:szCs w:val="20"/>
              </w:rPr>
              <w:t xml:space="preserve"> </w:t>
            </w:r>
          </w:p>
        </w:tc>
      </w:tr>
      <w:tr w14:paraId="07EF7663" w14:textId="77777777" w:rsidTr="00305611">
        <w:tblPrEx>
          <w:tblW w:w="0" w:type="auto"/>
          <w:tblInd w:w="198" w:type="dxa"/>
          <w:tblLook w:val="04A0"/>
        </w:tblPrEx>
        <w:tc>
          <w:tcPr>
            <w:tcW w:w="1260" w:type="dxa"/>
            <w:shd w:val="clear" w:color="auto" w:fill="auto"/>
            <w:vAlign w:val="center"/>
          </w:tcPr>
          <w:p w:rsidR="00FE69FC" w:rsidRPr="006F3164" w:rsidP="006F3164" w14:paraId="607183D9" w14:textId="77777777">
            <w:pPr>
              <w:rPr>
                <w:szCs w:val="20"/>
              </w:rPr>
            </w:pPr>
            <w:r w:rsidRPr="006F3164">
              <w:rPr>
                <w:szCs w:val="20"/>
              </w:rPr>
              <w:t>93.085</w:t>
            </w:r>
          </w:p>
        </w:tc>
        <w:tc>
          <w:tcPr>
            <w:tcW w:w="3150" w:type="dxa"/>
            <w:shd w:val="clear" w:color="auto" w:fill="auto"/>
            <w:vAlign w:val="center"/>
          </w:tcPr>
          <w:p w:rsidR="00FE69FC" w:rsidRPr="006F3164" w:rsidP="006F3164" w14:paraId="7DDBF4C5" w14:textId="77777777">
            <w:pPr>
              <w:rPr>
                <w:szCs w:val="20"/>
              </w:rPr>
            </w:pPr>
            <w:r w:rsidRPr="006F3164">
              <w:rPr>
                <w:szCs w:val="20"/>
              </w:rPr>
              <w:t>Research on Research Integrity</w:t>
            </w:r>
          </w:p>
        </w:tc>
        <w:tc>
          <w:tcPr>
            <w:tcW w:w="4968" w:type="dxa"/>
            <w:shd w:val="clear" w:color="auto" w:fill="auto"/>
            <w:vAlign w:val="center"/>
          </w:tcPr>
          <w:p w:rsidR="00FE69FC" w:rsidRPr="006F3164" w:rsidP="006F3164" w14:paraId="7A4A1AB4" w14:textId="77777777">
            <w:pPr>
              <w:rPr>
                <w:szCs w:val="20"/>
              </w:rPr>
            </w:pPr>
            <w:hyperlink r:id="rId9" w:history="1">
              <w:r w:rsidRPr="00085B91" w:rsidR="00050890">
                <w:rPr>
                  <w:rStyle w:val="Hyperlink"/>
                  <w:szCs w:val="20"/>
                </w:rPr>
                <w:t xml:space="preserve">42 U.S.C. § 241 </w:t>
              </w:r>
            </w:hyperlink>
            <w:r w:rsidR="001468B1">
              <w:rPr>
                <w:szCs w:val="20"/>
              </w:rPr>
              <w:t xml:space="preserve"> </w:t>
            </w:r>
            <w:r w:rsidRPr="006F3164" w:rsidR="00050890">
              <w:rPr>
                <w:szCs w:val="20"/>
              </w:rPr>
              <w:t>(Section 301 of the Public Health Service Act)</w:t>
            </w:r>
          </w:p>
        </w:tc>
      </w:tr>
      <w:tr w14:paraId="2BDAC322" w14:textId="77777777" w:rsidTr="00305611">
        <w:tblPrEx>
          <w:tblW w:w="0" w:type="auto"/>
          <w:tblInd w:w="198" w:type="dxa"/>
          <w:tblLook w:val="04A0"/>
        </w:tblPrEx>
        <w:tc>
          <w:tcPr>
            <w:tcW w:w="1260" w:type="dxa"/>
            <w:shd w:val="clear" w:color="auto" w:fill="auto"/>
            <w:vAlign w:val="center"/>
          </w:tcPr>
          <w:p w:rsidR="00FE69FC" w:rsidRPr="006F3164" w:rsidP="006F3164" w14:paraId="089D6559" w14:textId="77777777">
            <w:pPr>
              <w:rPr>
                <w:szCs w:val="20"/>
              </w:rPr>
            </w:pPr>
            <w:r w:rsidRPr="006F3164">
              <w:rPr>
                <w:szCs w:val="20"/>
              </w:rPr>
              <w:t>93.088</w:t>
            </w:r>
          </w:p>
        </w:tc>
        <w:tc>
          <w:tcPr>
            <w:tcW w:w="3150" w:type="dxa"/>
            <w:shd w:val="clear" w:color="auto" w:fill="auto"/>
            <w:vAlign w:val="center"/>
          </w:tcPr>
          <w:p w:rsidR="00FE69FC" w:rsidRPr="006F3164" w:rsidP="006F3164" w14:paraId="1945AF59" w14:textId="77777777">
            <w:pPr>
              <w:rPr>
                <w:szCs w:val="20"/>
              </w:rPr>
            </w:pPr>
            <w:r w:rsidRPr="006F3164">
              <w:rPr>
                <w:szCs w:val="20"/>
              </w:rPr>
              <w:t>Advancing System Improvements for Key Issues in Women's Health</w:t>
            </w:r>
          </w:p>
        </w:tc>
        <w:tc>
          <w:tcPr>
            <w:tcW w:w="4968" w:type="dxa"/>
            <w:shd w:val="clear" w:color="auto" w:fill="auto"/>
            <w:vAlign w:val="center"/>
          </w:tcPr>
          <w:p w:rsidR="00FE69FC" w:rsidRPr="006F3164" w:rsidP="006F3164" w14:paraId="21649CA9" w14:textId="77777777">
            <w:pPr>
              <w:rPr>
                <w:szCs w:val="20"/>
              </w:rPr>
            </w:pPr>
            <w:hyperlink r:id="rId10" w:history="1">
              <w:r w:rsidRPr="00085B91" w:rsidR="006F3164">
                <w:rPr>
                  <w:rStyle w:val="Hyperlink"/>
                  <w:szCs w:val="20"/>
                </w:rPr>
                <w:t>42 U.S.C. § 300u-1(a)</w:t>
              </w:r>
            </w:hyperlink>
            <w:r w:rsidRPr="006F3164" w:rsidR="006F3164">
              <w:rPr>
                <w:szCs w:val="20"/>
              </w:rPr>
              <w:t xml:space="preserve">, </w:t>
            </w:r>
            <w:hyperlink r:id="rId11" w:history="1">
              <w:r w:rsidRPr="00085B91" w:rsidR="006F3164">
                <w:rPr>
                  <w:rStyle w:val="Hyperlink"/>
                  <w:szCs w:val="20"/>
                </w:rPr>
                <w:t>300u-2(a)</w:t>
              </w:r>
            </w:hyperlink>
            <w:r w:rsidRPr="006F3164" w:rsidR="006F3164">
              <w:rPr>
                <w:szCs w:val="20"/>
              </w:rPr>
              <w:t xml:space="preserve">, and </w:t>
            </w:r>
            <w:hyperlink r:id="rId12" w:history="1">
              <w:r w:rsidRPr="00085B91" w:rsidR="006F3164">
                <w:rPr>
                  <w:rStyle w:val="Hyperlink"/>
                  <w:szCs w:val="20"/>
                </w:rPr>
                <w:t>300u-3</w:t>
              </w:r>
            </w:hyperlink>
            <w:r w:rsidRPr="006F3164" w:rsidR="006F3164">
              <w:rPr>
                <w:szCs w:val="20"/>
              </w:rPr>
              <w:t xml:space="preserve"> (Sections 1702(a), 1703(a), and 1704 of the Public Health Service Act) and </w:t>
            </w:r>
            <w:hyperlink r:id="rId13" w:history="1">
              <w:r w:rsidRPr="00085B91" w:rsidR="006F3164">
                <w:rPr>
                  <w:rStyle w:val="Hyperlink"/>
                  <w:szCs w:val="20"/>
                </w:rPr>
                <w:t>42 U.S.C. § 237a</w:t>
              </w:r>
            </w:hyperlink>
            <w:r w:rsidRPr="006F3164" w:rsidR="006F3164">
              <w:rPr>
                <w:szCs w:val="20"/>
              </w:rPr>
              <w:t xml:space="preserve"> (Section 229 of the Public Health Service Act)</w:t>
            </w:r>
          </w:p>
        </w:tc>
      </w:tr>
      <w:tr w14:paraId="3D8EB5D3" w14:textId="77777777" w:rsidTr="00305611">
        <w:tblPrEx>
          <w:tblW w:w="0" w:type="auto"/>
          <w:tblInd w:w="198" w:type="dxa"/>
          <w:tblLook w:val="04A0"/>
        </w:tblPrEx>
        <w:tc>
          <w:tcPr>
            <w:tcW w:w="1260" w:type="dxa"/>
            <w:shd w:val="clear" w:color="auto" w:fill="auto"/>
            <w:vAlign w:val="center"/>
          </w:tcPr>
          <w:p w:rsidR="00FE69FC" w:rsidRPr="006F3164" w:rsidP="006F3164" w14:paraId="027CAAA0" w14:textId="77777777">
            <w:pPr>
              <w:rPr>
                <w:szCs w:val="20"/>
              </w:rPr>
            </w:pPr>
            <w:r w:rsidRPr="006F3164">
              <w:rPr>
                <w:szCs w:val="20"/>
              </w:rPr>
              <w:t>93.137</w:t>
            </w:r>
          </w:p>
        </w:tc>
        <w:tc>
          <w:tcPr>
            <w:tcW w:w="3150" w:type="dxa"/>
            <w:shd w:val="clear" w:color="auto" w:fill="auto"/>
            <w:vAlign w:val="center"/>
          </w:tcPr>
          <w:p w:rsidR="00FE69FC" w:rsidRPr="006F3164" w:rsidP="006F3164" w14:paraId="03AA633E" w14:textId="77777777">
            <w:pPr>
              <w:rPr>
                <w:szCs w:val="20"/>
              </w:rPr>
            </w:pPr>
            <w:r w:rsidRPr="006F3164">
              <w:rPr>
                <w:szCs w:val="20"/>
              </w:rPr>
              <w:t>Community Programs to Improve Minority Health Grant Program</w:t>
            </w:r>
          </w:p>
        </w:tc>
        <w:tc>
          <w:tcPr>
            <w:tcW w:w="4968" w:type="dxa"/>
            <w:shd w:val="clear" w:color="auto" w:fill="auto"/>
            <w:vAlign w:val="center"/>
          </w:tcPr>
          <w:p w:rsidR="00FE69FC" w:rsidRPr="006F3164" w:rsidP="006F3164" w14:paraId="3AADEDF5" w14:textId="77777777">
            <w:pPr>
              <w:rPr>
                <w:szCs w:val="20"/>
              </w:rPr>
            </w:pPr>
            <w:hyperlink r:id="rId14" w:history="1">
              <w:r w:rsidRPr="00085B91" w:rsidR="006F3164">
                <w:rPr>
                  <w:rStyle w:val="Hyperlink"/>
                  <w:rFonts w:ascii="Times" w:hAnsi="Times" w:cs="Times"/>
                  <w:szCs w:val="20"/>
                  <w:shd w:val="clear" w:color="auto" w:fill="FFFFFF"/>
                </w:rPr>
                <w:t xml:space="preserve">42 U.S.C. § 300u-6 </w:t>
              </w:r>
            </w:hyperlink>
            <w:r w:rsidRPr="006F3164" w:rsidR="006F3164">
              <w:rPr>
                <w:rFonts w:ascii="Times" w:hAnsi="Times" w:cs="Times"/>
                <w:color w:val="212529"/>
                <w:szCs w:val="20"/>
                <w:shd w:val="clear" w:color="auto" w:fill="FFFFFF"/>
              </w:rPr>
              <w:t>(Section 1707 of the Public Health Service Act)</w:t>
            </w:r>
          </w:p>
        </w:tc>
      </w:tr>
      <w:tr w14:paraId="0198C216" w14:textId="77777777" w:rsidTr="00305611">
        <w:tblPrEx>
          <w:tblW w:w="0" w:type="auto"/>
          <w:tblInd w:w="198" w:type="dxa"/>
          <w:tblLook w:val="04A0"/>
        </w:tblPrEx>
        <w:tc>
          <w:tcPr>
            <w:tcW w:w="1260" w:type="dxa"/>
            <w:shd w:val="clear" w:color="auto" w:fill="auto"/>
            <w:vAlign w:val="center"/>
          </w:tcPr>
          <w:p w:rsidR="00FE69FC" w:rsidRPr="006F3164" w:rsidP="006F3164" w14:paraId="26E22470" w14:textId="77777777">
            <w:pPr>
              <w:rPr>
                <w:szCs w:val="20"/>
              </w:rPr>
            </w:pPr>
            <w:r w:rsidRPr="006F3164">
              <w:rPr>
                <w:szCs w:val="20"/>
              </w:rPr>
              <w:t>93.217</w:t>
            </w:r>
          </w:p>
        </w:tc>
        <w:tc>
          <w:tcPr>
            <w:tcW w:w="3150" w:type="dxa"/>
            <w:shd w:val="clear" w:color="auto" w:fill="auto"/>
            <w:vAlign w:val="center"/>
          </w:tcPr>
          <w:p w:rsidR="00FE69FC" w:rsidRPr="006F3164" w:rsidP="006F3164" w14:paraId="4C9CACC9" w14:textId="77777777">
            <w:pPr>
              <w:rPr>
                <w:szCs w:val="20"/>
              </w:rPr>
            </w:pPr>
            <w:r w:rsidRPr="006F3164">
              <w:rPr>
                <w:szCs w:val="20"/>
              </w:rPr>
              <w:t>Family Planning Services</w:t>
            </w:r>
          </w:p>
        </w:tc>
        <w:tc>
          <w:tcPr>
            <w:tcW w:w="4968" w:type="dxa"/>
            <w:shd w:val="clear" w:color="auto" w:fill="auto"/>
            <w:vAlign w:val="center"/>
          </w:tcPr>
          <w:p w:rsidR="00FE69FC" w:rsidRPr="006F3164" w:rsidP="006F3164" w14:paraId="319D7B87" w14:textId="77777777">
            <w:pPr>
              <w:rPr>
                <w:szCs w:val="20"/>
              </w:rPr>
            </w:pPr>
            <w:hyperlink r:id="rId14" w:history="1">
              <w:r w:rsidRPr="00085B91" w:rsidR="006F3164">
                <w:rPr>
                  <w:rStyle w:val="Hyperlink"/>
                  <w:rFonts w:ascii="Times" w:hAnsi="Times" w:cs="Times"/>
                  <w:szCs w:val="20"/>
                  <w:shd w:val="clear" w:color="auto" w:fill="FFFFFF"/>
                </w:rPr>
                <w:t>42 U.S.C. § 300</w:t>
              </w:r>
            </w:hyperlink>
            <w:r w:rsidRPr="006F3164" w:rsidR="006F3164">
              <w:rPr>
                <w:rFonts w:ascii="Times" w:hAnsi="Times" w:cs="Times"/>
                <w:color w:val="212529"/>
                <w:szCs w:val="20"/>
                <w:shd w:val="clear" w:color="auto" w:fill="FFFFFF"/>
              </w:rPr>
              <w:t xml:space="preserve"> (Section 1001 of the Public Health Service Act)</w:t>
            </w:r>
          </w:p>
        </w:tc>
      </w:tr>
      <w:tr w14:paraId="64BFC390" w14:textId="77777777" w:rsidTr="00305611">
        <w:tblPrEx>
          <w:tblW w:w="0" w:type="auto"/>
          <w:tblInd w:w="198" w:type="dxa"/>
          <w:tblLook w:val="04A0"/>
        </w:tblPrEx>
        <w:tc>
          <w:tcPr>
            <w:tcW w:w="1260" w:type="dxa"/>
            <w:shd w:val="clear" w:color="auto" w:fill="auto"/>
            <w:vAlign w:val="center"/>
          </w:tcPr>
          <w:p w:rsidR="00FE69FC" w:rsidRPr="006F3164" w:rsidP="006F3164" w14:paraId="5C5A89E0" w14:textId="77777777">
            <w:pPr>
              <w:rPr>
                <w:szCs w:val="20"/>
              </w:rPr>
            </w:pPr>
            <w:r w:rsidRPr="006F3164">
              <w:rPr>
                <w:szCs w:val="20"/>
              </w:rPr>
              <w:t>93.260</w:t>
            </w:r>
          </w:p>
        </w:tc>
        <w:tc>
          <w:tcPr>
            <w:tcW w:w="3150" w:type="dxa"/>
            <w:shd w:val="clear" w:color="auto" w:fill="auto"/>
            <w:vAlign w:val="center"/>
          </w:tcPr>
          <w:p w:rsidR="00FE69FC" w:rsidRPr="006F3164" w:rsidP="006F3164" w14:paraId="186845F2" w14:textId="77777777">
            <w:pPr>
              <w:rPr>
                <w:szCs w:val="20"/>
              </w:rPr>
            </w:pPr>
            <w:r w:rsidRPr="006F3164">
              <w:rPr>
                <w:szCs w:val="20"/>
              </w:rPr>
              <w:t xml:space="preserve">Family Planning Personnel Training </w:t>
            </w:r>
          </w:p>
        </w:tc>
        <w:tc>
          <w:tcPr>
            <w:tcW w:w="4968" w:type="dxa"/>
            <w:shd w:val="clear" w:color="auto" w:fill="auto"/>
            <w:vAlign w:val="center"/>
          </w:tcPr>
          <w:p w:rsidR="00FE69FC" w:rsidRPr="006F3164" w:rsidP="006F3164" w14:paraId="7350259C" w14:textId="77777777">
            <w:pPr>
              <w:rPr>
                <w:szCs w:val="20"/>
              </w:rPr>
            </w:pPr>
            <w:hyperlink r:id="rId15" w:history="1">
              <w:r w:rsidRPr="00085B91" w:rsidR="006F3164">
                <w:rPr>
                  <w:rStyle w:val="Hyperlink"/>
                  <w:rFonts w:ascii="Times" w:hAnsi="Times" w:cs="Times"/>
                  <w:szCs w:val="20"/>
                  <w:shd w:val="clear" w:color="auto" w:fill="FFFFFF"/>
                </w:rPr>
                <w:t>42 U.S.C. § 300a–1</w:t>
              </w:r>
            </w:hyperlink>
            <w:r w:rsidRPr="006F3164" w:rsidR="006F3164">
              <w:rPr>
                <w:rFonts w:ascii="Times" w:hAnsi="Times" w:cs="Times"/>
                <w:color w:val="212529"/>
                <w:szCs w:val="20"/>
                <w:shd w:val="clear" w:color="auto" w:fill="FFFFFF"/>
              </w:rPr>
              <w:t xml:space="preserve"> (Section 1003 of the Public Health Service Act)</w:t>
            </w:r>
          </w:p>
        </w:tc>
      </w:tr>
      <w:tr w14:paraId="485F1718" w14:textId="77777777" w:rsidTr="00305611">
        <w:tblPrEx>
          <w:tblW w:w="0" w:type="auto"/>
          <w:tblInd w:w="198" w:type="dxa"/>
          <w:tblLook w:val="04A0"/>
        </w:tblPrEx>
        <w:tc>
          <w:tcPr>
            <w:tcW w:w="1260" w:type="dxa"/>
            <w:shd w:val="clear" w:color="auto" w:fill="auto"/>
            <w:vAlign w:val="center"/>
          </w:tcPr>
          <w:p w:rsidR="00FE69FC" w:rsidRPr="006F3164" w:rsidP="006F3164" w14:paraId="2BBE48C0" w14:textId="77777777">
            <w:pPr>
              <w:rPr>
                <w:szCs w:val="20"/>
              </w:rPr>
            </w:pPr>
            <w:r w:rsidRPr="006F3164">
              <w:rPr>
                <w:szCs w:val="20"/>
              </w:rPr>
              <w:t>93.297</w:t>
            </w:r>
          </w:p>
        </w:tc>
        <w:tc>
          <w:tcPr>
            <w:tcW w:w="3150" w:type="dxa"/>
            <w:shd w:val="clear" w:color="auto" w:fill="auto"/>
            <w:vAlign w:val="center"/>
          </w:tcPr>
          <w:p w:rsidR="00FE69FC" w:rsidRPr="006F3164" w:rsidP="006F3164" w14:paraId="3DF9B4A2" w14:textId="77777777">
            <w:pPr>
              <w:rPr>
                <w:szCs w:val="20"/>
              </w:rPr>
            </w:pPr>
            <w:r w:rsidRPr="006F3164">
              <w:rPr>
                <w:szCs w:val="20"/>
              </w:rPr>
              <w:t>Teenage Pregnancy Prevention Program</w:t>
            </w:r>
          </w:p>
        </w:tc>
        <w:tc>
          <w:tcPr>
            <w:tcW w:w="4968" w:type="dxa"/>
            <w:shd w:val="clear" w:color="auto" w:fill="auto"/>
            <w:vAlign w:val="center"/>
          </w:tcPr>
          <w:p w:rsidR="00FE69FC" w:rsidRPr="006F3164" w:rsidP="006F3164" w14:paraId="2F937E40" w14:textId="77777777">
            <w:pPr>
              <w:rPr>
                <w:szCs w:val="20"/>
              </w:rPr>
            </w:pPr>
            <w:r w:rsidRPr="006F3164">
              <w:rPr>
                <w:szCs w:val="20"/>
              </w:rPr>
              <w:t>Program authorized annually in appropriation language.  Most recently</w:t>
            </w:r>
            <w:r w:rsidR="002A765F">
              <w:rPr>
                <w:szCs w:val="20"/>
              </w:rPr>
              <w:t xml:space="preserve"> </w:t>
            </w:r>
            <w:r w:rsidRPr="002A765F" w:rsidR="002A765F">
              <w:rPr>
                <w:szCs w:val="20"/>
              </w:rPr>
              <w:t>Division H, Title II of the Consolidated Appropriations Act, 2023 (</w:t>
            </w:r>
            <w:hyperlink r:id="rId16" w:history="1">
              <w:r w:rsidRPr="00085B91" w:rsidR="002A765F">
                <w:rPr>
                  <w:rStyle w:val="Hyperlink"/>
                  <w:szCs w:val="20"/>
                </w:rPr>
                <w:t>Public Law No. 117-328</w:t>
              </w:r>
            </w:hyperlink>
            <w:r w:rsidRPr="002A765F" w:rsidR="002A765F">
              <w:rPr>
                <w:szCs w:val="20"/>
              </w:rPr>
              <w:t>)</w:t>
            </w:r>
          </w:p>
        </w:tc>
      </w:tr>
      <w:tr w14:paraId="0D5365EC" w14:textId="77777777" w:rsidTr="00305611">
        <w:tblPrEx>
          <w:tblW w:w="0" w:type="auto"/>
          <w:tblInd w:w="198" w:type="dxa"/>
          <w:tblLook w:val="04A0"/>
        </w:tblPrEx>
        <w:tc>
          <w:tcPr>
            <w:tcW w:w="1260" w:type="dxa"/>
            <w:shd w:val="clear" w:color="auto" w:fill="auto"/>
            <w:vAlign w:val="center"/>
          </w:tcPr>
          <w:p w:rsidR="00FE69FC" w:rsidRPr="006F3164" w:rsidP="006F3164" w14:paraId="0305D641" w14:textId="77777777">
            <w:pPr>
              <w:rPr>
                <w:szCs w:val="20"/>
              </w:rPr>
            </w:pPr>
            <w:r w:rsidRPr="006F3164">
              <w:rPr>
                <w:szCs w:val="20"/>
              </w:rPr>
              <w:t>93.343</w:t>
            </w:r>
          </w:p>
        </w:tc>
        <w:tc>
          <w:tcPr>
            <w:tcW w:w="3150" w:type="dxa"/>
            <w:shd w:val="clear" w:color="auto" w:fill="auto"/>
            <w:vAlign w:val="center"/>
          </w:tcPr>
          <w:p w:rsidR="00FE69FC" w:rsidRPr="006F3164" w:rsidP="006F3164" w14:paraId="11F9299F" w14:textId="77777777">
            <w:pPr>
              <w:rPr>
                <w:szCs w:val="20"/>
              </w:rPr>
            </w:pPr>
            <w:r w:rsidRPr="006F3164">
              <w:rPr>
                <w:szCs w:val="20"/>
              </w:rPr>
              <w:t>Public Health Service Evaluation Funds</w:t>
            </w:r>
          </w:p>
        </w:tc>
        <w:tc>
          <w:tcPr>
            <w:tcW w:w="4968" w:type="dxa"/>
            <w:shd w:val="clear" w:color="auto" w:fill="auto"/>
            <w:vAlign w:val="center"/>
          </w:tcPr>
          <w:p w:rsidR="00FE69FC" w:rsidRPr="006F3164" w:rsidP="006F3164" w14:paraId="1EBE8079" w14:textId="77777777">
            <w:pPr>
              <w:rPr>
                <w:szCs w:val="20"/>
              </w:rPr>
            </w:pPr>
            <w:hyperlink r:id="rId17" w:history="1">
              <w:r w:rsidRPr="00085B91" w:rsidR="006F3164">
                <w:rPr>
                  <w:rStyle w:val="Hyperlink"/>
                  <w:rFonts w:ascii="Times" w:hAnsi="Times" w:cs="Times"/>
                  <w:szCs w:val="20"/>
                  <w:shd w:val="clear" w:color="auto" w:fill="FFFFFF"/>
                </w:rPr>
                <w:t>42 U.S.C. § 238j</w:t>
              </w:r>
            </w:hyperlink>
            <w:r w:rsidRPr="006F3164" w:rsidR="006F3164">
              <w:rPr>
                <w:rFonts w:ascii="Times" w:hAnsi="Times" w:cs="Times"/>
                <w:color w:val="212529"/>
                <w:szCs w:val="20"/>
                <w:shd w:val="clear" w:color="auto" w:fill="FFFFFF"/>
              </w:rPr>
              <w:t xml:space="preserve"> (Section 241 of the Public Health Service Act)</w:t>
            </w:r>
          </w:p>
        </w:tc>
      </w:tr>
      <w:tr w14:paraId="0855CC80" w14:textId="77777777" w:rsidTr="00305611">
        <w:tblPrEx>
          <w:tblW w:w="0" w:type="auto"/>
          <w:tblInd w:w="198" w:type="dxa"/>
          <w:tblLook w:val="04A0"/>
        </w:tblPrEx>
        <w:tc>
          <w:tcPr>
            <w:tcW w:w="1260" w:type="dxa"/>
            <w:shd w:val="clear" w:color="auto" w:fill="auto"/>
            <w:vAlign w:val="center"/>
          </w:tcPr>
          <w:p w:rsidR="00FE69FC" w:rsidRPr="006F3164" w:rsidP="006F3164" w14:paraId="5379B88B" w14:textId="77777777">
            <w:pPr>
              <w:rPr>
                <w:szCs w:val="20"/>
              </w:rPr>
            </w:pPr>
            <w:r w:rsidRPr="006F3164">
              <w:rPr>
                <w:szCs w:val="20"/>
              </w:rPr>
              <w:t>93.344</w:t>
            </w:r>
          </w:p>
        </w:tc>
        <w:tc>
          <w:tcPr>
            <w:tcW w:w="3150" w:type="dxa"/>
            <w:shd w:val="clear" w:color="auto" w:fill="auto"/>
            <w:vAlign w:val="center"/>
          </w:tcPr>
          <w:p w:rsidR="00FE69FC" w:rsidRPr="006F3164" w:rsidP="006F3164" w14:paraId="7FA993F8" w14:textId="77777777">
            <w:pPr>
              <w:rPr>
                <w:szCs w:val="20"/>
              </w:rPr>
            </w:pPr>
            <w:r w:rsidRPr="006F3164">
              <w:rPr>
                <w:szCs w:val="20"/>
              </w:rPr>
              <w:t>Research, Monitoring and Outcomes Definitions for Vaccine Safety</w:t>
            </w:r>
          </w:p>
        </w:tc>
        <w:tc>
          <w:tcPr>
            <w:tcW w:w="4968" w:type="dxa"/>
            <w:shd w:val="clear" w:color="auto" w:fill="auto"/>
            <w:vAlign w:val="center"/>
          </w:tcPr>
          <w:p w:rsidR="00FE69FC" w:rsidRPr="006F3164" w:rsidP="006F3164" w14:paraId="279E8B61" w14:textId="77777777">
            <w:pPr>
              <w:rPr>
                <w:szCs w:val="20"/>
              </w:rPr>
            </w:pPr>
            <w:hyperlink r:id="rId10" w:history="1">
              <w:r w:rsidRPr="00085B91" w:rsidR="006F3164">
                <w:rPr>
                  <w:rStyle w:val="Hyperlink"/>
                  <w:rFonts w:ascii="Times" w:hAnsi="Times" w:cs="Times"/>
                  <w:szCs w:val="20"/>
                  <w:shd w:val="clear" w:color="auto" w:fill="FFFFFF"/>
                </w:rPr>
                <w:t xml:space="preserve">42 U.S.C. </w:t>
              </w:r>
              <w:r w:rsidRPr="00085B91" w:rsidR="00305611">
                <w:rPr>
                  <w:rStyle w:val="Hyperlink"/>
                  <w:rFonts w:ascii="Times" w:hAnsi="Times" w:cs="Times"/>
                  <w:szCs w:val="20"/>
                  <w:shd w:val="clear" w:color="auto" w:fill="FFFFFF"/>
                </w:rPr>
                <w:t xml:space="preserve">§ </w:t>
              </w:r>
              <w:r w:rsidRPr="00085B91" w:rsidR="006F3164">
                <w:rPr>
                  <w:rStyle w:val="Hyperlink"/>
                  <w:rFonts w:ascii="Times" w:hAnsi="Times" w:cs="Times"/>
                  <w:szCs w:val="20"/>
                  <w:shd w:val="clear" w:color="auto" w:fill="FFFFFF"/>
                </w:rPr>
                <w:t>300u-1</w:t>
              </w:r>
            </w:hyperlink>
            <w:r w:rsidRPr="006F3164" w:rsidR="006F3164">
              <w:rPr>
                <w:rFonts w:ascii="Times" w:hAnsi="Times" w:cs="Times"/>
                <w:color w:val="212529"/>
                <w:szCs w:val="20"/>
                <w:shd w:val="clear" w:color="auto" w:fill="FFFFFF"/>
              </w:rPr>
              <w:t xml:space="preserve"> and </w:t>
            </w:r>
            <w:hyperlink r:id="rId11" w:history="1">
              <w:r w:rsidRPr="00085B91" w:rsidR="006F3164">
                <w:rPr>
                  <w:rStyle w:val="Hyperlink"/>
                  <w:rFonts w:ascii="Times" w:hAnsi="Times" w:cs="Times"/>
                  <w:szCs w:val="20"/>
                  <w:shd w:val="clear" w:color="auto" w:fill="FFFFFF"/>
                </w:rPr>
                <w:t>300u-2</w:t>
              </w:r>
            </w:hyperlink>
            <w:r w:rsidRPr="006F3164" w:rsidR="006F3164">
              <w:rPr>
                <w:rFonts w:ascii="Times" w:hAnsi="Times" w:cs="Times"/>
                <w:color w:val="212529"/>
                <w:szCs w:val="20"/>
                <w:shd w:val="clear" w:color="auto" w:fill="FFFFFF"/>
              </w:rPr>
              <w:t xml:space="preserve"> (Sections 1702 and 1703 of the Public Health Service Act)</w:t>
            </w:r>
          </w:p>
        </w:tc>
      </w:tr>
      <w:tr w14:paraId="33F5A2C2" w14:textId="77777777" w:rsidTr="00305611">
        <w:tblPrEx>
          <w:tblW w:w="0" w:type="auto"/>
          <w:tblInd w:w="198" w:type="dxa"/>
          <w:tblLook w:val="04A0"/>
        </w:tblPrEx>
        <w:tc>
          <w:tcPr>
            <w:tcW w:w="1260" w:type="dxa"/>
            <w:shd w:val="clear" w:color="auto" w:fill="auto"/>
            <w:vAlign w:val="center"/>
          </w:tcPr>
          <w:p w:rsidR="00FE69FC" w:rsidRPr="006F3164" w:rsidP="006F3164" w14:paraId="5E93102F" w14:textId="77777777">
            <w:pPr>
              <w:rPr>
                <w:szCs w:val="20"/>
              </w:rPr>
            </w:pPr>
            <w:r w:rsidRPr="006F3164">
              <w:rPr>
                <w:szCs w:val="20"/>
              </w:rPr>
              <w:t>93.899</w:t>
            </w:r>
          </w:p>
        </w:tc>
        <w:tc>
          <w:tcPr>
            <w:tcW w:w="3150" w:type="dxa"/>
            <w:shd w:val="clear" w:color="auto" w:fill="auto"/>
            <w:vAlign w:val="center"/>
          </w:tcPr>
          <w:p w:rsidR="00FE69FC" w:rsidRPr="006F3164" w:rsidP="006F3164" w14:paraId="4AE0B211" w14:textId="77777777">
            <w:pPr>
              <w:rPr>
                <w:szCs w:val="20"/>
              </w:rPr>
            </w:pPr>
            <w:r w:rsidRPr="006F3164">
              <w:rPr>
                <w:szCs w:val="20"/>
              </w:rPr>
              <w:t>Minority HIV/AIDS Fund (MHAF)</w:t>
            </w:r>
          </w:p>
        </w:tc>
        <w:tc>
          <w:tcPr>
            <w:tcW w:w="4968" w:type="dxa"/>
            <w:shd w:val="clear" w:color="auto" w:fill="auto"/>
            <w:vAlign w:val="center"/>
          </w:tcPr>
          <w:p w:rsidR="00FE69FC" w:rsidRPr="006F3164" w:rsidP="006F3164" w14:paraId="291C0B99" w14:textId="77777777">
            <w:pPr>
              <w:rPr>
                <w:szCs w:val="20"/>
              </w:rPr>
            </w:pPr>
            <w:r w:rsidRPr="006F3164">
              <w:rPr>
                <w:szCs w:val="20"/>
              </w:rPr>
              <w:t>Program authorized in annual appropriation.  Most recently</w:t>
            </w:r>
            <w:r w:rsidR="00305611">
              <w:rPr>
                <w:szCs w:val="20"/>
              </w:rPr>
              <w:t xml:space="preserve"> </w:t>
            </w:r>
            <w:r w:rsidRPr="006F3164" w:rsidR="00305611">
              <w:rPr>
                <w:szCs w:val="20"/>
              </w:rPr>
              <w:t>Most recently</w:t>
            </w:r>
            <w:r w:rsidR="00305611">
              <w:rPr>
                <w:szCs w:val="20"/>
              </w:rPr>
              <w:t xml:space="preserve"> </w:t>
            </w:r>
            <w:r w:rsidRPr="002A765F" w:rsidR="00305611">
              <w:rPr>
                <w:szCs w:val="20"/>
              </w:rPr>
              <w:t>Division H, Title II of the Consolidated Appropriations Act, 2023 (</w:t>
            </w:r>
            <w:hyperlink r:id="rId16" w:history="1">
              <w:r w:rsidRPr="00085B91" w:rsidR="00305611">
                <w:rPr>
                  <w:rStyle w:val="Hyperlink"/>
                  <w:szCs w:val="20"/>
                </w:rPr>
                <w:t>Public Law No. 117-328</w:t>
              </w:r>
            </w:hyperlink>
            <w:r w:rsidRPr="002A765F" w:rsidR="00305611">
              <w:rPr>
                <w:szCs w:val="20"/>
              </w:rPr>
              <w:t>)</w:t>
            </w:r>
          </w:p>
        </w:tc>
      </w:tr>
      <w:tr w14:paraId="3F432D19" w14:textId="77777777" w:rsidTr="00305611">
        <w:tblPrEx>
          <w:tblW w:w="0" w:type="auto"/>
          <w:tblInd w:w="198" w:type="dxa"/>
          <w:tblLook w:val="04A0"/>
        </w:tblPrEx>
        <w:tc>
          <w:tcPr>
            <w:tcW w:w="1260" w:type="dxa"/>
            <w:shd w:val="clear" w:color="auto" w:fill="auto"/>
            <w:vAlign w:val="center"/>
          </w:tcPr>
          <w:p w:rsidR="00FE69FC" w:rsidRPr="006F3164" w:rsidP="006F3164" w14:paraId="7171AC76" w14:textId="77777777">
            <w:pPr>
              <w:rPr>
                <w:szCs w:val="20"/>
              </w:rPr>
            </w:pPr>
            <w:r w:rsidRPr="006F3164">
              <w:rPr>
                <w:szCs w:val="20"/>
              </w:rPr>
              <w:t>93.974</w:t>
            </w:r>
          </w:p>
        </w:tc>
        <w:tc>
          <w:tcPr>
            <w:tcW w:w="3150" w:type="dxa"/>
            <w:shd w:val="clear" w:color="auto" w:fill="auto"/>
            <w:vAlign w:val="center"/>
          </w:tcPr>
          <w:p w:rsidR="00FE69FC" w:rsidRPr="006F3164" w:rsidP="006F3164" w14:paraId="30F22FB7" w14:textId="77777777">
            <w:pPr>
              <w:rPr>
                <w:szCs w:val="20"/>
              </w:rPr>
            </w:pPr>
            <w:r w:rsidRPr="006F3164">
              <w:rPr>
                <w:szCs w:val="20"/>
              </w:rPr>
              <w:t>Family Planning Service Delivery Improvement Research Grants</w:t>
            </w:r>
          </w:p>
        </w:tc>
        <w:tc>
          <w:tcPr>
            <w:tcW w:w="4968" w:type="dxa"/>
            <w:shd w:val="clear" w:color="auto" w:fill="auto"/>
            <w:vAlign w:val="center"/>
          </w:tcPr>
          <w:p w:rsidR="00FE69FC" w:rsidRPr="006F3164" w:rsidP="006F3164" w14:paraId="561D5B44" w14:textId="77777777">
            <w:pPr>
              <w:rPr>
                <w:szCs w:val="20"/>
              </w:rPr>
            </w:pPr>
            <w:hyperlink r:id="rId18" w:history="1">
              <w:r w:rsidRPr="00085B91" w:rsidR="006F3164">
                <w:rPr>
                  <w:rStyle w:val="Hyperlink"/>
                  <w:rFonts w:ascii="Times" w:hAnsi="Times" w:cs="Times"/>
                  <w:szCs w:val="20"/>
                  <w:shd w:val="clear" w:color="auto" w:fill="FFFFFF"/>
                </w:rPr>
                <w:t xml:space="preserve">42 U.S.C. </w:t>
              </w:r>
              <w:r w:rsidRPr="00085B91" w:rsidR="00305611">
                <w:rPr>
                  <w:rStyle w:val="Hyperlink"/>
                  <w:rFonts w:ascii="Times" w:hAnsi="Times" w:cs="Times"/>
                  <w:szCs w:val="20"/>
                  <w:shd w:val="clear" w:color="auto" w:fill="FFFFFF"/>
                </w:rPr>
                <w:t xml:space="preserve">§ </w:t>
              </w:r>
              <w:r w:rsidRPr="00085B91" w:rsidR="006F3164">
                <w:rPr>
                  <w:rStyle w:val="Hyperlink"/>
                  <w:rFonts w:ascii="Times" w:hAnsi="Times" w:cs="Times"/>
                  <w:szCs w:val="20"/>
                  <w:shd w:val="clear" w:color="auto" w:fill="FFFFFF"/>
                </w:rPr>
                <w:t>300a-2</w:t>
              </w:r>
            </w:hyperlink>
            <w:r w:rsidRPr="006F3164" w:rsidR="006F3164">
              <w:rPr>
                <w:rFonts w:ascii="Times" w:hAnsi="Times" w:cs="Times"/>
                <w:color w:val="212529"/>
                <w:szCs w:val="20"/>
                <w:shd w:val="clear" w:color="auto" w:fill="FFFFFF"/>
              </w:rPr>
              <w:t xml:space="preserve"> (Section 1004 of the Public Health Service Ac</w:t>
            </w:r>
            <w:r w:rsidR="00DE50B9">
              <w:rPr>
                <w:rFonts w:ascii="Times" w:hAnsi="Times" w:cs="Times"/>
                <w:color w:val="212529"/>
                <w:szCs w:val="20"/>
                <w:shd w:val="clear" w:color="auto" w:fill="FFFFFF"/>
              </w:rPr>
              <w:t>t</w:t>
            </w:r>
            <w:r w:rsidRPr="006F3164" w:rsidR="006F3164">
              <w:rPr>
                <w:rFonts w:ascii="Times" w:hAnsi="Times" w:cs="Times"/>
                <w:color w:val="212529"/>
                <w:szCs w:val="20"/>
                <w:shd w:val="clear" w:color="auto" w:fill="FFFFFF"/>
              </w:rPr>
              <w:t>)</w:t>
            </w:r>
          </w:p>
        </w:tc>
      </w:tr>
    </w:tbl>
    <w:p w:rsidR="003528D8" w:rsidP="003528D8" w14:paraId="0F25F96B" w14:textId="77777777">
      <w:pPr>
        <w:ind w:left="720"/>
        <w:rPr>
          <w:sz w:val="24"/>
        </w:rPr>
      </w:pPr>
    </w:p>
    <w:p w:rsidR="003528D8" w:rsidP="00561490" w14:paraId="3EDE2F79" w14:textId="77777777">
      <w:pPr>
        <w:rPr>
          <w:sz w:val="24"/>
        </w:rPr>
      </w:pPr>
      <w:r>
        <w:rPr>
          <w:sz w:val="24"/>
        </w:rPr>
        <w:t>OASH</w:t>
      </w:r>
      <w:r w:rsidR="00D446C4">
        <w:rPr>
          <w:sz w:val="24"/>
        </w:rPr>
        <w:t xml:space="preserve"> grants and cooperative agreements </w:t>
      </w:r>
      <w:r w:rsidR="00305611">
        <w:rPr>
          <w:sz w:val="24"/>
        </w:rPr>
        <w:t>cover</w:t>
      </w:r>
      <w:r w:rsidR="00D446C4">
        <w:rPr>
          <w:sz w:val="24"/>
        </w:rPr>
        <w:t xml:space="preserve"> a wide range of project types, including service, demonstration project, evaluation, research, training, and conference</w:t>
      </w:r>
      <w:r w:rsidR="00376C8B">
        <w:rPr>
          <w:sz w:val="24"/>
        </w:rPr>
        <w:t xml:space="preserve"> projects</w:t>
      </w:r>
      <w:r w:rsidR="00D446C4">
        <w:rPr>
          <w:sz w:val="24"/>
        </w:rPr>
        <w:t xml:space="preserve">. </w:t>
      </w:r>
      <w:r w:rsidR="00D53C3A">
        <w:rPr>
          <w:sz w:val="24"/>
        </w:rPr>
        <w:t xml:space="preserve">Within each program, the awards are subdivided into </w:t>
      </w:r>
      <w:r w:rsidR="00C03526">
        <w:rPr>
          <w:sz w:val="24"/>
        </w:rPr>
        <w:t>cohorts</w:t>
      </w:r>
      <w:r w:rsidR="00D53C3A">
        <w:rPr>
          <w:sz w:val="24"/>
        </w:rPr>
        <w:t xml:space="preserve"> </w:t>
      </w:r>
      <w:r w:rsidR="00C03526">
        <w:rPr>
          <w:sz w:val="24"/>
        </w:rPr>
        <w:t>aligned</w:t>
      </w:r>
      <w:r w:rsidR="00D53C3A">
        <w:rPr>
          <w:sz w:val="24"/>
        </w:rPr>
        <w:t xml:space="preserve"> with the notice</w:t>
      </w:r>
      <w:r w:rsidR="00C03526">
        <w:rPr>
          <w:sz w:val="24"/>
        </w:rPr>
        <w:t>s</w:t>
      </w:r>
      <w:r w:rsidR="00D53C3A">
        <w:rPr>
          <w:sz w:val="24"/>
        </w:rPr>
        <w:t xml:space="preserve"> of funding opportunity (NOFO</w:t>
      </w:r>
      <w:r w:rsidR="00C03526">
        <w:rPr>
          <w:sz w:val="24"/>
        </w:rPr>
        <w:t>s</w:t>
      </w:r>
      <w:r w:rsidR="00D53C3A">
        <w:rPr>
          <w:sz w:val="24"/>
        </w:rPr>
        <w:t>)</w:t>
      </w:r>
      <w:r w:rsidR="00C03526">
        <w:rPr>
          <w:sz w:val="24"/>
        </w:rPr>
        <w:t xml:space="preserve"> under which OASH issued the award</w:t>
      </w:r>
      <w:r w:rsidR="00D53C3A">
        <w:rPr>
          <w:sz w:val="24"/>
        </w:rPr>
        <w:t xml:space="preserve">. </w:t>
      </w:r>
      <w:r w:rsidRPr="00AA2BD5" w:rsidR="00AA2BD5">
        <w:rPr>
          <w:sz w:val="24"/>
        </w:rPr>
        <w:t>Currently, there are 47 cohorts of active awards across OASH.  In any given year, OASH programs collectively monitor 450-550 active awards with another 200-300 inactive awards awaiting final reports as a prerequisite to closing the grant.</w:t>
      </w:r>
      <w:r w:rsidR="00D446C4">
        <w:rPr>
          <w:sz w:val="24"/>
        </w:rPr>
        <w:t xml:space="preserve"> </w:t>
      </w:r>
    </w:p>
    <w:p w:rsidR="00DE50B9" w:rsidP="00561490" w14:paraId="6CD0183C" w14:textId="77777777">
      <w:pPr>
        <w:rPr>
          <w:sz w:val="24"/>
        </w:rPr>
      </w:pPr>
    </w:p>
    <w:p w:rsidR="00E707F7" w:rsidP="00561490" w14:paraId="063EA97D" w14:textId="77777777">
      <w:pPr>
        <w:rPr>
          <w:sz w:val="24"/>
        </w:rPr>
      </w:pPr>
      <w:r>
        <w:rPr>
          <w:sz w:val="24"/>
        </w:rPr>
        <w:t xml:space="preserve">As a requirement required </w:t>
      </w:r>
      <w:r w:rsidR="00305611">
        <w:rPr>
          <w:sz w:val="24"/>
        </w:rPr>
        <w:t>of</w:t>
      </w:r>
      <w:r>
        <w:rPr>
          <w:sz w:val="24"/>
        </w:rPr>
        <w:t xml:space="preserve"> </w:t>
      </w:r>
      <w:hyperlink r:id="rId19" w:history="1">
        <w:r w:rsidRPr="000F2061" w:rsidR="00AA2BD5">
          <w:rPr>
            <w:rStyle w:val="Hyperlink"/>
            <w:sz w:val="24"/>
          </w:rPr>
          <w:t xml:space="preserve">45 C.F.R. </w:t>
        </w:r>
        <w:r w:rsidRPr="000F2061" w:rsidR="00305611">
          <w:rPr>
            <w:rStyle w:val="Hyperlink"/>
            <w:sz w:val="24"/>
          </w:rPr>
          <w:t>§</w:t>
        </w:r>
        <w:r w:rsidRPr="000F2061" w:rsidR="00AA2BD5">
          <w:rPr>
            <w:rStyle w:val="Hyperlink"/>
            <w:sz w:val="24"/>
          </w:rPr>
          <w:t>75.301</w:t>
        </w:r>
      </w:hyperlink>
      <w:r>
        <w:rPr>
          <w:sz w:val="24"/>
        </w:rPr>
        <w:t>, each recipient must submit a quarterly Federal Financial Report (FFR or SF-425)</w:t>
      </w:r>
      <w:r w:rsidRPr="00AA2BD5" w:rsidR="00AA2BD5">
        <w:t xml:space="preserve"> </w:t>
      </w:r>
      <w:r w:rsidRPr="00AA2BD5" w:rsidR="00AA2BD5">
        <w:rPr>
          <w:sz w:val="24"/>
        </w:rPr>
        <w:t>(</w:t>
      </w:r>
      <w:hyperlink r:id="rId20" w:history="1">
        <w:r w:rsidRPr="000F2061" w:rsidR="00AA2BD5">
          <w:rPr>
            <w:rStyle w:val="Hyperlink"/>
            <w:sz w:val="24"/>
          </w:rPr>
          <w:t xml:space="preserve">45 C.F.R. </w:t>
        </w:r>
        <w:r w:rsidRPr="000F2061" w:rsidR="00305611">
          <w:rPr>
            <w:rStyle w:val="Hyperlink"/>
            <w:sz w:val="24"/>
          </w:rPr>
          <w:t>§</w:t>
        </w:r>
        <w:r w:rsidRPr="000F2061" w:rsidR="00AA2BD5">
          <w:rPr>
            <w:rStyle w:val="Hyperlink"/>
            <w:sz w:val="24"/>
          </w:rPr>
          <w:t>75.341</w:t>
        </w:r>
      </w:hyperlink>
      <w:r w:rsidRPr="00AA2BD5" w:rsidR="00AA2BD5">
        <w:rPr>
          <w:sz w:val="24"/>
        </w:rPr>
        <w:t>) and a periodic Performance Progress Report (PPR) for each grant (</w:t>
      </w:r>
      <w:hyperlink r:id="rId21" w:history="1">
        <w:r w:rsidRPr="000F2061" w:rsidR="00AA2BD5">
          <w:rPr>
            <w:rStyle w:val="Hyperlink"/>
            <w:sz w:val="24"/>
          </w:rPr>
          <w:t xml:space="preserve">45 C.F.R. </w:t>
        </w:r>
        <w:r w:rsidRPr="000F2061" w:rsidR="00305611">
          <w:rPr>
            <w:rStyle w:val="Hyperlink"/>
            <w:sz w:val="24"/>
          </w:rPr>
          <w:t>§</w:t>
        </w:r>
        <w:r w:rsidRPr="000F2061" w:rsidR="00AA2BD5">
          <w:rPr>
            <w:rStyle w:val="Hyperlink"/>
            <w:sz w:val="24"/>
          </w:rPr>
          <w:t>75.342(b)(2)</w:t>
        </w:r>
      </w:hyperlink>
      <w:r w:rsidR="00305611">
        <w:rPr>
          <w:sz w:val="24"/>
        </w:rPr>
        <w:t>)</w:t>
      </w:r>
      <w:r>
        <w:rPr>
          <w:sz w:val="24"/>
        </w:rPr>
        <w:t xml:space="preserve">.  </w:t>
      </w:r>
      <w:r w:rsidRPr="00AA2BD5" w:rsidR="00AA2BD5">
        <w:rPr>
          <w:sz w:val="24"/>
        </w:rPr>
        <w:t>PPR reporting periods in OASH are scheduled quarterly, semi-annually, or annually, depending on the need determined by the program office using a narrative format that can vary by cohort. The PPR schedule is specifically aligned with the quarterly FFRs whenever possible to create a complete snapshot of the project’s progress at the end of the reporting period.</w:t>
      </w:r>
    </w:p>
    <w:p w:rsidR="00E707F7" w:rsidP="00561490" w14:paraId="2CF8E545" w14:textId="77777777">
      <w:pPr>
        <w:rPr>
          <w:sz w:val="24"/>
        </w:rPr>
      </w:pPr>
    </w:p>
    <w:p w:rsidR="00376C8B" w:rsidP="00561490" w14:paraId="63805F22" w14:textId="77777777">
      <w:pPr>
        <w:rPr>
          <w:sz w:val="24"/>
        </w:rPr>
      </w:pPr>
      <w:r>
        <w:rPr>
          <w:sz w:val="24"/>
        </w:rPr>
        <w:t xml:space="preserve">The NOFO announces the PPR reporting frequency during the competitive award process along with the performance measures.  The PPR submission requirement is then incorporated into the terms and conditions of any award issued.  </w:t>
      </w:r>
    </w:p>
    <w:p w:rsidR="00376C8B" w:rsidP="00561490" w14:paraId="4ECE77BD" w14:textId="77777777">
      <w:pPr>
        <w:rPr>
          <w:sz w:val="24"/>
        </w:rPr>
      </w:pPr>
    </w:p>
    <w:p w:rsidR="0098164F" w:rsidP="00561490" w14:paraId="61D46613" w14:textId="77777777">
      <w:pPr>
        <w:rPr>
          <w:sz w:val="24"/>
        </w:rPr>
      </w:pPr>
      <w:r>
        <w:rPr>
          <w:sz w:val="24"/>
        </w:rPr>
        <w:t xml:space="preserve">OASH </w:t>
      </w:r>
      <w:r w:rsidR="00DE50B9">
        <w:rPr>
          <w:sz w:val="24"/>
        </w:rPr>
        <w:t>intends</w:t>
      </w:r>
      <w:r w:rsidR="00561490">
        <w:rPr>
          <w:sz w:val="24"/>
        </w:rPr>
        <w:t xml:space="preserve"> to standardize PPR</w:t>
      </w:r>
      <w:r w:rsidR="00E707F7">
        <w:rPr>
          <w:sz w:val="24"/>
        </w:rPr>
        <w:t xml:space="preserve"> data collection</w:t>
      </w:r>
      <w:r w:rsidR="00561490">
        <w:rPr>
          <w:sz w:val="24"/>
        </w:rPr>
        <w:t xml:space="preserve"> for its </w:t>
      </w:r>
      <w:r w:rsidR="00376C8B">
        <w:rPr>
          <w:sz w:val="24"/>
        </w:rPr>
        <w:t>recipients</w:t>
      </w:r>
      <w:r w:rsidR="00561490">
        <w:rPr>
          <w:sz w:val="24"/>
        </w:rPr>
        <w:t xml:space="preserve"> across its award portfolio</w:t>
      </w:r>
      <w:r w:rsidR="00E707F7">
        <w:rPr>
          <w:sz w:val="24"/>
        </w:rPr>
        <w:t xml:space="preserve"> with a single instrument suitable for an</w:t>
      </w:r>
      <w:r w:rsidRPr="00AA2BD5" w:rsidR="00E707F7">
        <w:rPr>
          <w:sz w:val="24"/>
        </w:rPr>
        <w:t>y reporting cadence</w:t>
      </w:r>
      <w:r w:rsidRPr="00AA2BD5" w:rsidR="00561490">
        <w:rPr>
          <w:sz w:val="24"/>
        </w:rPr>
        <w:t xml:space="preserve">. This data collection is authorized under </w:t>
      </w:r>
      <w:r w:rsidRPr="00AA2BD5">
        <w:rPr>
          <w:sz w:val="24"/>
        </w:rPr>
        <w:t>the Uniform Administrative Requirements</w:t>
      </w:r>
      <w:r w:rsidRPr="00AA2BD5" w:rsidR="00DF363F">
        <w:rPr>
          <w:sz w:val="24"/>
        </w:rPr>
        <w:t xml:space="preserve">, Cost Principles, and Audit Requirements for </w:t>
      </w:r>
      <w:r w:rsidRPr="00AA2BD5">
        <w:rPr>
          <w:sz w:val="24"/>
        </w:rPr>
        <w:t xml:space="preserve">HHS </w:t>
      </w:r>
      <w:r w:rsidRPr="00AA2BD5" w:rsidR="00DF363F">
        <w:rPr>
          <w:sz w:val="24"/>
        </w:rPr>
        <w:t>Awards</w:t>
      </w:r>
      <w:r w:rsidRPr="00AA2BD5">
        <w:rPr>
          <w:sz w:val="24"/>
        </w:rPr>
        <w:t xml:space="preserve"> at </w:t>
      </w:r>
      <w:hyperlink r:id="rId19" w:history="1">
        <w:r w:rsidRPr="000F2061" w:rsidR="000F2061">
          <w:rPr>
            <w:rStyle w:val="Hyperlink"/>
            <w:sz w:val="24"/>
          </w:rPr>
          <w:t>45 C.F.R. §75.301</w:t>
        </w:r>
      </w:hyperlink>
      <w:r w:rsidRPr="00AA2BD5" w:rsidR="00DF363F">
        <w:rPr>
          <w:sz w:val="24"/>
        </w:rPr>
        <w:t xml:space="preserve"> and </w:t>
      </w:r>
      <w:hyperlink r:id="rId21" w:history="1">
        <w:r w:rsidRPr="000F2061" w:rsidR="00305611">
          <w:rPr>
            <w:rStyle w:val="Hyperlink"/>
            <w:sz w:val="24"/>
          </w:rPr>
          <w:t>§</w:t>
        </w:r>
        <w:r w:rsidRPr="000F2061" w:rsidR="00DF363F">
          <w:rPr>
            <w:rStyle w:val="Hyperlink"/>
            <w:sz w:val="24"/>
          </w:rPr>
          <w:t>75.342</w:t>
        </w:r>
      </w:hyperlink>
      <w:r w:rsidRPr="00AA2BD5" w:rsidR="00AA2BD5">
        <w:rPr>
          <w:sz w:val="24"/>
        </w:rPr>
        <w:t xml:space="preserve"> currently in effect</w:t>
      </w:r>
      <w:r w:rsidRPr="00AA2BD5" w:rsidR="00DF363F">
        <w:rPr>
          <w:sz w:val="24"/>
        </w:rPr>
        <w:t>.</w:t>
      </w:r>
      <w:r w:rsidRPr="00AA2BD5">
        <w:rPr>
          <w:sz w:val="24"/>
        </w:rPr>
        <w:t xml:space="preserve"> </w:t>
      </w:r>
      <w:r w:rsidRPr="00AA2BD5" w:rsidR="00561490">
        <w:rPr>
          <w:sz w:val="24"/>
        </w:rPr>
        <w:t xml:space="preserve"> </w:t>
      </w:r>
      <w:r w:rsidRPr="00AA2BD5" w:rsidR="00AA2BD5">
        <w:rPr>
          <w:sz w:val="24"/>
        </w:rPr>
        <w:t>This</w:t>
      </w:r>
      <w:r w:rsidR="00AA2BD5">
        <w:rPr>
          <w:sz w:val="24"/>
        </w:rPr>
        <w:t xml:space="preserve"> collection is also </w:t>
      </w:r>
      <w:r w:rsidRPr="00AA2BD5" w:rsidR="00AA2BD5">
        <w:rPr>
          <w:sz w:val="24"/>
        </w:rPr>
        <w:t xml:space="preserve">consistent with </w:t>
      </w:r>
      <w:r w:rsidR="00AA2BD5">
        <w:rPr>
          <w:sz w:val="24"/>
        </w:rPr>
        <w:t xml:space="preserve">the requirements of </w:t>
      </w:r>
      <w:hyperlink r:id="rId22" w:history="1">
        <w:r w:rsidRPr="000F2061" w:rsidR="00561490">
          <w:rPr>
            <w:rStyle w:val="Hyperlink"/>
            <w:sz w:val="24"/>
          </w:rPr>
          <w:t xml:space="preserve">2 CFR </w:t>
        </w:r>
        <w:r w:rsidRPr="000F2061" w:rsidR="00305611">
          <w:rPr>
            <w:rStyle w:val="Hyperlink"/>
            <w:sz w:val="24"/>
          </w:rPr>
          <w:t>§</w:t>
        </w:r>
        <w:r w:rsidRPr="000F2061" w:rsidR="00561490">
          <w:rPr>
            <w:rStyle w:val="Hyperlink"/>
            <w:sz w:val="24"/>
          </w:rPr>
          <w:t>200.</w:t>
        </w:r>
        <w:r w:rsidRPr="000F2061" w:rsidR="00AA5504">
          <w:rPr>
            <w:rStyle w:val="Hyperlink"/>
            <w:sz w:val="24"/>
          </w:rPr>
          <w:t>329</w:t>
        </w:r>
      </w:hyperlink>
      <w:r w:rsidRPr="00AA2BD5" w:rsidR="00AA2BD5">
        <w:rPr>
          <w:sz w:val="24"/>
        </w:rPr>
        <w:t xml:space="preserve"> of the Uniform Administrative Requirements, Cost Principles, and Audit Requirements for Federal Awards</w:t>
      </w:r>
      <w:r w:rsidR="00AA2BD5">
        <w:rPr>
          <w:sz w:val="24"/>
        </w:rPr>
        <w:t xml:space="preserve"> and its proposed updates</w:t>
      </w:r>
      <w:r w:rsidR="00AA5504">
        <w:rPr>
          <w:sz w:val="24"/>
        </w:rPr>
        <w:t>.</w:t>
      </w:r>
      <w:r w:rsidR="00561490">
        <w:rPr>
          <w:sz w:val="24"/>
        </w:rPr>
        <w:t xml:space="preserve"> </w:t>
      </w:r>
      <w:r w:rsidR="00AA5504">
        <w:rPr>
          <w:sz w:val="24"/>
        </w:rPr>
        <w:t xml:space="preserve"> </w:t>
      </w:r>
    </w:p>
    <w:p w:rsidR="0098164F" w14:paraId="2C5CCDA1" w14:textId="77777777">
      <w:pPr>
        <w:ind w:left="360"/>
        <w:rPr>
          <w:sz w:val="24"/>
        </w:rPr>
      </w:pPr>
    </w:p>
    <w:p w:rsidR="0098164F" w14:paraId="7F497473" w14:textId="77777777">
      <w:pPr>
        <w:numPr>
          <w:ilvl w:val="0"/>
          <w:numId w:val="2"/>
        </w:numPr>
        <w:rPr>
          <w:b/>
          <w:sz w:val="24"/>
        </w:rPr>
      </w:pPr>
      <w:r>
        <w:rPr>
          <w:b/>
          <w:sz w:val="24"/>
          <w:u w:val="single"/>
        </w:rPr>
        <w:t>Purpose and Use of Information Collection</w:t>
      </w:r>
    </w:p>
    <w:p w:rsidR="00597AA8" w:rsidP="00DF363F" w14:paraId="40054D3F" w14:textId="77777777">
      <w:pPr>
        <w:widowControl/>
        <w:autoSpaceDE/>
        <w:autoSpaceDN/>
        <w:adjustRightInd/>
        <w:spacing w:before="100" w:beforeAutospacing="1" w:after="100" w:afterAutospacing="1"/>
        <w:rPr>
          <w:bCs/>
          <w:color w:val="000000"/>
          <w:sz w:val="24"/>
        </w:rPr>
      </w:pPr>
      <w:r>
        <w:rPr>
          <w:bCs/>
          <w:color w:val="000000"/>
          <w:sz w:val="24"/>
        </w:rPr>
        <w:t xml:space="preserve">This data collection will provide the OASH program offices and the grants management team </w:t>
      </w:r>
      <w:r w:rsidR="00B83A9B">
        <w:rPr>
          <w:bCs/>
          <w:color w:val="000000"/>
          <w:sz w:val="24"/>
        </w:rPr>
        <w:t xml:space="preserve">with </w:t>
      </w:r>
      <w:r>
        <w:rPr>
          <w:bCs/>
          <w:color w:val="000000"/>
          <w:sz w:val="24"/>
        </w:rPr>
        <w:t xml:space="preserve">documentation of individual recipient performance progress alongside the quarterly Federal Financial Report (FFR or SF-425).  This collection will enhance grants oversight and performance monitoring.  Currently OASH collects this information in a </w:t>
      </w:r>
      <w:r w:rsidR="000F2061">
        <w:rPr>
          <w:bCs/>
          <w:color w:val="000000"/>
          <w:sz w:val="24"/>
        </w:rPr>
        <w:t>un</w:t>
      </w:r>
      <w:r>
        <w:rPr>
          <w:bCs/>
          <w:color w:val="000000"/>
          <w:sz w:val="24"/>
        </w:rPr>
        <w:t>-structured narrative format that varies by grant cohort.</w:t>
      </w:r>
      <w:r w:rsidR="000F2061">
        <w:rPr>
          <w:bCs/>
          <w:color w:val="000000"/>
          <w:sz w:val="24"/>
        </w:rPr>
        <w:t xml:space="preserve">  </w:t>
      </w:r>
    </w:p>
    <w:p w:rsidR="000F2061" w:rsidP="00DF363F" w14:paraId="26715244" w14:textId="77777777">
      <w:pPr>
        <w:widowControl/>
        <w:autoSpaceDE/>
        <w:autoSpaceDN/>
        <w:adjustRightInd/>
        <w:spacing w:before="100" w:beforeAutospacing="1" w:after="100" w:afterAutospacing="1"/>
        <w:rPr>
          <w:bCs/>
          <w:color w:val="000000"/>
          <w:sz w:val="24"/>
        </w:rPr>
      </w:pPr>
      <w:r>
        <w:rPr>
          <w:bCs/>
          <w:color w:val="000000"/>
          <w:sz w:val="24"/>
        </w:rPr>
        <w:t xml:space="preserve">Standardizing the information collection instrument in </w:t>
      </w:r>
      <w:r w:rsidR="00597AA8">
        <w:rPr>
          <w:bCs/>
          <w:color w:val="000000"/>
          <w:sz w:val="24"/>
        </w:rPr>
        <w:t>the proposed collection</w:t>
      </w:r>
      <w:r>
        <w:rPr>
          <w:bCs/>
          <w:color w:val="000000"/>
          <w:sz w:val="24"/>
        </w:rPr>
        <w:t xml:space="preserve"> creates a structure </w:t>
      </w:r>
      <w:r w:rsidR="00597AA8">
        <w:rPr>
          <w:bCs/>
          <w:color w:val="000000"/>
          <w:sz w:val="24"/>
        </w:rPr>
        <w:t>using</w:t>
      </w:r>
      <w:r>
        <w:rPr>
          <w:bCs/>
          <w:color w:val="000000"/>
          <w:sz w:val="24"/>
        </w:rPr>
        <w:t xml:space="preserve"> elements </w:t>
      </w:r>
      <w:r w:rsidR="00597AA8">
        <w:rPr>
          <w:bCs/>
          <w:color w:val="000000"/>
          <w:sz w:val="24"/>
        </w:rPr>
        <w:t xml:space="preserve">common to many federal grant programs. </w:t>
      </w:r>
      <w:r>
        <w:rPr>
          <w:bCs/>
          <w:color w:val="000000"/>
          <w:sz w:val="24"/>
        </w:rPr>
        <w:t xml:space="preserve">Adding structure and consistency to the PPR format across OASH programs will reduce recipient burden in submission of necessary information and reduce federal burden in assessing individual recipient and broader programmatic performance.  </w:t>
      </w:r>
      <w:r w:rsidR="00597AA8">
        <w:rPr>
          <w:bCs/>
          <w:color w:val="000000"/>
          <w:sz w:val="24"/>
        </w:rPr>
        <w:t xml:space="preserve">A common structure will enhance cross-program comparisons and identification of practices worth broader dissemination.  The additional structure will enable web-based collection and programmatic reporting.  </w:t>
      </w:r>
    </w:p>
    <w:p w:rsidR="006D5E8E" w:rsidP="00DF363F" w14:paraId="646DAF27" w14:textId="77777777">
      <w:pPr>
        <w:widowControl/>
        <w:autoSpaceDE/>
        <w:autoSpaceDN/>
        <w:adjustRightInd/>
        <w:spacing w:before="100" w:beforeAutospacing="1" w:after="100" w:afterAutospacing="1"/>
        <w:rPr>
          <w:bCs/>
          <w:color w:val="000000"/>
          <w:sz w:val="24"/>
        </w:rPr>
      </w:pPr>
      <w:r>
        <w:rPr>
          <w:bCs/>
          <w:color w:val="000000"/>
          <w:sz w:val="24"/>
        </w:rPr>
        <w:br w:type="page"/>
      </w:r>
      <w:r>
        <w:rPr>
          <w:bCs/>
          <w:color w:val="000000"/>
          <w:sz w:val="24"/>
        </w:rPr>
        <w:t>The common elements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7030"/>
      </w:tblGrid>
      <w:tr w14:paraId="5F2FA522" w14:textId="77777777" w:rsidTr="000557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tcPr>
          <w:p w:rsidR="00B844F7" w:rsidRPr="000F2061" w:rsidP="000557C7" w14:paraId="5EE54AB3" w14:textId="77777777">
            <w:pPr>
              <w:widowControl/>
              <w:autoSpaceDE/>
              <w:autoSpaceDN/>
              <w:adjustRightInd/>
              <w:rPr>
                <w:b/>
                <w:color w:val="000000"/>
                <w:szCs w:val="20"/>
              </w:rPr>
            </w:pPr>
            <w:r w:rsidRPr="000F2061">
              <w:rPr>
                <w:b/>
                <w:color w:val="000000"/>
                <w:szCs w:val="20"/>
              </w:rPr>
              <w:t>Section Heading</w:t>
            </w:r>
          </w:p>
        </w:tc>
        <w:tc>
          <w:tcPr>
            <w:tcW w:w="7200" w:type="dxa"/>
            <w:shd w:val="clear" w:color="auto" w:fill="auto"/>
          </w:tcPr>
          <w:p w:rsidR="00B844F7" w:rsidRPr="000F2061" w:rsidP="000557C7" w14:paraId="1D6FA592" w14:textId="77777777">
            <w:pPr>
              <w:widowControl/>
              <w:autoSpaceDE/>
              <w:autoSpaceDN/>
              <w:adjustRightInd/>
              <w:rPr>
                <w:b/>
                <w:color w:val="000000"/>
                <w:szCs w:val="20"/>
              </w:rPr>
            </w:pPr>
            <w:r w:rsidRPr="000F2061">
              <w:rPr>
                <w:b/>
                <w:color w:val="000000"/>
                <w:szCs w:val="20"/>
              </w:rPr>
              <w:t>Element</w:t>
            </w:r>
          </w:p>
        </w:tc>
      </w:tr>
      <w:tr w14:paraId="0C48558E" w14:textId="77777777" w:rsidTr="000557C7">
        <w:tblPrEx>
          <w:tblW w:w="0" w:type="auto"/>
          <w:tblLook w:val="04A0"/>
        </w:tblPrEx>
        <w:tc>
          <w:tcPr>
            <w:tcW w:w="2358" w:type="dxa"/>
            <w:shd w:val="clear" w:color="auto" w:fill="auto"/>
          </w:tcPr>
          <w:p w:rsidR="00B844F7" w:rsidRPr="000F2061" w:rsidP="000557C7" w14:paraId="41DEF40D" w14:textId="77777777">
            <w:pPr>
              <w:widowControl/>
              <w:autoSpaceDE/>
              <w:autoSpaceDN/>
              <w:adjustRightInd/>
              <w:rPr>
                <w:bCs/>
                <w:color w:val="000000"/>
                <w:szCs w:val="20"/>
              </w:rPr>
            </w:pPr>
            <w:r w:rsidRPr="000F2061">
              <w:rPr>
                <w:bCs/>
                <w:color w:val="000000"/>
                <w:szCs w:val="20"/>
              </w:rPr>
              <w:t>General Information</w:t>
            </w:r>
            <w:r w:rsidRPr="000F2061" w:rsidR="00597AA8">
              <w:rPr>
                <w:bCs/>
                <w:color w:val="000000"/>
                <w:szCs w:val="20"/>
              </w:rPr>
              <w:t xml:space="preserve"> (to be prepopulated by the grants management platform)</w:t>
            </w:r>
          </w:p>
        </w:tc>
        <w:tc>
          <w:tcPr>
            <w:tcW w:w="7200" w:type="dxa"/>
            <w:shd w:val="clear" w:color="auto" w:fill="auto"/>
          </w:tcPr>
          <w:p w:rsidR="00B844F7" w:rsidRPr="000F2061" w:rsidP="000557C7" w14:paraId="21456360" w14:textId="77777777">
            <w:pPr>
              <w:widowControl/>
              <w:numPr>
                <w:ilvl w:val="0"/>
                <w:numId w:val="46"/>
              </w:numPr>
              <w:autoSpaceDE/>
              <w:autoSpaceDN/>
              <w:adjustRightInd/>
              <w:rPr>
                <w:bCs/>
                <w:color w:val="000000"/>
                <w:szCs w:val="20"/>
              </w:rPr>
            </w:pPr>
            <w:r w:rsidRPr="000F2061">
              <w:rPr>
                <w:bCs/>
                <w:color w:val="000000"/>
                <w:szCs w:val="20"/>
              </w:rPr>
              <w:t>Project Title</w:t>
            </w:r>
          </w:p>
          <w:p w:rsidR="00B844F7" w:rsidRPr="000F2061" w:rsidP="000557C7" w14:paraId="7E022CBE" w14:textId="77777777">
            <w:pPr>
              <w:widowControl/>
              <w:numPr>
                <w:ilvl w:val="0"/>
                <w:numId w:val="46"/>
              </w:numPr>
              <w:autoSpaceDE/>
              <w:autoSpaceDN/>
              <w:adjustRightInd/>
              <w:rPr>
                <w:bCs/>
                <w:color w:val="000000"/>
                <w:szCs w:val="20"/>
              </w:rPr>
            </w:pPr>
            <w:r w:rsidRPr="000F2061">
              <w:rPr>
                <w:bCs/>
                <w:color w:val="000000"/>
                <w:szCs w:val="20"/>
              </w:rPr>
              <w:t>Period of Performance</w:t>
            </w:r>
          </w:p>
          <w:p w:rsidR="00B844F7" w:rsidRPr="000F2061" w:rsidP="000557C7" w14:paraId="347B712E" w14:textId="77777777">
            <w:pPr>
              <w:widowControl/>
              <w:numPr>
                <w:ilvl w:val="0"/>
                <w:numId w:val="46"/>
              </w:numPr>
              <w:autoSpaceDE/>
              <w:autoSpaceDN/>
              <w:adjustRightInd/>
              <w:rPr>
                <w:bCs/>
                <w:color w:val="000000"/>
                <w:szCs w:val="20"/>
              </w:rPr>
            </w:pPr>
            <w:r w:rsidRPr="000F2061">
              <w:rPr>
                <w:bCs/>
                <w:color w:val="000000"/>
                <w:szCs w:val="20"/>
              </w:rPr>
              <w:t>Budget period</w:t>
            </w:r>
          </w:p>
          <w:p w:rsidR="00B844F7" w:rsidRPr="000F2061" w:rsidP="000557C7" w14:paraId="7EB1CACC" w14:textId="77777777">
            <w:pPr>
              <w:widowControl/>
              <w:numPr>
                <w:ilvl w:val="0"/>
                <w:numId w:val="46"/>
              </w:numPr>
              <w:autoSpaceDE/>
              <w:autoSpaceDN/>
              <w:adjustRightInd/>
              <w:rPr>
                <w:bCs/>
                <w:color w:val="000000"/>
                <w:szCs w:val="20"/>
              </w:rPr>
            </w:pPr>
            <w:r w:rsidRPr="000F2061">
              <w:rPr>
                <w:bCs/>
                <w:color w:val="000000"/>
                <w:szCs w:val="20"/>
              </w:rPr>
              <w:t>Reporting Period</w:t>
            </w:r>
          </w:p>
          <w:p w:rsidR="00B844F7" w:rsidRPr="000F2061" w:rsidP="000557C7" w14:paraId="05BDF331" w14:textId="77777777">
            <w:pPr>
              <w:widowControl/>
              <w:numPr>
                <w:ilvl w:val="0"/>
                <w:numId w:val="46"/>
              </w:numPr>
              <w:autoSpaceDE/>
              <w:autoSpaceDN/>
              <w:adjustRightInd/>
              <w:rPr>
                <w:bCs/>
                <w:color w:val="000000"/>
                <w:szCs w:val="20"/>
              </w:rPr>
            </w:pPr>
            <w:r w:rsidRPr="000F2061">
              <w:rPr>
                <w:bCs/>
                <w:color w:val="000000"/>
                <w:szCs w:val="20"/>
              </w:rPr>
              <w:t>Recipient Organization Name</w:t>
            </w:r>
          </w:p>
          <w:p w:rsidR="00B844F7" w:rsidRPr="000F2061" w:rsidP="000557C7" w14:paraId="632754AC" w14:textId="77777777">
            <w:pPr>
              <w:widowControl/>
              <w:numPr>
                <w:ilvl w:val="0"/>
                <w:numId w:val="46"/>
              </w:numPr>
              <w:autoSpaceDE/>
              <w:autoSpaceDN/>
              <w:adjustRightInd/>
              <w:rPr>
                <w:bCs/>
                <w:color w:val="000000"/>
                <w:szCs w:val="20"/>
              </w:rPr>
            </w:pPr>
            <w:r w:rsidRPr="000F2061">
              <w:rPr>
                <w:bCs/>
                <w:color w:val="000000"/>
                <w:szCs w:val="20"/>
              </w:rPr>
              <w:t>Submitter Name</w:t>
            </w:r>
          </w:p>
          <w:p w:rsidR="00B844F7" w:rsidRPr="000F2061" w:rsidP="000557C7" w14:paraId="76E83B53" w14:textId="77777777">
            <w:pPr>
              <w:widowControl/>
              <w:numPr>
                <w:ilvl w:val="0"/>
                <w:numId w:val="46"/>
              </w:numPr>
              <w:autoSpaceDE/>
              <w:autoSpaceDN/>
              <w:adjustRightInd/>
              <w:rPr>
                <w:bCs/>
                <w:color w:val="000000"/>
                <w:szCs w:val="20"/>
              </w:rPr>
            </w:pPr>
            <w:r w:rsidRPr="000F2061">
              <w:rPr>
                <w:bCs/>
                <w:color w:val="000000"/>
                <w:szCs w:val="20"/>
              </w:rPr>
              <w:t>Submitter Phone and Email</w:t>
            </w:r>
          </w:p>
          <w:p w:rsidR="00B844F7" w:rsidRPr="000F2061" w:rsidP="000557C7" w14:paraId="4638CE1F" w14:textId="77777777">
            <w:pPr>
              <w:widowControl/>
              <w:autoSpaceDE/>
              <w:autoSpaceDN/>
              <w:adjustRightInd/>
              <w:ind w:left="720"/>
              <w:rPr>
                <w:bCs/>
                <w:color w:val="000000"/>
                <w:szCs w:val="20"/>
              </w:rPr>
            </w:pPr>
          </w:p>
        </w:tc>
      </w:tr>
      <w:tr w14:paraId="0AD22B2D" w14:textId="77777777" w:rsidTr="000557C7">
        <w:tblPrEx>
          <w:tblW w:w="0" w:type="auto"/>
          <w:tblLook w:val="04A0"/>
        </w:tblPrEx>
        <w:tc>
          <w:tcPr>
            <w:tcW w:w="2358" w:type="dxa"/>
            <w:shd w:val="clear" w:color="auto" w:fill="auto"/>
          </w:tcPr>
          <w:p w:rsidR="00B844F7" w:rsidRPr="000F2061" w:rsidP="000557C7" w14:paraId="4E06D757" w14:textId="77777777">
            <w:pPr>
              <w:widowControl/>
              <w:autoSpaceDE/>
              <w:autoSpaceDN/>
              <w:adjustRightInd/>
              <w:rPr>
                <w:bCs/>
                <w:color w:val="000000"/>
                <w:szCs w:val="20"/>
              </w:rPr>
            </w:pPr>
            <w:r w:rsidRPr="000F2061">
              <w:rPr>
                <w:bCs/>
                <w:color w:val="000000"/>
                <w:szCs w:val="20"/>
              </w:rPr>
              <w:t>Project Progress Information</w:t>
            </w:r>
          </w:p>
          <w:p w:rsidR="00B844F7" w:rsidRPr="000F2061" w:rsidP="000557C7" w14:paraId="77800BA1" w14:textId="77777777">
            <w:pPr>
              <w:widowControl/>
              <w:autoSpaceDE/>
              <w:autoSpaceDN/>
              <w:adjustRightInd/>
              <w:rPr>
                <w:bCs/>
                <w:color w:val="000000"/>
                <w:szCs w:val="20"/>
              </w:rPr>
            </w:pPr>
          </w:p>
        </w:tc>
        <w:tc>
          <w:tcPr>
            <w:tcW w:w="7200" w:type="dxa"/>
            <w:shd w:val="clear" w:color="auto" w:fill="auto"/>
          </w:tcPr>
          <w:p w:rsidR="00B844F7" w:rsidRPr="000F2061" w:rsidP="000557C7" w14:paraId="064B1654" w14:textId="77777777">
            <w:pPr>
              <w:widowControl/>
              <w:numPr>
                <w:ilvl w:val="0"/>
                <w:numId w:val="46"/>
              </w:numPr>
              <w:autoSpaceDE/>
              <w:autoSpaceDN/>
              <w:adjustRightInd/>
              <w:rPr>
                <w:bCs/>
                <w:color w:val="000000"/>
                <w:szCs w:val="20"/>
              </w:rPr>
            </w:pPr>
            <w:r w:rsidRPr="000F2061">
              <w:rPr>
                <w:bCs/>
                <w:color w:val="000000"/>
                <w:szCs w:val="20"/>
              </w:rPr>
              <w:t xml:space="preserve">Project Work Plan Goal </w:t>
            </w:r>
          </w:p>
          <w:p w:rsidR="00B844F7" w:rsidRPr="000F2061" w:rsidP="000557C7" w14:paraId="09A44B4B" w14:textId="77777777">
            <w:pPr>
              <w:widowControl/>
              <w:numPr>
                <w:ilvl w:val="1"/>
                <w:numId w:val="46"/>
              </w:numPr>
              <w:autoSpaceDE/>
              <w:autoSpaceDN/>
              <w:adjustRightInd/>
              <w:rPr>
                <w:bCs/>
                <w:color w:val="000000"/>
                <w:szCs w:val="20"/>
              </w:rPr>
            </w:pPr>
            <w:r w:rsidRPr="000F2061">
              <w:rPr>
                <w:bCs/>
                <w:color w:val="000000"/>
                <w:szCs w:val="20"/>
              </w:rPr>
              <w:t>Project Subgoal(s)/Grantor Goal(s) (if applicable)</w:t>
            </w:r>
          </w:p>
          <w:p w:rsidR="00B844F7" w:rsidRPr="000F2061" w:rsidP="000557C7" w14:paraId="7EE92740" w14:textId="77777777">
            <w:pPr>
              <w:widowControl/>
              <w:numPr>
                <w:ilvl w:val="2"/>
                <w:numId w:val="46"/>
              </w:numPr>
              <w:autoSpaceDE/>
              <w:autoSpaceDN/>
              <w:adjustRightInd/>
              <w:rPr>
                <w:bCs/>
                <w:color w:val="000000"/>
                <w:szCs w:val="20"/>
              </w:rPr>
            </w:pPr>
            <w:r w:rsidRPr="000F2061">
              <w:rPr>
                <w:bCs/>
                <w:color w:val="000000"/>
                <w:szCs w:val="20"/>
              </w:rPr>
              <w:t xml:space="preserve">Objective(s) </w:t>
            </w:r>
          </w:p>
          <w:p w:rsidR="00B844F7" w:rsidRPr="000F2061" w:rsidP="000557C7" w14:paraId="5193CC7E" w14:textId="77777777">
            <w:pPr>
              <w:widowControl/>
              <w:numPr>
                <w:ilvl w:val="3"/>
                <w:numId w:val="46"/>
              </w:numPr>
              <w:autoSpaceDE/>
              <w:autoSpaceDN/>
              <w:adjustRightInd/>
              <w:rPr>
                <w:bCs/>
                <w:color w:val="000000"/>
                <w:szCs w:val="20"/>
              </w:rPr>
            </w:pPr>
            <w:r w:rsidRPr="000F2061">
              <w:rPr>
                <w:bCs/>
                <w:color w:val="000000"/>
                <w:szCs w:val="20"/>
              </w:rPr>
              <w:t>Activity(ies)</w:t>
            </w:r>
          </w:p>
          <w:p w:rsidR="00B844F7" w:rsidRPr="000F2061" w:rsidP="000557C7" w14:paraId="2E18DC8F" w14:textId="77777777">
            <w:pPr>
              <w:widowControl/>
              <w:autoSpaceDE/>
              <w:autoSpaceDN/>
              <w:adjustRightInd/>
              <w:ind w:left="2880"/>
              <w:rPr>
                <w:bCs/>
                <w:color w:val="000000"/>
                <w:szCs w:val="20"/>
              </w:rPr>
            </w:pPr>
          </w:p>
        </w:tc>
      </w:tr>
      <w:tr w14:paraId="221F14D2" w14:textId="77777777" w:rsidTr="000557C7">
        <w:tblPrEx>
          <w:tblW w:w="0" w:type="auto"/>
          <w:tblLook w:val="04A0"/>
        </w:tblPrEx>
        <w:tc>
          <w:tcPr>
            <w:tcW w:w="2358" w:type="dxa"/>
            <w:shd w:val="clear" w:color="auto" w:fill="auto"/>
          </w:tcPr>
          <w:p w:rsidR="00B844F7" w:rsidRPr="000F2061" w:rsidP="000557C7" w14:paraId="3BCF0CED" w14:textId="77777777">
            <w:pPr>
              <w:widowControl/>
              <w:autoSpaceDE/>
              <w:autoSpaceDN/>
              <w:adjustRightInd/>
              <w:rPr>
                <w:bCs/>
                <w:color w:val="000000"/>
                <w:szCs w:val="20"/>
              </w:rPr>
            </w:pPr>
            <w:r w:rsidRPr="000F2061">
              <w:rPr>
                <w:bCs/>
                <w:color w:val="000000"/>
                <w:szCs w:val="20"/>
              </w:rPr>
              <w:t>Significant Project Accomplishments</w:t>
            </w:r>
          </w:p>
        </w:tc>
        <w:tc>
          <w:tcPr>
            <w:tcW w:w="7200" w:type="dxa"/>
            <w:shd w:val="clear" w:color="auto" w:fill="auto"/>
          </w:tcPr>
          <w:p w:rsidR="00B844F7" w:rsidRPr="000F2061" w:rsidP="000557C7" w14:paraId="112FC70D" w14:textId="77777777">
            <w:pPr>
              <w:widowControl/>
              <w:numPr>
                <w:ilvl w:val="0"/>
                <w:numId w:val="46"/>
              </w:numPr>
              <w:autoSpaceDE/>
              <w:autoSpaceDN/>
              <w:adjustRightInd/>
              <w:rPr>
                <w:bCs/>
                <w:color w:val="000000"/>
                <w:szCs w:val="20"/>
              </w:rPr>
            </w:pPr>
            <w:r w:rsidRPr="000F2061">
              <w:rPr>
                <w:bCs/>
                <w:color w:val="000000"/>
                <w:szCs w:val="20"/>
              </w:rPr>
              <w:t xml:space="preserve">Accomplishment </w:t>
            </w:r>
          </w:p>
          <w:p w:rsidR="00B844F7" w:rsidRPr="000F2061" w:rsidP="000557C7" w14:paraId="70F4073A" w14:textId="77777777">
            <w:pPr>
              <w:widowControl/>
              <w:numPr>
                <w:ilvl w:val="1"/>
                <w:numId w:val="46"/>
              </w:numPr>
              <w:autoSpaceDE/>
              <w:autoSpaceDN/>
              <w:adjustRightInd/>
              <w:rPr>
                <w:bCs/>
                <w:color w:val="000000"/>
                <w:szCs w:val="20"/>
              </w:rPr>
            </w:pPr>
            <w:r w:rsidRPr="000F2061">
              <w:rPr>
                <w:bCs/>
                <w:color w:val="000000"/>
                <w:szCs w:val="20"/>
              </w:rPr>
              <w:t>Relevant Project Goal(s)</w:t>
            </w:r>
          </w:p>
          <w:p w:rsidR="00B844F7" w:rsidRPr="000F2061" w:rsidP="000557C7" w14:paraId="5CC61D2D" w14:textId="77777777">
            <w:pPr>
              <w:widowControl/>
              <w:numPr>
                <w:ilvl w:val="1"/>
                <w:numId w:val="46"/>
              </w:numPr>
              <w:autoSpaceDE/>
              <w:autoSpaceDN/>
              <w:adjustRightInd/>
              <w:rPr>
                <w:bCs/>
                <w:color w:val="000000"/>
                <w:szCs w:val="20"/>
              </w:rPr>
            </w:pPr>
            <w:r w:rsidRPr="000F2061">
              <w:rPr>
                <w:bCs/>
                <w:color w:val="000000"/>
                <w:szCs w:val="20"/>
              </w:rPr>
              <w:t>Outcome/Impact</w:t>
            </w:r>
          </w:p>
          <w:p w:rsidR="00B844F7" w:rsidRPr="000F2061" w:rsidP="000557C7" w14:paraId="375A30C6" w14:textId="77777777">
            <w:pPr>
              <w:widowControl/>
              <w:numPr>
                <w:ilvl w:val="1"/>
                <w:numId w:val="46"/>
              </w:numPr>
              <w:autoSpaceDE/>
              <w:autoSpaceDN/>
              <w:adjustRightInd/>
              <w:rPr>
                <w:bCs/>
                <w:color w:val="000000"/>
                <w:szCs w:val="20"/>
              </w:rPr>
            </w:pPr>
            <w:r w:rsidRPr="000F2061">
              <w:rPr>
                <w:bCs/>
                <w:color w:val="000000"/>
                <w:szCs w:val="20"/>
              </w:rPr>
              <w:t>Barrier(s)/Challenge(s) Overcome</w:t>
            </w:r>
          </w:p>
          <w:p w:rsidR="00B844F7" w:rsidRPr="000F2061" w:rsidP="000557C7" w14:paraId="1A0DE536" w14:textId="77777777">
            <w:pPr>
              <w:widowControl/>
              <w:autoSpaceDE/>
              <w:autoSpaceDN/>
              <w:adjustRightInd/>
              <w:rPr>
                <w:bCs/>
                <w:color w:val="000000"/>
                <w:szCs w:val="20"/>
              </w:rPr>
            </w:pPr>
          </w:p>
        </w:tc>
      </w:tr>
      <w:tr w14:paraId="7C56A8BE" w14:textId="77777777" w:rsidTr="000557C7">
        <w:tblPrEx>
          <w:tblW w:w="0" w:type="auto"/>
          <w:tblLook w:val="04A0"/>
        </w:tblPrEx>
        <w:tc>
          <w:tcPr>
            <w:tcW w:w="2358" w:type="dxa"/>
            <w:shd w:val="clear" w:color="auto" w:fill="auto"/>
          </w:tcPr>
          <w:p w:rsidR="00B844F7" w:rsidRPr="000F2061" w:rsidP="000557C7" w14:paraId="1D6E8BB7" w14:textId="77777777">
            <w:pPr>
              <w:widowControl/>
              <w:autoSpaceDE/>
              <w:autoSpaceDN/>
              <w:adjustRightInd/>
              <w:rPr>
                <w:bCs/>
                <w:color w:val="000000"/>
                <w:szCs w:val="20"/>
              </w:rPr>
            </w:pPr>
            <w:r w:rsidRPr="000F2061">
              <w:rPr>
                <w:bCs/>
                <w:color w:val="000000"/>
                <w:szCs w:val="20"/>
              </w:rPr>
              <w:t>Broader Program Impacts</w:t>
            </w:r>
          </w:p>
        </w:tc>
        <w:tc>
          <w:tcPr>
            <w:tcW w:w="7200" w:type="dxa"/>
            <w:shd w:val="clear" w:color="auto" w:fill="auto"/>
          </w:tcPr>
          <w:p w:rsidR="00B844F7" w:rsidRPr="000F2061" w:rsidP="000557C7" w14:paraId="34F2B3A3" w14:textId="77777777">
            <w:pPr>
              <w:widowControl/>
              <w:numPr>
                <w:ilvl w:val="0"/>
                <w:numId w:val="46"/>
              </w:numPr>
              <w:autoSpaceDE/>
              <w:autoSpaceDN/>
              <w:adjustRightInd/>
              <w:rPr>
                <w:bCs/>
                <w:color w:val="000000"/>
                <w:szCs w:val="20"/>
              </w:rPr>
            </w:pPr>
            <w:r w:rsidRPr="000F2061">
              <w:rPr>
                <w:bCs/>
                <w:color w:val="000000"/>
                <w:szCs w:val="20"/>
              </w:rPr>
              <w:t>General Broader Impacts</w:t>
            </w:r>
          </w:p>
          <w:p w:rsidR="00B844F7" w:rsidRPr="000F2061" w:rsidP="000557C7" w14:paraId="5DE24AFB" w14:textId="77777777">
            <w:pPr>
              <w:widowControl/>
              <w:numPr>
                <w:ilvl w:val="0"/>
                <w:numId w:val="46"/>
              </w:numPr>
              <w:autoSpaceDE/>
              <w:autoSpaceDN/>
              <w:adjustRightInd/>
              <w:rPr>
                <w:bCs/>
                <w:color w:val="000000"/>
                <w:szCs w:val="20"/>
              </w:rPr>
            </w:pPr>
            <w:r w:rsidRPr="000F2061">
              <w:rPr>
                <w:bCs/>
                <w:color w:val="000000"/>
                <w:szCs w:val="20"/>
              </w:rPr>
              <w:t>Impacts on Health Equity</w:t>
            </w:r>
          </w:p>
          <w:p w:rsidR="00B844F7" w:rsidRPr="000F2061" w:rsidP="000557C7" w14:paraId="4D63660F" w14:textId="77777777">
            <w:pPr>
              <w:widowControl/>
              <w:numPr>
                <w:ilvl w:val="0"/>
                <w:numId w:val="46"/>
              </w:numPr>
              <w:autoSpaceDE/>
              <w:autoSpaceDN/>
              <w:adjustRightInd/>
              <w:rPr>
                <w:bCs/>
                <w:color w:val="000000"/>
                <w:szCs w:val="20"/>
              </w:rPr>
            </w:pPr>
            <w:r w:rsidRPr="000F2061">
              <w:rPr>
                <w:bCs/>
                <w:color w:val="000000"/>
                <w:szCs w:val="20"/>
              </w:rPr>
              <w:t>Training and Technical Assistance</w:t>
            </w:r>
          </w:p>
          <w:p w:rsidR="00B844F7" w:rsidRPr="000F2061" w:rsidP="000557C7" w14:paraId="794F3658" w14:textId="77777777">
            <w:pPr>
              <w:widowControl/>
              <w:numPr>
                <w:ilvl w:val="0"/>
                <w:numId w:val="46"/>
              </w:numPr>
              <w:autoSpaceDE/>
              <w:autoSpaceDN/>
              <w:adjustRightInd/>
              <w:rPr>
                <w:bCs/>
                <w:color w:val="000000"/>
                <w:szCs w:val="20"/>
              </w:rPr>
            </w:pPr>
            <w:r w:rsidRPr="000F2061">
              <w:rPr>
                <w:bCs/>
                <w:color w:val="000000"/>
                <w:szCs w:val="20"/>
              </w:rPr>
              <w:t>Sustainable Resources or Relationships</w:t>
            </w:r>
          </w:p>
          <w:p w:rsidR="00B844F7" w:rsidRPr="000F2061" w:rsidP="000557C7" w14:paraId="6EE4D98F" w14:textId="77777777">
            <w:pPr>
              <w:widowControl/>
              <w:numPr>
                <w:ilvl w:val="0"/>
                <w:numId w:val="46"/>
              </w:numPr>
              <w:autoSpaceDE/>
              <w:autoSpaceDN/>
              <w:adjustRightInd/>
              <w:rPr>
                <w:bCs/>
                <w:color w:val="000000"/>
                <w:szCs w:val="20"/>
              </w:rPr>
            </w:pPr>
            <w:r w:rsidRPr="000F2061">
              <w:rPr>
                <w:bCs/>
                <w:color w:val="000000"/>
                <w:szCs w:val="20"/>
              </w:rPr>
              <w:t>Lessons Learned for Similar Projects</w:t>
            </w:r>
          </w:p>
          <w:p w:rsidR="00B844F7" w:rsidRPr="000F2061" w:rsidP="000557C7" w14:paraId="5C7B2C12" w14:textId="77777777">
            <w:pPr>
              <w:widowControl/>
              <w:autoSpaceDE/>
              <w:autoSpaceDN/>
              <w:adjustRightInd/>
              <w:ind w:left="720"/>
              <w:rPr>
                <w:bCs/>
                <w:color w:val="000000"/>
                <w:szCs w:val="20"/>
              </w:rPr>
            </w:pPr>
          </w:p>
        </w:tc>
      </w:tr>
      <w:tr w14:paraId="0E541FEE" w14:textId="77777777" w:rsidTr="000557C7">
        <w:tblPrEx>
          <w:tblW w:w="0" w:type="auto"/>
          <w:tblLook w:val="04A0"/>
        </w:tblPrEx>
        <w:tc>
          <w:tcPr>
            <w:tcW w:w="2358" w:type="dxa"/>
            <w:shd w:val="clear" w:color="auto" w:fill="auto"/>
          </w:tcPr>
          <w:p w:rsidR="00B844F7" w:rsidRPr="000F2061" w:rsidP="000557C7" w14:paraId="23948B0B" w14:textId="77777777">
            <w:pPr>
              <w:widowControl/>
              <w:autoSpaceDE/>
              <w:autoSpaceDN/>
              <w:adjustRightInd/>
              <w:rPr>
                <w:bCs/>
                <w:color w:val="000000"/>
                <w:szCs w:val="20"/>
              </w:rPr>
            </w:pPr>
            <w:r w:rsidRPr="000F2061">
              <w:rPr>
                <w:bCs/>
                <w:color w:val="000000"/>
                <w:szCs w:val="20"/>
              </w:rPr>
              <w:t>Products and Dissemination</w:t>
            </w:r>
          </w:p>
        </w:tc>
        <w:tc>
          <w:tcPr>
            <w:tcW w:w="7200" w:type="dxa"/>
            <w:shd w:val="clear" w:color="auto" w:fill="auto"/>
          </w:tcPr>
          <w:p w:rsidR="00B844F7" w:rsidRPr="000F2061" w:rsidP="000557C7" w14:paraId="14A6EEF4" w14:textId="77777777">
            <w:pPr>
              <w:widowControl/>
              <w:numPr>
                <w:ilvl w:val="0"/>
                <w:numId w:val="48"/>
              </w:numPr>
              <w:autoSpaceDE/>
              <w:autoSpaceDN/>
              <w:adjustRightInd/>
              <w:rPr>
                <w:bCs/>
                <w:color w:val="000000"/>
                <w:szCs w:val="20"/>
              </w:rPr>
            </w:pPr>
            <w:r w:rsidRPr="000F2061">
              <w:rPr>
                <w:bCs/>
                <w:color w:val="000000"/>
                <w:szCs w:val="20"/>
              </w:rPr>
              <w:t>Publications</w:t>
            </w:r>
          </w:p>
          <w:p w:rsidR="00B844F7" w:rsidRPr="000F2061" w:rsidP="000557C7" w14:paraId="6329C4D4" w14:textId="77777777">
            <w:pPr>
              <w:widowControl/>
              <w:numPr>
                <w:ilvl w:val="1"/>
                <w:numId w:val="48"/>
              </w:numPr>
              <w:autoSpaceDE/>
              <w:autoSpaceDN/>
              <w:adjustRightInd/>
              <w:rPr>
                <w:bCs/>
                <w:color w:val="000000"/>
                <w:szCs w:val="20"/>
              </w:rPr>
            </w:pPr>
            <w:r w:rsidRPr="000F2061">
              <w:rPr>
                <w:bCs/>
                <w:color w:val="000000"/>
                <w:szCs w:val="20"/>
              </w:rPr>
              <w:t>Publication type</w:t>
            </w:r>
          </w:p>
          <w:p w:rsidR="00B844F7" w:rsidRPr="000F2061" w:rsidP="000F2061" w14:paraId="5470F013" w14:textId="77777777">
            <w:pPr>
              <w:widowControl/>
              <w:numPr>
                <w:ilvl w:val="1"/>
                <w:numId w:val="48"/>
              </w:numPr>
              <w:autoSpaceDE/>
              <w:autoSpaceDN/>
              <w:adjustRightInd/>
              <w:rPr>
                <w:bCs/>
                <w:color w:val="000000"/>
                <w:szCs w:val="20"/>
              </w:rPr>
            </w:pPr>
            <w:r w:rsidRPr="000F2061">
              <w:rPr>
                <w:bCs/>
                <w:color w:val="000000"/>
                <w:szCs w:val="20"/>
              </w:rPr>
              <w:t>Standard citation</w:t>
            </w:r>
            <w:r w:rsidR="000F2061">
              <w:rPr>
                <w:bCs/>
                <w:color w:val="000000"/>
                <w:szCs w:val="20"/>
              </w:rPr>
              <w:t xml:space="preserve"> and/or </w:t>
            </w:r>
            <w:r w:rsidRPr="000F2061">
              <w:rPr>
                <w:bCs/>
                <w:color w:val="000000"/>
                <w:szCs w:val="20"/>
              </w:rPr>
              <w:t>Hyperlink</w:t>
            </w:r>
          </w:p>
          <w:p w:rsidR="00B844F7" w:rsidRPr="000F2061" w:rsidP="000557C7" w14:paraId="0BB6FACC" w14:textId="77777777">
            <w:pPr>
              <w:widowControl/>
              <w:numPr>
                <w:ilvl w:val="0"/>
                <w:numId w:val="48"/>
              </w:numPr>
              <w:autoSpaceDE/>
              <w:autoSpaceDN/>
              <w:adjustRightInd/>
              <w:rPr>
                <w:bCs/>
                <w:color w:val="000000"/>
                <w:szCs w:val="20"/>
              </w:rPr>
            </w:pPr>
            <w:r w:rsidRPr="000F2061">
              <w:rPr>
                <w:bCs/>
                <w:color w:val="000000"/>
                <w:szCs w:val="20"/>
              </w:rPr>
              <w:t>Significant Presentations</w:t>
            </w:r>
          </w:p>
          <w:p w:rsidR="00B844F7" w:rsidRPr="000F2061" w:rsidP="000557C7" w14:paraId="05C01B30" w14:textId="77777777">
            <w:pPr>
              <w:widowControl/>
              <w:numPr>
                <w:ilvl w:val="1"/>
                <w:numId w:val="48"/>
              </w:numPr>
              <w:autoSpaceDE/>
              <w:autoSpaceDN/>
              <w:adjustRightInd/>
              <w:rPr>
                <w:bCs/>
                <w:color w:val="000000"/>
                <w:szCs w:val="20"/>
              </w:rPr>
            </w:pPr>
            <w:r w:rsidRPr="000F2061">
              <w:rPr>
                <w:bCs/>
                <w:color w:val="000000"/>
                <w:szCs w:val="20"/>
              </w:rPr>
              <w:t xml:space="preserve">Description </w:t>
            </w:r>
          </w:p>
          <w:p w:rsidR="00B844F7" w:rsidRPr="000F2061" w:rsidP="000557C7" w14:paraId="35DFA0F5" w14:textId="77777777">
            <w:pPr>
              <w:widowControl/>
              <w:numPr>
                <w:ilvl w:val="1"/>
                <w:numId w:val="48"/>
              </w:numPr>
              <w:autoSpaceDE/>
              <w:autoSpaceDN/>
              <w:adjustRightInd/>
              <w:rPr>
                <w:bCs/>
                <w:color w:val="000000"/>
                <w:szCs w:val="20"/>
              </w:rPr>
            </w:pPr>
            <w:r w:rsidRPr="000F2061">
              <w:rPr>
                <w:bCs/>
                <w:color w:val="000000"/>
                <w:szCs w:val="20"/>
              </w:rPr>
              <w:t>Hyperlink</w:t>
            </w:r>
          </w:p>
          <w:p w:rsidR="00B844F7" w:rsidRPr="000F2061" w:rsidP="000557C7" w14:paraId="5F2EAA66" w14:textId="77777777">
            <w:pPr>
              <w:widowControl/>
              <w:numPr>
                <w:ilvl w:val="0"/>
                <w:numId w:val="48"/>
              </w:numPr>
              <w:autoSpaceDE/>
              <w:autoSpaceDN/>
              <w:adjustRightInd/>
              <w:rPr>
                <w:bCs/>
                <w:color w:val="000000"/>
                <w:szCs w:val="20"/>
              </w:rPr>
            </w:pPr>
            <w:r w:rsidRPr="000F2061">
              <w:rPr>
                <w:bCs/>
                <w:color w:val="000000"/>
                <w:szCs w:val="20"/>
              </w:rPr>
              <w:t xml:space="preserve">Digital Presence </w:t>
            </w:r>
          </w:p>
          <w:p w:rsidR="00B844F7" w:rsidRPr="000F2061" w:rsidP="000557C7" w14:paraId="1C4BEB44" w14:textId="77777777">
            <w:pPr>
              <w:widowControl/>
              <w:numPr>
                <w:ilvl w:val="1"/>
                <w:numId w:val="48"/>
              </w:numPr>
              <w:autoSpaceDE/>
              <w:autoSpaceDN/>
              <w:adjustRightInd/>
              <w:rPr>
                <w:bCs/>
                <w:color w:val="000000"/>
                <w:szCs w:val="20"/>
              </w:rPr>
            </w:pPr>
            <w:r w:rsidRPr="000F2061">
              <w:rPr>
                <w:bCs/>
                <w:color w:val="000000"/>
                <w:szCs w:val="20"/>
              </w:rPr>
              <w:t>Description</w:t>
            </w:r>
          </w:p>
          <w:p w:rsidR="00B844F7" w:rsidRPr="000F2061" w:rsidP="000557C7" w14:paraId="278D4BDF" w14:textId="77777777">
            <w:pPr>
              <w:widowControl/>
              <w:numPr>
                <w:ilvl w:val="1"/>
                <w:numId w:val="48"/>
              </w:numPr>
              <w:autoSpaceDE/>
              <w:autoSpaceDN/>
              <w:adjustRightInd/>
              <w:rPr>
                <w:bCs/>
                <w:color w:val="000000"/>
                <w:szCs w:val="20"/>
              </w:rPr>
            </w:pPr>
            <w:r w:rsidRPr="000F2061">
              <w:rPr>
                <w:bCs/>
                <w:color w:val="000000"/>
                <w:szCs w:val="20"/>
              </w:rPr>
              <w:t>Hyperlink</w:t>
            </w:r>
          </w:p>
          <w:p w:rsidR="00B844F7" w:rsidRPr="000F2061" w:rsidP="000557C7" w14:paraId="72A47E61" w14:textId="77777777">
            <w:pPr>
              <w:widowControl/>
              <w:numPr>
                <w:ilvl w:val="0"/>
                <w:numId w:val="48"/>
              </w:numPr>
              <w:autoSpaceDE/>
              <w:autoSpaceDN/>
              <w:adjustRightInd/>
              <w:rPr>
                <w:bCs/>
                <w:color w:val="000000"/>
                <w:szCs w:val="20"/>
              </w:rPr>
            </w:pPr>
            <w:r w:rsidRPr="000F2061">
              <w:rPr>
                <w:bCs/>
                <w:color w:val="000000"/>
                <w:szCs w:val="20"/>
              </w:rPr>
              <w:t>Other</w:t>
            </w:r>
          </w:p>
          <w:p w:rsidR="00B844F7" w:rsidRPr="000F2061" w:rsidP="000557C7" w14:paraId="2B913D4F" w14:textId="77777777">
            <w:pPr>
              <w:widowControl/>
              <w:numPr>
                <w:ilvl w:val="1"/>
                <w:numId w:val="48"/>
              </w:numPr>
              <w:autoSpaceDE/>
              <w:autoSpaceDN/>
              <w:adjustRightInd/>
              <w:rPr>
                <w:bCs/>
                <w:color w:val="000000"/>
                <w:szCs w:val="20"/>
              </w:rPr>
            </w:pPr>
            <w:r w:rsidRPr="000F2061">
              <w:rPr>
                <w:bCs/>
                <w:color w:val="000000"/>
                <w:szCs w:val="20"/>
              </w:rPr>
              <w:t>Description</w:t>
            </w:r>
          </w:p>
          <w:p w:rsidR="00B844F7" w:rsidRPr="000F2061" w:rsidP="000557C7" w14:paraId="7DE9D317" w14:textId="77777777">
            <w:pPr>
              <w:widowControl/>
              <w:autoSpaceDE/>
              <w:autoSpaceDN/>
              <w:adjustRightInd/>
              <w:ind w:left="720"/>
              <w:rPr>
                <w:bCs/>
                <w:color w:val="000000"/>
                <w:szCs w:val="20"/>
              </w:rPr>
            </w:pPr>
          </w:p>
        </w:tc>
      </w:tr>
      <w:tr w14:paraId="156DD19A" w14:textId="77777777" w:rsidTr="000557C7">
        <w:tblPrEx>
          <w:tblW w:w="0" w:type="auto"/>
          <w:tblLook w:val="04A0"/>
        </w:tblPrEx>
        <w:tc>
          <w:tcPr>
            <w:tcW w:w="2358" w:type="dxa"/>
            <w:shd w:val="clear" w:color="auto" w:fill="auto"/>
          </w:tcPr>
          <w:p w:rsidR="00B844F7" w:rsidRPr="000F2061" w:rsidP="000557C7" w14:paraId="4C59A9A1" w14:textId="77777777">
            <w:pPr>
              <w:widowControl/>
              <w:autoSpaceDE/>
              <w:autoSpaceDN/>
              <w:adjustRightInd/>
              <w:rPr>
                <w:bCs/>
                <w:color w:val="000000"/>
                <w:szCs w:val="20"/>
              </w:rPr>
            </w:pPr>
            <w:r w:rsidRPr="000F2061">
              <w:rPr>
                <w:bCs/>
                <w:color w:val="000000"/>
                <w:szCs w:val="20"/>
              </w:rPr>
              <w:t>Collaboration and Partnering Activities</w:t>
            </w:r>
          </w:p>
        </w:tc>
        <w:tc>
          <w:tcPr>
            <w:tcW w:w="7200" w:type="dxa"/>
            <w:shd w:val="clear" w:color="auto" w:fill="auto"/>
          </w:tcPr>
          <w:p w:rsidR="00B844F7" w:rsidRPr="000F2061" w:rsidP="000557C7" w14:paraId="26CD59DC" w14:textId="77777777">
            <w:pPr>
              <w:widowControl/>
              <w:numPr>
                <w:ilvl w:val="0"/>
                <w:numId w:val="48"/>
              </w:numPr>
              <w:autoSpaceDE/>
              <w:autoSpaceDN/>
              <w:adjustRightInd/>
              <w:rPr>
                <w:bCs/>
                <w:color w:val="000000"/>
                <w:szCs w:val="20"/>
              </w:rPr>
            </w:pPr>
            <w:r w:rsidRPr="000F2061">
              <w:rPr>
                <w:bCs/>
                <w:color w:val="000000"/>
                <w:szCs w:val="20"/>
              </w:rPr>
              <w:t>Partner Name</w:t>
            </w:r>
          </w:p>
          <w:p w:rsidR="00B844F7" w:rsidRPr="000F2061" w:rsidP="000557C7" w14:paraId="2EFD14A1" w14:textId="77777777">
            <w:pPr>
              <w:widowControl/>
              <w:numPr>
                <w:ilvl w:val="1"/>
                <w:numId w:val="48"/>
              </w:numPr>
              <w:autoSpaceDE/>
              <w:autoSpaceDN/>
              <w:adjustRightInd/>
              <w:rPr>
                <w:bCs/>
                <w:color w:val="000000"/>
                <w:szCs w:val="20"/>
              </w:rPr>
            </w:pPr>
            <w:r w:rsidRPr="000F2061">
              <w:rPr>
                <w:bCs/>
                <w:color w:val="000000"/>
                <w:szCs w:val="20"/>
              </w:rPr>
              <w:t>Partnership Type (formal, informal)</w:t>
            </w:r>
          </w:p>
          <w:p w:rsidR="00B844F7" w:rsidRPr="000F2061" w:rsidP="000557C7" w14:paraId="3E0D37CF" w14:textId="77777777">
            <w:pPr>
              <w:widowControl/>
              <w:numPr>
                <w:ilvl w:val="1"/>
                <w:numId w:val="48"/>
              </w:numPr>
              <w:autoSpaceDE/>
              <w:autoSpaceDN/>
              <w:adjustRightInd/>
              <w:rPr>
                <w:bCs/>
                <w:color w:val="000000"/>
                <w:szCs w:val="20"/>
              </w:rPr>
            </w:pPr>
            <w:r w:rsidRPr="000F2061">
              <w:rPr>
                <w:bCs/>
                <w:color w:val="000000"/>
                <w:szCs w:val="20"/>
              </w:rPr>
              <w:t xml:space="preserve">Partner Location </w:t>
            </w:r>
          </w:p>
          <w:p w:rsidR="00B844F7" w:rsidRPr="000F2061" w:rsidP="000557C7" w14:paraId="1C22D971" w14:textId="77777777">
            <w:pPr>
              <w:widowControl/>
              <w:numPr>
                <w:ilvl w:val="1"/>
                <w:numId w:val="48"/>
              </w:numPr>
              <w:autoSpaceDE/>
              <w:autoSpaceDN/>
              <w:adjustRightInd/>
              <w:rPr>
                <w:bCs/>
                <w:color w:val="000000"/>
                <w:szCs w:val="20"/>
              </w:rPr>
            </w:pPr>
            <w:r w:rsidRPr="000F2061">
              <w:rPr>
                <w:bCs/>
                <w:color w:val="000000"/>
                <w:szCs w:val="20"/>
              </w:rPr>
              <w:t>Partner Role and Contribution</w:t>
            </w:r>
          </w:p>
          <w:p w:rsidR="00B844F7" w:rsidRPr="000F2061" w:rsidP="000557C7" w14:paraId="7FFC8456" w14:textId="77777777">
            <w:pPr>
              <w:widowControl/>
              <w:autoSpaceDE/>
              <w:autoSpaceDN/>
              <w:adjustRightInd/>
              <w:rPr>
                <w:bCs/>
                <w:color w:val="000000"/>
                <w:szCs w:val="20"/>
              </w:rPr>
            </w:pPr>
          </w:p>
        </w:tc>
      </w:tr>
      <w:tr w14:paraId="06188C98" w14:textId="77777777" w:rsidTr="000557C7">
        <w:tblPrEx>
          <w:tblW w:w="0" w:type="auto"/>
          <w:tblLook w:val="04A0"/>
        </w:tblPrEx>
        <w:tc>
          <w:tcPr>
            <w:tcW w:w="2358" w:type="dxa"/>
            <w:shd w:val="clear" w:color="auto" w:fill="auto"/>
          </w:tcPr>
          <w:p w:rsidR="00B844F7" w:rsidRPr="000F2061" w:rsidP="000557C7" w14:paraId="310ECC40" w14:textId="77777777">
            <w:pPr>
              <w:widowControl/>
              <w:autoSpaceDE/>
              <w:autoSpaceDN/>
              <w:adjustRightInd/>
              <w:rPr>
                <w:bCs/>
                <w:color w:val="000000"/>
                <w:szCs w:val="20"/>
              </w:rPr>
            </w:pPr>
            <w:r w:rsidRPr="000F2061">
              <w:rPr>
                <w:bCs/>
                <w:color w:val="000000"/>
                <w:szCs w:val="20"/>
              </w:rPr>
              <w:t>Project Evaluation Activities</w:t>
            </w:r>
          </w:p>
        </w:tc>
        <w:tc>
          <w:tcPr>
            <w:tcW w:w="7200" w:type="dxa"/>
            <w:shd w:val="clear" w:color="auto" w:fill="auto"/>
          </w:tcPr>
          <w:p w:rsidR="00B844F7" w:rsidRPr="000F2061" w:rsidP="000557C7" w14:paraId="1FBE7BC8" w14:textId="77777777">
            <w:pPr>
              <w:widowControl/>
              <w:numPr>
                <w:ilvl w:val="0"/>
                <w:numId w:val="49"/>
              </w:numPr>
              <w:autoSpaceDE/>
              <w:autoSpaceDN/>
              <w:adjustRightInd/>
              <w:rPr>
                <w:bCs/>
                <w:color w:val="000000"/>
                <w:szCs w:val="20"/>
              </w:rPr>
            </w:pPr>
            <w:r w:rsidRPr="000F2061">
              <w:rPr>
                <w:bCs/>
                <w:color w:val="000000"/>
                <w:szCs w:val="20"/>
              </w:rPr>
              <w:t xml:space="preserve">Evaluation Status </w:t>
            </w:r>
          </w:p>
          <w:p w:rsidR="00B844F7" w:rsidRPr="000F2061" w:rsidP="000557C7" w14:paraId="699F7AE6" w14:textId="77777777">
            <w:pPr>
              <w:widowControl/>
              <w:numPr>
                <w:ilvl w:val="1"/>
                <w:numId w:val="49"/>
              </w:numPr>
              <w:autoSpaceDE/>
              <w:autoSpaceDN/>
              <w:adjustRightInd/>
              <w:rPr>
                <w:bCs/>
                <w:color w:val="000000"/>
                <w:szCs w:val="20"/>
              </w:rPr>
            </w:pPr>
            <w:r w:rsidRPr="000F2061">
              <w:rPr>
                <w:bCs/>
                <w:color w:val="000000"/>
                <w:szCs w:val="20"/>
              </w:rPr>
              <w:t>Tools and techniques</w:t>
            </w:r>
          </w:p>
          <w:p w:rsidR="00B844F7" w:rsidRPr="000F2061" w:rsidP="000557C7" w14:paraId="263AC231" w14:textId="77777777">
            <w:pPr>
              <w:widowControl/>
              <w:numPr>
                <w:ilvl w:val="1"/>
                <w:numId w:val="49"/>
              </w:numPr>
              <w:autoSpaceDE/>
              <w:autoSpaceDN/>
              <w:adjustRightInd/>
              <w:rPr>
                <w:bCs/>
                <w:color w:val="000000"/>
                <w:szCs w:val="20"/>
              </w:rPr>
            </w:pPr>
            <w:r w:rsidRPr="000F2061">
              <w:rPr>
                <w:bCs/>
                <w:color w:val="000000"/>
                <w:szCs w:val="20"/>
              </w:rPr>
              <w:t>Implementation status</w:t>
            </w:r>
          </w:p>
          <w:p w:rsidR="00B844F7" w:rsidRPr="000F2061" w:rsidP="000557C7" w14:paraId="37389636" w14:textId="77777777">
            <w:pPr>
              <w:widowControl/>
              <w:numPr>
                <w:ilvl w:val="1"/>
                <w:numId w:val="49"/>
              </w:numPr>
              <w:autoSpaceDE/>
              <w:autoSpaceDN/>
              <w:adjustRightInd/>
              <w:rPr>
                <w:bCs/>
                <w:color w:val="000000"/>
                <w:szCs w:val="20"/>
              </w:rPr>
            </w:pPr>
            <w:r w:rsidRPr="000F2061">
              <w:rPr>
                <w:bCs/>
                <w:color w:val="000000"/>
                <w:szCs w:val="20"/>
              </w:rPr>
              <w:t xml:space="preserve">Baseline collection completion </w:t>
            </w:r>
          </w:p>
          <w:p w:rsidR="00B844F7" w:rsidRPr="000F2061" w:rsidP="000557C7" w14:paraId="10E7693E" w14:textId="77777777">
            <w:pPr>
              <w:widowControl/>
              <w:numPr>
                <w:ilvl w:val="1"/>
                <w:numId w:val="49"/>
              </w:numPr>
              <w:autoSpaceDE/>
              <w:autoSpaceDN/>
              <w:adjustRightInd/>
              <w:rPr>
                <w:bCs/>
                <w:color w:val="000000"/>
                <w:szCs w:val="20"/>
              </w:rPr>
            </w:pPr>
            <w:r w:rsidRPr="000F2061">
              <w:rPr>
                <w:bCs/>
                <w:color w:val="000000"/>
                <w:szCs w:val="20"/>
              </w:rPr>
              <w:t>Challenges</w:t>
            </w:r>
          </w:p>
          <w:p w:rsidR="00B844F7" w:rsidRPr="000F2061" w:rsidP="000557C7" w14:paraId="18BD17EA" w14:textId="77777777">
            <w:pPr>
              <w:widowControl/>
              <w:numPr>
                <w:ilvl w:val="0"/>
                <w:numId w:val="49"/>
              </w:numPr>
              <w:autoSpaceDE/>
              <w:autoSpaceDN/>
              <w:adjustRightInd/>
              <w:rPr>
                <w:bCs/>
                <w:color w:val="000000"/>
                <w:szCs w:val="20"/>
              </w:rPr>
            </w:pPr>
            <w:r w:rsidRPr="000F2061">
              <w:rPr>
                <w:bCs/>
                <w:color w:val="000000"/>
                <w:szCs w:val="20"/>
              </w:rPr>
              <w:t>Lessons Learned</w:t>
            </w:r>
          </w:p>
          <w:p w:rsidR="00B844F7" w:rsidRPr="000F2061" w:rsidP="000557C7" w14:paraId="294B1BD0" w14:textId="77777777">
            <w:pPr>
              <w:widowControl/>
              <w:numPr>
                <w:ilvl w:val="1"/>
                <w:numId w:val="49"/>
              </w:numPr>
              <w:autoSpaceDE/>
              <w:autoSpaceDN/>
              <w:adjustRightInd/>
              <w:rPr>
                <w:bCs/>
                <w:color w:val="000000"/>
                <w:szCs w:val="20"/>
              </w:rPr>
            </w:pPr>
            <w:r w:rsidRPr="000F2061">
              <w:rPr>
                <w:bCs/>
                <w:color w:val="000000"/>
                <w:szCs w:val="20"/>
              </w:rPr>
              <w:t>Quality Improvement Feedback Implemented</w:t>
            </w:r>
          </w:p>
          <w:p w:rsidR="00B844F7" w:rsidRPr="000F2061" w:rsidP="000F2061" w14:paraId="4176D00E" w14:textId="77777777">
            <w:pPr>
              <w:widowControl/>
              <w:numPr>
                <w:ilvl w:val="1"/>
                <w:numId w:val="49"/>
              </w:numPr>
              <w:autoSpaceDE/>
              <w:autoSpaceDN/>
              <w:adjustRightInd/>
              <w:rPr>
                <w:bCs/>
                <w:color w:val="000000"/>
                <w:szCs w:val="20"/>
              </w:rPr>
            </w:pPr>
            <w:r w:rsidRPr="000F2061">
              <w:rPr>
                <w:bCs/>
                <w:color w:val="000000"/>
                <w:szCs w:val="20"/>
              </w:rPr>
              <w:t>Preliminary Outcomes</w:t>
            </w:r>
          </w:p>
        </w:tc>
      </w:tr>
    </w:tbl>
    <w:p w:rsidR="006D5E8E" w:rsidP="00DF363F" w14:paraId="76D65F15" w14:textId="77777777">
      <w:pPr>
        <w:widowControl/>
        <w:autoSpaceDE/>
        <w:autoSpaceDN/>
        <w:adjustRightInd/>
        <w:spacing w:before="100" w:beforeAutospacing="1" w:after="100" w:afterAutospacing="1"/>
        <w:rPr>
          <w:bCs/>
          <w:color w:val="000000"/>
          <w:sz w:val="24"/>
        </w:rPr>
      </w:pPr>
    </w:p>
    <w:p w:rsidR="0098164F" w14:paraId="190AADDB" w14:textId="77777777">
      <w:pPr>
        <w:rPr>
          <w:sz w:val="24"/>
        </w:rPr>
      </w:pPr>
    </w:p>
    <w:p w:rsidR="0098164F" w14:paraId="49BC5C89" w14:textId="77777777">
      <w:pPr>
        <w:numPr>
          <w:ilvl w:val="0"/>
          <w:numId w:val="2"/>
        </w:numPr>
        <w:rPr>
          <w:sz w:val="24"/>
        </w:rPr>
      </w:pPr>
      <w:r>
        <w:rPr>
          <w:b/>
          <w:sz w:val="24"/>
          <w:u w:val="single"/>
        </w:rPr>
        <w:t>Use of Improved Information Technology and Burden Reduction</w:t>
      </w:r>
    </w:p>
    <w:p w:rsidR="0098164F" w14:paraId="5A36D387" w14:textId="77777777">
      <w:pPr>
        <w:ind w:left="360"/>
        <w:rPr>
          <w:sz w:val="24"/>
        </w:rPr>
      </w:pPr>
    </w:p>
    <w:p w:rsidR="00597AA8" w:rsidP="00757B3B" w14:paraId="045DC122" w14:textId="77777777">
      <w:pPr>
        <w:rPr>
          <w:sz w:val="24"/>
        </w:rPr>
      </w:pPr>
      <w:r>
        <w:rPr>
          <w:sz w:val="24"/>
        </w:rPr>
        <w:t xml:space="preserve">The OASH PPR information collection is specifically tailored for use in a web-based grants management platform.  All OASH </w:t>
      </w:r>
      <w:r w:rsidR="00757B3B">
        <w:rPr>
          <w:sz w:val="24"/>
        </w:rPr>
        <w:t xml:space="preserve">recipients use Grant Solutions for </w:t>
      </w:r>
      <w:r w:rsidR="000F2061">
        <w:rPr>
          <w:sz w:val="24"/>
        </w:rPr>
        <w:t xml:space="preserve">reporting PPR information, however, this collection as structured could be transitioned to any other grants management platform as needed in the future. </w:t>
      </w:r>
      <w:r w:rsidR="00757B3B">
        <w:rPr>
          <w:sz w:val="24"/>
        </w:rPr>
        <w:t xml:space="preserve">The collection has been specifically designed to isolate the basic project reporting elements so that they may be combined in analyses with information from other data collections, even those on other platforms.  The </w:t>
      </w:r>
      <w:r w:rsidR="000F2061">
        <w:rPr>
          <w:sz w:val="24"/>
        </w:rPr>
        <w:t xml:space="preserve">structured </w:t>
      </w:r>
      <w:r w:rsidR="00757B3B">
        <w:rPr>
          <w:sz w:val="24"/>
        </w:rPr>
        <w:t xml:space="preserve">information is also intended to contribute to enhanced dashboards for monitoring at both the individual project and broader program office portfolio level.  </w:t>
      </w:r>
    </w:p>
    <w:p w:rsidR="00597AA8" w14:paraId="1BC6D5B9" w14:textId="77777777">
      <w:pPr>
        <w:ind w:left="360"/>
        <w:rPr>
          <w:sz w:val="24"/>
        </w:rPr>
      </w:pPr>
    </w:p>
    <w:p w:rsidR="00597AA8" w14:paraId="3601DFAB" w14:textId="77777777">
      <w:pPr>
        <w:ind w:left="360"/>
        <w:rPr>
          <w:sz w:val="24"/>
        </w:rPr>
      </w:pPr>
    </w:p>
    <w:p w:rsidR="0098164F" w14:paraId="00EE6536" w14:textId="77777777">
      <w:pPr>
        <w:numPr>
          <w:ilvl w:val="0"/>
          <w:numId w:val="2"/>
        </w:numPr>
        <w:rPr>
          <w:b/>
          <w:sz w:val="24"/>
        </w:rPr>
      </w:pPr>
      <w:r>
        <w:rPr>
          <w:b/>
          <w:sz w:val="24"/>
          <w:u w:val="single"/>
        </w:rPr>
        <w:t>Efforts to  Identify Duplication and Use of Similar Information</w:t>
      </w:r>
    </w:p>
    <w:p w:rsidR="0098164F" w:rsidRPr="00757B3B" w:rsidP="00757B3B" w14:paraId="54AD8409" w14:textId="77777777">
      <w:pPr>
        <w:rPr>
          <w:bCs/>
          <w:sz w:val="24"/>
        </w:rPr>
      </w:pPr>
    </w:p>
    <w:p w:rsidR="00042003" w:rsidP="00042003" w14:paraId="1FAF28AF" w14:textId="77777777">
      <w:pPr>
        <w:widowControl/>
        <w:autoSpaceDE/>
        <w:autoSpaceDN/>
        <w:adjustRightInd/>
        <w:spacing w:before="100" w:beforeAutospacing="1" w:after="100" w:afterAutospacing="1"/>
        <w:rPr>
          <w:bCs/>
          <w:sz w:val="24"/>
        </w:rPr>
      </w:pPr>
      <w:r w:rsidRPr="00757B3B">
        <w:rPr>
          <w:bCs/>
          <w:sz w:val="24"/>
        </w:rPr>
        <w:t>As noted above</w:t>
      </w:r>
      <w:r>
        <w:rPr>
          <w:bCs/>
          <w:sz w:val="24"/>
        </w:rPr>
        <w:t xml:space="preserve">, this collection is a regulatory requirement for HHS and federal grantees.  Because publication and dissemination of project findings most often occurs at the end of grant, the information cannot be collected from published sources. </w:t>
      </w:r>
      <w:r w:rsidRPr="00757B3B">
        <w:rPr>
          <w:bCs/>
          <w:sz w:val="24"/>
        </w:rPr>
        <w:t xml:space="preserve"> </w:t>
      </w:r>
    </w:p>
    <w:p w:rsidR="00042003" w:rsidP="00042003" w14:paraId="1DB89798" w14:textId="77777777">
      <w:pPr>
        <w:widowControl/>
        <w:autoSpaceDE/>
        <w:autoSpaceDN/>
        <w:adjustRightInd/>
        <w:spacing w:before="100" w:beforeAutospacing="1" w:after="100" w:afterAutospacing="1"/>
        <w:rPr>
          <w:bCs/>
          <w:color w:val="000000"/>
          <w:sz w:val="24"/>
        </w:rPr>
      </w:pPr>
      <w:r>
        <w:rPr>
          <w:bCs/>
          <w:color w:val="000000"/>
          <w:sz w:val="24"/>
        </w:rPr>
        <w:t>Some OASH programs have existing data collections that may include some of the proposed PPR data elements (e.g., Publications) in addition to collecting information beyond the scope of the PPR. Program offices will be afforded an appropriate window to transition collection of the overlapping data element(s) to the standardized PPR. Data from the PPR will be exportable for use by the program office alongside data from other program specific data collections that have OMB approval. Recipients will not report the same data twice.</w:t>
      </w:r>
    </w:p>
    <w:p w:rsidR="008A2884" w:rsidRPr="00085B91" w:rsidP="00042003" w14:paraId="4D9C69C6" w14:textId="77777777">
      <w:pPr>
        <w:rPr>
          <w:color w:val="000000"/>
          <w:sz w:val="24"/>
        </w:rPr>
      </w:pPr>
    </w:p>
    <w:p w:rsidR="0098164F" w14:paraId="0492BCAE" w14:textId="77777777">
      <w:pPr>
        <w:numPr>
          <w:ilvl w:val="0"/>
          <w:numId w:val="2"/>
        </w:numPr>
        <w:rPr>
          <w:color w:val="000000"/>
          <w:sz w:val="24"/>
        </w:rPr>
      </w:pPr>
      <w:r>
        <w:rPr>
          <w:b/>
          <w:sz w:val="24"/>
          <w:u w:val="single"/>
        </w:rPr>
        <w:t>Impact on Small Businesses or Other Small Entities</w:t>
      </w:r>
    </w:p>
    <w:p w:rsidR="0098164F" w:rsidP="00757B3B" w14:paraId="0C5D1A55" w14:textId="77777777">
      <w:pPr>
        <w:rPr>
          <w:sz w:val="24"/>
        </w:rPr>
      </w:pPr>
    </w:p>
    <w:p w:rsidR="00757B3B" w:rsidP="00757B3B" w14:paraId="6AC7EE6A" w14:textId="77777777">
      <w:pPr>
        <w:rPr>
          <w:sz w:val="24"/>
        </w:rPr>
      </w:pPr>
      <w:r>
        <w:rPr>
          <w:sz w:val="24"/>
        </w:rPr>
        <w:t xml:space="preserve">OASH funds numerous grants to community based organizations (CBOs) and small entities, many of whom are inexperienced when it comes to reporting on progress for federal grants. The collection is designed to guide inexperienced and experienced recipients through only those elements need to evaluate their specific project performance. </w:t>
      </w:r>
    </w:p>
    <w:p w:rsidR="00D23D70" w:rsidP="00D23D70" w14:paraId="131259E9" w14:textId="77777777">
      <w:pPr>
        <w:widowControl/>
        <w:autoSpaceDE/>
        <w:autoSpaceDN/>
        <w:adjustRightInd/>
        <w:spacing w:before="100" w:beforeAutospacing="1" w:after="100" w:afterAutospacing="1"/>
        <w:rPr>
          <w:bCs/>
          <w:color w:val="000000"/>
          <w:sz w:val="24"/>
        </w:rPr>
      </w:pPr>
      <w:r>
        <w:rPr>
          <w:bCs/>
          <w:color w:val="000000"/>
          <w:sz w:val="24"/>
        </w:rPr>
        <w:t xml:space="preserve">Although not all common elements in this collection are applicable to all OASH-supported awards, the </w:t>
      </w:r>
      <w:r w:rsidR="00042003">
        <w:rPr>
          <w:bCs/>
          <w:color w:val="000000"/>
          <w:sz w:val="24"/>
        </w:rPr>
        <w:t xml:space="preserve">majority of the </w:t>
      </w:r>
      <w:r>
        <w:rPr>
          <w:bCs/>
          <w:color w:val="000000"/>
          <w:sz w:val="24"/>
        </w:rPr>
        <w:t xml:space="preserve">elements are common to a substantial majority of OASH awards and are consistent with general performance reporting at other </w:t>
      </w:r>
      <w:r w:rsidR="00042003">
        <w:rPr>
          <w:bCs/>
          <w:color w:val="000000"/>
          <w:sz w:val="24"/>
        </w:rPr>
        <w:t xml:space="preserve">federal </w:t>
      </w:r>
      <w:r>
        <w:rPr>
          <w:bCs/>
          <w:color w:val="000000"/>
          <w:sz w:val="24"/>
        </w:rPr>
        <w:t xml:space="preserve">grant-making agencies. </w:t>
      </w:r>
    </w:p>
    <w:p w:rsidR="00042003" w:rsidP="00D23D70" w14:paraId="42100DCC" w14:textId="77777777">
      <w:pPr>
        <w:widowControl/>
        <w:autoSpaceDE/>
        <w:autoSpaceDN/>
        <w:adjustRightInd/>
        <w:spacing w:before="100" w:beforeAutospacing="1" w:after="100" w:afterAutospacing="1"/>
        <w:rPr>
          <w:bCs/>
          <w:color w:val="000000"/>
          <w:sz w:val="24"/>
        </w:rPr>
      </w:pPr>
      <w:r>
        <w:rPr>
          <w:bCs/>
          <w:color w:val="000000"/>
          <w:sz w:val="24"/>
        </w:rPr>
        <w:t xml:space="preserve">For elements not applicable to a given cohort, recipients may indicate the item is either not applicable or not required by the program office.  For example, the Title X Family Planning Services program may instruct recipients to indicate “not required” for Project Evaluation </w:t>
      </w:r>
      <w:r>
        <w:rPr>
          <w:bCs/>
          <w:color w:val="000000"/>
          <w:sz w:val="24"/>
        </w:rPr>
        <w:t xml:space="preserve">Activities because those service grants do not require the recipient to conduct a process and outcomes evaluation. </w:t>
      </w:r>
    </w:p>
    <w:p w:rsidR="00D23D70" w:rsidRPr="005F7B91" w:rsidP="00D23D70" w14:paraId="7CEE0FE4" w14:textId="77777777">
      <w:pPr>
        <w:widowControl/>
        <w:autoSpaceDE/>
        <w:autoSpaceDN/>
        <w:adjustRightInd/>
        <w:spacing w:before="100" w:beforeAutospacing="1" w:after="100" w:afterAutospacing="1"/>
        <w:rPr>
          <w:bCs/>
          <w:color w:val="000000"/>
          <w:sz w:val="24"/>
        </w:rPr>
      </w:pPr>
      <w:r>
        <w:rPr>
          <w:bCs/>
          <w:color w:val="000000"/>
          <w:sz w:val="24"/>
        </w:rPr>
        <w:t>Furthermore, recipients will be given the option to indicate “nothing to report” for the reporting period.  This option is intended to manage expectations in cohorts that use quarterly reporting, where not every element will have a reportable event</w:t>
      </w:r>
      <w:r w:rsidR="00042003">
        <w:rPr>
          <w:bCs/>
          <w:color w:val="000000"/>
          <w:sz w:val="24"/>
        </w:rPr>
        <w:t xml:space="preserve"> each period</w:t>
      </w:r>
      <w:r>
        <w:rPr>
          <w:bCs/>
          <w:color w:val="000000"/>
          <w:sz w:val="24"/>
        </w:rPr>
        <w:t xml:space="preserve">. </w:t>
      </w:r>
    </w:p>
    <w:p w:rsidR="00757B3B" w:rsidRPr="00757B3B" w:rsidP="00757B3B" w14:paraId="53E4944A" w14:textId="77777777">
      <w:pPr>
        <w:rPr>
          <w:sz w:val="24"/>
        </w:rPr>
      </w:pPr>
    </w:p>
    <w:p w:rsidR="0098164F" w14:paraId="0319BB78" w14:textId="77777777">
      <w:pPr>
        <w:numPr>
          <w:ilvl w:val="0"/>
          <w:numId w:val="2"/>
        </w:numPr>
        <w:rPr>
          <w:b/>
          <w:sz w:val="24"/>
        </w:rPr>
      </w:pPr>
      <w:r>
        <w:rPr>
          <w:b/>
          <w:sz w:val="24"/>
          <w:u w:val="single"/>
        </w:rPr>
        <w:t>Consequences of Collecting the Information Less Frequent Collection</w:t>
      </w:r>
    </w:p>
    <w:p w:rsidR="0098164F" w:rsidRPr="00D23D70" w:rsidP="00D23D70" w14:paraId="0D39A33E" w14:textId="77777777">
      <w:pPr>
        <w:rPr>
          <w:bCs/>
          <w:sz w:val="24"/>
        </w:rPr>
      </w:pPr>
    </w:p>
    <w:p w:rsidR="00D23D70" w:rsidP="00D23D70" w14:paraId="77384149" w14:textId="77777777">
      <w:pPr>
        <w:rPr>
          <w:bCs/>
          <w:sz w:val="24"/>
        </w:rPr>
      </w:pPr>
      <w:r>
        <w:rPr>
          <w:bCs/>
          <w:sz w:val="24"/>
        </w:rPr>
        <w:t xml:space="preserve">PPRs </w:t>
      </w:r>
      <w:r w:rsidR="00042003">
        <w:rPr>
          <w:bCs/>
          <w:sz w:val="24"/>
        </w:rPr>
        <w:t>for non-construction projects (OASH does not fund construction projects) “</w:t>
      </w:r>
      <w:r w:rsidRPr="00042003" w:rsidR="00042003">
        <w:rPr>
          <w:bCs/>
          <w:sz w:val="24"/>
        </w:rPr>
        <w:t>must be no less frequent than annually nor more frequent than quarterly except in unusual circumstances, for example where more frequent reporting is necessary for the effective monitoring of the Federal award or could significantly affect program outcomes.</w:t>
      </w:r>
      <w:r>
        <w:rPr>
          <w:bCs/>
          <w:sz w:val="24"/>
        </w:rPr>
        <w:t>” (</w:t>
      </w:r>
      <w:hyperlink r:id="rId21" w:history="1">
        <w:r w:rsidRPr="00BC3FCC">
          <w:rPr>
            <w:rStyle w:val="Hyperlink"/>
            <w:bCs/>
            <w:sz w:val="24"/>
          </w:rPr>
          <w:t>45 C.F.R. §75.342(b)(1)</w:t>
        </w:r>
      </w:hyperlink>
      <w:r>
        <w:rPr>
          <w:bCs/>
          <w:sz w:val="24"/>
        </w:rPr>
        <w:t xml:space="preserve">).  Each OASH program office determines the PPR reporting frequency for a given cohort of recipients in consultation with the grants management team.  Cohorts with more recipients with less experience in managing a federal project will typically report on a quarterly basis, whereas cohorts with mostly experienced recipients or projects subject to less risk report annually.  Several cohorts currently report semiannually.  </w:t>
      </w:r>
    </w:p>
    <w:p w:rsidR="00BC3FCC" w:rsidP="00D23D70" w14:paraId="442D9475" w14:textId="77777777">
      <w:pPr>
        <w:rPr>
          <w:bCs/>
          <w:sz w:val="24"/>
        </w:rPr>
      </w:pPr>
    </w:p>
    <w:p w:rsidR="0098164F" w14:paraId="23A51C4E" w14:textId="77777777">
      <w:pPr>
        <w:ind w:left="1080"/>
        <w:rPr>
          <w:sz w:val="24"/>
        </w:rPr>
      </w:pPr>
      <w:r>
        <w:rPr>
          <w:sz w:val="24"/>
        </w:rPr>
        <w:tab/>
      </w:r>
    </w:p>
    <w:p w:rsidR="0098164F" w14:paraId="103BA0F9" w14:textId="77777777">
      <w:pPr>
        <w:numPr>
          <w:ilvl w:val="0"/>
          <w:numId w:val="2"/>
        </w:numPr>
        <w:rPr>
          <w:b/>
          <w:sz w:val="24"/>
        </w:rPr>
      </w:pPr>
      <w:r>
        <w:rPr>
          <w:b/>
          <w:sz w:val="24"/>
          <w:u w:val="single"/>
        </w:rPr>
        <w:t>Special Circumstances Relating to the Guidelines of 5 CFR 1320.5</w:t>
      </w:r>
    </w:p>
    <w:p w:rsidR="0098164F" w14:paraId="5A9B329E" w14:textId="77777777">
      <w:pPr>
        <w:ind w:left="360"/>
        <w:rPr>
          <w:sz w:val="24"/>
        </w:rPr>
      </w:pPr>
    </w:p>
    <w:p w:rsidR="00A41F36" w:rsidP="00A41F36" w14:paraId="0EF1C027" w14:textId="77777777">
      <w:pPr>
        <w:rPr>
          <w:sz w:val="24"/>
        </w:rPr>
      </w:pPr>
      <w:r>
        <w:rPr>
          <w:sz w:val="24"/>
        </w:rPr>
        <w:t xml:space="preserve">There are no special circumstances that appear applicable to this information collection. </w:t>
      </w:r>
    </w:p>
    <w:p w:rsidR="00A41F36" w14:paraId="6B654918" w14:textId="77777777">
      <w:pPr>
        <w:ind w:left="360"/>
        <w:rPr>
          <w:sz w:val="24"/>
        </w:rPr>
      </w:pPr>
    </w:p>
    <w:p w:rsidR="0098164F" w14:paraId="27B20F03" w14:textId="77777777">
      <w:pPr>
        <w:numPr>
          <w:ilvl w:val="0"/>
          <w:numId w:val="2"/>
        </w:numPr>
        <w:rPr>
          <w:b/>
          <w:sz w:val="24"/>
        </w:rPr>
      </w:pPr>
      <w:r>
        <w:rPr>
          <w:b/>
          <w:iCs/>
          <w:sz w:val="24"/>
          <w:u w:val="single"/>
        </w:rPr>
        <w:t>Comments in Response to the Federal Register</w:t>
      </w:r>
      <w:r>
        <w:rPr>
          <w:b/>
          <w:sz w:val="24"/>
          <w:u w:val="single"/>
        </w:rPr>
        <w:t xml:space="preserve"> Notice/Outside Consultation</w:t>
      </w:r>
    </w:p>
    <w:p w:rsidR="0098164F" w14:paraId="74F6B224" w14:textId="77777777">
      <w:pPr>
        <w:ind w:left="720"/>
        <w:rPr>
          <w:b/>
          <w:sz w:val="24"/>
        </w:rPr>
      </w:pPr>
    </w:p>
    <w:p w:rsidR="00A41F36" w14:paraId="6D39D902" w14:textId="1FE466C5">
      <w:pPr>
        <w:ind w:left="360"/>
        <w:rPr>
          <w:sz w:val="24"/>
        </w:rPr>
      </w:pPr>
      <w:r>
        <w:rPr>
          <w:sz w:val="24"/>
        </w:rPr>
        <w:t xml:space="preserve">The 60-day FRN Pg; </w:t>
      </w:r>
      <w:r w:rsidRPr="009968A7">
        <w:rPr>
          <w:sz w:val="24"/>
        </w:rPr>
        <w:t>17860 Federal Register/Vol. 89, No. 49</w:t>
      </w:r>
      <w:r>
        <w:rPr>
          <w:sz w:val="24"/>
        </w:rPr>
        <w:t xml:space="preserve"> was published on </w:t>
      </w:r>
      <w:r w:rsidRPr="009968A7">
        <w:rPr>
          <w:sz w:val="24"/>
        </w:rPr>
        <w:t>Tuesday, March 12, 2024</w:t>
      </w:r>
      <w:r>
        <w:rPr>
          <w:sz w:val="24"/>
        </w:rPr>
        <w:t>.</w:t>
      </w:r>
    </w:p>
    <w:p w:rsidR="009968A7" w14:paraId="0A769AC5" w14:textId="10A870FD">
      <w:pPr>
        <w:ind w:left="360"/>
        <w:rPr>
          <w:sz w:val="24"/>
        </w:rPr>
      </w:pPr>
      <w:r>
        <w:rPr>
          <w:sz w:val="24"/>
        </w:rPr>
        <w:t>There were no comments received.</w:t>
      </w:r>
    </w:p>
    <w:p w:rsidR="00A41F36" w14:paraId="5F4705AE" w14:textId="77777777">
      <w:pPr>
        <w:ind w:left="360"/>
        <w:rPr>
          <w:sz w:val="24"/>
        </w:rPr>
      </w:pPr>
    </w:p>
    <w:p w:rsidR="0098164F" w14:paraId="42B1CA0A" w14:textId="77777777">
      <w:pPr>
        <w:numPr>
          <w:ilvl w:val="0"/>
          <w:numId w:val="2"/>
        </w:numPr>
        <w:rPr>
          <w:b/>
          <w:sz w:val="24"/>
        </w:rPr>
      </w:pPr>
      <w:r>
        <w:rPr>
          <w:b/>
          <w:sz w:val="24"/>
          <w:u w:val="single"/>
        </w:rPr>
        <w:t>Explanation of any Payment/Gift to Respondents</w:t>
      </w:r>
    </w:p>
    <w:p w:rsidR="00A41F36" w:rsidP="00A41F36" w14:paraId="39A0B5B4" w14:textId="77777777">
      <w:pPr>
        <w:ind w:left="360"/>
        <w:rPr>
          <w:sz w:val="24"/>
        </w:rPr>
      </w:pPr>
    </w:p>
    <w:p w:rsidR="0098164F" w:rsidP="00A41F36" w14:paraId="65678C96" w14:textId="77777777">
      <w:pPr>
        <w:rPr>
          <w:sz w:val="24"/>
        </w:rPr>
      </w:pPr>
      <w:r>
        <w:rPr>
          <w:sz w:val="24"/>
        </w:rPr>
        <w:t xml:space="preserve">No payments or gifts will be provided to respondents. </w:t>
      </w:r>
    </w:p>
    <w:p w:rsidR="0098164F" w14:paraId="50893A4C" w14:textId="77777777">
      <w:pPr>
        <w:ind w:left="1440"/>
        <w:rPr>
          <w:sz w:val="24"/>
        </w:rPr>
      </w:pPr>
    </w:p>
    <w:p w:rsidR="0098164F" w14:paraId="3B8E4D5A" w14:textId="77777777">
      <w:pPr>
        <w:numPr>
          <w:ilvl w:val="0"/>
          <w:numId w:val="2"/>
        </w:numPr>
        <w:rPr>
          <w:b/>
          <w:sz w:val="24"/>
        </w:rPr>
      </w:pPr>
      <w:r>
        <w:rPr>
          <w:b/>
          <w:sz w:val="24"/>
          <w:u w:val="single"/>
        </w:rPr>
        <w:t>Assurance of Confidentiality Provided to Respondents</w:t>
      </w:r>
    </w:p>
    <w:p w:rsidR="0098164F" w:rsidP="00A41F36" w14:paraId="5D3A4412" w14:textId="77777777">
      <w:pPr>
        <w:widowControl/>
        <w:rPr>
          <w:sz w:val="24"/>
        </w:rPr>
      </w:pPr>
    </w:p>
    <w:p w:rsidR="00A41F36" w:rsidP="00A41F36" w14:paraId="1F52403B" w14:textId="77777777">
      <w:pPr>
        <w:widowControl/>
        <w:rPr>
          <w:sz w:val="24"/>
        </w:rPr>
      </w:pPr>
      <w:r>
        <w:rPr>
          <w:sz w:val="24"/>
        </w:rPr>
        <w:t xml:space="preserve">Information provided in PPR submissions is subject to FOIA and Privacy Act requests as part of the official grant file.  </w:t>
      </w:r>
    </w:p>
    <w:p w:rsidR="0098164F" w14:paraId="3176DB2C" w14:textId="77777777">
      <w:pPr>
        <w:ind w:left="360"/>
        <w:rPr>
          <w:sz w:val="24"/>
        </w:rPr>
      </w:pPr>
    </w:p>
    <w:p w:rsidR="0098164F" w14:paraId="37C2E241" w14:textId="77777777">
      <w:pPr>
        <w:numPr>
          <w:ilvl w:val="0"/>
          <w:numId w:val="2"/>
        </w:numPr>
        <w:rPr>
          <w:b/>
          <w:sz w:val="24"/>
        </w:rPr>
      </w:pPr>
      <w:r>
        <w:rPr>
          <w:b/>
          <w:sz w:val="24"/>
          <w:u w:val="single"/>
        </w:rPr>
        <w:t>Justification for Sensitive Questions</w:t>
      </w:r>
    </w:p>
    <w:p w:rsidR="0098164F" w:rsidP="00A41F36" w14:paraId="4A6EA517" w14:textId="77777777">
      <w:pPr>
        <w:rPr>
          <w:sz w:val="24"/>
        </w:rPr>
      </w:pPr>
    </w:p>
    <w:p w:rsidR="00A41F36" w:rsidP="00A41F36" w14:paraId="11C03628" w14:textId="77777777">
      <w:pPr>
        <w:rPr>
          <w:sz w:val="24"/>
        </w:rPr>
      </w:pPr>
      <w:r>
        <w:rPr>
          <w:sz w:val="24"/>
        </w:rPr>
        <w:t xml:space="preserve">The information contains no sensitive questions.  Social Security Numbers are not required nor expected to be part of any submission. </w:t>
      </w:r>
    </w:p>
    <w:p w:rsidR="00A41F36" w:rsidP="00A41F36" w14:paraId="15EA44FF" w14:textId="77777777">
      <w:pPr>
        <w:rPr>
          <w:sz w:val="24"/>
        </w:rPr>
      </w:pPr>
    </w:p>
    <w:p w:rsidR="0098164F" w:rsidRPr="00AF5419" w14:paraId="5765A168" w14:textId="77777777">
      <w:pPr>
        <w:numPr>
          <w:ilvl w:val="0"/>
          <w:numId w:val="2"/>
        </w:numPr>
        <w:rPr>
          <w:sz w:val="24"/>
        </w:rPr>
      </w:pPr>
      <w:bookmarkStart w:id="0" w:name="_Hlk85731001"/>
      <w:r w:rsidRPr="00AF5419">
        <w:rPr>
          <w:b/>
          <w:sz w:val="24"/>
          <w:u w:val="single"/>
        </w:rPr>
        <w:t xml:space="preserve">Estimates of Annualized Hour and Cost Burden  </w:t>
      </w:r>
    </w:p>
    <w:bookmarkEnd w:id="0"/>
    <w:p w:rsidR="0098164F" w:rsidRPr="0031396B" w:rsidP="0031396B" w14:paraId="70EE0A84" w14:textId="77777777">
      <w:pPr>
        <w:widowControl/>
        <w:rPr>
          <w:sz w:val="32"/>
          <w:szCs w:val="32"/>
          <w:highlight w:val="yellow"/>
        </w:rPr>
      </w:pPr>
      <w:r>
        <w:rPr>
          <w:rStyle w:val="normaltextrun"/>
          <w:color w:val="000000"/>
          <w:sz w:val="24"/>
          <w:szCs w:val="32"/>
          <w:bdr w:val="none" w:sz="0" w:space="0" w:color="auto" w:frame="1"/>
        </w:rPr>
        <w:t>S</w:t>
      </w:r>
      <w:r w:rsidRPr="0031396B" w:rsidR="0031396B">
        <w:rPr>
          <w:rStyle w:val="normaltextrun"/>
          <w:color w:val="000000"/>
          <w:sz w:val="24"/>
          <w:szCs w:val="32"/>
          <w:bdr w:val="none" w:sz="0" w:space="0" w:color="auto" w:frame="1"/>
        </w:rPr>
        <w:t>taff from academia, community organizations, local/state/federal government, private sector, and tribal government and services organizations.</w:t>
      </w:r>
    </w:p>
    <w:p w:rsidR="0098164F" w:rsidRPr="007336A7" w14:paraId="77164DD4" w14:textId="77777777">
      <w:pPr>
        <w:widowControl/>
        <w:ind w:left="2880"/>
        <w:rPr>
          <w:sz w:val="24"/>
          <w:highlight w:val="yellow"/>
        </w:rPr>
      </w:pPr>
    </w:p>
    <w:p w:rsidR="0098164F" w:rsidRPr="0031396B" w14:paraId="2DB4C32A" w14:textId="77777777">
      <w:pPr>
        <w:widowControl/>
        <w:ind w:left="1440"/>
        <w:rPr>
          <w:sz w:val="24"/>
        </w:rPr>
      </w:pPr>
      <w:r w:rsidRPr="0031396B">
        <w:rPr>
          <w:b/>
          <w:sz w:val="24"/>
        </w:rPr>
        <w:t>12A.</w:t>
      </w:r>
      <w:r w:rsidRPr="0031396B">
        <w:rPr>
          <w:sz w:val="24"/>
        </w:rPr>
        <w:t xml:space="preserve">        </w:t>
      </w:r>
      <w:r w:rsidRPr="0031396B">
        <w:rPr>
          <w:b/>
          <w:sz w:val="24"/>
        </w:rPr>
        <w:t>Estimated Annualized Burden Hours</w:t>
      </w:r>
    </w:p>
    <w:tbl>
      <w:tblPr>
        <w:tblW w:w="7447"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897"/>
        <w:gridCol w:w="1523"/>
        <w:gridCol w:w="1430"/>
        <w:gridCol w:w="1177"/>
        <w:gridCol w:w="990"/>
      </w:tblGrid>
      <w:tr w14:paraId="547C9E6C" w14:textId="77777777" w:rsidTr="00536105">
        <w:tblPrEx>
          <w:tblW w:w="7447"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0" w:type="dxa"/>
            <w:shd w:val="clear" w:color="auto" w:fill="auto"/>
          </w:tcPr>
          <w:p w:rsidR="0098164F" w:rsidRPr="0031396B" w:rsidP="0098164F" w14:paraId="0AAFF38F" w14:textId="77777777">
            <w:pPr>
              <w:widowControl/>
              <w:rPr>
                <w:b/>
                <w:bCs/>
                <w:sz w:val="24"/>
              </w:rPr>
            </w:pPr>
            <w:r w:rsidRPr="0031396B">
              <w:rPr>
                <w:b/>
                <w:bCs/>
                <w:sz w:val="24"/>
              </w:rPr>
              <w:t>Type of</w:t>
            </w:r>
          </w:p>
          <w:p w:rsidR="0098164F" w:rsidRPr="0031396B" w:rsidP="0098164F" w14:paraId="1B1F6B80" w14:textId="77777777">
            <w:pPr>
              <w:widowControl/>
              <w:rPr>
                <w:b/>
                <w:bCs/>
                <w:sz w:val="24"/>
              </w:rPr>
            </w:pPr>
            <w:r w:rsidRPr="0031396B">
              <w:rPr>
                <w:b/>
                <w:bCs/>
                <w:sz w:val="24"/>
              </w:rPr>
              <w:t>Respondent</w:t>
            </w:r>
          </w:p>
          <w:p w:rsidR="0098164F" w:rsidRPr="0031396B" w:rsidP="0098164F" w14:paraId="1F6BC9F8" w14:textId="77777777">
            <w:pPr>
              <w:widowControl/>
              <w:rPr>
                <w:b/>
                <w:bCs/>
                <w:sz w:val="24"/>
              </w:rPr>
            </w:pPr>
          </w:p>
        </w:tc>
        <w:tc>
          <w:tcPr>
            <w:tcW w:w="897" w:type="dxa"/>
            <w:shd w:val="clear" w:color="auto" w:fill="auto"/>
          </w:tcPr>
          <w:p w:rsidR="0098164F" w:rsidRPr="0031396B" w:rsidP="0098164F" w14:paraId="052FF8FA" w14:textId="77777777">
            <w:pPr>
              <w:widowControl/>
              <w:rPr>
                <w:b/>
                <w:bCs/>
                <w:sz w:val="24"/>
              </w:rPr>
            </w:pPr>
            <w:r w:rsidRPr="0031396B">
              <w:rPr>
                <w:b/>
                <w:bCs/>
                <w:sz w:val="24"/>
              </w:rPr>
              <w:t>Form</w:t>
            </w:r>
          </w:p>
          <w:p w:rsidR="0098164F" w:rsidRPr="0031396B" w:rsidP="0098164F" w14:paraId="1C6F460C" w14:textId="77777777">
            <w:pPr>
              <w:widowControl/>
              <w:rPr>
                <w:b/>
                <w:bCs/>
                <w:sz w:val="24"/>
              </w:rPr>
            </w:pPr>
            <w:r w:rsidRPr="0031396B">
              <w:rPr>
                <w:b/>
                <w:bCs/>
                <w:sz w:val="24"/>
              </w:rPr>
              <w:t>Name</w:t>
            </w:r>
          </w:p>
          <w:p w:rsidR="0098164F" w:rsidRPr="0031396B" w:rsidP="0098164F" w14:paraId="73DEE8D0" w14:textId="77777777">
            <w:pPr>
              <w:widowControl/>
              <w:rPr>
                <w:b/>
                <w:bCs/>
                <w:sz w:val="24"/>
              </w:rPr>
            </w:pPr>
          </w:p>
        </w:tc>
        <w:tc>
          <w:tcPr>
            <w:tcW w:w="1523" w:type="dxa"/>
            <w:shd w:val="clear" w:color="auto" w:fill="auto"/>
          </w:tcPr>
          <w:p w:rsidR="0098164F" w:rsidRPr="0031396B" w:rsidP="0098164F" w14:paraId="49966514" w14:textId="77777777">
            <w:pPr>
              <w:widowControl/>
              <w:rPr>
                <w:b/>
                <w:bCs/>
                <w:sz w:val="24"/>
              </w:rPr>
            </w:pPr>
            <w:r w:rsidRPr="0031396B">
              <w:rPr>
                <w:b/>
                <w:bCs/>
                <w:sz w:val="24"/>
              </w:rPr>
              <w:t>No. of</w:t>
            </w:r>
          </w:p>
          <w:p w:rsidR="0098164F" w:rsidRPr="0031396B" w:rsidP="0098164F" w14:paraId="29B0914D" w14:textId="77777777">
            <w:pPr>
              <w:widowControl/>
              <w:rPr>
                <w:b/>
                <w:bCs/>
                <w:sz w:val="24"/>
              </w:rPr>
            </w:pPr>
            <w:r w:rsidRPr="0031396B">
              <w:rPr>
                <w:b/>
                <w:bCs/>
                <w:sz w:val="24"/>
              </w:rPr>
              <w:t>Respondents</w:t>
            </w:r>
          </w:p>
        </w:tc>
        <w:tc>
          <w:tcPr>
            <w:tcW w:w="1430" w:type="dxa"/>
            <w:shd w:val="clear" w:color="auto" w:fill="auto"/>
          </w:tcPr>
          <w:p w:rsidR="0098164F" w:rsidRPr="0031396B" w:rsidP="0098164F" w14:paraId="75C2F310" w14:textId="77777777">
            <w:pPr>
              <w:widowControl/>
              <w:rPr>
                <w:b/>
                <w:bCs/>
                <w:sz w:val="24"/>
              </w:rPr>
            </w:pPr>
            <w:r w:rsidRPr="0031396B">
              <w:rPr>
                <w:b/>
                <w:bCs/>
                <w:sz w:val="24"/>
              </w:rPr>
              <w:t>No.</w:t>
            </w:r>
          </w:p>
          <w:p w:rsidR="0098164F" w:rsidRPr="0031396B" w:rsidP="0098164F" w14:paraId="52F3A093" w14:textId="77777777">
            <w:pPr>
              <w:widowControl/>
              <w:rPr>
                <w:b/>
                <w:bCs/>
                <w:sz w:val="24"/>
              </w:rPr>
            </w:pPr>
            <w:r w:rsidRPr="0031396B">
              <w:rPr>
                <w:b/>
                <w:bCs/>
                <w:sz w:val="24"/>
              </w:rPr>
              <w:t>Responses</w:t>
            </w:r>
          </w:p>
          <w:p w:rsidR="0098164F" w:rsidRPr="0031396B" w:rsidP="0098164F" w14:paraId="676419AA" w14:textId="77777777">
            <w:pPr>
              <w:widowControl/>
              <w:rPr>
                <w:b/>
                <w:bCs/>
                <w:sz w:val="24"/>
              </w:rPr>
            </w:pPr>
            <w:r w:rsidRPr="0031396B">
              <w:rPr>
                <w:b/>
                <w:bCs/>
                <w:sz w:val="24"/>
              </w:rPr>
              <w:t>per</w:t>
            </w:r>
          </w:p>
          <w:p w:rsidR="0098164F" w:rsidRPr="0031396B" w:rsidP="0098164F" w14:paraId="06398F0A" w14:textId="77777777">
            <w:pPr>
              <w:widowControl/>
              <w:rPr>
                <w:b/>
                <w:bCs/>
                <w:sz w:val="24"/>
              </w:rPr>
            </w:pPr>
            <w:r w:rsidRPr="0031396B">
              <w:rPr>
                <w:b/>
                <w:bCs/>
                <w:sz w:val="24"/>
              </w:rPr>
              <w:t>Respondent</w:t>
            </w:r>
          </w:p>
        </w:tc>
        <w:tc>
          <w:tcPr>
            <w:tcW w:w="1177" w:type="dxa"/>
            <w:shd w:val="clear" w:color="auto" w:fill="auto"/>
          </w:tcPr>
          <w:p w:rsidR="0098164F" w:rsidRPr="0031396B" w:rsidP="0098164F" w14:paraId="693124E8" w14:textId="77777777">
            <w:pPr>
              <w:widowControl/>
              <w:rPr>
                <w:b/>
                <w:bCs/>
                <w:sz w:val="24"/>
              </w:rPr>
            </w:pPr>
            <w:r w:rsidRPr="0031396B">
              <w:rPr>
                <w:b/>
                <w:bCs/>
                <w:sz w:val="24"/>
              </w:rPr>
              <w:t>Average</w:t>
            </w:r>
          </w:p>
          <w:p w:rsidR="0098164F" w:rsidRPr="0031396B" w:rsidP="0098164F" w14:paraId="1D61D3EA" w14:textId="77777777">
            <w:pPr>
              <w:widowControl/>
              <w:rPr>
                <w:b/>
                <w:bCs/>
                <w:sz w:val="24"/>
              </w:rPr>
            </w:pPr>
            <w:r w:rsidRPr="0031396B">
              <w:rPr>
                <w:b/>
                <w:bCs/>
                <w:sz w:val="24"/>
              </w:rPr>
              <w:t>Burden per</w:t>
            </w:r>
          </w:p>
          <w:p w:rsidR="0098164F" w:rsidRPr="0031396B" w:rsidP="0098164F" w14:paraId="4D0B869B" w14:textId="77777777">
            <w:pPr>
              <w:widowControl/>
              <w:rPr>
                <w:b/>
                <w:bCs/>
                <w:sz w:val="24"/>
              </w:rPr>
            </w:pPr>
            <w:r w:rsidRPr="0031396B">
              <w:rPr>
                <w:b/>
                <w:bCs/>
                <w:sz w:val="24"/>
              </w:rPr>
              <w:t>Response</w:t>
            </w:r>
          </w:p>
          <w:p w:rsidR="0098164F" w:rsidRPr="0031396B" w:rsidP="0098164F" w14:paraId="4E37D6E7" w14:textId="77777777">
            <w:pPr>
              <w:widowControl/>
              <w:rPr>
                <w:b/>
                <w:bCs/>
                <w:sz w:val="24"/>
              </w:rPr>
            </w:pPr>
            <w:r w:rsidRPr="0031396B">
              <w:rPr>
                <w:b/>
                <w:bCs/>
                <w:sz w:val="24"/>
              </w:rPr>
              <w:t>(in hours)</w:t>
            </w:r>
          </w:p>
        </w:tc>
        <w:tc>
          <w:tcPr>
            <w:tcW w:w="990" w:type="dxa"/>
            <w:shd w:val="clear" w:color="auto" w:fill="auto"/>
          </w:tcPr>
          <w:p w:rsidR="0098164F" w:rsidRPr="0031396B" w:rsidP="0098164F" w14:paraId="4F3C39A7" w14:textId="77777777">
            <w:pPr>
              <w:widowControl/>
              <w:rPr>
                <w:b/>
                <w:bCs/>
                <w:sz w:val="24"/>
              </w:rPr>
            </w:pPr>
            <w:r w:rsidRPr="0031396B">
              <w:rPr>
                <w:b/>
                <w:bCs/>
                <w:sz w:val="24"/>
              </w:rPr>
              <w:t>Total Burden Hours</w:t>
            </w:r>
          </w:p>
        </w:tc>
      </w:tr>
      <w:tr w14:paraId="34E700DD" w14:textId="77777777" w:rsidTr="00536105">
        <w:tblPrEx>
          <w:tblW w:w="7447" w:type="dxa"/>
          <w:tblInd w:w="2538" w:type="dxa"/>
          <w:tblLook w:val="01E0"/>
        </w:tblPrEx>
        <w:tc>
          <w:tcPr>
            <w:tcW w:w="1430" w:type="dxa"/>
            <w:shd w:val="clear" w:color="auto" w:fill="auto"/>
          </w:tcPr>
          <w:p w:rsidR="0098164F" w:rsidRPr="0031396B" w:rsidP="0098164F" w14:paraId="4BD67E82" w14:textId="77777777">
            <w:pPr>
              <w:widowControl/>
              <w:rPr>
                <w:b/>
                <w:bCs/>
                <w:sz w:val="24"/>
              </w:rPr>
            </w:pPr>
            <w:r w:rsidRPr="0031396B">
              <w:rPr>
                <w:b/>
                <w:bCs/>
                <w:sz w:val="24"/>
              </w:rPr>
              <w:t>OASH Grant Recipient</w:t>
            </w:r>
          </w:p>
        </w:tc>
        <w:tc>
          <w:tcPr>
            <w:tcW w:w="897" w:type="dxa"/>
            <w:shd w:val="clear" w:color="auto" w:fill="auto"/>
          </w:tcPr>
          <w:p w:rsidR="0098164F" w:rsidRPr="0031396B" w:rsidP="0098164F" w14:paraId="7EC022EE" w14:textId="77777777">
            <w:pPr>
              <w:widowControl/>
              <w:rPr>
                <w:b/>
                <w:bCs/>
                <w:sz w:val="24"/>
              </w:rPr>
            </w:pPr>
            <w:r w:rsidRPr="0031396B">
              <w:rPr>
                <w:b/>
                <w:bCs/>
                <w:sz w:val="24"/>
              </w:rPr>
              <w:t>OASH PPR</w:t>
            </w:r>
          </w:p>
        </w:tc>
        <w:tc>
          <w:tcPr>
            <w:tcW w:w="1523" w:type="dxa"/>
            <w:shd w:val="clear" w:color="auto" w:fill="auto"/>
          </w:tcPr>
          <w:p w:rsidR="0098164F" w:rsidRPr="0031396B" w:rsidP="0098164F" w14:paraId="2C08FF45" w14:textId="77777777">
            <w:pPr>
              <w:widowControl/>
              <w:rPr>
                <w:b/>
                <w:bCs/>
                <w:sz w:val="24"/>
              </w:rPr>
            </w:pPr>
            <w:r w:rsidRPr="0031396B">
              <w:rPr>
                <w:b/>
                <w:bCs/>
                <w:sz w:val="24"/>
              </w:rPr>
              <w:t>800</w:t>
            </w:r>
          </w:p>
        </w:tc>
        <w:tc>
          <w:tcPr>
            <w:tcW w:w="1430" w:type="dxa"/>
            <w:shd w:val="clear" w:color="auto" w:fill="auto"/>
          </w:tcPr>
          <w:p w:rsidR="0098164F" w:rsidRPr="0031396B" w:rsidP="0098164F" w14:paraId="7035C8D0" w14:textId="77777777">
            <w:pPr>
              <w:widowControl/>
              <w:rPr>
                <w:b/>
                <w:bCs/>
                <w:sz w:val="24"/>
              </w:rPr>
            </w:pPr>
            <w:r w:rsidRPr="0031396B">
              <w:rPr>
                <w:b/>
                <w:bCs/>
                <w:sz w:val="24"/>
              </w:rPr>
              <w:t>3</w:t>
            </w:r>
          </w:p>
        </w:tc>
        <w:tc>
          <w:tcPr>
            <w:tcW w:w="1177" w:type="dxa"/>
            <w:shd w:val="clear" w:color="auto" w:fill="auto"/>
          </w:tcPr>
          <w:p w:rsidR="0098164F" w:rsidRPr="0031396B" w:rsidP="0098164F" w14:paraId="5A65D018" w14:textId="7CE61826">
            <w:pPr>
              <w:widowControl/>
              <w:rPr>
                <w:b/>
                <w:bCs/>
                <w:sz w:val="24"/>
              </w:rPr>
            </w:pPr>
            <w:r>
              <w:rPr>
                <w:b/>
                <w:bCs/>
                <w:sz w:val="24"/>
              </w:rPr>
              <w:t>1</w:t>
            </w:r>
          </w:p>
        </w:tc>
        <w:tc>
          <w:tcPr>
            <w:tcW w:w="990" w:type="dxa"/>
            <w:shd w:val="clear" w:color="auto" w:fill="auto"/>
          </w:tcPr>
          <w:p w:rsidR="0098164F" w:rsidRPr="0031396B" w:rsidP="0098164F" w14:paraId="0EECFE5D" w14:textId="07ED13B3">
            <w:pPr>
              <w:widowControl/>
              <w:rPr>
                <w:b/>
                <w:bCs/>
                <w:sz w:val="24"/>
              </w:rPr>
            </w:pPr>
            <w:r>
              <w:rPr>
                <w:b/>
                <w:bCs/>
                <w:sz w:val="24"/>
              </w:rPr>
              <w:t>24</w:t>
            </w:r>
            <w:r w:rsidR="00621114">
              <w:rPr>
                <w:b/>
                <w:bCs/>
                <w:sz w:val="24"/>
              </w:rPr>
              <w:t>00</w:t>
            </w:r>
          </w:p>
        </w:tc>
      </w:tr>
    </w:tbl>
    <w:p w:rsidR="0098164F" w:rsidRPr="007336A7" w14:paraId="0C7D2D41" w14:textId="77777777">
      <w:pPr>
        <w:widowControl/>
        <w:ind w:left="1800"/>
        <w:rPr>
          <w:sz w:val="24"/>
          <w:highlight w:val="yellow"/>
        </w:rPr>
      </w:pPr>
    </w:p>
    <w:p w:rsidR="0098164F" w:rsidRPr="00621114" w14:paraId="393DCEF6" w14:textId="77777777">
      <w:pPr>
        <w:widowControl/>
        <w:ind w:left="1440"/>
        <w:rPr>
          <w:sz w:val="24"/>
        </w:rPr>
      </w:pPr>
    </w:p>
    <w:p w:rsidR="0098164F" w:rsidRPr="00621114" w:rsidP="00581C50" w14:paraId="13397DA0" w14:textId="77836078">
      <w:pPr>
        <w:widowControl/>
        <w:rPr>
          <w:b/>
          <w:sz w:val="24"/>
        </w:rPr>
      </w:pPr>
      <w:r w:rsidRPr="00621114">
        <w:rPr>
          <w:sz w:val="24"/>
        </w:rPr>
        <w:tab/>
      </w:r>
      <w:r w:rsidRPr="00621114">
        <w:rPr>
          <w:sz w:val="24"/>
        </w:rPr>
        <w:tab/>
      </w:r>
      <w:r w:rsidRPr="00621114">
        <w:rPr>
          <w:sz w:val="24"/>
        </w:rPr>
        <w:tab/>
        <w:t xml:space="preserve"> </w:t>
      </w:r>
      <w:r w:rsidRPr="0031396B" w:rsidR="00581C50">
        <w:rPr>
          <w:b/>
          <w:sz w:val="24"/>
        </w:rPr>
        <w:t>12</w:t>
      </w:r>
      <w:r w:rsidR="00581C50">
        <w:rPr>
          <w:b/>
          <w:sz w:val="24"/>
        </w:rPr>
        <w:t>B</w:t>
      </w:r>
      <w:r w:rsidRPr="0031396B" w:rsidR="00581C50">
        <w:rPr>
          <w:b/>
          <w:sz w:val="24"/>
        </w:rPr>
        <w:t>.</w:t>
      </w:r>
      <w:r w:rsidRPr="008A7B53">
        <w:rPr>
          <w:b/>
          <w:sz w:val="24"/>
        </w:rPr>
        <w:t xml:space="preserve">     </w:t>
      </w:r>
      <w:r w:rsidRPr="00621114">
        <w:rPr>
          <w:b/>
          <w:sz w:val="24"/>
        </w:rPr>
        <w:t>Estimated Annualized Burden Costs</w:t>
      </w:r>
      <w:r w:rsidR="005F241E">
        <w:rPr>
          <w:b/>
          <w:sz w:val="24"/>
        </w:rPr>
        <w:t xml:space="preserve"> Per Response</w:t>
      </w:r>
      <w:r w:rsidR="008A7B53">
        <w:rPr>
          <w:b/>
          <w:sz w:val="24"/>
        </w:rPr>
        <w:t xml:space="preserve"> per respondent</w:t>
      </w:r>
      <w:r w:rsidR="005F241E">
        <w:rPr>
          <w:b/>
          <w:sz w:val="24"/>
        </w:rPr>
        <w:t xml:space="preserve">: </w:t>
      </w:r>
    </w:p>
    <w:tbl>
      <w:tblPr>
        <w:tblW w:w="5965" w:type="dxa"/>
        <w:tblInd w:w="2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14:paraId="78F7998F" w14:textId="77777777" w:rsidTr="00621114">
        <w:tblPrEx>
          <w:tblW w:w="5965" w:type="dxa"/>
          <w:tblInd w:w="2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0" w:type="dxa"/>
            <w:shd w:val="clear" w:color="auto" w:fill="auto"/>
          </w:tcPr>
          <w:p w:rsidR="0098164F" w:rsidRPr="00621114" w:rsidP="0098164F" w14:paraId="1F9516D4" w14:textId="77777777">
            <w:pPr>
              <w:widowControl/>
              <w:rPr>
                <w:b/>
                <w:bCs/>
                <w:sz w:val="24"/>
              </w:rPr>
            </w:pPr>
            <w:r w:rsidRPr="00621114">
              <w:rPr>
                <w:b/>
                <w:bCs/>
                <w:sz w:val="24"/>
              </w:rPr>
              <w:t>Type of</w:t>
            </w:r>
          </w:p>
          <w:p w:rsidR="0098164F" w:rsidRPr="00621114" w:rsidP="0098164F" w14:paraId="3599833B" w14:textId="77777777">
            <w:pPr>
              <w:widowControl/>
              <w:rPr>
                <w:sz w:val="24"/>
              </w:rPr>
            </w:pPr>
            <w:r w:rsidRPr="00621114">
              <w:rPr>
                <w:b/>
                <w:bCs/>
                <w:sz w:val="24"/>
              </w:rPr>
              <w:t>Respondent</w:t>
            </w:r>
          </w:p>
          <w:p w:rsidR="0098164F" w:rsidRPr="00621114" w:rsidP="0098164F" w14:paraId="5D4C3B75" w14:textId="77777777">
            <w:pPr>
              <w:widowControl/>
              <w:rPr>
                <w:b/>
                <w:bCs/>
                <w:sz w:val="24"/>
              </w:rPr>
            </w:pPr>
          </w:p>
        </w:tc>
        <w:tc>
          <w:tcPr>
            <w:tcW w:w="1330" w:type="dxa"/>
            <w:shd w:val="clear" w:color="auto" w:fill="auto"/>
          </w:tcPr>
          <w:p w:rsidR="0098164F" w:rsidRPr="00621114" w:rsidP="0098164F" w14:paraId="5091ED37" w14:textId="77777777">
            <w:pPr>
              <w:widowControl/>
              <w:rPr>
                <w:b/>
                <w:bCs/>
                <w:sz w:val="24"/>
              </w:rPr>
            </w:pPr>
            <w:r w:rsidRPr="00621114">
              <w:rPr>
                <w:b/>
                <w:bCs/>
                <w:sz w:val="24"/>
              </w:rPr>
              <w:t>Total Burden</w:t>
            </w:r>
          </w:p>
          <w:p w:rsidR="0098164F" w:rsidRPr="00621114" w:rsidP="0098164F" w14:paraId="09463E89" w14:textId="77777777">
            <w:pPr>
              <w:widowControl/>
              <w:rPr>
                <w:sz w:val="24"/>
              </w:rPr>
            </w:pPr>
            <w:r w:rsidRPr="00621114">
              <w:rPr>
                <w:b/>
                <w:bCs/>
                <w:sz w:val="24"/>
              </w:rPr>
              <w:t>Hours</w:t>
            </w:r>
          </w:p>
          <w:p w:rsidR="0098164F" w:rsidRPr="00621114" w:rsidP="0098164F" w14:paraId="66D9C24B" w14:textId="77777777">
            <w:pPr>
              <w:widowControl/>
              <w:rPr>
                <w:b/>
                <w:bCs/>
                <w:sz w:val="24"/>
              </w:rPr>
            </w:pPr>
          </w:p>
        </w:tc>
        <w:tc>
          <w:tcPr>
            <w:tcW w:w="1429" w:type="dxa"/>
            <w:shd w:val="clear" w:color="auto" w:fill="auto"/>
          </w:tcPr>
          <w:p w:rsidR="0098164F" w:rsidRPr="00621114" w:rsidP="0098164F" w14:paraId="4AFF9DBF" w14:textId="77777777">
            <w:pPr>
              <w:widowControl/>
              <w:rPr>
                <w:b/>
                <w:bCs/>
                <w:sz w:val="24"/>
              </w:rPr>
            </w:pPr>
            <w:r w:rsidRPr="00621114">
              <w:rPr>
                <w:b/>
                <w:bCs/>
                <w:sz w:val="24"/>
              </w:rPr>
              <w:t>Hourly</w:t>
            </w:r>
          </w:p>
          <w:p w:rsidR="0098164F" w:rsidRPr="00621114" w:rsidP="0098164F" w14:paraId="4B5394CF" w14:textId="77777777">
            <w:pPr>
              <w:widowControl/>
              <w:rPr>
                <w:sz w:val="24"/>
              </w:rPr>
            </w:pPr>
            <w:r w:rsidRPr="00621114">
              <w:rPr>
                <w:b/>
                <w:bCs/>
                <w:sz w:val="24"/>
              </w:rPr>
              <w:t>Wage Rate</w:t>
            </w:r>
          </w:p>
          <w:p w:rsidR="0098164F" w:rsidRPr="00621114" w:rsidP="0098164F" w14:paraId="60809CAB" w14:textId="77777777">
            <w:pPr>
              <w:widowControl/>
              <w:rPr>
                <w:b/>
                <w:bCs/>
                <w:sz w:val="24"/>
              </w:rPr>
            </w:pPr>
          </w:p>
        </w:tc>
        <w:tc>
          <w:tcPr>
            <w:tcW w:w="1776" w:type="dxa"/>
            <w:shd w:val="clear" w:color="auto" w:fill="auto"/>
          </w:tcPr>
          <w:p w:rsidR="001A544F" w:rsidRPr="00621114" w:rsidP="001A544F" w14:paraId="052D9B40" w14:textId="556CE093">
            <w:pPr>
              <w:widowControl/>
              <w:rPr>
                <w:sz w:val="24"/>
              </w:rPr>
            </w:pPr>
            <w:r w:rsidRPr="00621114">
              <w:rPr>
                <w:b/>
                <w:bCs/>
                <w:sz w:val="24"/>
              </w:rPr>
              <w:t>Total Cost</w:t>
            </w:r>
            <w:r>
              <w:rPr>
                <w:b/>
                <w:bCs/>
                <w:sz w:val="24"/>
              </w:rPr>
              <w:t xml:space="preserve"> per</w:t>
            </w:r>
          </w:p>
          <w:p w:rsidR="0098164F" w:rsidRPr="00621114" w:rsidP="001A544F" w14:paraId="4C47C905" w14:textId="41A9A471">
            <w:pPr>
              <w:widowControl/>
              <w:rPr>
                <w:b/>
                <w:bCs/>
                <w:sz w:val="24"/>
              </w:rPr>
            </w:pPr>
            <w:r w:rsidRPr="00621114">
              <w:rPr>
                <w:b/>
                <w:bCs/>
                <w:sz w:val="24"/>
              </w:rPr>
              <w:t xml:space="preserve">Respondent </w:t>
            </w:r>
          </w:p>
        </w:tc>
      </w:tr>
      <w:tr w14:paraId="7CC1D11E" w14:textId="77777777" w:rsidTr="00621114">
        <w:tblPrEx>
          <w:tblW w:w="5965" w:type="dxa"/>
          <w:tblInd w:w="2603" w:type="dxa"/>
          <w:tblLook w:val="01E0"/>
        </w:tblPrEx>
        <w:tc>
          <w:tcPr>
            <w:tcW w:w="1430" w:type="dxa"/>
            <w:shd w:val="clear" w:color="auto" w:fill="auto"/>
          </w:tcPr>
          <w:p w:rsidR="0098164F" w:rsidRPr="00621114" w14:paraId="4DCAED7F" w14:textId="77777777">
            <w:pPr>
              <w:rPr>
                <w:sz w:val="24"/>
              </w:rPr>
            </w:pPr>
            <w:r w:rsidRPr="00621114">
              <w:rPr>
                <w:sz w:val="24"/>
              </w:rPr>
              <w:t xml:space="preserve">Project Manager </w:t>
            </w:r>
            <w:r w:rsidRPr="00621114" w:rsidR="00621114">
              <w:rPr>
                <w:sz w:val="24"/>
              </w:rPr>
              <w:t>(Masters)</w:t>
            </w:r>
          </w:p>
        </w:tc>
        <w:tc>
          <w:tcPr>
            <w:tcW w:w="1330" w:type="dxa"/>
            <w:shd w:val="clear" w:color="auto" w:fill="auto"/>
          </w:tcPr>
          <w:p w:rsidR="0098164F" w:rsidRPr="00621114" w14:paraId="7D06065D" w14:textId="49D2154F">
            <w:pPr>
              <w:rPr>
                <w:sz w:val="24"/>
              </w:rPr>
            </w:pPr>
            <w:r>
              <w:rPr>
                <w:sz w:val="24"/>
              </w:rPr>
              <w:t>2400</w:t>
            </w:r>
          </w:p>
        </w:tc>
        <w:tc>
          <w:tcPr>
            <w:tcW w:w="1429" w:type="dxa"/>
            <w:shd w:val="clear" w:color="auto" w:fill="auto"/>
          </w:tcPr>
          <w:p w:rsidR="0098164F" w:rsidRPr="00621114" w:rsidP="0098164F" w14:paraId="6B2F06D5" w14:textId="77777777">
            <w:pPr>
              <w:jc w:val="right"/>
              <w:rPr>
                <w:sz w:val="24"/>
              </w:rPr>
            </w:pPr>
            <w:r w:rsidRPr="00621114">
              <w:rPr>
                <w:sz w:val="24"/>
              </w:rPr>
              <w:t xml:space="preserve"> $</w:t>
            </w:r>
            <w:r w:rsidRPr="00621114" w:rsidR="00621114">
              <w:rPr>
                <w:sz w:val="24"/>
              </w:rPr>
              <w:t>85</w:t>
            </w:r>
            <w:r w:rsidRPr="00621114">
              <w:rPr>
                <w:sz w:val="24"/>
              </w:rPr>
              <w:t xml:space="preserve">.00 </w:t>
            </w:r>
          </w:p>
        </w:tc>
        <w:tc>
          <w:tcPr>
            <w:tcW w:w="1776" w:type="dxa"/>
            <w:shd w:val="clear" w:color="auto" w:fill="auto"/>
          </w:tcPr>
          <w:p w:rsidR="0098164F" w:rsidRPr="00621114" w:rsidP="0098164F" w14:paraId="06260CB3" w14:textId="1B30EB94">
            <w:pPr>
              <w:jc w:val="right"/>
              <w:rPr>
                <w:sz w:val="24"/>
              </w:rPr>
            </w:pPr>
            <w:r w:rsidRPr="00621114">
              <w:rPr>
                <w:sz w:val="24"/>
              </w:rPr>
              <w:t>$</w:t>
            </w:r>
            <w:r w:rsidR="00A13531">
              <w:rPr>
                <w:sz w:val="24"/>
              </w:rPr>
              <w:t>204000</w:t>
            </w:r>
            <w:r w:rsidRPr="00621114">
              <w:rPr>
                <w:sz w:val="24"/>
              </w:rPr>
              <w:t>.00</w:t>
            </w:r>
          </w:p>
        </w:tc>
      </w:tr>
      <w:tr w14:paraId="5DCB778B" w14:textId="77777777" w:rsidTr="00621114">
        <w:tblPrEx>
          <w:tblW w:w="5965" w:type="dxa"/>
          <w:tblInd w:w="2603" w:type="dxa"/>
          <w:tblLook w:val="01E0"/>
        </w:tblPrEx>
        <w:tc>
          <w:tcPr>
            <w:tcW w:w="1430" w:type="dxa"/>
            <w:shd w:val="clear" w:color="auto" w:fill="auto"/>
          </w:tcPr>
          <w:p w:rsidR="00621114" w:rsidRPr="00621114" w14:paraId="32805E8A" w14:textId="77777777">
            <w:pPr>
              <w:rPr>
                <w:sz w:val="24"/>
              </w:rPr>
            </w:pPr>
            <w:r w:rsidRPr="00621114">
              <w:rPr>
                <w:sz w:val="24"/>
              </w:rPr>
              <w:t>Total</w:t>
            </w:r>
          </w:p>
        </w:tc>
        <w:tc>
          <w:tcPr>
            <w:tcW w:w="1330" w:type="dxa"/>
            <w:shd w:val="clear" w:color="auto" w:fill="auto"/>
          </w:tcPr>
          <w:p w:rsidR="00621114" w:rsidRPr="00621114" w14:paraId="01B7AAAE" w14:textId="77777777">
            <w:pPr>
              <w:rPr>
                <w:sz w:val="24"/>
              </w:rPr>
            </w:pPr>
          </w:p>
        </w:tc>
        <w:tc>
          <w:tcPr>
            <w:tcW w:w="1429" w:type="dxa"/>
            <w:shd w:val="clear" w:color="auto" w:fill="auto"/>
          </w:tcPr>
          <w:p w:rsidR="00621114" w:rsidRPr="00621114" w:rsidP="0098164F" w14:paraId="7E1B80D1" w14:textId="77777777">
            <w:pPr>
              <w:jc w:val="right"/>
              <w:rPr>
                <w:sz w:val="24"/>
              </w:rPr>
            </w:pPr>
          </w:p>
        </w:tc>
        <w:tc>
          <w:tcPr>
            <w:tcW w:w="1776" w:type="dxa"/>
            <w:shd w:val="clear" w:color="auto" w:fill="auto"/>
          </w:tcPr>
          <w:p w:rsidR="00621114" w:rsidRPr="00621114" w:rsidP="0098164F" w14:paraId="0029C732" w14:textId="557EAFFB">
            <w:pPr>
              <w:jc w:val="right"/>
              <w:rPr>
                <w:sz w:val="24"/>
              </w:rPr>
            </w:pPr>
            <w:r w:rsidRPr="00621114">
              <w:rPr>
                <w:sz w:val="24"/>
              </w:rPr>
              <w:t>$</w:t>
            </w:r>
            <w:r w:rsidR="00A13531">
              <w:rPr>
                <w:sz w:val="24"/>
              </w:rPr>
              <w:t>204000</w:t>
            </w:r>
            <w:r w:rsidRPr="00621114">
              <w:rPr>
                <w:sz w:val="24"/>
              </w:rPr>
              <w:t>.00</w:t>
            </w:r>
          </w:p>
        </w:tc>
      </w:tr>
    </w:tbl>
    <w:p w:rsidR="0098164F" w14:paraId="6249F09A" w14:textId="77777777">
      <w:pPr>
        <w:pStyle w:val="BodyTextIndent"/>
        <w:ind w:left="1080"/>
        <w:rPr>
          <w:rFonts w:ascii="Times New Roman" w:hAnsi="Times New Roman"/>
        </w:rPr>
      </w:pPr>
    </w:p>
    <w:p w:rsidR="0098164F" w14:paraId="49A04220" w14:textId="77777777">
      <w:pPr>
        <w:ind w:left="360"/>
        <w:rPr>
          <w:sz w:val="24"/>
        </w:rPr>
      </w:pPr>
    </w:p>
    <w:p w:rsidR="0098164F" w14:paraId="24159AF8" w14:textId="77777777">
      <w:pPr>
        <w:numPr>
          <w:ilvl w:val="0"/>
          <w:numId w:val="2"/>
        </w:numPr>
        <w:rPr>
          <w:b/>
          <w:sz w:val="24"/>
        </w:rPr>
      </w:pPr>
      <w:bookmarkStart w:id="1" w:name="_Hlk85731239"/>
      <w:r>
        <w:rPr>
          <w:b/>
          <w:sz w:val="24"/>
          <w:u w:val="single"/>
        </w:rPr>
        <w:t>Estimates of other Total Annual Cost Burden to Respondents or Recordkeepers/Capital Costs</w:t>
      </w:r>
    </w:p>
    <w:bookmarkEnd w:id="1"/>
    <w:p w:rsidR="0098164F" w14:paraId="6BE6F1A9" w14:textId="77777777">
      <w:pPr>
        <w:ind w:left="360"/>
        <w:rPr>
          <w:sz w:val="24"/>
        </w:rPr>
      </w:pPr>
    </w:p>
    <w:p w:rsidR="005F241E" w:rsidP="005F241E" w14:paraId="576BB67E" w14:textId="53076EAC">
      <w:pPr>
        <w:rPr>
          <w:sz w:val="24"/>
        </w:rPr>
      </w:pPr>
      <w:r>
        <w:rPr>
          <w:sz w:val="24"/>
        </w:rPr>
        <w:t>OASH provide</w:t>
      </w:r>
      <w:r w:rsidR="00202AEA">
        <w:rPr>
          <w:sz w:val="24"/>
        </w:rPr>
        <w:t>s</w:t>
      </w:r>
      <w:r>
        <w:rPr>
          <w:sz w:val="24"/>
        </w:rPr>
        <w:t xml:space="preserve"> the reporting platform, currently Grant Solutions. This information collection is a regulatory requirement as described above.  Information is currently being received primarily in narrative format from recipients in a less-structured format with guidance from the program offices. One time start-up costs for implementing this new collection in the web-based platform is $600,000 with an anticipated annual Operation and Maintenance (O&amp;M) Costs</w:t>
      </w:r>
      <w:r w:rsidR="00E90AB7">
        <w:rPr>
          <w:sz w:val="24"/>
        </w:rPr>
        <w:t>/ recordkeeping cost</w:t>
      </w:r>
      <w:r>
        <w:rPr>
          <w:sz w:val="24"/>
        </w:rPr>
        <w:t xml:space="preserve"> of $120,</w:t>
      </w:r>
      <w:r w:rsidR="00B35DAD">
        <w:rPr>
          <w:sz w:val="24"/>
        </w:rPr>
        <w:t>48</w:t>
      </w:r>
      <w:r>
        <w:rPr>
          <w:sz w:val="24"/>
        </w:rPr>
        <w:t xml:space="preserve">0 beginning in FY2025.  The O&amp;M costs for this information collection will increase the overall annual O&amp;M of the grants management system by approximately 16%.  </w:t>
      </w:r>
    </w:p>
    <w:p w:rsidR="005F241E" w:rsidP="005F241E" w14:paraId="5A44DE42" w14:textId="77777777">
      <w:pPr>
        <w:rPr>
          <w:sz w:val="24"/>
        </w:rPr>
      </w:pPr>
    </w:p>
    <w:p w:rsidR="005F241E" w:rsidRPr="00621114" w:rsidP="005F241E" w14:paraId="1F0F65B1" w14:textId="6E1D567F">
      <w:pPr>
        <w:rPr>
          <w:sz w:val="24"/>
        </w:rPr>
      </w:pPr>
      <w:r>
        <w:rPr>
          <w:sz w:val="24"/>
        </w:rPr>
        <w:t xml:space="preserve">Cost savings per PPR review and assessment are anticipated substantially as information will be more structured for programmatic review.  For </w:t>
      </w:r>
      <w:r w:rsidR="00187105">
        <w:rPr>
          <w:sz w:val="24"/>
        </w:rPr>
        <w:t>example,</w:t>
      </w:r>
      <w:r>
        <w:rPr>
          <w:sz w:val="24"/>
        </w:rPr>
        <w:t xml:space="preserve"> identification of missing elements will be automated and progress along the approved project plan more evident from reporting period to period.  Furthermore, PPR data is subject to FOIA and Privacy Act requests. The enhanced </w:t>
      </w:r>
      <w:r>
        <w:rPr>
          <w:sz w:val="24"/>
        </w:rPr>
        <w:t>format will facilitate the identification and consistency of material that requires redaction. A savings amount is difficult to estimate with current data.</w:t>
      </w:r>
    </w:p>
    <w:p w:rsidR="00A13531" w:rsidP="00A13531" w14:paraId="0D61A540" w14:textId="2E4E3203">
      <w:pPr>
        <w:pStyle w:val="BodyTextIndent"/>
        <w:ind w:left="1080"/>
        <w:rPr>
          <w:rFonts w:ascii="Times New Roman" w:hAnsi="Times New Roman"/>
        </w:rPr>
      </w:pPr>
      <w:r>
        <w:rPr>
          <w:rFonts w:ascii="Times New Roman" w:hAnsi="Times New Roman"/>
        </w:rPr>
        <w:t>The estimated total annual costs</w:t>
      </w:r>
      <w:r>
        <w:rPr>
          <w:rFonts w:ascii="Times New Roman" w:hAnsi="Times New Roman"/>
        </w:rPr>
        <w:t xml:space="preserve"> </w:t>
      </w:r>
      <w:r>
        <w:rPr>
          <w:rFonts w:ascii="Times New Roman" w:hAnsi="Times New Roman"/>
        </w:rPr>
        <w:t>will be $</w:t>
      </w:r>
      <w:r>
        <w:rPr>
          <w:rFonts w:ascii="Times New Roman" w:hAnsi="Times New Roman"/>
        </w:rPr>
        <w:t>720480</w:t>
      </w:r>
      <w:r>
        <w:rPr>
          <w:rFonts w:ascii="Times New Roman" w:hAnsi="Times New Roman"/>
        </w:rPr>
        <w:t>.</w:t>
      </w:r>
    </w:p>
    <w:p w:rsidR="00241196" w:rsidP="00241196" w14:paraId="15D1CADF" w14:textId="2CBCF75E">
      <w:pPr>
        <w:rPr>
          <w:sz w:val="24"/>
        </w:rPr>
      </w:pPr>
    </w:p>
    <w:p w:rsidR="00241196" w:rsidP="00241196" w14:paraId="2C6084D6" w14:textId="77777777">
      <w:pPr>
        <w:rPr>
          <w:sz w:val="24"/>
        </w:rPr>
      </w:pPr>
    </w:p>
    <w:p w:rsidR="0098164F" w:rsidRPr="00621114" w14:paraId="0DD4C596" w14:textId="77777777">
      <w:pPr>
        <w:numPr>
          <w:ilvl w:val="0"/>
          <w:numId w:val="2"/>
        </w:numPr>
        <w:rPr>
          <w:b/>
          <w:sz w:val="24"/>
        </w:rPr>
      </w:pPr>
      <w:bookmarkStart w:id="2" w:name="_Hlk85731309"/>
      <w:r w:rsidRPr="00621114">
        <w:rPr>
          <w:b/>
          <w:sz w:val="24"/>
          <w:u w:val="single"/>
        </w:rPr>
        <w:t>Annualized Cost to Federal Government</w:t>
      </w:r>
    </w:p>
    <w:bookmarkEnd w:id="2"/>
    <w:p w:rsidR="005F241E" w:rsidRPr="00621114" w:rsidP="005F241E" w14:paraId="115E45B9" w14:textId="506F4645">
      <w:pPr>
        <w:widowControl/>
        <w:rPr>
          <w:b/>
          <w:sz w:val="24"/>
        </w:rPr>
      </w:pPr>
      <w:r w:rsidRPr="00621114">
        <w:rPr>
          <w:b/>
          <w:sz w:val="24"/>
        </w:rPr>
        <w:t>Estimated Annualized Costs</w:t>
      </w:r>
      <w:r>
        <w:rPr>
          <w:b/>
          <w:sz w:val="24"/>
        </w:rPr>
        <w:t xml:space="preserve"> to Federal Government: </w:t>
      </w:r>
    </w:p>
    <w:tbl>
      <w:tblPr>
        <w:tblW w:w="5965" w:type="dxa"/>
        <w:tblInd w:w="2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14:paraId="0FEFEBB5" w14:textId="77777777" w:rsidTr="000634C8">
        <w:tblPrEx>
          <w:tblW w:w="5965" w:type="dxa"/>
          <w:tblInd w:w="2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0" w:type="dxa"/>
            <w:shd w:val="clear" w:color="auto" w:fill="auto"/>
          </w:tcPr>
          <w:p w:rsidR="005F241E" w:rsidRPr="00621114" w:rsidP="000634C8" w14:paraId="68A58B64" w14:textId="77777777">
            <w:pPr>
              <w:widowControl/>
              <w:rPr>
                <w:b/>
                <w:bCs/>
                <w:sz w:val="24"/>
              </w:rPr>
            </w:pPr>
            <w:r w:rsidRPr="00621114">
              <w:rPr>
                <w:b/>
                <w:bCs/>
                <w:sz w:val="24"/>
              </w:rPr>
              <w:t>Type of</w:t>
            </w:r>
          </w:p>
          <w:p w:rsidR="005F241E" w:rsidRPr="00621114" w:rsidP="000634C8" w14:paraId="31E17C95" w14:textId="77777777">
            <w:pPr>
              <w:widowControl/>
              <w:rPr>
                <w:sz w:val="24"/>
              </w:rPr>
            </w:pPr>
            <w:r w:rsidRPr="00621114">
              <w:rPr>
                <w:b/>
                <w:bCs/>
                <w:sz w:val="24"/>
              </w:rPr>
              <w:t>Respondent</w:t>
            </w:r>
          </w:p>
          <w:p w:rsidR="005F241E" w:rsidRPr="00621114" w:rsidP="000634C8" w14:paraId="32752045" w14:textId="77777777">
            <w:pPr>
              <w:widowControl/>
              <w:rPr>
                <w:b/>
                <w:bCs/>
                <w:sz w:val="24"/>
              </w:rPr>
            </w:pPr>
          </w:p>
        </w:tc>
        <w:tc>
          <w:tcPr>
            <w:tcW w:w="1330" w:type="dxa"/>
            <w:shd w:val="clear" w:color="auto" w:fill="auto"/>
          </w:tcPr>
          <w:p w:rsidR="005F241E" w:rsidRPr="00621114" w:rsidP="000634C8" w14:paraId="5263BD20" w14:textId="77777777">
            <w:pPr>
              <w:widowControl/>
              <w:rPr>
                <w:b/>
                <w:bCs/>
                <w:sz w:val="24"/>
              </w:rPr>
            </w:pPr>
            <w:r w:rsidRPr="00621114">
              <w:rPr>
                <w:b/>
                <w:bCs/>
                <w:sz w:val="24"/>
              </w:rPr>
              <w:t>Total Burden</w:t>
            </w:r>
          </w:p>
          <w:p w:rsidR="005F241E" w:rsidRPr="00621114" w:rsidP="000634C8" w14:paraId="575B4818" w14:textId="77777777">
            <w:pPr>
              <w:widowControl/>
              <w:rPr>
                <w:sz w:val="24"/>
              </w:rPr>
            </w:pPr>
            <w:r w:rsidRPr="00621114">
              <w:rPr>
                <w:b/>
                <w:bCs/>
                <w:sz w:val="24"/>
              </w:rPr>
              <w:t>Hours</w:t>
            </w:r>
          </w:p>
          <w:p w:rsidR="005F241E" w:rsidRPr="00621114" w:rsidP="000634C8" w14:paraId="63E9A7E5" w14:textId="77777777">
            <w:pPr>
              <w:widowControl/>
              <w:rPr>
                <w:b/>
                <w:bCs/>
                <w:sz w:val="24"/>
              </w:rPr>
            </w:pPr>
          </w:p>
        </w:tc>
        <w:tc>
          <w:tcPr>
            <w:tcW w:w="1429" w:type="dxa"/>
            <w:shd w:val="clear" w:color="auto" w:fill="auto"/>
          </w:tcPr>
          <w:p w:rsidR="005F241E" w:rsidRPr="00621114" w:rsidP="000634C8" w14:paraId="08011AB1" w14:textId="3D0D049F">
            <w:pPr>
              <w:widowControl/>
              <w:rPr>
                <w:sz w:val="24"/>
              </w:rPr>
            </w:pPr>
            <w:r>
              <w:rPr>
                <w:b/>
                <w:bCs/>
                <w:sz w:val="24"/>
              </w:rPr>
              <w:t>Cost per Response</w:t>
            </w:r>
          </w:p>
          <w:p w:rsidR="005F241E" w:rsidRPr="00621114" w:rsidP="000634C8" w14:paraId="2D69BC7D" w14:textId="77777777">
            <w:pPr>
              <w:widowControl/>
              <w:rPr>
                <w:b/>
                <w:bCs/>
                <w:sz w:val="24"/>
              </w:rPr>
            </w:pPr>
          </w:p>
        </w:tc>
        <w:tc>
          <w:tcPr>
            <w:tcW w:w="1776" w:type="dxa"/>
            <w:shd w:val="clear" w:color="auto" w:fill="auto"/>
          </w:tcPr>
          <w:p w:rsidR="005F241E" w:rsidRPr="00621114" w:rsidP="000634C8" w14:paraId="4C70C620" w14:textId="46230AE0">
            <w:pPr>
              <w:widowControl/>
              <w:rPr>
                <w:sz w:val="24"/>
              </w:rPr>
            </w:pPr>
            <w:r w:rsidRPr="00621114">
              <w:rPr>
                <w:b/>
                <w:bCs/>
                <w:sz w:val="24"/>
              </w:rPr>
              <w:t>Total Costs</w:t>
            </w:r>
          </w:p>
          <w:p w:rsidR="005F241E" w:rsidRPr="00621114" w:rsidP="000634C8" w14:paraId="1D6D94BE" w14:textId="77777777">
            <w:pPr>
              <w:widowControl/>
              <w:rPr>
                <w:b/>
                <w:bCs/>
                <w:sz w:val="24"/>
              </w:rPr>
            </w:pPr>
          </w:p>
        </w:tc>
      </w:tr>
      <w:tr w14:paraId="33FD59CB" w14:textId="77777777" w:rsidTr="000634C8">
        <w:tblPrEx>
          <w:tblW w:w="5965" w:type="dxa"/>
          <w:tblInd w:w="2603" w:type="dxa"/>
          <w:tblLook w:val="01E0"/>
        </w:tblPrEx>
        <w:tc>
          <w:tcPr>
            <w:tcW w:w="1430" w:type="dxa"/>
            <w:shd w:val="clear" w:color="auto" w:fill="auto"/>
          </w:tcPr>
          <w:p w:rsidR="005F241E" w:rsidRPr="00621114" w:rsidP="000634C8" w14:paraId="02323874" w14:textId="55C41751">
            <w:pPr>
              <w:rPr>
                <w:sz w:val="24"/>
              </w:rPr>
            </w:pPr>
            <w:r>
              <w:rPr>
                <w:sz w:val="24"/>
              </w:rPr>
              <w:t>Reporting</w:t>
            </w:r>
          </w:p>
        </w:tc>
        <w:tc>
          <w:tcPr>
            <w:tcW w:w="1330" w:type="dxa"/>
            <w:shd w:val="clear" w:color="auto" w:fill="auto"/>
          </w:tcPr>
          <w:p w:rsidR="005F241E" w:rsidRPr="00621114" w:rsidP="000634C8" w14:paraId="5BAC685F" w14:textId="3BC32E44">
            <w:pPr>
              <w:rPr>
                <w:sz w:val="24"/>
              </w:rPr>
            </w:pPr>
            <w:r>
              <w:rPr>
                <w:sz w:val="24"/>
              </w:rPr>
              <w:t>2400</w:t>
            </w:r>
          </w:p>
        </w:tc>
        <w:tc>
          <w:tcPr>
            <w:tcW w:w="1429" w:type="dxa"/>
            <w:shd w:val="clear" w:color="auto" w:fill="auto"/>
          </w:tcPr>
          <w:p w:rsidR="005F241E" w:rsidRPr="00621114" w:rsidP="000634C8" w14:paraId="002CE121" w14:textId="77777777">
            <w:pPr>
              <w:jc w:val="right"/>
              <w:rPr>
                <w:sz w:val="24"/>
              </w:rPr>
            </w:pPr>
            <w:r w:rsidRPr="00621114">
              <w:rPr>
                <w:sz w:val="24"/>
              </w:rPr>
              <w:t xml:space="preserve"> $85.00 </w:t>
            </w:r>
          </w:p>
        </w:tc>
        <w:tc>
          <w:tcPr>
            <w:tcW w:w="1776" w:type="dxa"/>
            <w:shd w:val="clear" w:color="auto" w:fill="auto"/>
          </w:tcPr>
          <w:p w:rsidR="005F241E" w:rsidRPr="00621114" w:rsidP="000634C8" w14:paraId="54C56696" w14:textId="2EC1B992">
            <w:pPr>
              <w:jc w:val="right"/>
              <w:rPr>
                <w:sz w:val="24"/>
              </w:rPr>
            </w:pPr>
            <w:r w:rsidRPr="00621114">
              <w:rPr>
                <w:sz w:val="24"/>
              </w:rPr>
              <w:t>$</w:t>
            </w:r>
            <w:r w:rsidR="00662D21">
              <w:rPr>
                <w:sz w:val="24"/>
              </w:rPr>
              <w:t>204</w:t>
            </w:r>
            <w:r>
              <w:rPr>
                <w:sz w:val="24"/>
              </w:rPr>
              <w:t>00</w:t>
            </w:r>
            <w:r w:rsidRPr="00621114">
              <w:rPr>
                <w:sz w:val="24"/>
              </w:rPr>
              <w:t>0.00</w:t>
            </w:r>
          </w:p>
        </w:tc>
      </w:tr>
      <w:tr w14:paraId="42E7337D" w14:textId="77777777" w:rsidTr="000634C8">
        <w:tblPrEx>
          <w:tblW w:w="5965" w:type="dxa"/>
          <w:tblInd w:w="2603" w:type="dxa"/>
          <w:tblLook w:val="01E0"/>
        </w:tblPrEx>
        <w:tc>
          <w:tcPr>
            <w:tcW w:w="1430" w:type="dxa"/>
            <w:shd w:val="clear" w:color="auto" w:fill="auto"/>
          </w:tcPr>
          <w:p w:rsidR="005F241E" w:rsidP="000634C8" w14:paraId="6BE45C51" w14:textId="1739E059">
            <w:pPr>
              <w:rPr>
                <w:sz w:val="24"/>
              </w:rPr>
            </w:pPr>
            <w:r>
              <w:rPr>
                <w:sz w:val="24"/>
              </w:rPr>
              <w:t>Record Keeping</w:t>
            </w:r>
          </w:p>
        </w:tc>
        <w:tc>
          <w:tcPr>
            <w:tcW w:w="1330" w:type="dxa"/>
            <w:shd w:val="clear" w:color="auto" w:fill="auto"/>
          </w:tcPr>
          <w:p w:rsidR="005F241E" w:rsidP="000634C8" w14:paraId="32B680CB" w14:textId="3F768882">
            <w:pPr>
              <w:rPr>
                <w:sz w:val="24"/>
              </w:rPr>
            </w:pPr>
            <w:r>
              <w:rPr>
                <w:sz w:val="24"/>
              </w:rPr>
              <w:t>2400</w:t>
            </w:r>
          </w:p>
        </w:tc>
        <w:tc>
          <w:tcPr>
            <w:tcW w:w="1429" w:type="dxa"/>
            <w:shd w:val="clear" w:color="auto" w:fill="auto"/>
          </w:tcPr>
          <w:p w:rsidR="005F241E" w:rsidRPr="00621114" w:rsidP="000634C8" w14:paraId="1E77BED8" w14:textId="40A3154A">
            <w:pPr>
              <w:jc w:val="right"/>
              <w:rPr>
                <w:sz w:val="24"/>
              </w:rPr>
            </w:pPr>
            <w:r>
              <w:rPr>
                <w:sz w:val="24"/>
              </w:rPr>
              <w:t>$50.20</w:t>
            </w:r>
          </w:p>
        </w:tc>
        <w:tc>
          <w:tcPr>
            <w:tcW w:w="1776" w:type="dxa"/>
            <w:shd w:val="clear" w:color="auto" w:fill="auto"/>
          </w:tcPr>
          <w:p w:rsidR="005F241E" w:rsidRPr="00621114" w:rsidP="000634C8" w14:paraId="72E128CD" w14:textId="51F33757">
            <w:pPr>
              <w:jc w:val="right"/>
              <w:rPr>
                <w:sz w:val="24"/>
              </w:rPr>
            </w:pPr>
            <w:r>
              <w:rPr>
                <w:sz w:val="24"/>
              </w:rPr>
              <w:t>$12</w:t>
            </w:r>
            <w:r w:rsidR="00161C5F">
              <w:rPr>
                <w:sz w:val="24"/>
              </w:rPr>
              <w:t>048</w:t>
            </w:r>
            <w:r>
              <w:rPr>
                <w:sz w:val="24"/>
              </w:rPr>
              <w:t>0.00</w:t>
            </w:r>
          </w:p>
        </w:tc>
      </w:tr>
      <w:tr w14:paraId="39042536" w14:textId="77777777" w:rsidTr="000634C8">
        <w:tblPrEx>
          <w:tblW w:w="5965" w:type="dxa"/>
          <w:tblInd w:w="2603" w:type="dxa"/>
          <w:tblLook w:val="01E0"/>
        </w:tblPrEx>
        <w:tc>
          <w:tcPr>
            <w:tcW w:w="1430" w:type="dxa"/>
            <w:shd w:val="clear" w:color="auto" w:fill="auto"/>
          </w:tcPr>
          <w:p w:rsidR="005F241E" w:rsidRPr="00621114" w:rsidP="000634C8" w14:paraId="196A85AF" w14:textId="77777777">
            <w:pPr>
              <w:rPr>
                <w:sz w:val="24"/>
              </w:rPr>
            </w:pPr>
            <w:r w:rsidRPr="00621114">
              <w:rPr>
                <w:sz w:val="24"/>
              </w:rPr>
              <w:t>Total</w:t>
            </w:r>
          </w:p>
        </w:tc>
        <w:tc>
          <w:tcPr>
            <w:tcW w:w="1330" w:type="dxa"/>
            <w:shd w:val="clear" w:color="auto" w:fill="auto"/>
          </w:tcPr>
          <w:p w:rsidR="005F241E" w:rsidRPr="00621114" w:rsidP="000634C8" w14:paraId="2697423F" w14:textId="77777777">
            <w:pPr>
              <w:rPr>
                <w:sz w:val="24"/>
              </w:rPr>
            </w:pPr>
          </w:p>
        </w:tc>
        <w:tc>
          <w:tcPr>
            <w:tcW w:w="1429" w:type="dxa"/>
            <w:shd w:val="clear" w:color="auto" w:fill="auto"/>
          </w:tcPr>
          <w:p w:rsidR="005F241E" w:rsidRPr="00621114" w:rsidP="000634C8" w14:paraId="13D54328" w14:textId="77777777">
            <w:pPr>
              <w:jc w:val="right"/>
              <w:rPr>
                <w:sz w:val="24"/>
              </w:rPr>
            </w:pPr>
          </w:p>
        </w:tc>
        <w:tc>
          <w:tcPr>
            <w:tcW w:w="1776" w:type="dxa"/>
            <w:shd w:val="clear" w:color="auto" w:fill="auto"/>
          </w:tcPr>
          <w:p w:rsidR="005F241E" w:rsidRPr="00621114" w:rsidP="000634C8" w14:paraId="777E07F4" w14:textId="4A352500">
            <w:pPr>
              <w:jc w:val="right"/>
              <w:rPr>
                <w:sz w:val="24"/>
              </w:rPr>
            </w:pPr>
            <w:r w:rsidRPr="00621114">
              <w:rPr>
                <w:sz w:val="24"/>
              </w:rPr>
              <w:t>$</w:t>
            </w:r>
            <w:r w:rsidR="00662D21">
              <w:rPr>
                <w:sz w:val="24"/>
              </w:rPr>
              <w:t>3</w:t>
            </w:r>
            <w:r w:rsidR="00187105">
              <w:rPr>
                <w:sz w:val="24"/>
              </w:rPr>
              <w:t>2</w:t>
            </w:r>
            <w:r w:rsidR="00662D21">
              <w:rPr>
                <w:sz w:val="24"/>
              </w:rPr>
              <w:t>4</w:t>
            </w:r>
            <w:r w:rsidR="00161C5F">
              <w:rPr>
                <w:sz w:val="24"/>
              </w:rPr>
              <w:t>48</w:t>
            </w:r>
            <w:r w:rsidR="00187105">
              <w:rPr>
                <w:sz w:val="24"/>
              </w:rPr>
              <w:t>0</w:t>
            </w:r>
            <w:r w:rsidRPr="00621114">
              <w:rPr>
                <w:sz w:val="24"/>
              </w:rPr>
              <w:t>.00</w:t>
            </w:r>
          </w:p>
        </w:tc>
      </w:tr>
    </w:tbl>
    <w:p w:rsidR="005F241E" w:rsidP="005F241E" w14:paraId="6F144EF9" w14:textId="47C76333">
      <w:pPr>
        <w:pStyle w:val="BodyTextIndent"/>
        <w:ind w:left="1080"/>
        <w:rPr>
          <w:rFonts w:ascii="Times New Roman" w:hAnsi="Times New Roman"/>
        </w:rPr>
      </w:pPr>
      <w:r>
        <w:rPr>
          <w:rFonts w:ascii="Times New Roman" w:hAnsi="Times New Roman"/>
        </w:rPr>
        <w:t>The estimated total annualized costs to the federal government will be $</w:t>
      </w:r>
      <w:r w:rsidR="00662D21">
        <w:rPr>
          <w:rFonts w:ascii="Times New Roman" w:hAnsi="Times New Roman"/>
        </w:rPr>
        <w:t>3</w:t>
      </w:r>
      <w:r>
        <w:rPr>
          <w:rFonts w:ascii="Times New Roman" w:hAnsi="Times New Roman"/>
        </w:rPr>
        <w:t>2</w:t>
      </w:r>
      <w:r w:rsidR="00662D21">
        <w:rPr>
          <w:rFonts w:ascii="Times New Roman" w:hAnsi="Times New Roman"/>
        </w:rPr>
        <w:t>4</w:t>
      </w:r>
      <w:r>
        <w:rPr>
          <w:rFonts w:ascii="Times New Roman" w:hAnsi="Times New Roman"/>
        </w:rPr>
        <w:t>480.</w:t>
      </w:r>
    </w:p>
    <w:p w:rsidR="0098164F" w14:paraId="4A2FDD4D" w14:textId="77777777">
      <w:pPr>
        <w:ind w:left="360"/>
        <w:rPr>
          <w:sz w:val="24"/>
        </w:rPr>
      </w:pPr>
    </w:p>
    <w:p w:rsidR="0098164F" w14:paraId="2949AD6A" w14:textId="77777777">
      <w:pPr>
        <w:numPr>
          <w:ilvl w:val="0"/>
          <w:numId w:val="2"/>
        </w:numPr>
        <w:rPr>
          <w:b/>
          <w:sz w:val="24"/>
        </w:rPr>
      </w:pPr>
      <w:bookmarkStart w:id="3" w:name="_Hlk85731368"/>
      <w:r>
        <w:rPr>
          <w:b/>
          <w:sz w:val="24"/>
          <w:u w:val="single"/>
        </w:rPr>
        <w:t>Explanation for Program Changes or Adjustments</w:t>
      </w:r>
      <w:bookmarkEnd w:id="3"/>
    </w:p>
    <w:p w:rsidR="0098164F" w:rsidP="00621114" w14:paraId="0A8E7834" w14:textId="77777777">
      <w:pPr>
        <w:pStyle w:val="BodyTextIndent"/>
        <w:ind w:left="0"/>
        <w:rPr>
          <w:rFonts w:ascii="Times New Roman" w:hAnsi="Times New Roman"/>
        </w:rPr>
      </w:pPr>
      <w:r>
        <w:rPr>
          <w:rFonts w:ascii="Times New Roman" w:hAnsi="Times New Roman"/>
        </w:rPr>
        <w:t>This is a new data collection.</w:t>
      </w:r>
    </w:p>
    <w:p w:rsidR="0098164F" w14:paraId="16A61B51" w14:textId="77777777">
      <w:pPr>
        <w:pStyle w:val="BodyTextIndent"/>
        <w:ind w:left="1080"/>
        <w:rPr>
          <w:rFonts w:ascii="Times New Roman" w:hAnsi="Times New Roman"/>
        </w:rPr>
      </w:pPr>
    </w:p>
    <w:p w:rsidR="0098164F" w14:paraId="7D729D48" w14:textId="77777777">
      <w:pPr>
        <w:ind w:left="360" w:firstLine="720"/>
        <w:rPr>
          <w:sz w:val="24"/>
        </w:rPr>
      </w:pPr>
    </w:p>
    <w:p w:rsidR="0098164F" w14:paraId="3108CF77" w14:textId="77777777">
      <w:pPr>
        <w:numPr>
          <w:ilvl w:val="0"/>
          <w:numId w:val="2"/>
        </w:numPr>
        <w:rPr>
          <w:b/>
          <w:sz w:val="24"/>
        </w:rPr>
      </w:pPr>
      <w:bookmarkStart w:id="4" w:name="_Hlk85731591"/>
      <w:r>
        <w:rPr>
          <w:b/>
          <w:sz w:val="24"/>
          <w:u w:val="single"/>
        </w:rPr>
        <w:t>Plans for Tabulation and Publication and Project Time Schedule</w:t>
      </w:r>
    </w:p>
    <w:bookmarkEnd w:id="4"/>
    <w:p w:rsidR="0098164F" w:rsidP="00751B86" w14:paraId="3A0BC8E5" w14:textId="77777777">
      <w:pPr>
        <w:rPr>
          <w:bCs/>
          <w:sz w:val="24"/>
        </w:rPr>
      </w:pPr>
      <w:r w:rsidRPr="00751B86">
        <w:rPr>
          <w:bCs/>
          <w:sz w:val="24"/>
        </w:rPr>
        <w:t xml:space="preserve">There are no </w:t>
      </w:r>
      <w:r>
        <w:rPr>
          <w:bCs/>
          <w:sz w:val="24"/>
        </w:rPr>
        <w:t xml:space="preserve">specific </w:t>
      </w:r>
      <w:r w:rsidRPr="00751B86">
        <w:rPr>
          <w:bCs/>
          <w:sz w:val="24"/>
        </w:rPr>
        <w:t xml:space="preserve">plans for tabulation or publication of the </w:t>
      </w:r>
      <w:r>
        <w:rPr>
          <w:bCs/>
          <w:sz w:val="24"/>
        </w:rPr>
        <w:t xml:space="preserve">data collection on the internet or in hard copy. However, recipients are notified a the time of application for a grant that any copyrighted works or data produced under the award may be shared by OASH per </w:t>
      </w:r>
      <w:r>
        <w:fldChar w:fldCharType="begin"/>
      </w:r>
      <w:r w:rsidRPr="00751B86">
        <w:rPr>
          <w:rStyle w:val="Hyperlink"/>
          <w:bCs/>
          <w:sz w:val="24"/>
        </w:rPr>
        <w:instrText xml:space="preserve"> HYPERLINK "https://www.ecfr.gov/current/title-45/subtitle-A/subchapter-A/part-75/subpart-D/subject-group-ECFR78b08d9c95aad03/section-75.322" </w:instrText>
      </w:r>
      <w:r>
        <w:fldChar w:fldCharType="separate"/>
      </w:r>
      <w:r w:rsidRPr="00751B86">
        <w:rPr>
          <w:rStyle w:val="Hyperlink"/>
          <w:bCs/>
          <w:sz w:val="24"/>
        </w:rPr>
        <w:t>45 C.F.R. §75.322</w:t>
      </w:r>
      <w:r>
        <w:fldChar w:fldCharType="end"/>
      </w:r>
      <w:r>
        <w:rPr>
          <w:bCs/>
          <w:sz w:val="24"/>
        </w:rPr>
        <w:t xml:space="preserve">.   </w:t>
      </w:r>
    </w:p>
    <w:p w:rsidR="00751B86" w14:paraId="7126C9A9" w14:textId="77777777">
      <w:pPr>
        <w:ind w:left="1080"/>
        <w:rPr>
          <w:sz w:val="24"/>
        </w:rPr>
      </w:pPr>
    </w:p>
    <w:p w:rsidR="0098164F" w14:paraId="78135BBE" w14:textId="77777777">
      <w:pPr>
        <w:numPr>
          <w:ilvl w:val="0"/>
          <w:numId w:val="2"/>
        </w:numPr>
        <w:rPr>
          <w:b/>
          <w:sz w:val="24"/>
        </w:rPr>
      </w:pPr>
      <w:bookmarkStart w:id="5" w:name="_Hlk85731696"/>
      <w:r>
        <w:rPr>
          <w:b/>
          <w:sz w:val="24"/>
          <w:u w:val="single"/>
        </w:rPr>
        <w:t>Reason(s) Display of OMB Expiration Date is Inappropriate</w:t>
      </w:r>
    </w:p>
    <w:bookmarkEnd w:id="5"/>
    <w:p w:rsidR="0098164F" w14:paraId="19B371E6" w14:textId="77777777">
      <w:pPr>
        <w:pStyle w:val="BodyTextIndent"/>
        <w:ind w:left="1080"/>
        <w:rPr>
          <w:rFonts w:ascii="Times New Roman" w:hAnsi="Times New Roman"/>
        </w:rPr>
      </w:pPr>
    </w:p>
    <w:p w:rsidR="0098164F" w:rsidP="00D85970" w14:paraId="1425515C" w14:textId="77777777">
      <w:pPr>
        <w:rPr>
          <w:sz w:val="24"/>
        </w:rPr>
      </w:pPr>
      <w:r>
        <w:rPr>
          <w:sz w:val="24"/>
        </w:rPr>
        <w:t xml:space="preserve">OMB Expiration Data will be displayed. </w:t>
      </w:r>
    </w:p>
    <w:p w:rsidR="00621114" w14:paraId="76AEF0DD" w14:textId="77777777">
      <w:pPr>
        <w:ind w:left="360"/>
        <w:rPr>
          <w:sz w:val="24"/>
        </w:rPr>
      </w:pPr>
    </w:p>
    <w:p w:rsidR="0098164F" w14:paraId="305B4233" w14:textId="77777777">
      <w:pPr>
        <w:numPr>
          <w:ilvl w:val="0"/>
          <w:numId w:val="2"/>
        </w:numPr>
        <w:rPr>
          <w:b/>
          <w:sz w:val="24"/>
        </w:rPr>
      </w:pPr>
      <w:bookmarkStart w:id="6" w:name="_Hlk85731783"/>
      <w:r>
        <w:rPr>
          <w:b/>
          <w:sz w:val="24"/>
          <w:u w:val="single"/>
        </w:rPr>
        <w:t>Exceptions to Certification for Paperwork Reduction Act Submissions</w:t>
      </w:r>
    </w:p>
    <w:p w:rsidR="0098164F" w:rsidP="00D85970" w14:paraId="3807785E" w14:textId="77777777">
      <w:pPr>
        <w:pStyle w:val="BodyTextIndent"/>
        <w:ind w:left="0"/>
        <w:rPr>
          <w:rFonts w:ascii="Times New Roman" w:hAnsi="Times New Roman"/>
        </w:rPr>
      </w:pPr>
      <w:bookmarkStart w:id="7" w:name="_Hlk85732246"/>
      <w:bookmarkEnd w:id="6"/>
      <w:r>
        <w:rPr>
          <w:rFonts w:ascii="Times New Roman" w:hAnsi="Times New Roman"/>
        </w:rPr>
        <w:t>There are no exceptions to the certification.</w:t>
      </w:r>
    </w:p>
    <w:bookmarkEnd w:id="7"/>
    <w:p w:rsidR="0098164F" w14:paraId="11A17FD3" w14:textId="77777777">
      <w:pPr>
        <w:pStyle w:val="BodyTextIndent"/>
        <w:ind w:left="1080"/>
        <w:rPr>
          <w:rFonts w:ascii="Times New Roman" w:hAnsi="Times New Roman"/>
        </w:rPr>
      </w:pPr>
    </w:p>
    <w:p w:rsidR="0098164F" w14:paraId="7BB174AD" w14:textId="77777777">
      <w:pPr>
        <w:rPr>
          <w:sz w:val="24"/>
        </w:rPr>
      </w:pPr>
    </w:p>
    <w:sectPr>
      <w:footerReference w:type="default" r:id="rId23"/>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64F" w14:paraId="429ABCD4" w14:textId="77777777">
    <w:pPr>
      <w:spacing w:line="240" w:lineRule="exact"/>
    </w:pPr>
  </w:p>
  <w:p w:rsidR="0098164F" w14:paraId="454AE28A"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70318">
      <w:rPr>
        <w:noProof/>
        <w:sz w:val="24"/>
      </w:rPr>
      <w:t>1</w:t>
    </w:r>
    <w:r>
      <w:rPr>
        <w:sz w:val="24"/>
      </w:rPr>
      <w:fldChar w:fldCharType="end"/>
    </w:r>
  </w:p>
  <w:p w:rsidR="0098164F" w14:paraId="64E19395"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8">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53759DE"/>
    <w:multiLevelType w:val="hybridMultilevel"/>
    <w:tmpl w:val="5CD01ADE"/>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3BC941BA"/>
    <w:multiLevelType w:val="hybridMultilevel"/>
    <w:tmpl w:val="70BA0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6101CC2"/>
    <w:multiLevelType w:val="hybridMultilevel"/>
    <w:tmpl w:val="7A6E3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4EA8477D"/>
    <w:multiLevelType w:val="hybridMultilevel"/>
    <w:tmpl w:val="7F30D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D46993"/>
    <w:multiLevelType w:val="hybridMultilevel"/>
    <w:tmpl w:val="E410B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13F7048"/>
    <w:multiLevelType w:val="hybridMultilevel"/>
    <w:tmpl w:val="B7D0560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21E45FE"/>
    <w:multiLevelType w:val="hybridMultilevel"/>
    <w:tmpl w:val="3CD07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E0859E0"/>
    <w:multiLevelType w:val="hybridMultilevel"/>
    <w:tmpl w:val="7042FEC8"/>
    <w:lvl w:ilvl="0">
      <w:start w:val="1"/>
      <w:numFmt w:val="upp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9">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473792938">
    <w:abstractNumId w:val="49"/>
  </w:num>
  <w:num w:numId="2" w16cid:durableId="243951515">
    <w:abstractNumId w:val="23"/>
  </w:num>
  <w:num w:numId="3" w16cid:durableId="1816141544">
    <w:abstractNumId w:val="14"/>
  </w:num>
  <w:num w:numId="4" w16cid:durableId="1898473486">
    <w:abstractNumId w:val="44"/>
  </w:num>
  <w:num w:numId="5" w16cid:durableId="723917437">
    <w:abstractNumId w:val="48"/>
  </w:num>
  <w:num w:numId="6" w16cid:durableId="1962878881">
    <w:abstractNumId w:val="8"/>
  </w:num>
  <w:num w:numId="7" w16cid:durableId="244263919">
    <w:abstractNumId w:val="39"/>
  </w:num>
  <w:num w:numId="8" w16cid:durableId="638652867">
    <w:abstractNumId w:val="17"/>
  </w:num>
  <w:num w:numId="9" w16cid:durableId="610624695">
    <w:abstractNumId w:val="29"/>
  </w:num>
  <w:num w:numId="10" w16cid:durableId="152533470">
    <w:abstractNumId w:val="20"/>
  </w:num>
  <w:num w:numId="11" w16cid:durableId="112752639">
    <w:abstractNumId w:val="7"/>
  </w:num>
  <w:num w:numId="12" w16cid:durableId="1164472781">
    <w:abstractNumId w:val="26"/>
  </w:num>
  <w:num w:numId="13" w16cid:durableId="519709009">
    <w:abstractNumId w:val="21"/>
  </w:num>
  <w:num w:numId="14" w16cid:durableId="1422920291">
    <w:abstractNumId w:val="24"/>
  </w:num>
  <w:num w:numId="15" w16cid:durableId="681320984">
    <w:abstractNumId w:val="6"/>
  </w:num>
  <w:num w:numId="16" w16cid:durableId="436488928">
    <w:abstractNumId w:val="0"/>
  </w:num>
  <w:num w:numId="17" w16cid:durableId="953830584">
    <w:abstractNumId w:val="1"/>
  </w:num>
  <w:num w:numId="18" w16cid:durableId="2116123928">
    <w:abstractNumId w:val="15"/>
  </w:num>
  <w:num w:numId="19" w16cid:durableId="1342659998">
    <w:abstractNumId w:val="38"/>
  </w:num>
  <w:num w:numId="20" w16cid:durableId="1349327656">
    <w:abstractNumId w:val="35"/>
  </w:num>
  <w:num w:numId="21" w16cid:durableId="1946838214">
    <w:abstractNumId w:val="19"/>
  </w:num>
  <w:num w:numId="22" w16cid:durableId="1533684384">
    <w:abstractNumId w:val="43"/>
  </w:num>
  <w:num w:numId="23" w16cid:durableId="1924147367">
    <w:abstractNumId w:val="33"/>
  </w:num>
  <w:num w:numId="24" w16cid:durableId="1268469446">
    <w:abstractNumId w:val="34"/>
  </w:num>
  <w:num w:numId="25" w16cid:durableId="1113864328">
    <w:abstractNumId w:val="46"/>
  </w:num>
  <w:num w:numId="26" w16cid:durableId="1895845996">
    <w:abstractNumId w:val="42"/>
  </w:num>
  <w:num w:numId="27" w16cid:durableId="299506829">
    <w:abstractNumId w:val="3"/>
  </w:num>
  <w:num w:numId="28" w16cid:durableId="2052536781">
    <w:abstractNumId w:val="16"/>
  </w:num>
  <w:num w:numId="29" w16cid:durableId="537860355">
    <w:abstractNumId w:val="45"/>
  </w:num>
  <w:num w:numId="30" w16cid:durableId="987439604">
    <w:abstractNumId w:val="40"/>
  </w:num>
  <w:num w:numId="31" w16cid:durableId="1168598942">
    <w:abstractNumId w:val="37"/>
  </w:num>
  <w:num w:numId="32" w16cid:durableId="1959414820">
    <w:abstractNumId w:val="9"/>
  </w:num>
  <w:num w:numId="33" w16cid:durableId="1381174517">
    <w:abstractNumId w:val="2"/>
  </w:num>
  <w:num w:numId="34" w16cid:durableId="866219659">
    <w:abstractNumId w:val="30"/>
  </w:num>
  <w:num w:numId="35" w16cid:durableId="136728261">
    <w:abstractNumId w:val="11"/>
  </w:num>
  <w:num w:numId="36" w16cid:durableId="528226885">
    <w:abstractNumId w:val="10"/>
  </w:num>
  <w:num w:numId="37" w16cid:durableId="2073771738">
    <w:abstractNumId w:val="13"/>
  </w:num>
  <w:num w:numId="38" w16cid:durableId="62526475">
    <w:abstractNumId w:val="4"/>
  </w:num>
  <w:num w:numId="39" w16cid:durableId="530262193">
    <w:abstractNumId w:val="32"/>
  </w:num>
  <w:num w:numId="40" w16cid:durableId="1392537891">
    <w:abstractNumId w:val="5"/>
  </w:num>
  <w:num w:numId="41" w16cid:durableId="176622222">
    <w:abstractNumId w:val="31"/>
  </w:num>
  <w:num w:numId="42" w16cid:durableId="750545380">
    <w:abstractNumId w:val="25"/>
  </w:num>
  <w:num w:numId="43" w16cid:durableId="554199270">
    <w:abstractNumId w:val="12"/>
  </w:num>
  <w:num w:numId="44" w16cid:durableId="284964049">
    <w:abstractNumId w:val="36"/>
  </w:num>
  <w:num w:numId="45" w16cid:durableId="2083943352">
    <w:abstractNumId w:val="47"/>
  </w:num>
  <w:num w:numId="46" w16cid:durableId="479687871">
    <w:abstractNumId w:val="18"/>
  </w:num>
  <w:num w:numId="47" w16cid:durableId="222716203">
    <w:abstractNumId w:val="27"/>
  </w:num>
  <w:num w:numId="48" w16cid:durableId="1942714566">
    <w:abstractNumId w:val="41"/>
  </w:num>
  <w:num w:numId="49" w16cid:durableId="666635466">
    <w:abstractNumId w:val="22"/>
  </w:num>
  <w:num w:numId="50" w16cid:durableId="16643140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4"/>
    <w:rsid w:val="00035F7F"/>
    <w:rsid w:val="00042003"/>
    <w:rsid w:val="00050890"/>
    <w:rsid w:val="000557C7"/>
    <w:rsid w:val="000634C8"/>
    <w:rsid w:val="00085B91"/>
    <w:rsid w:val="000962A9"/>
    <w:rsid w:val="000F2061"/>
    <w:rsid w:val="000F66B3"/>
    <w:rsid w:val="00110C0E"/>
    <w:rsid w:val="001468B1"/>
    <w:rsid w:val="00161C5F"/>
    <w:rsid w:val="00187105"/>
    <w:rsid w:val="001A544F"/>
    <w:rsid w:val="00201F07"/>
    <w:rsid w:val="00202AEA"/>
    <w:rsid w:val="00241196"/>
    <w:rsid w:val="0024731D"/>
    <w:rsid w:val="00265782"/>
    <w:rsid w:val="002A765F"/>
    <w:rsid w:val="002B6FEF"/>
    <w:rsid w:val="00305611"/>
    <w:rsid w:val="0031396B"/>
    <w:rsid w:val="003528D8"/>
    <w:rsid w:val="00371986"/>
    <w:rsid w:val="00376C8B"/>
    <w:rsid w:val="003C50CB"/>
    <w:rsid w:val="00445740"/>
    <w:rsid w:val="00536105"/>
    <w:rsid w:val="00561490"/>
    <w:rsid w:val="005730DB"/>
    <w:rsid w:val="00581C50"/>
    <w:rsid w:val="00597AA8"/>
    <w:rsid w:val="005E5C77"/>
    <w:rsid w:val="005F241E"/>
    <w:rsid w:val="005F7B91"/>
    <w:rsid w:val="00621114"/>
    <w:rsid w:val="00662D21"/>
    <w:rsid w:val="00670004"/>
    <w:rsid w:val="006811C4"/>
    <w:rsid w:val="00696365"/>
    <w:rsid w:val="006D5E8E"/>
    <w:rsid w:val="006E2057"/>
    <w:rsid w:val="006F3164"/>
    <w:rsid w:val="00715922"/>
    <w:rsid w:val="0072506F"/>
    <w:rsid w:val="007336A7"/>
    <w:rsid w:val="00751B86"/>
    <w:rsid w:val="00757B3B"/>
    <w:rsid w:val="008168E7"/>
    <w:rsid w:val="008309E1"/>
    <w:rsid w:val="008563BD"/>
    <w:rsid w:val="008660C0"/>
    <w:rsid w:val="008A2884"/>
    <w:rsid w:val="008A7B53"/>
    <w:rsid w:val="0098164F"/>
    <w:rsid w:val="009968A7"/>
    <w:rsid w:val="00A13531"/>
    <w:rsid w:val="00A41F36"/>
    <w:rsid w:val="00AA2BD5"/>
    <w:rsid w:val="00AA5504"/>
    <w:rsid w:val="00AD3E8D"/>
    <w:rsid w:val="00AF5419"/>
    <w:rsid w:val="00B35DAD"/>
    <w:rsid w:val="00B475F4"/>
    <w:rsid w:val="00B83A9B"/>
    <w:rsid w:val="00B844F7"/>
    <w:rsid w:val="00BC0BF7"/>
    <w:rsid w:val="00BC3FCC"/>
    <w:rsid w:val="00BD26BF"/>
    <w:rsid w:val="00C03526"/>
    <w:rsid w:val="00C5109D"/>
    <w:rsid w:val="00CC14BB"/>
    <w:rsid w:val="00D23D70"/>
    <w:rsid w:val="00D446C4"/>
    <w:rsid w:val="00D53C3A"/>
    <w:rsid w:val="00D66AD9"/>
    <w:rsid w:val="00D827A9"/>
    <w:rsid w:val="00D85970"/>
    <w:rsid w:val="00DB4AA9"/>
    <w:rsid w:val="00DE044F"/>
    <w:rsid w:val="00DE50B9"/>
    <w:rsid w:val="00DF363F"/>
    <w:rsid w:val="00DF5005"/>
    <w:rsid w:val="00E220E2"/>
    <w:rsid w:val="00E53523"/>
    <w:rsid w:val="00E707F7"/>
    <w:rsid w:val="00E90AB7"/>
    <w:rsid w:val="00EA212D"/>
    <w:rsid w:val="00ED05E2"/>
    <w:rsid w:val="00F33182"/>
    <w:rsid w:val="00F41E19"/>
    <w:rsid w:val="00F67330"/>
    <w:rsid w:val="00F70318"/>
    <w:rsid w:val="00FB3963"/>
    <w:rsid w:val="00FE6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B33322"/>
  <w15:chartTrackingRefBased/>
  <w15:docId w15:val="{61967D07-67F1-4DFA-8EE5-E6EB3854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419"/>
    <w:rPr>
      <w:rFonts w:ascii="Segoe UI" w:hAnsi="Segoe UI" w:cs="Segoe UI"/>
      <w:sz w:val="18"/>
      <w:szCs w:val="18"/>
    </w:rPr>
  </w:style>
  <w:style w:type="character" w:customStyle="1" w:styleId="BalloonTextChar">
    <w:name w:val="Balloon Text Char"/>
    <w:link w:val="BalloonText"/>
    <w:rsid w:val="00AF5419"/>
    <w:rPr>
      <w:rFonts w:ascii="Segoe UI" w:hAnsi="Segoe UI" w:cs="Segoe UI"/>
      <w:sz w:val="18"/>
      <w:szCs w:val="18"/>
    </w:rPr>
  </w:style>
  <w:style w:type="paragraph" w:styleId="Header">
    <w:name w:val="header"/>
    <w:basedOn w:val="Normal"/>
    <w:link w:val="HeaderChar"/>
    <w:rsid w:val="008A2884"/>
    <w:pPr>
      <w:tabs>
        <w:tab w:val="center" w:pos="4680"/>
        <w:tab w:val="right" w:pos="9360"/>
      </w:tabs>
    </w:pPr>
  </w:style>
  <w:style w:type="character" w:customStyle="1" w:styleId="HeaderChar">
    <w:name w:val="Header Char"/>
    <w:link w:val="Header"/>
    <w:rsid w:val="008A2884"/>
    <w:rPr>
      <w:szCs w:val="24"/>
    </w:rPr>
  </w:style>
  <w:style w:type="paragraph" w:styleId="Footer">
    <w:name w:val="footer"/>
    <w:basedOn w:val="Normal"/>
    <w:link w:val="FooterChar"/>
    <w:rsid w:val="008A2884"/>
    <w:pPr>
      <w:tabs>
        <w:tab w:val="center" w:pos="4680"/>
        <w:tab w:val="right" w:pos="9360"/>
      </w:tabs>
    </w:pPr>
  </w:style>
  <w:style w:type="character" w:customStyle="1" w:styleId="FooterChar">
    <w:name w:val="Footer Char"/>
    <w:link w:val="Footer"/>
    <w:rsid w:val="008A2884"/>
    <w:rPr>
      <w:szCs w:val="24"/>
    </w:rPr>
  </w:style>
  <w:style w:type="character" w:styleId="Hyperlink">
    <w:name w:val="Hyperlink"/>
    <w:rsid w:val="001468B1"/>
    <w:rPr>
      <w:color w:val="0563C1"/>
      <w:u w:val="single"/>
    </w:rPr>
  </w:style>
  <w:style w:type="character" w:styleId="UnresolvedMention">
    <w:name w:val="Unresolved Mention"/>
    <w:uiPriority w:val="99"/>
    <w:semiHidden/>
    <w:unhideWhenUsed/>
    <w:rsid w:val="001468B1"/>
    <w:rPr>
      <w:color w:val="605E5C"/>
      <w:shd w:val="clear" w:color="auto" w:fill="E1DFDD"/>
    </w:rPr>
  </w:style>
  <w:style w:type="character" w:customStyle="1" w:styleId="normaltextrun">
    <w:name w:val="normaltextrun"/>
    <w:basedOn w:val="DefaultParagraphFont"/>
    <w:rsid w:val="0031396B"/>
  </w:style>
  <w:style w:type="paragraph" w:styleId="Revision">
    <w:name w:val="Revision"/>
    <w:hidden/>
    <w:uiPriority w:val="99"/>
    <w:semiHidden/>
    <w:rsid w:val="00371986"/>
    <w:rPr>
      <w:szCs w:val="24"/>
    </w:rPr>
  </w:style>
  <w:style w:type="character" w:styleId="FollowedHyperlink">
    <w:name w:val="FollowedHyperlink"/>
    <w:basedOn w:val="DefaultParagraphFont"/>
    <w:rsid w:val="00247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uscode/text/42/300u-1" TargetMode="External" /><Relationship Id="rId11" Type="http://schemas.openxmlformats.org/officeDocument/2006/relationships/hyperlink" Target="https://www.law.cornell.edu/uscode/text/42/300u-2" TargetMode="External" /><Relationship Id="rId12" Type="http://schemas.openxmlformats.org/officeDocument/2006/relationships/hyperlink" Target="https://www.law.cornell.edu/uscode/text/42/300u-3" TargetMode="External" /><Relationship Id="rId13" Type="http://schemas.openxmlformats.org/officeDocument/2006/relationships/hyperlink" Target="https://www.law.cornell.edu/uscode/text/42/237a" TargetMode="External" /><Relationship Id="rId14" Type="http://schemas.openxmlformats.org/officeDocument/2006/relationships/hyperlink" Target="https://www.law.cornell.edu/uscode/text/42/300u-6" TargetMode="External" /><Relationship Id="rId15" Type="http://schemas.openxmlformats.org/officeDocument/2006/relationships/hyperlink" Target="https://www.law.cornell.edu/uscode/text/42/300a-1" TargetMode="External" /><Relationship Id="rId16" Type="http://schemas.openxmlformats.org/officeDocument/2006/relationships/hyperlink" Target="https://www.congress.gov/117/plaws/publ328/PLAW-117publ328.pdf" TargetMode="External" /><Relationship Id="rId17" Type="http://schemas.openxmlformats.org/officeDocument/2006/relationships/hyperlink" Target="https://www.law.cornell.edu/uscode/text/42/238j" TargetMode="External" /><Relationship Id="rId18" Type="http://schemas.openxmlformats.org/officeDocument/2006/relationships/hyperlink" Target="https://www.law.cornell.edu/uscode/text/42/300a-2" TargetMode="External" /><Relationship Id="rId19" Type="http://schemas.openxmlformats.org/officeDocument/2006/relationships/hyperlink" Target="https://www.ecfr.gov/current/title-45/subtitle-A/subchapter-A/part-75/subpart-D/subject-group-ECFR911e5e1a30bfbcb/section-75.301" TargetMode="External" /><Relationship Id="rId2" Type="http://schemas.openxmlformats.org/officeDocument/2006/relationships/webSettings" Target="webSettings.xml" /><Relationship Id="rId20" Type="http://schemas.openxmlformats.org/officeDocument/2006/relationships/hyperlink" Target="https://www.ecfr.gov/current/title-45/subtitle-A/subchapter-A/part-75/subpart-D/subject-group-ECFR235b0b854924ea0/section-75.341" TargetMode="External" /><Relationship Id="rId21" Type="http://schemas.openxmlformats.org/officeDocument/2006/relationships/hyperlink" Target="https://www.ecfr.gov/current/title-45/subtitle-A/subchapter-A/part-75/subpart-D/subject-group-ECFR235b0b854924ea0/section-75.342" TargetMode="External" /><Relationship Id="rId22" Type="http://schemas.openxmlformats.org/officeDocument/2006/relationships/hyperlink" Target="https://www.ecfr.gov/current/title-2/subtitle-A/chapter-II/part-200/subpart-D/subject-group-ECFR36520e4111dce32/section-200.329"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chrome-extension://efaidnbmnnnibpcajpcglclefindmkaj/https:/www.govinfo.gov/content/pkg/USCODE-2021-title42/pdf/USCODE-2021-title42-chap6A-subchapXV-sec300u-3.pdf" TargetMode="External" /><Relationship Id="rId9" Type="http://schemas.openxmlformats.org/officeDocument/2006/relationships/hyperlink" Target="chrome-extension://efaidnbmnnnibpcajpcglclefindmkaj/https:/www.govinfo.gov/content/pkg/USCODE-2021-title42/pdf/USCODE-2021-title42-chap6A-subchapII-partA-sec24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18CDB8A23F043947438549946DEDD" ma:contentTypeVersion="6" ma:contentTypeDescription="Create a new document." ma:contentTypeScope="" ma:versionID="961ee6ddd47c9ca646c5dff2f1d2efd2">
  <xsd:schema xmlns:xsd="http://www.w3.org/2001/XMLSchema" xmlns:xs="http://www.w3.org/2001/XMLSchema" xmlns:p="http://schemas.microsoft.com/office/2006/metadata/properties" xmlns:ns2="0a8cccd7-94b2-4b3f-bae4-8c866192a12c" xmlns:ns3="8617b1ee-a130-49b2-adcc-906461b5d203" targetNamespace="http://schemas.microsoft.com/office/2006/metadata/properties" ma:root="true" ma:fieldsID="ac421504f014b932b95fc3f548a0ed29" ns2:_="" ns3:_="">
    <xsd:import namespace="0a8cccd7-94b2-4b3f-bae4-8c866192a12c"/>
    <xsd:import namespace="8617b1ee-a130-49b2-adcc-906461b5d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cccd7-94b2-4b3f-bae4-8c866192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7b1ee-a130-49b2-adcc-906461b5d2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6B023-8E4A-4F0B-9C5C-2DD87D416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41E4B-C701-4968-80D1-B913032D2225}">
  <ds:schemaRefs>
    <ds:schemaRef ds:uri="http://schemas.microsoft.com/sharepoint/v3/contenttype/forms"/>
  </ds:schemaRefs>
</ds:datastoreItem>
</file>

<file path=customXml/itemProps3.xml><?xml version="1.0" encoding="utf-8"?>
<ds:datastoreItem xmlns:ds="http://schemas.openxmlformats.org/officeDocument/2006/customXml" ds:itemID="{5F9E7291-CB0C-4B89-A797-B299AE504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cccd7-94b2-4b3f-bae4-8c866192a12c"/>
    <ds:schemaRef ds:uri="8617b1ee-a130-49b2-adcc-906461b5d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1B5B6-4074-4A9B-9918-2CDC9CB4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2433</Words>
  <Characters>14504</Characters>
  <Application>Microsoft Office Word</Application>
  <DocSecurity>0</DocSecurity>
  <Lines>518</Lines>
  <Paragraphs>277</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Subedi, Rashmita (HHS/OASH)</cp:lastModifiedBy>
  <cp:revision>3</cp:revision>
  <cp:lastPrinted>2009-10-02T01:30:00Z</cp:lastPrinted>
  <dcterms:created xsi:type="dcterms:W3CDTF">2024-07-05T18:53:00Z</dcterms:created>
  <dcterms:modified xsi:type="dcterms:W3CDTF">2024-07-05T18:55:00Z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0x010100DA018CDB8A23F043947438549946DEDD</vt:lpwstr>
  </property>
  <property fmtid="{D5CDD505-2E9C-101B-9397-08002B2CF9AE}" pid="3" name="GrammarlyDocumentId">
    <vt:lpwstr>51fffaf07e03247ebde67d1828f4c776e56f153de24981ec607bfca10489170f</vt:lpwstr>
  </property>
</Properties>
</file>