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A79" w:rsidRPr="00D368BA" w:rsidP="00FD1A79" w14:paraId="6F7EA079" w14:textId="77777777">
      <w:pPr>
        <w:spacing w:line="360" w:lineRule="auto"/>
        <w:jc w:val="center"/>
        <w:rPr>
          <w:b/>
          <w:caps/>
          <w:sz w:val="36"/>
          <w:szCs w:val="36"/>
        </w:rPr>
      </w:pPr>
    </w:p>
    <w:p w:rsidR="00FD1A79" w:rsidRPr="00D368BA" w:rsidP="00FD1A79" w14:paraId="67DF25FC" w14:textId="77777777">
      <w:pPr>
        <w:spacing w:line="360" w:lineRule="auto"/>
        <w:jc w:val="center"/>
        <w:rPr>
          <w:b/>
          <w:sz w:val="36"/>
          <w:szCs w:val="36"/>
        </w:rPr>
      </w:pPr>
      <w:r w:rsidRPr="00D368BA">
        <w:rPr>
          <w:b/>
          <w:sz w:val="36"/>
          <w:szCs w:val="36"/>
        </w:rPr>
        <w:t>Supporting Statement for OMB Clearance for</w:t>
      </w:r>
      <w:r w:rsidRPr="00D368BA">
        <w:rPr>
          <w:b/>
          <w:sz w:val="36"/>
          <w:szCs w:val="36"/>
        </w:rPr>
        <w:br/>
        <w:t>Office of Medicare Hearings and Appeals (OMHA)</w:t>
      </w:r>
      <w:r w:rsidRPr="00D368BA">
        <w:rPr>
          <w:b/>
          <w:sz w:val="36"/>
          <w:szCs w:val="36"/>
        </w:rPr>
        <w:br/>
        <w:t>Appellant Climate Survey</w:t>
      </w:r>
    </w:p>
    <w:p w:rsidR="00FD1A79" w:rsidRPr="00D368BA" w:rsidP="00FD1A79" w14:paraId="76C12144" w14:textId="77777777">
      <w:pPr>
        <w:spacing w:line="360" w:lineRule="auto"/>
        <w:jc w:val="center"/>
        <w:rPr>
          <w:b/>
          <w:sz w:val="36"/>
          <w:szCs w:val="36"/>
        </w:rPr>
      </w:pPr>
    </w:p>
    <w:p w:rsidR="00FD1A79" w:rsidRPr="00D368BA" w:rsidP="00FD1A79" w14:paraId="6A261D0B" w14:textId="77777777">
      <w:pPr>
        <w:spacing w:line="360" w:lineRule="auto"/>
        <w:jc w:val="center"/>
        <w:rPr>
          <w:b/>
          <w:sz w:val="36"/>
          <w:szCs w:val="36"/>
        </w:rPr>
      </w:pPr>
      <w:bookmarkStart w:id="0" w:name="_Hlk487284424"/>
      <w:r w:rsidRPr="00D368BA">
        <w:rPr>
          <w:b/>
          <w:sz w:val="36"/>
          <w:szCs w:val="36"/>
        </w:rPr>
        <w:t>Part B:</w:t>
      </w:r>
      <w:r w:rsidRPr="00D368BA">
        <w:t xml:space="preserve"> </w:t>
      </w:r>
      <w:r w:rsidRPr="00D368BA">
        <w:rPr>
          <w:b/>
          <w:sz w:val="36"/>
          <w:szCs w:val="36"/>
        </w:rPr>
        <w:t>Collections of Information Employing</w:t>
      </w:r>
      <w:r w:rsidRPr="00D368BA">
        <w:rPr>
          <w:b/>
          <w:sz w:val="36"/>
          <w:szCs w:val="36"/>
        </w:rPr>
        <w:br/>
        <w:t>Statistical Methods</w:t>
      </w:r>
    </w:p>
    <w:bookmarkEnd w:id="0"/>
    <w:p w:rsidR="00FD1A79" w:rsidRPr="00D368BA" w:rsidP="00FD1A79" w14:paraId="53352C33" w14:textId="77777777">
      <w:pPr>
        <w:spacing w:line="360" w:lineRule="auto"/>
        <w:jc w:val="center"/>
        <w:rPr>
          <w:b/>
          <w:sz w:val="36"/>
          <w:szCs w:val="36"/>
        </w:rPr>
      </w:pPr>
    </w:p>
    <w:p w:rsidR="00FD1A79" w:rsidRPr="00D368BA" w:rsidP="00FD1A79" w14:paraId="39ED8E5F" w14:textId="77777777">
      <w:pPr>
        <w:spacing w:line="360" w:lineRule="auto"/>
        <w:jc w:val="center"/>
        <w:rPr>
          <w:b/>
          <w:sz w:val="36"/>
          <w:szCs w:val="36"/>
        </w:rPr>
      </w:pPr>
      <w:bookmarkStart w:id="1" w:name="_Toc339621277"/>
      <w:bookmarkStart w:id="2" w:name="_Toc339617093"/>
      <w:bookmarkStart w:id="3" w:name="_Toc339616922"/>
    </w:p>
    <w:p w:rsidR="00FD1A79" w:rsidRPr="00D368BA" w:rsidP="00FD1A79" w14:paraId="697BB74A" w14:textId="77777777">
      <w:pPr>
        <w:spacing w:line="360" w:lineRule="auto"/>
        <w:jc w:val="center"/>
        <w:rPr>
          <w:b/>
          <w:sz w:val="36"/>
          <w:szCs w:val="36"/>
        </w:rPr>
      </w:pPr>
    </w:p>
    <w:p w:rsidR="00FD1A79" w:rsidRPr="00D368BA" w:rsidP="00FD1A79" w14:paraId="4A33777C" w14:textId="77777777">
      <w:pPr>
        <w:spacing w:line="360" w:lineRule="auto"/>
        <w:jc w:val="center"/>
        <w:rPr>
          <w:b/>
          <w:sz w:val="36"/>
          <w:szCs w:val="36"/>
        </w:rPr>
      </w:pPr>
    </w:p>
    <w:p w:rsidR="00FD1A79" w:rsidRPr="00D368BA" w:rsidP="00FD1A79" w14:paraId="337BB593" w14:textId="77777777">
      <w:pPr>
        <w:spacing w:line="360" w:lineRule="auto"/>
        <w:jc w:val="center"/>
        <w:rPr>
          <w:b/>
          <w:sz w:val="36"/>
          <w:szCs w:val="36"/>
        </w:rPr>
      </w:pPr>
    </w:p>
    <w:p w:rsidR="00FD1A79" w:rsidRPr="00D368BA" w:rsidP="005F134B" w14:paraId="2BF1A6F7" w14:textId="23AB4600">
      <w:pPr>
        <w:tabs>
          <w:tab w:val="left" w:pos="2510"/>
          <w:tab w:val="center" w:pos="4680"/>
        </w:tabs>
        <w:spacing w:line="360" w:lineRule="auto"/>
        <w:rPr>
          <w:b/>
          <w:sz w:val="36"/>
          <w:szCs w:val="36"/>
        </w:rPr>
      </w:pPr>
      <w:r>
        <w:rPr>
          <w:b/>
          <w:color w:val="BF8F00" w:themeColor="accent4" w:themeShade="BF"/>
          <w:sz w:val="36"/>
          <w:szCs w:val="36"/>
        </w:rPr>
        <w:tab/>
      </w:r>
      <w:r>
        <w:rPr>
          <w:b/>
          <w:color w:val="BF8F00" w:themeColor="accent4" w:themeShade="BF"/>
          <w:sz w:val="36"/>
          <w:szCs w:val="36"/>
        </w:rPr>
        <w:tab/>
      </w:r>
      <w:r w:rsidR="00F67926">
        <w:rPr>
          <w:b/>
          <w:sz w:val="36"/>
          <w:szCs w:val="36"/>
        </w:rPr>
        <w:t>December 4</w:t>
      </w:r>
      <w:r w:rsidRPr="005F134B" w:rsidR="00C46E78">
        <w:rPr>
          <w:b/>
          <w:sz w:val="36"/>
          <w:szCs w:val="36"/>
        </w:rPr>
        <w:t>, 2023</w:t>
      </w:r>
    </w:p>
    <w:p w:rsidR="00FD1A79" w:rsidRPr="00D368BA" w:rsidP="00FD1A79" w14:paraId="709F0E0C" w14:textId="77777777">
      <w:pPr>
        <w:spacing w:line="360" w:lineRule="auto"/>
        <w:rPr>
          <w:b/>
          <w:sz w:val="36"/>
          <w:szCs w:val="36"/>
        </w:rPr>
      </w:pPr>
    </w:p>
    <w:p w:rsidR="00FD1A79" w:rsidRPr="00D368BA" w:rsidP="00FD1A79" w14:paraId="20EAC4AB" w14:textId="77777777">
      <w:pPr>
        <w:spacing w:line="320" w:lineRule="atLeast"/>
        <w:jc w:val="center"/>
        <w:rPr>
          <w:szCs w:val="24"/>
        </w:rPr>
      </w:pPr>
    </w:p>
    <w:p w:rsidR="00FD1A79" w:rsidRPr="00D368BA" w:rsidP="00FD1A79" w14:paraId="69879395" w14:textId="77777777">
      <w:pPr>
        <w:spacing w:line="320" w:lineRule="atLeast"/>
        <w:jc w:val="center"/>
        <w:rPr>
          <w:szCs w:val="24"/>
        </w:rPr>
      </w:pPr>
    </w:p>
    <w:p w:rsidR="00FD1A79" w:rsidRPr="00D368BA" w:rsidP="00FD1A79" w14:paraId="1135B591" w14:textId="77777777">
      <w:pPr>
        <w:spacing w:line="320" w:lineRule="atLeast"/>
        <w:jc w:val="center"/>
        <w:rPr>
          <w:szCs w:val="24"/>
        </w:rPr>
      </w:pPr>
    </w:p>
    <w:p w:rsidR="00855C84" w:rsidP="00855C84" w14:paraId="1CB3BBCB" w14:textId="77777777">
      <w:pPr>
        <w:spacing w:line="240" w:lineRule="auto"/>
        <w:jc w:val="center"/>
        <w:rPr>
          <w:sz w:val="32"/>
          <w:szCs w:val="36"/>
        </w:rPr>
      </w:pPr>
      <w:r>
        <w:rPr>
          <w:sz w:val="32"/>
          <w:szCs w:val="36"/>
        </w:rPr>
        <w:t>Jon Dorman</w:t>
      </w:r>
    </w:p>
    <w:p w:rsidR="00855C84" w:rsidP="00855C84" w14:paraId="36381411" w14:textId="77777777">
      <w:pPr>
        <w:spacing w:line="240" w:lineRule="auto"/>
        <w:jc w:val="center"/>
        <w:rPr>
          <w:sz w:val="32"/>
          <w:szCs w:val="36"/>
        </w:rPr>
      </w:pPr>
      <w:r>
        <w:rPr>
          <w:sz w:val="32"/>
          <w:szCs w:val="36"/>
        </w:rPr>
        <w:t xml:space="preserve">Department of Health &amp; Human Services </w:t>
      </w:r>
      <w:r>
        <w:rPr>
          <w:sz w:val="32"/>
          <w:szCs w:val="36"/>
        </w:rPr>
        <w:br/>
        <w:t>Office of Medicare Hearings and Appeals</w:t>
      </w:r>
    </w:p>
    <w:p w:rsidR="00855C84" w:rsidP="00855C84" w14:paraId="2066A84B" w14:textId="77777777">
      <w:pPr>
        <w:spacing w:line="240" w:lineRule="auto"/>
        <w:jc w:val="center"/>
        <w:rPr>
          <w:sz w:val="32"/>
          <w:szCs w:val="36"/>
        </w:rPr>
      </w:pPr>
      <w:r>
        <w:rPr>
          <w:sz w:val="32"/>
          <w:szCs w:val="36"/>
        </w:rPr>
        <w:t>Appeals Policy and Operations Division</w:t>
      </w:r>
    </w:p>
    <w:p w:rsidR="00855C84" w:rsidP="00855C84" w14:paraId="1D53101A" w14:textId="77777777">
      <w:pPr>
        <w:spacing w:line="240" w:lineRule="auto"/>
        <w:jc w:val="center"/>
        <w:rPr>
          <w:sz w:val="32"/>
          <w:szCs w:val="36"/>
        </w:rPr>
      </w:pPr>
      <w:r>
        <w:rPr>
          <w:sz w:val="32"/>
          <w:szCs w:val="36"/>
        </w:rPr>
        <w:t>2550 S Clark St, Suite 2000</w:t>
      </w:r>
    </w:p>
    <w:p w:rsidR="00855C84" w:rsidP="00855C84" w14:paraId="169D7A88" w14:textId="77777777">
      <w:pPr>
        <w:spacing w:line="240" w:lineRule="auto"/>
        <w:jc w:val="center"/>
        <w:rPr>
          <w:sz w:val="32"/>
          <w:szCs w:val="36"/>
        </w:rPr>
      </w:pPr>
      <w:r>
        <w:rPr>
          <w:sz w:val="32"/>
          <w:szCs w:val="36"/>
        </w:rPr>
        <w:t>Arlington, VA 22202</w:t>
      </w:r>
    </w:p>
    <w:p w:rsidR="00855C84" w:rsidP="00855C84" w14:paraId="32727904" w14:textId="77777777">
      <w:pPr>
        <w:spacing w:line="240" w:lineRule="auto"/>
        <w:jc w:val="center"/>
        <w:rPr>
          <w:sz w:val="32"/>
          <w:szCs w:val="36"/>
        </w:rPr>
      </w:pPr>
      <w:r>
        <w:rPr>
          <w:sz w:val="32"/>
          <w:szCs w:val="36"/>
        </w:rPr>
        <w:t>Telephone: 571-457-7220</w:t>
      </w:r>
    </w:p>
    <w:p w:rsidR="00855C84" w:rsidP="00855C84" w14:paraId="6C995E79" w14:textId="77777777">
      <w:pPr>
        <w:spacing w:line="240" w:lineRule="auto"/>
        <w:jc w:val="center"/>
        <w:rPr>
          <w:sz w:val="32"/>
          <w:szCs w:val="36"/>
        </w:rPr>
      </w:pPr>
      <w:r>
        <w:rPr>
          <w:sz w:val="32"/>
          <w:szCs w:val="36"/>
        </w:rPr>
        <w:t>Email: Jon.Dorman@hhs.gov</w:t>
      </w:r>
    </w:p>
    <w:p w:rsidR="00855C84" w:rsidP="00855C84" w14:paraId="52CA47DC" w14:textId="77777777">
      <w:pPr>
        <w:spacing w:line="240" w:lineRule="auto"/>
        <w:rPr>
          <w:sz w:val="32"/>
          <w:szCs w:val="36"/>
        </w:rPr>
        <w:sectPr>
          <w:pgSz w:w="12240" w:h="15840"/>
          <w:pgMar w:top="1440" w:right="1440" w:bottom="1440" w:left="1440" w:header="720" w:footer="720" w:gutter="0"/>
          <w:pgNumType w:fmt="lowerRoman" w:start="1"/>
          <w:cols w:space="720"/>
        </w:sectPr>
      </w:pPr>
    </w:p>
    <w:p w:rsidR="00FD1A79" w:rsidRPr="00D368BA" w:rsidP="00FD1A79" w14:paraId="2E812E73" w14:textId="77777777">
      <w:pPr>
        <w:pStyle w:val="TC-TableofContentsHeading"/>
        <w:spacing w:after="0"/>
        <w:ind w:left="0"/>
        <w:jc w:val="left"/>
        <w:rPr>
          <w:rFonts w:ascii="Times New Roman" w:hAnsi="Times New Roman"/>
        </w:rPr>
      </w:pPr>
      <w:r w:rsidRPr="00D368BA">
        <w:rPr>
          <w:rFonts w:ascii="Times New Roman" w:hAnsi="Times New Roman"/>
        </w:rPr>
        <w:t>Table of Contents</w:t>
      </w:r>
      <w:bookmarkEnd w:id="1"/>
      <w:bookmarkEnd w:id="2"/>
      <w:bookmarkEnd w:id="3"/>
    </w:p>
    <w:p w:rsidR="00FD1A79" w:rsidRPr="00D368BA" w:rsidP="00FD1A79" w14:paraId="2CDFC493" w14:textId="77777777">
      <w:pPr>
        <w:tabs>
          <w:tab w:val="left" w:pos="1080"/>
          <w:tab w:val="right" w:leader="dot" w:pos="9360"/>
        </w:tabs>
        <w:spacing w:line="240" w:lineRule="auto"/>
        <w:ind w:left="1080" w:hanging="1080"/>
      </w:pPr>
      <w:r w:rsidRPr="00D368BA">
        <w:fldChar w:fldCharType="begin"/>
      </w:r>
      <w:r w:rsidRPr="00D368BA">
        <w:instrText xml:space="preserve"> TOC \o "1-3" \h \z \u </w:instrText>
      </w:r>
      <w:r w:rsidRPr="00D368BA">
        <w:fldChar w:fldCharType="separate"/>
      </w:r>
    </w:p>
    <w:p w:rsidR="00FD1A79" w:rsidRPr="00D368BA" w:rsidP="00FD1A79" w14:paraId="1F850A3B" w14:textId="0CEFD8F4">
      <w:pPr>
        <w:tabs>
          <w:tab w:val="left" w:pos="1080"/>
          <w:tab w:val="right" w:leader="dot" w:pos="9360"/>
        </w:tabs>
        <w:spacing w:line="240" w:lineRule="auto"/>
        <w:ind w:left="1080" w:hanging="1080"/>
        <w:rPr>
          <w:b/>
        </w:rPr>
      </w:pPr>
      <w:r w:rsidRPr="00D368BA">
        <w:rPr>
          <w:b/>
        </w:rPr>
        <w:t xml:space="preserve">Part </w:t>
      </w:r>
      <w:hyperlink w:anchor="_Toc339621302" w:history="1">
        <w:r w:rsidRPr="00D368BA">
          <w:rPr>
            <w:rStyle w:val="Hyperlink"/>
            <w:b/>
          </w:rPr>
          <w:t>B.</w:t>
        </w:r>
        <w:r w:rsidRPr="00D368BA">
          <w:rPr>
            <w:rStyle w:val="Hyperlink"/>
          </w:rPr>
          <w:tab/>
        </w:r>
        <w:r w:rsidRPr="00D368BA">
          <w:rPr>
            <w:rStyle w:val="Hyperlink"/>
            <w:b/>
          </w:rPr>
          <w:t>Collections of Information Employing Statistical Methods</w:t>
        </w:r>
        <w:r w:rsidRPr="00D368BA">
          <w:rPr>
            <w:rStyle w:val="Hyperlink"/>
            <w:webHidden/>
          </w:rPr>
          <w:tab/>
          <w:t>B-</w:t>
        </w:r>
      </w:hyperlink>
      <w:r w:rsidRPr="005D35B1" w:rsidR="005D35B1">
        <w:rPr>
          <w:rStyle w:val="Hyperlink"/>
          <w:color w:val="auto"/>
          <w:u w:val="none"/>
        </w:rPr>
        <w:t>1</w:t>
      </w:r>
    </w:p>
    <w:p w:rsidR="00FD1A79" w:rsidRPr="00D368BA" w:rsidP="00FD1A79" w14:paraId="4DE63035" w14:textId="77777777">
      <w:pPr>
        <w:tabs>
          <w:tab w:val="left" w:pos="1080"/>
          <w:tab w:val="right" w:leader="dot" w:pos="9360"/>
        </w:tabs>
        <w:spacing w:line="240" w:lineRule="auto"/>
        <w:ind w:left="1080" w:hanging="1080"/>
        <w:rPr>
          <w:b/>
        </w:rPr>
      </w:pPr>
    </w:p>
    <w:p w:rsidR="00FD1A79" w:rsidRPr="00D368BA" w:rsidP="00FD1A79" w14:paraId="12D432A1" w14:textId="77777777">
      <w:pPr>
        <w:tabs>
          <w:tab w:val="left" w:pos="1080"/>
          <w:tab w:val="left" w:pos="1620"/>
          <w:tab w:val="right" w:leader="dot" w:pos="9360"/>
        </w:tabs>
        <w:spacing w:line="240" w:lineRule="auto"/>
        <w:ind w:left="1080" w:hanging="1080"/>
      </w:pPr>
      <w:r w:rsidRPr="00D368BA">
        <w:t>B.1</w:t>
      </w:r>
      <w:r w:rsidRPr="00D368BA">
        <w:tab/>
        <w:t>Respondent Universe and Sampling Methods</w:t>
      </w:r>
      <w:r w:rsidRPr="00D368BA">
        <w:tab/>
        <w:t>B-1</w:t>
      </w:r>
    </w:p>
    <w:p w:rsidR="00FD1A79" w:rsidRPr="00D368BA" w:rsidP="00FD1A79" w14:paraId="71A70800" w14:textId="4E90F8FF">
      <w:pPr>
        <w:tabs>
          <w:tab w:val="left" w:pos="1080"/>
          <w:tab w:val="right" w:leader="dot" w:pos="9360"/>
        </w:tabs>
        <w:spacing w:line="240" w:lineRule="auto"/>
        <w:ind w:left="1080" w:hanging="1080"/>
      </w:pPr>
      <w:r w:rsidRPr="00D368BA">
        <w:t>B.2</w:t>
      </w:r>
      <w:r w:rsidRPr="00D368BA">
        <w:tab/>
        <w:t>Procedures for the Collection of Information</w:t>
      </w:r>
      <w:r w:rsidRPr="00D368BA">
        <w:tab/>
        <w:t>B-</w:t>
      </w:r>
      <w:r w:rsidR="00DA025B">
        <w:t>2</w:t>
      </w:r>
    </w:p>
    <w:p w:rsidR="00FD1A79" w:rsidRPr="00D368BA" w:rsidP="00FD1A79" w14:paraId="2FEAED13" w14:textId="0B2A0A81">
      <w:pPr>
        <w:tabs>
          <w:tab w:val="left" w:pos="1080"/>
          <w:tab w:val="right" w:leader="dot" w:pos="9360"/>
        </w:tabs>
        <w:spacing w:line="240" w:lineRule="auto"/>
        <w:ind w:left="1080" w:hanging="1080"/>
      </w:pPr>
      <w:r w:rsidRPr="00D368BA">
        <w:t>B.3</w:t>
      </w:r>
      <w:r w:rsidRPr="00D368BA">
        <w:tab/>
        <w:t>Methods to Maximize the Response Rates and to Deal with Non-Response</w:t>
      </w:r>
      <w:r w:rsidRPr="00D368BA">
        <w:tab/>
        <w:t>B</w:t>
      </w:r>
      <w:r w:rsidR="000D7B59">
        <w:t>-</w:t>
      </w:r>
      <w:r w:rsidR="00DA2657">
        <w:t>5</w:t>
      </w:r>
    </w:p>
    <w:p w:rsidR="00FD1A79" w:rsidRPr="00D368BA" w:rsidP="00FD1A79" w14:paraId="6295BC28" w14:textId="79A1452A">
      <w:pPr>
        <w:tabs>
          <w:tab w:val="left" w:pos="1080"/>
          <w:tab w:val="right" w:leader="dot" w:pos="9360"/>
        </w:tabs>
        <w:spacing w:line="240" w:lineRule="auto"/>
        <w:ind w:left="1080" w:hanging="1080"/>
      </w:pPr>
      <w:r w:rsidRPr="00D368BA">
        <w:t>B.4</w:t>
      </w:r>
      <w:r w:rsidRPr="00D368BA">
        <w:tab/>
        <w:t>Test of Procedures or Methods to be Undertaken</w:t>
      </w:r>
      <w:r w:rsidRPr="00D368BA">
        <w:tab/>
        <w:t>B-</w:t>
      </w:r>
      <w:r w:rsidR="00DA2657">
        <w:t>7</w:t>
      </w:r>
    </w:p>
    <w:p w:rsidR="00FD1A79" w:rsidRPr="00D368BA" w:rsidP="00FD1A79" w14:paraId="25602499" w14:textId="562F6AEE">
      <w:pPr>
        <w:tabs>
          <w:tab w:val="left" w:pos="1080"/>
          <w:tab w:val="right" w:leader="dot" w:pos="9360"/>
        </w:tabs>
        <w:spacing w:line="240" w:lineRule="auto"/>
        <w:ind w:left="1080" w:hanging="1080"/>
      </w:pPr>
      <w:r w:rsidRPr="00D368BA">
        <w:t>B.5</w:t>
      </w:r>
      <w:r w:rsidRPr="00D368BA">
        <w:tab/>
        <w:t>Individuals Consulted on Statistical Aspects and Individuals Collecting</w:t>
      </w:r>
      <w:r w:rsidRPr="00D368BA">
        <w:br/>
        <w:t>and/or Analyzing Data</w:t>
      </w:r>
      <w:r w:rsidRPr="00D368BA">
        <w:tab/>
        <w:t>B-</w:t>
      </w:r>
      <w:r w:rsidRPr="00D368BA">
        <w:fldChar w:fldCharType="end"/>
      </w:r>
      <w:r w:rsidR="00DA2657">
        <w:t>8</w:t>
      </w:r>
    </w:p>
    <w:p w:rsidR="00FD1A79" w:rsidRPr="00D368BA" w:rsidP="00FD1A79" w14:paraId="7468C1CB" w14:textId="77777777">
      <w:pPr>
        <w:tabs>
          <w:tab w:val="right" w:leader="dot" w:pos="9360"/>
        </w:tabs>
        <w:spacing w:line="240" w:lineRule="auto"/>
        <w:jc w:val="center"/>
        <w:rPr>
          <w:b/>
        </w:rPr>
      </w:pPr>
    </w:p>
    <w:p w:rsidR="00FD1A79" w:rsidRPr="00D368BA" w:rsidP="00FD1A79" w14:paraId="71DF7C22" w14:textId="77777777">
      <w:pPr>
        <w:tabs>
          <w:tab w:val="right" w:leader="dot" w:pos="9360"/>
        </w:tabs>
        <w:spacing w:line="240" w:lineRule="auto"/>
        <w:rPr>
          <w:b/>
        </w:rPr>
      </w:pPr>
      <w:r w:rsidRPr="00D368BA">
        <w:rPr>
          <w:b/>
        </w:rPr>
        <w:t>Tables</w:t>
      </w:r>
    </w:p>
    <w:p w:rsidR="00FD1A79" w:rsidRPr="00D368BA" w:rsidP="00FD1A79" w14:paraId="25AA1A11" w14:textId="77777777">
      <w:pPr>
        <w:tabs>
          <w:tab w:val="right" w:leader="dot" w:pos="9360"/>
        </w:tabs>
        <w:spacing w:line="240" w:lineRule="auto"/>
        <w:rPr>
          <w:b/>
          <w:webHidden/>
        </w:rPr>
      </w:pPr>
    </w:p>
    <w:p w:rsidR="00FD1A79" w:rsidRPr="00D368BA" w:rsidP="00FD1A79" w14:paraId="09B6BF71" w14:textId="77777777">
      <w:pPr>
        <w:tabs>
          <w:tab w:val="left" w:pos="1080"/>
          <w:tab w:val="right" w:leader="dot" w:pos="9360"/>
        </w:tabs>
        <w:spacing w:line="240" w:lineRule="auto"/>
        <w:ind w:left="1080" w:hanging="1080"/>
        <w:rPr>
          <w:webHidden/>
        </w:rPr>
      </w:pPr>
      <w:r w:rsidRPr="00D368BA">
        <w:t>Table B1.</w:t>
      </w:r>
      <w:r w:rsidRPr="00D368BA">
        <w:tab/>
        <w:t>Random Stratified Sample per Year</w:t>
      </w:r>
      <w:r w:rsidRPr="00D368BA">
        <w:rPr>
          <w:webHidden/>
        </w:rPr>
        <w:tab/>
        <w:t>B-3</w:t>
      </w:r>
    </w:p>
    <w:p w:rsidR="00FD1A79" w:rsidRPr="00D368BA" w:rsidP="00FD1A79" w14:paraId="42DB0D8B" w14:textId="73229A40">
      <w:pPr>
        <w:tabs>
          <w:tab w:val="left" w:pos="1080"/>
          <w:tab w:val="right" w:leader="dot" w:pos="9360"/>
        </w:tabs>
        <w:spacing w:line="240" w:lineRule="auto"/>
        <w:ind w:left="1080" w:hanging="1080"/>
        <w:rPr>
          <w:webHidden/>
        </w:rPr>
      </w:pPr>
      <w:r w:rsidRPr="00D368BA">
        <w:t>Table B2.</w:t>
      </w:r>
      <w:r w:rsidRPr="00D368BA">
        <w:tab/>
        <w:t>Total Number of Appellants OMHA Contacted Given an 80% Response Rate</w:t>
      </w:r>
      <w:r w:rsidRPr="00D368BA">
        <w:rPr>
          <w:webHidden/>
        </w:rPr>
        <w:tab/>
        <w:t>B-</w:t>
      </w:r>
      <w:r w:rsidR="00DA2657">
        <w:rPr>
          <w:webHidden/>
        </w:rPr>
        <w:t>3</w:t>
      </w:r>
    </w:p>
    <w:p w:rsidR="00FD1A79" w:rsidRPr="00D368BA" w:rsidP="00FD1A79" w14:paraId="68A36FE0" w14:textId="25CAAB2E">
      <w:pPr>
        <w:tabs>
          <w:tab w:val="left" w:pos="1080"/>
          <w:tab w:val="right" w:leader="dot" w:pos="9360"/>
        </w:tabs>
        <w:spacing w:line="240" w:lineRule="auto"/>
        <w:ind w:left="1080" w:hanging="1080"/>
        <w:rPr>
          <w:webHidden/>
        </w:rPr>
      </w:pPr>
      <w:r w:rsidRPr="00D368BA">
        <w:t>Table B3.</w:t>
      </w:r>
      <w:r w:rsidRPr="00D368BA">
        <w:tab/>
        <w:t>Research Team Contact Information</w:t>
      </w:r>
      <w:r w:rsidRPr="00D368BA">
        <w:rPr>
          <w:webHidden/>
        </w:rPr>
        <w:tab/>
        <w:t>B-</w:t>
      </w:r>
      <w:r w:rsidR="00DA2657">
        <w:rPr>
          <w:webHidden/>
        </w:rPr>
        <w:t>8</w:t>
      </w:r>
    </w:p>
    <w:p w:rsidR="00FD1A79" w:rsidRPr="00D368BA" w:rsidP="00FD1A79" w14:paraId="6107D12B" w14:textId="77777777">
      <w:pPr>
        <w:tabs>
          <w:tab w:val="left" w:pos="1440"/>
          <w:tab w:val="right" w:leader="dot" w:pos="9360"/>
        </w:tabs>
        <w:spacing w:line="240" w:lineRule="auto"/>
        <w:ind w:left="1440" w:hanging="1260"/>
        <w:rPr>
          <w:webHidden/>
        </w:rPr>
      </w:pPr>
      <w:r w:rsidRPr="00D368BA">
        <w:rPr>
          <w:webHidden/>
        </w:rPr>
        <w:br/>
      </w:r>
    </w:p>
    <w:p w:rsidR="00FD1A79" w:rsidRPr="00D368BA" w:rsidP="00FD1A79" w14:paraId="03F054F0" w14:textId="77777777">
      <w:pPr>
        <w:spacing w:line="480" w:lineRule="auto"/>
        <w:rPr>
          <w:b/>
        </w:rPr>
      </w:pPr>
      <w:r w:rsidRPr="00D368BA">
        <w:rPr>
          <w:b/>
        </w:rPr>
        <w:t>Appendices</w:t>
      </w:r>
    </w:p>
    <w:p w:rsidR="00FD1A79" w:rsidRPr="00136E1B" w:rsidP="00FD1A79" w14:paraId="35F72765" w14:textId="77777777">
      <w:pPr>
        <w:tabs>
          <w:tab w:val="left" w:pos="270"/>
          <w:tab w:val="left" w:leader="dot" w:pos="7830"/>
        </w:tabs>
        <w:spacing w:line="240" w:lineRule="auto"/>
        <w:rPr>
          <w:szCs w:val="24"/>
        </w:rPr>
      </w:pPr>
      <w:bookmarkStart w:id="4" w:name="_Hlk504032929"/>
      <w:r w:rsidRPr="00136E1B">
        <w:t>Appendix A</w:t>
      </w:r>
      <w:r>
        <w:t>1</w:t>
      </w:r>
      <w:r w:rsidRPr="00136E1B">
        <w:t>.</w:t>
      </w:r>
      <w:r>
        <w:t xml:space="preserve"> </w:t>
      </w:r>
      <w:r w:rsidRPr="00136E1B">
        <w:t xml:space="preserve"> Data Collector </w:t>
      </w:r>
      <w:r w:rsidRPr="00136E1B">
        <w:rPr>
          <w:szCs w:val="24"/>
        </w:rPr>
        <w:t xml:space="preserve">Confidentiality Agreement Forms </w:t>
      </w:r>
    </w:p>
    <w:p w:rsidR="00FD1A79" w:rsidP="00FD1A79" w14:paraId="65AF2DF9" w14:textId="77777777">
      <w:pPr>
        <w:tabs>
          <w:tab w:val="left" w:pos="270"/>
          <w:tab w:val="left" w:leader="dot" w:pos="7830"/>
        </w:tabs>
        <w:spacing w:line="240" w:lineRule="auto"/>
        <w:rPr>
          <w:bCs/>
        </w:rPr>
      </w:pPr>
    </w:p>
    <w:p w:rsidR="00FD1A79" w:rsidP="00FD1A79" w14:paraId="0C8392F6" w14:textId="77777777">
      <w:pPr>
        <w:tabs>
          <w:tab w:val="left" w:pos="270"/>
          <w:tab w:val="left" w:leader="dot" w:pos="7830"/>
        </w:tabs>
        <w:spacing w:line="240" w:lineRule="auto"/>
        <w:rPr>
          <w:bCs/>
        </w:rPr>
      </w:pPr>
      <w:r w:rsidRPr="00D368BA">
        <w:rPr>
          <w:bCs/>
        </w:rPr>
        <w:t>Appendix B1.  Appellant Climate Survey</w:t>
      </w:r>
      <w:r>
        <w:rPr>
          <w:bCs/>
        </w:rPr>
        <w:t>-Telephone (</w:t>
      </w:r>
      <w:r w:rsidRPr="00D368BA">
        <w:rPr>
          <w:bCs/>
        </w:rPr>
        <w:t>English</w:t>
      </w:r>
      <w:r>
        <w:rPr>
          <w:bCs/>
        </w:rPr>
        <w:t>)</w:t>
      </w:r>
    </w:p>
    <w:p w:rsidR="00FD1A79" w:rsidRPr="00D368BA" w:rsidP="00FD1A79" w14:paraId="2EA99141" w14:textId="77777777">
      <w:pPr>
        <w:tabs>
          <w:tab w:val="left" w:pos="270"/>
          <w:tab w:val="left" w:leader="dot" w:pos="7830"/>
        </w:tabs>
        <w:spacing w:line="240" w:lineRule="auto"/>
        <w:rPr>
          <w:bCs/>
        </w:rPr>
      </w:pPr>
      <w:r>
        <w:rPr>
          <w:bCs/>
        </w:rPr>
        <w:t>Appendix B2</w:t>
      </w:r>
      <w:r w:rsidRPr="00D368BA">
        <w:rPr>
          <w:bCs/>
        </w:rPr>
        <w:t>.  Appellant Climate Survey</w:t>
      </w:r>
      <w:r>
        <w:rPr>
          <w:bCs/>
        </w:rPr>
        <w:t>-Telephone (Spanish)</w:t>
      </w:r>
    </w:p>
    <w:p w:rsidR="00FD1A79" w:rsidP="00FD1A79" w14:paraId="3A3632B2" w14:textId="77777777">
      <w:pPr>
        <w:tabs>
          <w:tab w:val="left" w:pos="270"/>
          <w:tab w:val="left" w:leader="dot" w:pos="7830"/>
        </w:tabs>
        <w:spacing w:line="240" w:lineRule="auto"/>
        <w:rPr>
          <w:bCs/>
        </w:rPr>
      </w:pPr>
      <w:r>
        <w:rPr>
          <w:bCs/>
        </w:rPr>
        <w:t>Appendix B3</w:t>
      </w:r>
      <w:r w:rsidRPr="00D368BA">
        <w:rPr>
          <w:bCs/>
        </w:rPr>
        <w:t>.  Appellant Climate Survey-</w:t>
      </w:r>
      <w:r>
        <w:rPr>
          <w:bCs/>
        </w:rPr>
        <w:t>Mail (English)</w:t>
      </w:r>
    </w:p>
    <w:p w:rsidR="00FD1A79" w:rsidP="00FD1A79" w14:paraId="4C43A676" w14:textId="77777777">
      <w:pPr>
        <w:tabs>
          <w:tab w:val="left" w:pos="270"/>
          <w:tab w:val="left" w:leader="dot" w:pos="7830"/>
        </w:tabs>
        <w:spacing w:line="240" w:lineRule="auto"/>
        <w:rPr>
          <w:bCs/>
        </w:rPr>
      </w:pPr>
      <w:r w:rsidRPr="00D368BA">
        <w:rPr>
          <w:bCs/>
        </w:rPr>
        <w:t>Appen</w:t>
      </w:r>
      <w:r>
        <w:rPr>
          <w:bCs/>
        </w:rPr>
        <w:t>dix B4</w:t>
      </w:r>
      <w:r w:rsidRPr="00D368BA">
        <w:rPr>
          <w:bCs/>
        </w:rPr>
        <w:t>.  Appellant Climate Survey-</w:t>
      </w:r>
      <w:r>
        <w:rPr>
          <w:bCs/>
        </w:rPr>
        <w:t>Mail (Spanish)</w:t>
      </w:r>
    </w:p>
    <w:p w:rsidR="00FD1A79" w:rsidP="00FD1A79" w14:paraId="5A55E7DD" w14:textId="77777777">
      <w:pPr>
        <w:tabs>
          <w:tab w:val="left" w:pos="270"/>
          <w:tab w:val="left" w:leader="dot" w:pos="7830"/>
        </w:tabs>
        <w:spacing w:line="240" w:lineRule="auto"/>
        <w:rPr>
          <w:bCs/>
        </w:rPr>
      </w:pPr>
      <w:r>
        <w:rPr>
          <w:bCs/>
        </w:rPr>
        <w:t>Appendix B5.</w:t>
      </w:r>
      <w:r w:rsidRPr="00D368BA">
        <w:rPr>
          <w:bCs/>
        </w:rPr>
        <w:t xml:space="preserve">  Appellant Climate Survey-</w:t>
      </w:r>
      <w:r>
        <w:rPr>
          <w:bCs/>
        </w:rPr>
        <w:t>Web (English)</w:t>
      </w:r>
    </w:p>
    <w:p w:rsidR="00FD1A79" w:rsidRPr="00D368BA" w:rsidP="00FD1A79" w14:paraId="2CACF1D0" w14:textId="77777777">
      <w:pPr>
        <w:tabs>
          <w:tab w:val="left" w:pos="270"/>
          <w:tab w:val="left" w:leader="dot" w:pos="7830"/>
        </w:tabs>
        <w:spacing w:line="240" w:lineRule="auto"/>
        <w:rPr>
          <w:bCs/>
        </w:rPr>
      </w:pPr>
      <w:r>
        <w:rPr>
          <w:bCs/>
        </w:rPr>
        <w:t>Appendix B6.</w:t>
      </w:r>
      <w:r w:rsidRPr="00D368BA">
        <w:rPr>
          <w:bCs/>
        </w:rPr>
        <w:t xml:space="preserve">  Appellant Climate Survey-</w:t>
      </w:r>
      <w:r>
        <w:rPr>
          <w:bCs/>
        </w:rPr>
        <w:t>Web (Spanish)</w:t>
      </w:r>
    </w:p>
    <w:p w:rsidR="00FD1A79" w:rsidRPr="00D368BA" w:rsidP="00FD1A79" w14:paraId="01C57AF4" w14:textId="77777777">
      <w:pPr>
        <w:tabs>
          <w:tab w:val="left" w:pos="270"/>
          <w:tab w:val="left" w:leader="dot" w:pos="7830"/>
        </w:tabs>
        <w:spacing w:line="240" w:lineRule="auto"/>
        <w:rPr>
          <w:bCs/>
        </w:rPr>
      </w:pPr>
    </w:p>
    <w:p w:rsidR="00FD1A79" w:rsidRPr="00D368BA" w:rsidP="00FD1A79" w14:paraId="100A9392" w14:textId="77777777">
      <w:pPr>
        <w:pStyle w:val="TOC1"/>
        <w:tabs>
          <w:tab w:val="clear" w:pos="1440"/>
          <w:tab w:val="left" w:pos="1620"/>
          <w:tab w:val="left" w:leader="dot" w:pos="7830"/>
          <w:tab w:val="clear" w:pos="8640"/>
        </w:tabs>
        <w:spacing w:line="240" w:lineRule="auto"/>
        <w:ind w:left="0" w:firstLine="0"/>
        <w:rPr>
          <w:bCs/>
        </w:rPr>
      </w:pPr>
      <w:r w:rsidRPr="00D368BA">
        <w:rPr>
          <w:bCs/>
        </w:rPr>
        <w:t>Appendix C1.</w:t>
      </w:r>
      <w:r w:rsidRPr="00D368BA">
        <w:rPr>
          <w:bCs/>
        </w:rPr>
        <w:tab/>
        <w:t>Introductory Letter</w:t>
      </w:r>
      <w:r>
        <w:rPr>
          <w:bCs/>
        </w:rPr>
        <w:t xml:space="preserve"> (</w:t>
      </w:r>
      <w:r w:rsidRPr="00D368BA">
        <w:rPr>
          <w:bCs/>
        </w:rPr>
        <w:t>English</w:t>
      </w:r>
      <w:r>
        <w:rPr>
          <w:bCs/>
        </w:rPr>
        <w:t>)`</w:t>
      </w:r>
    </w:p>
    <w:p w:rsidR="00FD1A79" w:rsidP="00FD1A79" w14:paraId="00CC12F9" w14:textId="77777777">
      <w:pPr>
        <w:pStyle w:val="TOC1"/>
        <w:tabs>
          <w:tab w:val="clear" w:pos="1440"/>
          <w:tab w:val="left" w:pos="1620"/>
          <w:tab w:val="left" w:leader="dot" w:pos="7830"/>
          <w:tab w:val="clear" w:pos="8640"/>
        </w:tabs>
        <w:spacing w:line="240" w:lineRule="auto"/>
        <w:ind w:left="0" w:firstLine="0"/>
        <w:rPr>
          <w:bCs/>
        </w:rPr>
      </w:pPr>
      <w:r w:rsidRPr="00D368BA">
        <w:rPr>
          <w:bCs/>
        </w:rPr>
        <w:t>Appendix C2.</w:t>
      </w:r>
      <w:r w:rsidRPr="00D368BA">
        <w:rPr>
          <w:bCs/>
        </w:rPr>
        <w:tab/>
        <w:t>Introductory Letter</w:t>
      </w:r>
      <w:r>
        <w:rPr>
          <w:bCs/>
        </w:rPr>
        <w:t xml:space="preserve"> (</w:t>
      </w:r>
      <w:r w:rsidRPr="00D368BA">
        <w:rPr>
          <w:bCs/>
        </w:rPr>
        <w:t>Spanish</w:t>
      </w:r>
      <w:r>
        <w:rPr>
          <w:bCs/>
        </w:rPr>
        <w:t>)</w:t>
      </w:r>
    </w:p>
    <w:p w:rsidR="00FD1A79" w:rsidP="00FD1A79" w14:paraId="30009726" w14:textId="77777777">
      <w:pPr>
        <w:pStyle w:val="TOC1"/>
        <w:tabs>
          <w:tab w:val="clear" w:pos="1440"/>
          <w:tab w:val="left" w:pos="1620"/>
          <w:tab w:val="left" w:leader="dot" w:pos="7830"/>
          <w:tab w:val="clear" w:pos="8640"/>
        </w:tabs>
        <w:spacing w:line="240" w:lineRule="auto"/>
        <w:ind w:left="0" w:firstLine="0"/>
        <w:rPr>
          <w:bCs/>
        </w:rPr>
      </w:pPr>
      <w:r>
        <w:rPr>
          <w:bCs/>
        </w:rPr>
        <w:t>Appendix C3.</w:t>
      </w:r>
      <w:r>
        <w:rPr>
          <w:bCs/>
        </w:rPr>
        <w:tab/>
        <w:t>Telephone Survey Introduction Script (English)</w:t>
      </w:r>
    </w:p>
    <w:p w:rsidR="00FD1A79" w:rsidP="00FD1A79" w14:paraId="21B36B98" w14:textId="77777777">
      <w:pPr>
        <w:pStyle w:val="TOC1"/>
        <w:tabs>
          <w:tab w:val="clear" w:pos="1440"/>
          <w:tab w:val="left" w:pos="1620"/>
          <w:tab w:val="left" w:leader="dot" w:pos="7830"/>
          <w:tab w:val="clear" w:pos="8640"/>
        </w:tabs>
        <w:spacing w:line="240" w:lineRule="auto"/>
        <w:ind w:left="0" w:firstLine="0"/>
        <w:rPr>
          <w:bCs/>
        </w:rPr>
      </w:pPr>
      <w:r>
        <w:rPr>
          <w:bCs/>
        </w:rPr>
        <w:t>Appendix C4.</w:t>
      </w:r>
      <w:r>
        <w:rPr>
          <w:bCs/>
        </w:rPr>
        <w:tab/>
        <w:t>Telephone Survey Introduction Script (Spanish)</w:t>
      </w:r>
    </w:p>
    <w:p w:rsidR="00FD1A79" w:rsidRPr="00D368BA" w:rsidP="00FD1A79" w14:paraId="7B335C93" w14:textId="77777777">
      <w:pPr>
        <w:pStyle w:val="TOC1"/>
        <w:tabs>
          <w:tab w:val="clear" w:pos="1440"/>
          <w:tab w:val="left" w:pos="1620"/>
          <w:tab w:val="left" w:leader="dot" w:pos="7830"/>
          <w:tab w:val="clear" w:pos="8640"/>
        </w:tabs>
        <w:spacing w:line="240" w:lineRule="auto"/>
        <w:ind w:left="0" w:firstLine="0"/>
        <w:rPr>
          <w:bCs/>
        </w:rPr>
      </w:pPr>
      <w:r w:rsidRPr="00D368BA">
        <w:rPr>
          <w:bCs/>
        </w:rPr>
        <w:t>Appendix C</w:t>
      </w:r>
      <w:r>
        <w:rPr>
          <w:bCs/>
        </w:rPr>
        <w:t>5</w:t>
      </w:r>
      <w:r w:rsidRPr="00D368BA">
        <w:rPr>
          <w:bCs/>
        </w:rPr>
        <w:t>.</w:t>
      </w:r>
      <w:r w:rsidRPr="00D368BA">
        <w:rPr>
          <w:bCs/>
        </w:rPr>
        <w:tab/>
      </w:r>
      <w:r>
        <w:rPr>
          <w:bCs/>
        </w:rPr>
        <w:t>Reminder Voicemail Script (</w:t>
      </w:r>
      <w:r w:rsidRPr="00D368BA">
        <w:rPr>
          <w:bCs/>
        </w:rPr>
        <w:t>English</w:t>
      </w:r>
      <w:r>
        <w:rPr>
          <w:bCs/>
        </w:rPr>
        <w:t>)</w:t>
      </w:r>
    </w:p>
    <w:p w:rsidR="00FD1A79" w:rsidRPr="00D368BA" w:rsidP="00FD1A79" w14:paraId="7C737E5A" w14:textId="77777777">
      <w:pPr>
        <w:pStyle w:val="TOC1"/>
        <w:tabs>
          <w:tab w:val="clear" w:pos="1440"/>
          <w:tab w:val="left" w:pos="1620"/>
          <w:tab w:val="left" w:leader="dot" w:pos="7830"/>
          <w:tab w:val="clear" w:pos="8640"/>
        </w:tabs>
        <w:spacing w:line="240" w:lineRule="auto"/>
        <w:ind w:left="0" w:firstLine="0"/>
        <w:rPr>
          <w:bCs/>
        </w:rPr>
      </w:pPr>
      <w:r w:rsidRPr="00D368BA">
        <w:rPr>
          <w:bCs/>
        </w:rPr>
        <w:t>Appendix C</w:t>
      </w:r>
      <w:r>
        <w:rPr>
          <w:bCs/>
        </w:rPr>
        <w:t>6</w:t>
      </w:r>
      <w:r w:rsidRPr="00D368BA">
        <w:rPr>
          <w:bCs/>
        </w:rPr>
        <w:t>.</w:t>
      </w:r>
      <w:r w:rsidRPr="00D368BA">
        <w:rPr>
          <w:bCs/>
        </w:rPr>
        <w:tab/>
      </w:r>
      <w:r>
        <w:rPr>
          <w:bCs/>
        </w:rPr>
        <w:t>Reminder Voicemail Script (</w:t>
      </w:r>
      <w:r w:rsidRPr="00D368BA">
        <w:rPr>
          <w:bCs/>
        </w:rPr>
        <w:t>Spanish</w:t>
      </w:r>
      <w:r>
        <w:rPr>
          <w:bCs/>
        </w:rPr>
        <w:t>)</w:t>
      </w:r>
    </w:p>
    <w:p w:rsidR="00FD1A79" w:rsidRPr="00D368BA" w:rsidP="00FD1A79" w14:paraId="75C35088" w14:textId="77777777">
      <w:pPr>
        <w:pStyle w:val="TOC1"/>
        <w:tabs>
          <w:tab w:val="clear" w:pos="1440"/>
          <w:tab w:val="left" w:pos="1620"/>
          <w:tab w:val="left" w:leader="dot" w:pos="7830"/>
          <w:tab w:val="clear" w:pos="8640"/>
        </w:tabs>
        <w:spacing w:line="240" w:lineRule="auto"/>
        <w:ind w:left="0" w:firstLine="0"/>
        <w:rPr>
          <w:bCs/>
        </w:rPr>
      </w:pPr>
      <w:r w:rsidRPr="00D368BA">
        <w:rPr>
          <w:bCs/>
        </w:rPr>
        <w:t>Appendix C</w:t>
      </w:r>
      <w:r>
        <w:rPr>
          <w:bCs/>
        </w:rPr>
        <w:t>7</w:t>
      </w:r>
      <w:r w:rsidRPr="00D368BA">
        <w:rPr>
          <w:bCs/>
        </w:rPr>
        <w:t>.</w:t>
      </w:r>
      <w:r w:rsidRPr="00D368BA">
        <w:rPr>
          <w:bCs/>
        </w:rPr>
        <w:tab/>
        <w:t>Reminder Letter</w:t>
      </w:r>
      <w:r>
        <w:rPr>
          <w:bCs/>
        </w:rPr>
        <w:t xml:space="preserve"> with Mail Survey (</w:t>
      </w:r>
      <w:r w:rsidRPr="00D368BA">
        <w:rPr>
          <w:bCs/>
        </w:rPr>
        <w:t>English</w:t>
      </w:r>
      <w:r>
        <w:rPr>
          <w:bCs/>
        </w:rPr>
        <w:t>)</w:t>
      </w:r>
    </w:p>
    <w:p w:rsidR="00FD1A79" w:rsidRPr="00D368BA" w:rsidP="00FD1A79" w14:paraId="60F56BC3" w14:textId="77777777">
      <w:pPr>
        <w:pStyle w:val="TOC1"/>
        <w:tabs>
          <w:tab w:val="clear" w:pos="1440"/>
          <w:tab w:val="left" w:pos="1620"/>
          <w:tab w:val="left" w:leader="dot" w:pos="7830"/>
          <w:tab w:val="clear" w:pos="8640"/>
        </w:tabs>
        <w:spacing w:line="240" w:lineRule="auto"/>
        <w:ind w:left="0" w:firstLine="0"/>
        <w:rPr>
          <w:bCs/>
        </w:rPr>
      </w:pPr>
      <w:r>
        <w:rPr>
          <w:bCs/>
        </w:rPr>
        <w:t>Appendix C8</w:t>
      </w:r>
      <w:r w:rsidRPr="00D368BA">
        <w:rPr>
          <w:bCs/>
        </w:rPr>
        <w:t>.</w:t>
      </w:r>
      <w:r w:rsidRPr="00D368BA">
        <w:rPr>
          <w:bCs/>
        </w:rPr>
        <w:tab/>
        <w:t>Reminder Letter</w:t>
      </w:r>
      <w:r>
        <w:rPr>
          <w:bCs/>
        </w:rPr>
        <w:t xml:space="preserve"> with Mail Survey (</w:t>
      </w:r>
      <w:r w:rsidRPr="00D368BA">
        <w:rPr>
          <w:bCs/>
        </w:rPr>
        <w:t>Spanish</w:t>
      </w:r>
      <w:r>
        <w:rPr>
          <w:bCs/>
        </w:rPr>
        <w:t>)</w:t>
      </w:r>
    </w:p>
    <w:p w:rsidR="00FD1A79" w:rsidRPr="00D368BA" w:rsidP="00FD1A79" w14:paraId="42340982" w14:textId="77777777">
      <w:pPr>
        <w:pStyle w:val="TOC1"/>
        <w:tabs>
          <w:tab w:val="clear" w:pos="1440"/>
          <w:tab w:val="left" w:pos="1620"/>
          <w:tab w:val="left" w:leader="dot" w:pos="7830"/>
          <w:tab w:val="clear" w:pos="8640"/>
        </w:tabs>
        <w:spacing w:line="240" w:lineRule="auto"/>
        <w:ind w:left="0" w:firstLine="0"/>
        <w:rPr>
          <w:bCs/>
        </w:rPr>
      </w:pPr>
    </w:p>
    <w:p w:rsidR="00FD1A79" w:rsidRPr="00D368BA" w:rsidP="00FD1A79" w14:paraId="615D88C1" w14:textId="77777777">
      <w:pPr>
        <w:tabs>
          <w:tab w:val="left" w:pos="1620"/>
          <w:tab w:val="right" w:leader="dot" w:pos="8640"/>
          <w:tab w:val="left" w:pos="8910"/>
        </w:tabs>
        <w:spacing w:line="240" w:lineRule="auto"/>
        <w:ind w:right="1080"/>
      </w:pPr>
      <w:r w:rsidRPr="004E4D88">
        <w:rPr>
          <w:bCs/>
        </w:rPr>
        <w:t xml:space="preserve">Appendix </w:t>
      </w:r>
      <w:r>
        <w:rPr>
          <w:bCs/>
        </w:rPr>
        <w:t>D</w:t>
      </w:r>
      <w:r w:rsidRPr="004E4D88">
        <w:rPr>
          <w:bCs/>
        </w:rPr>
        <w:t>1.</w:t>
      </w:r>
      <w:r>
        <w:rPr>
          <w:bCs/>
        </w:rPr>
        <w:t xml:space="preserve"> </w:t>
      </w:r>
      <w:r w:rsidRPr="004E4D88">
        <w:rPr>
          <w:bCs/>
        </w:rPr>
        <w:t xml:space="preserve"> </w:t>
      </w:r>
      <w:r>
        <w:rPr>
          <w:bCs/>
        </w:rPr>
        <w:tab/>
        <w:t>Estimates of Respondent Burden</w:t>
      </w:r>
    </w:p>
    <w:bookmarkEnd w:id="4"/>
    <w:p w:rsidR="00FD1A79" w:rsidRPr="00D368BA" w:rsidP="00FD1A79" w14:paraId="5C544DB8" w14:textId="77777777">
      <w:pPr>
        <w:pStyle w:val="TOC1"/>
        <w:tabs>
          <w:tab w:val="left" w:leader="dot" w:pos="7830"/>
        </w:tabs>
        <w:spacing w:line="240" w:lineRule="auto"/>
        <w:ind w:left="0" w:hanging="1080"/>
      </w:pPr>
    </w:p>
    <w:p w:rsidR="00FD1A79" w:rsidRPr="00D368BA" w:rsidP="00FD1A79" w14:paraId="2936847B" w14:textId="77777777">
      <w:pPr>
        <w:spacing w:line="240" w:lineRule="auto"/>
        <w:rPr>
          <w:szCs w:val="24"/>
        </w:rPr>
        <w:sectPr w:rsidSect="00842A83">
          <w:footerReference w:type="default" r:id="rId9"/>
          <w:pgSz w:w="12240" w:h="15840" w:code="1"/>
          <w:pgMar w:top="1440" w:right="1440" w:bottom="1440" w:left="1440" w:header="720" w:footer="576" w:gutter="0"/>
          <w:pgNumType w:start="0"/>
          <w:cols w:space="720"/>
          <w:docGrid w:linePitch="360"/>
        </w:sectPr>
      </w:pPr>
    </w:p>
    <w:p w:rsidR="00FD1A79" w:rsidRPr="00D368BA" w:rsidP="00FD1A79" w14:paraId="2B852718" w14:textId="77777777">
      <w:pPr>
        <w:pStyle w:val="Heading1"/>
        <w:numPr>
          <w:ilvl w:val="0"/>
          <w:numId w:val="2"/>
        </w:numPr>
        <w:tabs>
          <w:tab w:val="left" w:pos="720"/>
          <w:tab w:val="clear" w:pos="1152"/>
        </w:tabs>
        <w:ind w:left="720" w:hanging="720"/>
        <w:rPr>
          <w:rFonts w:ascii="Times New Roman" w:hAnsi="Times New Roman"/>
          <w:bCs/>
          <w:color w:val="auto"/>
          <w:sz w:val="24"/>
        </w:rPr>
      </w:pPr>
      <w:bookmarkStart w:id="5" w:name="_Toc282506041"/>
      <w:bookmarkStart w:id="6" w:name="_Toc339621302"/>
      <w:r w:rsidRPr="00D368BA">
        <w:rPr>
          <w:rFonts w:ascii="Times New Roman" w:hAnsi="Times New Roman"/>
          <w:bCs/>
          <w:color w:val="auto"/>
          <w:sz w:val="24"/>
        </w:rPr>
        <w:t>COLLECTIONS OF INFORMATION EMPLOYING STATISTICAL METHODS</w:t>
      </w:r>
      <w:bookmarkEnd w:id="5"/>
      <w:bookmarkEnd w:id="6"/>
    </w:p>
    <w:p w:rsidR="00FD1A79" w:rsidRPr="00D368BA" w:rsidP="00FD1A79" w14:paraId="2E399757" w14:textId="77777777">
      <w:pPr>
        <w:pStyle w:val="Heading2"/>
        <w:tabs>
          <w:tab w:val="left" w:pos="720"/>
          <w:tab w:val="clear" w:pos="1152"/>
        </w:tabs>
        <w:spacing w:line="240" w:lineRule="auto"/>
        <w:ind w:left="720" w:hanging="720"/>
      </w:pPr>
      <w:bookmarkStart w:id="7" w:name="_Toc282506042"/>
      <w:r w:rsidRPr="00D368BA">
        <w:rPr>
          <w:rFonts w:ascii="Times New Roman" w:hAnsi="Times New Roman"/>
          <w:color w:val="auto"/>
          <w:sz w:val="24"/>
          <w:szCs w:val="24"/>
        </w:rPr>
        <w:t>B.1</w:t>
      </w:r>
      <w:r w:rsidRPr="00D368BA">
        <w:rPr>
          <w:rFonts w:ascii="Times New Roman" w:hAnsi="Times New Roman"/>
          <w:color w:val="auto"/>
          <w:sz w:val="24"/>
          <w:szCs w:val="24"/>
        </w:rPr>
        <w:tab/>
      </w:r>
      <w:bookmarkEnd w:id="7"/>
      <w:r w:rsidRPr="00D368BA">
        <w:rPr>
          <w:rFonts w:ascii="Times New Roman" w:hAnsi="Times New Roman"/>
          <w:color w:val="auto"/>
          <w:sz w:val="24"/>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D368BA">
        <w:rPr>
          <w:rFonts w:ascii="Times New Roman" w:hAnsi="Times New Roman"/>
          <w:color w:val="auto"/>
          <w:sz w:val="24"/>
          <w:szCs w:val="24"/>
        </w:rPr>
        <w:t>collection as a whole</w:t>
      </w:r>
      <w:r w:rsidRPr="00D368BA">
        <w:rPr>
          <w:rFonts w:ascii="Times New Roman" w:hAnsi="Times New Roman"/>
          <w:color w:val="auto"/>
          <w:sz w:val="24"/>
          <w:szCs w:val="24"/>
        </w:rPr>
        <w:t>. If the collection had been conducted previously, include the actual response rate achieved during the last collection.</w:t>
      </w:r>
    </w:p>
    <w:p w:rsidR="00FD1A79" w:rsidRPr="00D368BA" w:rsidP="00FD1A79" w14:paraId="726FB35A" w14:textId="77777777">
      <w:pPr>
        <w:pStyle w:val="P1-StandPara"/>
        <w:spacing w:line="480" w:lineRule="auto"/>
        <w:ind w:right="-86" w:firstLine="720"/>
        <w:rPr>
          <w:b/>
          <w:szCs w:val="24"/>
        </w:rPr>
      </w:pPr>
      <w:r w:rsidRPr="00D368BA">
        <w:rPr>
          <w:b/>
          <w:szCs w:val="24"/>
        </w:rPr>
        <w:t>B.1.a Sampling</w:t>
      </w:r>
    </w:p>
    <w:p w:rsidR="00FD1A79" w:rsidRPr="00D368BA" w:rsidP="00FD1A79" w14:paraId="4240803A" w14:textId="312A3803">
      <w:pPr>
        <w:pStyle w:val="P1-StandPara"/>
        <w:spacing w:line="480" w:lineRule="auto"/>
        <w:ind w:right="-86" w:firstLine="720"/>
        <w:rPr>
          <w:szCs w:val="24"/>
          <w:highlight w:val="yellow"/>
        </w:rPr>
      </w:pPr>
      <w:r w:rsidRPr="00D368BA">
        <w:rPr>
          <w:szCs w:val="24"/>
        </w:rPr>
        <w:t xml:space="preserve">The purpose of this study is to improve the service that the </w:t>
      </w:r>
      <w:r w:rsidRPr="00D368BA">
        <w:t>Office of Medicare Hearings and Appeals (OMHA)</w:t>
      </w:r>
      <w:r w:rsidRPr="00D368BA">
        <w:rPr>
          <w:szCs w:val="24"/>
        </w:rPr>
        <w:t xml:space="preserve"> provides to its appellants. The survey will gauge appellants’ satisfaction with this service along with the overall appeals experience. By identifying areas of success </w:t>
      </w:r>
      <w:r w:rsidR="00C92BFF">
        <w:rPr>
          <w:szCs w:val="24"/>
        </w:rPr>
        <w:t>and opportunities</w:t>
      </w:r>
      <w:r w:rsidRPr="00D368BA">
        <w:rPr>
          <w:szCs w:val="24"/>
        </w:rPr>
        <w:t xml:space="preserve"> for improvement, OMHA will be able to continuously improve its existing processes. The information obtained could lead to reallocation of resources, revisions </w:t>
      </w:r>
      <w:r w:rsidR="00916AE9">
        <w:rPr>
          <w:szCs w:val="24"/>
        </w:rPr>
        <w:t>to</w:t>
      </w:r>
      <w:r w:rsidRPr="00D368BA" w:rsidR="00916AE9">
        <w:rPr>
          <w:szCs w:val="24"/>
        </w:rPr>
        <w:t xml:space="preserve"> </w:t>
      </w:r>
      <w:r w:rsidRPr="00D368BA">
        <w:rPr>
          <w:szCs w:val="24"/>
        </w:rPr>
        <w:t xml:space="preserve">certain agency processes, and development of guidance related to the agency’s customer services. </w:t>
      </w:r>
      <w:r w:rsidRPr="00D368BA">
        <w:t>OMHA will collect information from two appellant types: (1) individuals disagreeing with and appealing payment decisions regarding Medicare coverage (beneficiaries), and (2) providers or suppliers appealing payment decisions regarding Medicare coverage for items and services furnished to beneficiaries (non-beneficiaries).</w:t>
      </w:r>
    </w:p>
    <w:p w:rsidR="00FD1A79" w:rsidRPr="00D368BA" w:rsidP="00FD1A79" w14:paraId="3F8406B7" w14:textId="23B16233">
      <w:pPr>
        <w:spacing w:line="480" w:lineRule="auto"/>
        <w:ind w:firstLine="720"/>
        <w:rPr>
          <w:szCs w:val="24"/>
        </w:rPr>
      </w:pPr>
      <w:r w:rsidRPr="00D368BA">
        <w:rPr>
          <w:szCs w:val="24"/>
        </w:rPr>
        <w:t xml:space="preserve">The respondent universe includes a total of approximately </w:t>
      </w:r>
      <w:r w:rsidR="00814649">
        <w:rPr>
          <w:szCs w:val="24"/>
        </w:rPr>
        <w:t>7,200</w:t>
      </w:r>
      <w:r w:rsidRPr="00D368BA">
        <w:rPr>
          <w:szCs w:val="24"/>
        </w:rPr>
        <w:t xml:space="preserve"> appellants filing one or multiple appeals each fiscal year</w:t>
      </w:r>
      <w:r w:rsidR="00C73870">
        <w:rPr>
          <w:szCs w:val="24"/>
        </w:rPr>
        <w:t xml:space="preserve"> (FY)</w:t>
      </w:r>
      <w:r w:rsidRPr="00D368BA">
        <w:rPr>
          <w:szCs w:val="24"/>
        </w:rPr>
        <w:t>.</w:t>
      </w:r>
      <w:r>
        <w:rPr>
          <w:rStyle w:val="FootnoteReference"/>
          <w:szCs w:val="24"/>
        </w:rPr>
        <w:footnoteReference w:id="3"/>
      </w:r>
      <w:r w:rsidRPr="00D368BA">
        <w:rPr>
          <w:szCs w:val="24"/>
        </w:rPr>
        <w:t xml:space="preserve"> The sample for this survey includes all appellants with a “closed” appeal during the first </w:t>
      </w:r>
      <w:r w:rsidR="00E9421A">
        <w:rPr>
          <w:szCs w:val="24"/>
        </w:rPr>
        <w:t>6</w:t>
      </w:r>
      <w:r w:rsidRPr="00D368BA" w:rsidR="00E9421A">
        <w:rPr>
          <w:szCs w:val="24"/>
        </w:rPr>
        <w:t xml:space="preserve"> </w:t>
      </w:r>
      <w:r w:rsidRPr="00D368BA">
        <w:rPr>
          <w:szCs w:val="24"/>
        </w:rPr>
        <w:t xml:space="preserve">months of the </w:t>
      </w:r>
      <w:r w:rsidR="001A0057">
        <w:rPr>
          <w:szCs w:val="24"/>
        </w:rPr>
        <w:t>FY</w:t>
      </w:r>
      <w:r w:rsidRPr="00D368BA">
        <w:rPr>
          <w:szCs w:val="24"/>
        </w:rPr>
        <w:t xml:space="preserve"> (October through March), resulting in a sample of approximately </w:t>
      </w:r>
      <w:r w:rsidR="002F3339">
        <w:rPr>
          <w:szCs w:val="24"/>
        </w:rPr>
        <w:t>3,</w:t>
      </w:r>
      <w:r w:rsidR="00814649">
        <w:rPr>
          <w:szCs w:val="24"/>
        </w:rPr>
        <w:t>6</w:t>
      </w:r>
      <w:r w:rsidR="002F3339">
        <w:rPr>
          <w:szCs w:val="24"/>
        </w:rPr>
        <w:t>00</w:t>
      </w:r>
      <w:r w:rsidRPr="00D368BA">
        <w:rPr>
          <w:szCs w:val="24"/>
        </w:rPr>
        <w:t xml:space="preserve"> appellants. OMHA is focusing on a non-redundant appellant universe so as not to bias this study toward large entities that account for </w:t>
      </w:r>
      <w:r w:rsidRPr="00D368BA">
        <w:rPr>
          <w:szCs w:val="24"/>
        </w:rPr>
        <w:t>the vast majority of</w:t>
      </w:r>
      <w:r w:rsidRPr="00D368BA">
        <w:rPr>
          <w:szCs w:val="24"/>
        </w:rPr>
        <w:t xml:space="preserve"> </w:t>
      </w:r>
      <w:r w:rsidRPr="00D368BA">
        <w:rPr>
          <w:szCs w:val="24"/>
        </w:rPr>
        <w:t xml:space="preserve">appeals (i.e., providers or suppliers, who file approximately </w:t>
      </w:r>
      <w:r w:rsidR="00AB7ABC">
        <w:rPr>
          <w:szCs w:val="24"/>
        </w:rPr>
        <w:t>91</w:t>
      </w:r>
      <w:r w:rsidR="003009B2">
        <w:rPr>
          <w:szCs w:val="24"/>
        </w:rPr>
        <w:t xml:space="preserve"> percent</w:t>
      </w:r>
      <w:r w:rsidRPr="00D368BA">
        <w:rPr>
          <w:szCs w:val="24"/>
        </w:rPr>
        <w:t xml:space="preserve"> of appeals; typically, a single provider or supplier files multiple appeals throughout the year). </w:t>
      </w:r>
    </w:p>
    <w:p w:rsidR="00FD1A79" w:rsidRPr="00D84C7D" w:rsidP="00FD1A79" w14:paraId="4702658F" w14:textId="721459F8">
      <w:pPr>
        <w:spacing w:line="480" w:lineRule="auto"/>
        <w:ind w:firstLine="720"/>
        <w:rPr>
          <w:szCs w:val="24"/>
        </w:rPr>
      </w:pPr>
      <w:r w:rsidRPr="00D84C7D">
        <w:rPr>
          <w:szCs w:val="24"/>
        </w:rPr>
        <w:t xml:space="preserve">Based on analysis of the </w:t>
      </w:r>
      <w:r w:rsidRPr="00D84C7D" w:rsidR="00621A77">
        <w:rPr>
          <w:szCs w:val="24"/>
        </w:rPr>
        <w:t>FY 202</w:t>
      </w:r>
      <w:r w:rsidR="00D84C7D">
        <w:rPr>
          <w:szCs w:val="24"/>
        </w:rPr>
        <w:t>2</w:t>
      </w:r>
      <w:r w:rsidRPr="00D84C7D" w:rsidR="00621A77">
        <w:rPr>
          <w:szCs w:val="24"/>
        </w:rPr>
        <w:t xml:space="preserve"> </w:t>
      </w:r>
      <w:r w:rsidRPr="00D84C7D">
        <w:rPr>
          <w:szCs w:val="24"/>
        </w:rPr>
        <w:t xml:space="preserve">population, there are </w:t>
      </w:r>
      <w:r w:rsidRPr="00D84C7D" w:rsidR="0068044D">
        <w:rPr>
          <w:szCs w:val="24"/>
        </w:rPr>
        <w:t>3,</w:t>
      </w:r>
      <w:r w:rsidR="00955419">
        <w:rPr>
          <w:szCs w:val="24"/>
        </w:rPr>
        <w:t>579</w:t>
      </w:r>
      <w:r w:rsidRPr="00D84C7D">
        <w:rPr>
          <w:szCs w:val="24"/>
        </w:rPr>
        <w:t xml:space="preserve"> non-redundant appellants whose cases have been closed in the first </w:t>
      </w:r>
      <w:r w:rsidRPr="00D84C7D" w:rsidR="00542E16">
        <w:rPr>
          <w:szCs w:val="24"/>
        </w:rPr>
        <w:t xml:space="preserve">6 </w:t>
      </w:r>
      <w:r w:rsidRPr="00D84C7D">
        <w:rPr>
          <w:szCs w:val="24"/>
        </w:rPr>
        <w:t xml:space="preserve">months of the </w:t>
      </w:r>
      <w:r w:rsidRPr="00D84C7D" w:rsidR="002D6250">
        <w:rPr>
          <w:szCs w:val="24"/>
        </w:rPr>
        <w:t>FY</w:t>
      </w:r>
      <w:r w:rsidRPr="00D84C7D">
        <w:rPr>
          <w:szCs w:val="24"/>
        </w:rPr>
        <w:t xml:space="preserve">. Roughly </w:t>
      </w:r>
      <w:r w:rsidR="00FB4E98">
        <w:rPr>
          <w:szCs w:val="24"/>
        </w:rPr>
        <w:t>54</w:t>
      </w:r>
      <w:r w:rsidRPr="00D84C7D" w:rsidR="00C2155B">
        <w:rPr>
          <w:szCs w:val="24"/>
        </w:rPr>
        <w:t xml:space="preserve"> percent</w:t>
      </w:r>
      <w:r w:rsidRPr="00D84C7D">
        <w:rPr>
          <w:szCs w:val="24"/>
        </w:rPr>
        <w:t xml:space="preserve"> of appellants (</w:t>
      </w:r>
      <w:r w:rsidRPr="00D84C7D">
        <w:rPr>
          <w:i/>
          <w:szCs w:val="24"/>
        </w:rPr>
        <w:t>n</w:t>
      </w:r>
      <w:r w:rsidRPr="00D84C7D">
        <w:rPr>
          <w:szCs w:val="24"/>
        </w:rPr>
        <w:t xml:space="preserve"> = </w:t>
      </w:r>
      <w:r w:rsidR="003A7C04">
        <w:rPr>
          <w:szCs w:val="24"/>
        </w:rPr>
        <w:t>1,762</w:t>
      </w:r>
      <w:r w:rsidRPr="00D84C7D">
        <w:rPr>
          <w:szCs w:val="24"/>
        </w:rPr>
        <w:t>) in the sample are non-beneficiaries (i.e., providers or suppliers). The remaining (</w:t>
      </w:r>
      <w:r w:rsidRPr="00D84C7D">
        <w:rPr>
          <w:i/>
          <w:szCs w:val="24"/>
        </w:rPr>
        <w:t>n</w:t>
      </w:r>
      <w:r w:rsidRPr="00D84C7D">
        <w:rPr>
          <w:szCs w:val="24"/>
        </w:rPr>
        <w:t xml:space="preserve"> = </w:t>
      </w:r>
      <w:r w:rsidRPr="00D84C7D" w:rsidR="00621A77">
        <w:rPr>
          <w:szCs w:val="24"/>
        </w:rPr>
        <w:t>1</w:t>
      </w:r>
      <w:r w:rsidRPr="00D84C7D" w:rsidR="008E48A9">
        <w:rPr>
          <w:szCs w:val="24"/>
        </w:rPr>
        <w:t>,</w:t>
      </w:r>
      <w:r w:rsidR="00E2218F">
        <w:rPr>
          <w:szCs w:val="24"/>
        </w:rPr>
        <w:t>817</w:t>
      </w:r>
      <w:r w:rsidRPr="00D84C7D">
        <w:rPr>
          <w:szCs w:val="24"/>
        </w:rPr>
        <w:t>) are individual beneficiaries who may have been represented by a third party. The focus of this study is on appellant satisfaction with the existing process</w:t>
      </w:r>
      <w:r w:rsidRPr="00D84C7D" w:rsidR="00CF5D55">
        <w:rPr>
          <w:szCs w:val="24"/>
        </w:rPr>
        <w:t>;</w:t>
      </w:r>
      <w:r w:rsidRPr="00D84C7D">
        <w:rPr>
          <w:szCs w:val="24"/>
        </w:rPr>
        <w:t xml:space="preserve"> therefore</w:t>
      </w:r>
      <w:r w:rsidRPr="00D84C7D" w:rsidR="00CF5D55">
        <w:rPr>
          <w:szCs w:val="24"/>
        </w:rPr>
        <w:t>,</w:t>
      </w:r>
      <w:r w:rsidRPr="00D84C7D">
        <w:rPr>
          <w:szCs w:val="24"/>
        </w:rPr>
        <w:t xml:space="preserve"> it is important to treat each appellant—regardless of type—as an individual entity. </w:t>
      </w:r>
    </w:p>
    <w:p w:rsidR="00FD1A79" w:rsidRPr="00D368BA" w:rsidP="00FD1A79" w14:paraId="41FEF8F0" w14:textId="77777777">
      <w:pPr>
        <w:spacing w:line="240" w:lineRule="auto"/>
        <w:ind w:firstLine="720"/>
        <w:rPr>
          <w:b/>
          <w:szCs w:val="24"/>
        </w:rPr>
      </w:pPr>
      <w:r w:rsidRPr="00D368BA">
        <w:rPr>
          <w:b/>
          <w:szCs w:val="24"/>
        </w:rPr>
        <w:t>B.1.b Expected Response Rates</w:t>
      </w:r>
    </w:p>
    <w:p w:rsidR="00FD1A79" w:rsidRPr="00D368BA" w:rsidP="00FD1A79" w14:paraId="6DA0EECB" w14:textId="77777777">
      <w:pPr>
        <w:tabs>
          <w:tab w:val="left" w:pos="0"/>
          <w:tab w:val="left" w:pos="288"/>
          <w:tab w:val="left" w:pos="475"/>
          <w:tab w:val="left" w:pos="662"/>
        </w:tabs>
        <w:spacing w:line="240" w:lineRule="auto"/>
        <w:rPr>
          <w:b/>
          <w:szCs w:val="24"/>
        </w:rPr>
      </w:pPr>
    </w:p>
    <w:p w:rsidR="00FD1A79" w:rsidRPr="00D368BA" w:rsidP="00FD1A79" w14:paraId="51F5D942" w14:textId="2CE65765">
      <w:pPr>
        <w:spacing w:line="480" w:lineRule="auto"/>
        <w:ind w:firstLine="720"/>
      </w:pPr>
      <w:bookmarkStart w:id="8" w:name="_Toc282506043"/>
      <w:r>
        <w:t>A</w:t>
      </w:r>
      <w:r w:rsidR="004D5584">
        <w:t>ssuming</w:t>
      </w:r>
      <w:r w:rsidR="00D8690D">
        <w:t xml:space="preserve"> that</w:t>
      </w:r>
      <w:r w:rsidR="004D5584">
        <w:t xml:space="preserve"> 80</w:t>
      </w:r>
      <w:r w:rsidR="00127D01">
        <w:t xml:space="preserve"> percent</w:t>
      </w:r>
      <w:r w:rsidR="004D5584">
        <w:t xml:space="preserve"> </w:t>
      </w:r>
      <w:r w:rsidR="00D8690D">
        <w:t>of appellants contacted</w:t>
      </w:r>
      <w:r w:rsidR="004D5584">
        <w:t xml:space="preserve"> respond to the Appellant Climate Survey, the total estimated sample size needed </w:t>
      </w:r>
      <w:r w:rsidR="006F41A8">
        <w:t xml:space="preserve">is 1,000 </w:t>
      </w:r>
      <w:r w:rsidR="00142907">
        <w:t xml:space="preserve">appellant records </w:t>
      </w:r>
      <w:r w:rsidR="006F41A8">
        <w:t xml:space="preserve">each year. This figure includes </w:t>
      </w:r>
      <w:r w:rsidR="004E6B5C">
        <w:t>800 respondents and 200 non</w:t>
      </w:r>
      <w:r w:rsidR="00127D01">
        <w:t>-</w:t>
      </w:r>
      <w:r w:rsidR="004E6B5C">
        <w:t>respondents. The resulting respondent sample will include approximately 400 beneficiaries and 400 non-beneficiaries</w:t>
      </w:r>
      <w:r w:rsidR="0007373B">
        <w:t>.</w:t>
      </w:r>
    </w:p>
    <w:p w:rsidR="00FD1A79" w:rsidRPr="00D368BA" w:rsidP="00FD1A79" w14:paraId="5F9C8806" w14:textId="77777777">
      <w:pPr>
        <w:pStyle w:val="P1-StandPara"/>
        <w:spacing w:line="240" w:lineRule="auto"/>
        <w:ind w:right="-86" w:firstLine="0"/>
      </w:pPr>
    </w:p>
    <w:p w:rsidR="00FD1A79" w:rsidRPr="00D368BA" w:rsidP="00FD1A79" w14:paraId="131B4039" w14:textId="77777777">
      <w:pPr>
        <w:pStyle w:val="Heading2"/>
        <w:tabs>
          <w:tab w:val="left" w:pos="720"/>
          <w:tab w:val="clear" w:pos="1152"/>
        </w:tabs>
        <w:spacing w:after="0" w:line="480" w:lineRule="auto"/>
        <w:ind w:left="720" w:hanging="720"/>
        <w:rPr>
          <w:rFonts w:ascii="Times New Roman" w:hAnsi="Times New Roman"/>
          <w:color w:val="auto"/>
          <w:sz w:val="24"/>
          <w:szCs w:val="24"/>
        </w:rPr>
      </w:pPr>
      <w:r w:rsidRPr="00D368BA">
        <w:rPr>
          <w:rFonts w:ascii="Times New Roman" w:hAnsi="Times New Roman"/>
          <w:color w:val="auto"/>
          <w:sz w:val="24"/>
          <w:szCs w:val="24"/>
        </w:rPr>
        <w:t>B.2</w:t>
      </w:r>
      <w:r w:rsidRPr="00D368BA">
        <w:rPr>
          <w:rFonts w:ascii="Times New Roman" w:hAnsi="Times New Roman"/>
          <w:color w:val="auto"/>
          <w:sz w:val="24"/>
          <w:szCs w:val="24"/>
        </w:rPr>
        <w:tab/>
      </w:r>
      <w:bookmarkEnd w:id="8"/>
      <w:r w:rsidRPr="00D368BA">
        <w:rPr>
          <w:rFonts w:ascii="Times New Roman" w:hAnsi="Times New Roman"/>
          <w:color w:val="auto"/>
          <w:sz w:val="24"/>
          <w:szCs w:val="24"/>
        </w:rPr>
        <w:t>Describe the procedures for the collection of information including:</w:t>
      </w:r>
    </w:p>
    <w:p w:rsidR="00FD1A79" w:rsidP="00FD1A79" w14:paraId="177B8FB8" w14:textId="77777777">
      <w:pPr>
        <w:pStyle w:val="Normalcontinued"/>
        <w:ind w:firstLine="720"/>
        <w:rPr>
          <w:szCs w:val="24"/>
        </w:rPr>
      </w:pPr>
      <w:r w:rsidRPr="00D368BA">
        <w:rPr>
          <w:b/>
          <w:szCs w:val="24"/>
        </w:rPr>
        <w:t>B.2.a Statistical methodology for stratification and sample selection</w:t>
      </w:r>
    </w:p>
    <w:p w:rsidR="00FD1A79" w:rsidRPr="00D368BA" w:rsidP="00FD1A79" w14:paraId="7A45447B" w14:textId="5667C374">
      <w:pPr>
        <w:pStyle w:val="Normalcontinued"/>
        <w:ind w:firstLine="720"/>
        <w:rPr>
          <w:szCs w:val="24"/>
        </w:rPr>
      </w:pPr>
      <w:r w:rsidRPr="00D368BA">
        <w:rPr>
          <w:szCs w:val="24"/>
        </w:rPr>
        <w:t>In order to</w:t>
      </w:r>
      <w:r w:rsidRPr="00D368BA">
        <w:rPr>
          <w:szCs w:val="24"/>
        </w:rPr>
        <w:t xml:space="preserve"> ensure that the </w:t>
      </w:r>
      <w:r>
        <w:rPr>
          <w:szCs w:val="24"/>
        </w:rPr>
        <w:t xml:space="preserve">appellant </w:t>
      </w:r>
      <w:r w:rsidRPr="00D368BA">
        <w:rPr>
          <w:szCs w:val="24"/>
        </w:rPr>
        <w:t xml:space="preserve">sample is representative of the </w:t>
      </w:r>
      <w:r>
        <w:rPr>
          <w:szCs w:val="24"/>
        </w:rPr>
        <w:t>target universe described in the previous section</w:t>
      </w:r>
      <w:r w:rsidRPr="00D368BA">
        <w:rPr>
          <w:szCs w:val="24"/>
        </w:rPr>
        <w:t xml:space="preserve">, OMHA randomly stratifies the </w:t>
      </w:r>
      <w:r>
        <w:rPr>
          <w:szCs w:val="24"/>
        </w:rPr>
        <w:t xml:space="preserve">appellant </w:t>
      </w:r>
      <w:r w:rsidRPr="00D368BA">
        <w:rPr>
          <w:szCs w:val="24"/>
        </w:rPr>
        <w:t xml:space="preserve">sample by appellant type and </w:t>
      </w:r>
      <w:r w:rsidR="003D2DE1">
        <w:rPr>
          <w:szCs w:val="24"/>
        </w:rPr>
        <w:t>Field Office (FO)</w:t>
      </w:r>
      <w:r w:rsidRPr="00D368BA">
        <w:rPr>
          <w:szCs w:val="24"/>
        </w:rPr>
        <w:t xml:space="preserve">. </w:t>
      </w:r>
      <w:r>
        <w:rPr>
          <w:szCs w:val="24"/>
        </w:rPr>
        <w:t>An equal number of appellants will be sampled from each appellant type. The appellant sample</w:t>
      </w:r>
      <w:r w:rsidR="0065213C">
        <w:rPr>
          <w:szCs w:val="24"/>
        </w:rPr>
        <w:t xml:space="preserve"> </w:t>
      </w:r>
      <w:r w:rsidR="00440578">
        <w:rPr>
          <w:szCs w:val="24"/>
        </w:rPr>
        <w:t xml:space="preserve">will also be stratified by </w:t>
      </w:r>
      <w:r w:rsidR="00C022C5">
        <w:rPr>
          <w:szCs w:val="24"/>
        </w:rPr>
        <w:t>FO</w:t>
      </w:r>
      <w:r w:rsidR="00440578">
        <w:rPr>
          <w:szCs w:val="24"/>
        </w:rPr>
        <w:t xml:space="preserve"> </w:t>
      </w:r>
      <w:r w:rsidR="00CE319A">
        <w:rPr>
          <w:szCs w:val="24"/>
        </w:rPr>
        <w:t xml:space="preserve">in </w:t>
      </w:r>
      <w:r w:rsidR="006730A0">
        <w:rPr>
          <w:szCs w:val="24"/>
        </w:rPr>
        <w:t xml:space="preserve">quantities that are </w:t>
      </w:r>
      <w:r w:rsidR="00896C60">
        <w:rPr>
          <w:szCs w:val="24"/>
        </w:rPr>
        <w:t xml:space="preserve">reflective of the number of appeals in each </w:t>
      </w:r>
      <w:r w:rsidR="00521CC5">
        <w:rPr>
          <w:szCs w:val="24"/>
        </w:rPr>
        <w:t xml:space="preserve">FO. </w:t>
      </w:r>
      <w:r w:rsidRPr="00D368BA">
        <w:rPr>
          <w:szCs w:val="24"/>
        </w:rPr>
        <w:t xml:space="preserve">Given the percentage distribution of the entire population by these factors, a final stratified random sample includes the number of completed surveys listed below (see Table B1). </w:t>
      </w:r>
      <w:r w:rsidR="00976BA1">
        <w:rPr>
          <w:szCs w:val="24"/>
        </w:rPr>
        <w:t>We will recruit</w:t>
      </w:r>
      <w:r w:rsidR="00526F78">
        <w:rPr>
          <w:szCs w:val="24"/>
        </w:rPr>
        <w:t xml:space="preserve"> from</w:t>
      </w:r>
      <w:r w:rsidR="00976BA1">
        <w:rPr>
          <w:szCs w:val="24"/>
        </w:rPr>
        <w:t xml:space="preserve"> a</w:t>
      </w:r>
      <w:r w:rsidRPr="00D368BA" w:rsidR="00976BA1">
        <w:rPr>
          <w:szCs w:val="24"/>
        </w:rPr>
        <w:t xml:space="preserve"> </w:t>
      </w:r>
      <w:r w:rsidRPr="00D368BA">
        <w:rPr>
          <w:szCs w:val="24"/>
        </w:rPr>
        <w:t>total sample of</w:t>
      </w:r>
      <w:r w:rsidR="00DF6374">
        <w:rPr>
          <w:szCs w:val="24"/>
        </w:rPr>
        <w:t xml:space="preserve"> </w:t>
      </w:r>
      <w:r w:rsidR="003E508C">
        <w:rPr>
          <w:szCs w:val="24"/>
        </w:rPr>
        <w:t>1,0</w:t>
      </w:r>
      <w:r w:rsidR="00513464">
        <w:rPr>
          <w:szCs w:val="24"/>
        </w:rPr>
        <w:t xml:space="preserve">00 </w:t>
      </w:r>
      <w:r w:rsidR="00027CBC">
        <w:rPr>
          <w:szCs w:val="24"/>
        </w:rPr>
        <w:t xml:space="preserve">appellant </w:t>
      </w:r>
      <w:r w:rsidR="00526F78">
        <w:rPr>
          <w:szCs w:val="24"/>
        </w:rPr>
        <w:t>records</w:t>
      </w:r>
      <w:r w:rsidR="00513464">
        <w:rPr>
          <w:szCs w:val="24"/>
        </w:rPr>
        <w:t xml:space="preserve"> for</w:t>
      </w:r>
      <w:r w:rsidR="006F3C13">
        <w:rPr>
          <w:szCs w:val="24"/>
        </w:rPr>
        <w:t xml:space="preserve"> </w:t>
      </w:r>
      <w:r w:rsidR="00FC3ED5">
        <w:rPr>
          <w:szCs w:val="24"/>
        </w:rPr>
        <w:t xml:space="preserve">each </w:t>
      </w:r>
      <w:r w:rsidR="006F3C13">
        <w:rPr>
          <w:szCs w:val="24"/>
        </w:rPr>
        <w:t>FY</w:t>
      </w:r>
      <w:r w:rsidR="00B50A8A">
        <w:rPr>
          <w:szCs w:val="24"/>
        </w:rPr>
        <w:t xml:space="preserve"> of the data collection cycle</w:t>
      </w:r>
      <w:r w:rsidR="00513464">
        <w:rPr>
          <w:szCs w:val="24"/>
        </w:rPr>
        <w:t>,</w:t>
      </w:r>
      <w:r w:rsidRPr="00D368BA">
        <w:rPr>
          <w:szCs w:val="24"/>
        </w:rPr>
        <w:t xml:space="preserve"> including beneficiaries and non-beneficiaries (i.e., providers and </w:t>
      </w:r>
      <w:r w:rsidRPr="00D368BA">
        <w:rPr>
          <w:szCs w:val="24"/>
        </w:rPr>
        <w:t xml:space="preserve">suppliers), for participation in the survey. </w:t>
      </w:r>
      <w:r>
        <w:rPr>
          <w:szCs w:val="24"/>
        </w:rPr>
        <w:t>Given an 80</w:t>
      </w:r>
      <w:r w:rsidR="00976BA1">
        <w:rPr>
          <w:szCs w:val="24"/>
        </w:rPr>
        <w:t xml:space="preserve"> percent</w:t>
      </w:r>
      <w:r>
        <w:rPr>
          <w:szCs w:val="24"/>
        </w:rPr>
        <w:t xml:space="preserve"> response rate, a total of </w:t>
      </w:r>
      <w:r w:rsidR="006F3C13">
        <w:rPr>
          <w:szCs w:val="24"/>
        </w:rPr>
        <w:t>8</w:t>
      </w:r>
      <w:r w:rsidR="005A75D6">
        <w:rPr>
          <w:szCs w:val="24"/>
        </w:rPr>
        <w:t>00</w:t>
      </w:r>
      <w:r w:rsidR="007D5D9D">
        <w:rPr>
          <w:szCs w:val="24"/>
        </w:rPr>
        <w:t xml:space="preserve"> </w:t>
      </w:r>
      <w:r>
        <w:rPr>
          <w:szCs w:val="24"/>
        </w:rPr>
        <w:t xml:space="preserve">contacted </w:t>
      </w:r>
      <w:r w:rsidR="00403C55">
        <w:rPr>
          <w:szCs w:val="24"/>
        </w:rPr>
        <w:t>a</w:t>
      </w:r>
      <w:r>
        <w:rPr>
          <w:szCs w:val="24"/>
        </w:rPr>
        <w:t xml:space="preserve">ppellants is expected </w:t>
      </w:r>
      <w:r w:rsidR="005A75D6">
        <w:rPr>
          <w:szCs w:val="24"/>
        </w:rPr>
        <w:t xml:space="preserve">in </w:t>
      </w:r>
      <w:r w:rsidR="00361665">
        <w:rPr>
          <w:szCs w:val="24"/>
        </w:rPr>
        <w:t xml:space="preserve">each </w:t>
      </w:r>
      <w:r w:rsidR="006A3319">
        <w:rPr>
          <w:szCs w:val="24"/>
        </w:rPr>
        <w:t>FY</w:t>
      </w:r>
      <w:r w:rsidR="00107402">
        <w:rPr>
          <w:szCs w:val="24"/>
        </w:rPr>
        <w:t xml:space="preserve"> </w:t>
      </w:r>
      <w:r w:rsidR="00B16930">
        <w:rPr>
          <w:szCs w:val="24"/>
        </w:rPr>
        <w:t xml:space="preserve">of the data collection cycle </w:t>
      </w:r>
      <w:r>
        <w:rPr>
          <w:szCs w:val="24"/>
        </w:rPr>
        <w:t>(Table B2).</w:t>
      </w:r>
    </w:p>
    <w:p w:rsidR="00FD1A79" w:rsidRPr="00D368BA" w:rsidP="00FD1A79" w14:paraId="4E611D31" w14:textId="60892740">
      <w:pPr>
        <w:pStyle w:val="TableHeaderRow"/>
        <w:rPr>
          <w:i/>
          <w:highlight w:val="yellow"/>
        </w:rPr>
      </w:pPr>
      <w:r w:rsidRPr="00D368BA">
        <w:t>Table B1. Random Stratified Sample per Year</w:t>
      </w:r>
      <w:r>
        <w:rPr>
          <w:rStyle w:val="FootnoteReference"/>
          <w:szCs w:val="24"/>
        </w:rPr>
        <w:footnoteReference w:id="4"/>
      </w:r>
    </w:p>
    <w:tbl>
      <w:tblPr>
        <w:tblStyle w:val="GridTableLight"/>
        <w:tblW w:w="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990"/>
        <w:gridCol w:w="990"/>
        <w:gridCol w:w="990"/>
      </w:tblGrid>
      <w:tr w14:paraId="32C455FA" w14:textId="106A1CF4" w:rsidTr="00AB7328">
        <w:tblPrEx>
          <w:tblW w:w="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1975" w:type="dxa"/>
            <w:vMerge w:val="restart"/>
            <w:noWrap/>
            <w:hideMark/>
          </w:tcPr>
          <w:p w:rsidR="00CB43EA" w:rsidRPr="003A7F3D" w:rsidP="006B4E31" w14:paraId="641D7B1A" w14:textId="77777777">
            <w:pPr>
              <w:spacing w:line="240" w:lineRule="auto"/>
              <w:rPr>
                <w:sz w:val="20"/>
              </w:rPr>
            </w:pPr>
            <w:r w:rsidRPr="003A7F3D">
              <w:rPr>
                <w:sz w:val="20"/>
              </w:rPr>
              <w:t>Stratification Groups</w:t>
            </w:r>
          </w:p>
        </w:tc>
        <w:tc>
          <w:tcPr>
            <w:tcW w:w="2970" w:type="dxa"/>
            <w:gridSpan w:val="3"/>
            <w:noWrap/>
          </w:tcPr>
          <w:p w:rsidR="00CB43EA" w:rsidRPr="003A7F3D" w:rsidP="009E63C9" w14:paraId="51E580E6" w14:textId="4168001E">
            <w:pPr>
              <w:spacing w:line="240" w:lineRule="auto"/>
              <w:jc w:val="center"/>
              <w:rPr>
                <w:sz w:val="20"/>
              </w:rPr>
            </w:pPr>
            <w:r w:rsidRPr="003A7F3D">
              <w:rPr>
                <w:sz w:val="20"/>
              </w:rPr>
              <w:t>Estimated Sample Counts</w:t>
            </w:r>
          </w:p>
        </w:tc>
      </w:tr>
      <w:tr w14:paraId="6AF7A7FE" w14:textId="4D2EE907" w:rsidTr="003462E7">
        <w:tblPrEx>
          <w:tblW w:w="4945" w:type="dxa"/>
          <w:tblLook w:val="04A0"/>
        </w:tblPrEx>
        <w:trPr>
          <w:trHeight w:val="359"/>
        </w:trPr>
        <w:tc>
          <w:tcPr>
            <w:tcW w:w="1975" w:type="dxa"/>
            <w:vMerge/>
            <w:hideMark/>
          </w:tcPr>
          <w:p w:rsidR="009026B8" w:rsidRPr="003A7F3D" w:rsidP="006B4E31" w14:paraId="31232539" w14:textId="77777777">
            <w:pPr>
              <w:spacing w:line="240" w:lineRule="auto"/>
              <w:rPr>
                <w:sz w:val="20"/>
              </w:rPr>
            </w:pPr>
          </w:p>
        </w:tc>
        <w:tc>
          <w:tcPr>
            <w:tcW w:w="990" w:type="dxa"/>
            <w:noWrap/>
            <w:hideMark/>
          </w:tcPr>
          <w:p w:rsidR="009026B8" w:rsidRPr="003A7F3D" w:rsidP="006B4E31" w14:paraId="3E8EA5B7" w14:textId="548A6B25">
            <w:pPr>
              <w:spacing w:line="240" w:lineRule="auto"/>
              <w:jc w:val="center"/>
              <w:rPr>
                <w:sz w:val="20"/>
              </w:rPr>
            </w:pPr>
            <w:r w:rsidRPr="003A7F3D">
              <w:rPr>
                <w:sz w:val="20"/>
              </w:rPr>
              <w:t>FY</w:t>
            </w:r>
            <w:r>
              <w:rPr>
                <w:sz w:val="20"/>
              </w:rPr>
              <w:t xml:space="preserve"> </w:t>
            </w:r>
            <w:r w:rsidRPr="003A7F3D">
              <w:rPr>
                <w:sz w:val="20"/>
              </w:rPr>
              <w:t>202</w:t>
            </w:r>
            <w:r w:rsidR="005A54E8">
              <w:rPr>
                <w:sz w:val="20"/>
              </w:rPr>
              <w:t>4</w:t>
            </w:r>
          </w:p>
        </w:tc>
        <w:tc>
          <w:tcPr>
            <w:tcW w:w="990" w:type="dxa"/>
            <w:hideMark/>
          </w:tcPr>
          <w:p w:rsidR="009026B8" w:rsidRPr="003A7F3D" w:rsidP="006B4E31" w14:paraId="01783A3F" w14:textId="49966288">
            <w:pPr>
              <w:spacing w:line="240" w:lineRule="auto"/>
              <w:jc w:val="center"/>
              <w:rPr>
                <w:sz w:val="20"/>
              </w:rPr>
            </w:pPr>
            <w:r w:rsidRPr="003A7F3D">
              <w:rPr>
                <w:sz w:val="20"/>
              </w:rPr>
              <w:t>FY</w:t>
            </w:r>
            <w:r>
              <w:rPr>
                <w:sz w:val="20"/>
              </w:rPr>
              <w:t xml:space="preserve"> </w:t>
            </w:r>
            <w:r w:rsidRPr="003A7F3D">
              <w:rPr>
                <w:sz w:val="20"/>
              </w:rPr>
              <w:t>202</w:t>
            </w:r>
            <w:r w:rsidR="005A54E8">
              <w:rPr>
                <w:sz w:val="20"/>
              </w:rPr>
              <w:t>5</w:t>
            </w:r>
          </w:p>
        </w:tc>
        <w:tc>
          <w:tcPr>
            <w:tcW w:w="990" w:type="dxa"/>
            <w:hideMark/>
          </w:tcPr>
          <w:p w:rsidR="009026B8" w:rsidRPr="003A7F3D" w:rsidP="006B4E31" w14:paraId="7C5F316A" w14:textId="726404F5">
            <w:pPr>
              <w:spacing w:line="240" w:lineRule="auto"/>
              <w:jc w:val="center"/>
              <w:rPr>
                <w:sz w:val="20"/>
              </w:rPr>
            </w:pPr>
            <w:r w:rsidRPr="003A7F3D">
              <w:rPr>
                <w:sz w:val="20"/>
              </w:rPr>
              <w:t>FY</w:t>
            </w:r>
            <w:r>
              <w:rPr>
                <w:sz w:val="20"/>
              </w:rPr>
              <w:t xml:space="preserve"> </w:t>
            </w:r>
            <w:r w:rsidRPr="003A7F3D">
              <w:rPr>
                <w:sz w:val="20"/>
              </w:rPr>
              <w:t>202</w:t>
            </w:r>
            <w:r w:rsidR="005A54E8">
              <w:rPr>
                <w:sz w:val="20"/>
              </w:rPr>
              <w:t>6</w:t>
            </w:r>
          </w:p>
        </w:tc>
      </w:tr>
      <w:tr w14:paraId="405A5175" w14:textId="32138C97" w:rsidTr="00AB7328">
        <w:tblPrEx>
          <w:tblW w:w="4945" w:type="dxa"/>
          <w:tblLook w:val="04A0"/>
        </w:tblPrEx>
        <w:trPr>
          <w:trHeight w:val="315"/>
        </w:trPr>
        <w:tc>
          <w:tcPr>
            <w:tcW w:w="1975" w:type="dxa"/>
            <w:hideMark/>
          </w:tcPr>
          <w:p w:rsidR="009026B8" w:rsidRPr="003A7F3D" w:rsidP="006B4E31" w14:paraId="647D7585" w14:textId="77777777">
            <w:pPr>
              <w:spacing w:line="240" w:lineRule="auto"/>
              <w:ind w:firstLine="200" w:firstLineChars="100"/>
              <w:rPr>
                <w:sz w:val="20"/>
              </w:rPr>
            </w:pPr>
            <w:r w:rsidRPr="003A7F3D">
              <w:rPr>
                <w:sz w:val="20"/>
              </w:rPr>
              <w:t>Beneficiary</w:t>
            </w:r>
          </w:p>
        </w:tc>
        <w:tc>
          <w:tcPr>
            <w:tcW w:w="990" w:type="dxa"/>
            <w:noWrap/>
            <w:hideMark/>
          </w:tcPr>
          <w:p w:rsidR="009026B8" w:rsidRPr="003A7F3D" w:rsidP="006B4E31" w14:paraId="258769F4" w14:textId="720A059D">
            <w:pPr>
              <w:spacing w:line="240" w:lineRule="auto"/>
              <w:jc w:val="right"/>
              <w:rPr>
                <w:sz w:val="20"/>
              </w:rPr>
            </w:pPr>
            <w:r>
              <w:rPr>
                <w:sz w:val="20"/>
              </w:rPr>
              <w:t>500</w:t>
            </w:r>
          </w:p>
        </w:tc>
        <w:tc>
          <w:tcPr>
            <w:tcW w:w="990" w:type="dxa"/>
            <w:noWrap/>
            <w:hideMark/>
          </w:tcPr>
          <w:p w:rsidR="009026B8" w:rsidRPr="003A7F3D" w:rsidP="006B4E31" w14:paraId="56F881C4" w14:textId="77777777">
            <w:pPr>
              <w:spacing w:line="240" w:lineRule="auto"/>
              <w:jc w:val="right"/>
              <w:rPr>
                <w:sz w:val="20"/>
              </w:rPr>
            </w:pPr>
            <w:r w:rsidRPr="003A7F3D">
              <w:rPr>
                <w:sz w:val="20"/>
              </w:rPr>
              <w:t>500</w:t>
            </w:r>
          </w:p>
        </w:tc>
        <w:tc>
          <w:tcPr>
            <w:tcW w:w="990" w:type="dxa"/>
            <w:noWrap/>
            <w:hideMark/>
          </w:tcPr>
          <w:p w:rsidR="009026B8" w:rsidRPr="003A7F3D" w:rsidP="006B4E31" w14:paraId="16972B06" w14:textId="77777777">
            <w:pPr>
              <w:spacing w:line="240" w:lineRule="auto"/>
              <w:jc w:val="right"/>
              <w:rPr>
                <w:sz w:val="20"/>
              </w:rPr>
            </w:pPr>
            <w:r w:rsidRPr="003A7F3D">
              <w:rPr>
                <w:sz w:val="20"/>
              </w:rPr>
              <w:t>500</w:t>
            </w:r>
          </w:p>
        </w:tc>
      </w:tr>
      <w:tr w14:paraId="35C783C7" w14:textId="047C221B" w:rsidTr="00AB7328">
        <w:tblPrEx>
          <w:tblW w:w="4945" w:type="dxa"/>
          <w:tblLook w:val="04A0"/>
        </w:tblPrEx>
        <w:trPr>
          <w:trHeight w:val="315"/>
        </w:trPr>
        <w:tc>
          <w:tcPr>
            <w:tcW w:w="1975" w:type="dxa"/>
            <w:hideMark/>
          </w:tcPr>
          <w:p w:rsidR="009026B8" w:rsidRPr="003A7F3D" w:rsidP="006B4E31" w14:paraId="63F3CBE5" w14:textId="77777777">
            <w:pPr>
              <w:spacing w:line="240" w:lineRule="auto"/>
              <w:ind w:firstLine="200" w:firstLineChars="100"/>
              <w:rPr>
                <w:sz w:val="20"/>
              </w:rPr>
            </w:pPr>
            <w:r w:rsidRPr="003A7F3D">
              <w:rPr>
                <w:sz w:val="20"/>
              </w:rPr>
              <w:t>Non-beneficiary</w:t>
            </w:r>
          </w:p>
        </w:tc>
        <w:tc>
          <w:tcPr>
            <w:tcW w:w="990" w:type="dxa"/>
            <w:noWrap/>
            <w:hideMark/>
          </w:tcPr>
          <w:p w:rsidR="009026B8" w:rsidRPr="003A7F3D" w:rsidP="006B4E31" w14:paraId="6A5749FF" w14:textId="058649DB">
            <w:pPr>
              <w:spacing w:line="240" w:lineRule="auto"/>
              <w:jc w:val="right"/>
              <w:rPr>
                <w:sz w:val="20"/>
              </w:rPr>
            </w:pPr>
            <w:r>
              <w:rPr>
                <w:sz w:val="20"/>
              </w:rPr>
              <w:t>500</w:t>
            </w:r>
          </w:p>
        </w:tc>
        <w:tc>
          <w:tcPr>
            <w:tcW w:w="990" w:type="dxa"/>
            <w:noWrap/>
            <w:hideMark/>
          </w:tcPr>
          <w:p w:rsidR="009026B8" w:rsidRPr="003A7F3D" w:rsidP="006B4E31" w14:paraId="31BE9EFE" w14:textId="77777777">
            <w:pPr>
              <w:spacing w:line="240" w:lineRule="auto"/>
              <w:jc w:val="right"/>
              <w:rPr>
                <w:sz w:val="20"/>
              </w:rPr>
            </w:pPr>
            <w:r w:rsidRPr="003A7F3D">
              <w:rPr>
                <w:sz w:val="20"/>
              </w:rPr>
              <w:t>500</w:t>
            </w:r>
          </w:p>
        </w:tc>
        <w:tc>
          <w:tcPr>
            <w:tcW w:w="990" w:type="dxa"/>
            <w:noWrap/>
            <w:hideMark/>
          </w:tcPr>
          <w:p w:rsidR="009026B8" w:rsidRPr="003A7F3D" w:rsidP="006B4E31" w14:paraId="78E64A91" w14:textId="77777777">
            <w:pPr>
              <w:spacing w:line="240" w:lineRule="auto"/>
              <w:jc w:val="right"/>
              <w:rPr>
                <w:sz w:val="20"/>
              </w:rPr>
            </w:pPr>
            <w:r w:rsidRPr="003A7F3D">
              <w:rPr>
                <w:sz w:val="20"/>
              </w:rPr>
              <w:t>500</w:t>
            </w:r>
          </w:p>
        </w:tc>
      </w:tr>
      <w:tr w14:paraId="5885B679" w14:textId="5DCA9182" w:rsidTr="00AB7328">
        <w:tblPrEx>
          <w:tblW w:w="4945" w:type="dxa"/>
          <w:tblLook w:val="04A0"/>
        </w:tblPrEx>
        <w:trPr>
          <w:trHeight w:val="315"/>
        </w:trPr>
        <w:tc>
          <w:tcPr>
            <w:tcW w:w="1975" w:type="dxa"/>
            <w:noWrap/>
            <w:hideMark/>
          </w:tcPr>
          <w:p w:rsidR="009026B8" w:rsidRPr="003A7F3D" w:rsidP="006B4E31" w14:paraId="421740BC" w14:textId="77777777">
            <w:pPr>
              <w:spacing w:line="240" w:lineRule="auto"/>
              <w:ind w:firstLine="200" w:firstLineChars="100"/>
              <w:rPr>
                <w:sz w:val="20"/>
              </w:rPr>
            </w:pPr>
            <w:r w:rsidRPr="003A7F3D">
              <w:rPr>
                <w:sz w:val="20"/>
              </w:rPr>
              <w:t>Total</w:t>
            </w:r>
          </w:p>
        </w:tc>
        <w:tc>
          <w:tcPr>
            <w:tcW w:w="990" w:type="dxa"/>
            <w:noWrap/>
            <w:hideMark/>
          </w:tcPr>
          <w:p w:rsidR="009026B8" w:rsidRPr="003A7F3D" w:rsidP="006B4E31" w14:paraId="5E392011" w14:textId="0BCC06BE">
            <w:pPr>
              <w:spacing w:line="240" w:lineRule="auto"/>
              <w:jc w:val="right"/>
              <w:rPr>
                <w:sz w:val="20"/>
              </w:rPr>
            </w:pPr>
            <w:r>
              <w:rPr>
                <w:sz w:val="20"/>
              </w:rPr>
              <w:t>1000</w:t>
            </w:r>
          </w:p>
        </w:tc>
        <w:tc>
          <w:tcPr>
            <w:tcW w:w="990" w:type="dxa"/>
            <w:noWrap/>
            <w:hideMark/>
          </w:tcPr>
          <w:p w:rsidR="009026B8" w:rsidRPr="003A7F3D" w:rsidP="006B4E31" w14:paraId="509014C6" w14:textId="77777777">
            <w:pPr>
              <w:spacing w:line="240" w:lineRule="auto"/>
              <w:jc w:val="right"/>
              <w:rPr>
                <w:sz w:val="20"/>
              </w:rPr>
            </w:pPr>
            <w:r w:rsidRPr="003A7F3D">
              <w:rPr>
                <w:sz w:val="20"/>
              </w:rPr>
              <w:t>1000</w:t>
            </w:r>
          </w:p>
        </w:tc>
        <w:tc>
          <w:tcPr>
            <w:tcW w:w="990" w:type="dxa"/>
            <w:noWrap/>
            <w:hideMark/>
          </w:tcPr>
          <w:p w:rsidR="009026B8" w:rsidRPr="003A7F3D" w:rsidP="006B4E31" w14:paraId="4279DFA6" w14:textId="77777777">
            <w:pPr>
              <w:spacing w:line="240" w:lineRule="auto"/>
              <w:jc w:val="right"/>
              <w:rPr>
                <w:sz w:val="20"/>
              </w:rPr>
            </w:pPr>
            <w:r w:rsidRPr="003A7F3D">
              <w:rPr>
                <w:sz w:val="20"/>
              </w:rPr>
              <w:t>1000</w:t>
            </w:r>
          </w:p>
        </w:tc>
      </w:tr>
    </w:tbl>
    <w:p w:rsidR="00FD1A79" w:rsidRPr="00D368BA" w:rsidP="00FD1A79" w14:paraId="478CA965" w14:textId="77777777">
      <w:pPr>
        <w:pStyle w:val="P1-StandPara"/>
        <w:spacing w:line="240" w:lineRule="auto"/>
        <w:ind w:right="-86" w:firstLine="0"/>
      </w:pPr>
    </w:p>
    <w:p w:rsidR="00FD1A79" w:rsidRPr="00D368BA" w:rsidP="003462E7" w14:paraId="7A4B5191" w14:textId="44450FE6">
      <w:pPr>
        <w:pStyle w:val="TableHeaderRow"/>
        <w:ind w:right="-360"/>
        <w:rPr>
          <w:i/>
          <w:highlight w:val="yellow"/>
        </w:rPr>
      </w:pPr>
      <w:r w:rsidRPr="00D368BA">
        <w:t>Table B2. Total Number of Appellants OMHA Contacted Given an 80</w:t>
      </w:r>
      <w:r w:rsidR="003851E5">
        <w:t xml:space="preserve"> Percent</w:t>
      </w:r>
      <w:r w:rsidRPr="00D368BA">
        <w:t xml:space="preserve"> Response Rate</w:t>
      </w:r>
    </w:p>
    <w:tbl>
      <w:tblPr>
        <w:tblStyle w:val="GridTableLight"/>
        <w:tblpPr w:leftFromText="180" w:rightFromText="180" w:vertAnchor="text" w:tblpY="1"/>
        <w:tblOverlap w:val="never"/>
        <w:tblW w:w="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990"/>
        <w:gridCol w:w="990"/>
        <w:gridCol w:w="990"/>
      </w:tblGrid>
      <w:tr w14:paraId="656F632A" w14:textId="77777777" w:rsidTr="00F3068F">
        <w:tblPrEx>
          <w:tblW w:w="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1975" w:type="dxa"/>
            <w:vMerge w:val="restart"/>
            <w:noWrap/>
            <w:hideMark/>
          </w:tcPr>
          <w:p w:rsidR="001768A1" w:rsidRPr="00EC06BC" w:rsidP="00F3068F" w14:paraId="01322005" w14:textId="77777777">
            <w:pPr>
              <w:spacing w:line="240" w:lineRule="auto"/>
              <w:rPr>
                <w:sz w:val="20"/>
              </w:rPr>
            </w:pPr>
            <w:r w:rsidRPr="00EC06BC">
              <w:rPr>
                <w:sz w:val="20"/>
              </w:rPr>
              <w:t>Stratification Groups</w:t>
            </w:r>
          </w:p>
        </w:tc>
        <w:tc>
          <w:tcPr>
            <w:tcW w:w="2970" w:type="dxa"/>
            <w:gridSpan w:val="3"/>
            <w:noWrap/>
          </w:tcPr>
          <w:p w:rsidR="001768A1" w:rsidRPr="00EC06BC" w:rsidP="00F3068F" w14:paraId="3DC90FC9" w14:textId="3F340906">
            <w:pPr>
              <w:spacing w:line="240" w:lineRule="auto"/>
              <w:jc w:val="center"/>
              <w:rPr>
                <w:sz w:val="20"/>
              </w:rPr>
            </w:pPr>
            <w:r w:rsidRPr="00EC06BC">
              <w:rPr>
                <w:sz w:val="20"/>
              </w:rPr>
              <w:t>Estimated Survey Counts</w:t>
            </w:r>
          </w:p>
        </w:tc>
      </w:tr>
      <w:tr w14:paraId="32888F04" w14:textId="77777777" w:rsidTr="003462E7">
        <w:tblPrEx>
          <w:tblW w:w="4945" w:type="dxa"/>
          <w:tblLook w:val="04A0"/>
        </w:tblPrEx>
        <w:trPr>
          <w:trHeight w:val="382"/>
        </w:trPr>
        <w:tc>
          <w:tcPr>
            <w:tcW w:w="1975" w:type="dxa"/>
            <w:vMerge/>
            <w:hideMark/>
          </w:tcPr>
          <w:p w:rsidR="001768A1" w:rsidRPr="003F6C24" w:rsidP="00F3068F" w14:paraId="7D3C3798" w14:textId="77777777">
            <w:pPr>
              <w:spacing w:line="240" w:lineRule="auto"/>
              <w:rPr>
                <w:sz w:val="20"/>
              </w:rPr>
            </w:pPr>
          </w:p>
        </w:tc>
        <w:tc>
          <w:tcPr>
            <w:tcW w:w="990" w:type="dxa"/>
            <w:noWrap/>
            <w:hideMark/>
          </w:tcPr>
          <w:p w:rsidR="001768A1" w:rsidRPr="003F6C24" w:rsidP="00F3068F" w14:paraId="155DDF74" w14:textId="3FD41D1D">
            <w:pPr>
              <w:spacing w:line="240" w:lineRule="auto"/>
              <w:jc w:val="center"/>
              <w:rPr>
                <w:sz w:val="20"/>
              </w:rPr>
            </w:pPr>
            <w:r w:rsidRPr="003F6C24">
              <w:rPr>
                <w:sz w:val="20"/>
              </w:rPr>
              <w:t>FY</w:t>
            </w:r>
            <w:r w:rsidR="002A263A">
              <w:rPr>
                <w:sz w:val="20"/>
              </w:rPr>
              <w:t xml:space="preserve"> </w:t>
            </w:r>
            <w:r w:rsidRPr="003F6C24">
              <w:rPr>
                <w:sz w:val="20"/>
              </w:rPr>
              <w:t>202</w:t>
            </w:r>
            <w:r w:rsidR="005A54E8">
              <w:rPr>
                <w:sz w:val="20"/>
              </w:rPr>
              <w:t>4</w:t>
            </w:r>
          </w:p>
        </w:tc>
        <w:tc>
          <w:tcPr>
            <w:tcW w:w="990" w:type="dxa"/>
            <w:hideMark/>
          </w:tcPr>
          <w:p w:rsidR="001768A1" w:rsidRPr="003F6C24" w:rsidP="00F3068F" w14:paraId="4D522A60" w14:textId="099744F9">
            <w:pPr>
              <w:spacing w:line="240" w:lineRule="auto"/>
              <w:jc w:val="center"/>
              <w:rPr>
                <w:sz w:val="20"/>
              </w:rPr>
            </w:pPr>
            <w:r w:rsidRPr="003F6C24">
              <w:rPr>
                <w:sz w:val="20"/>
              </w:rPr>
              <w:t>FY</w:t>
            </w:r>
            <w:r w:rsidR="002A263A">
              <w:rPr>
                <w:sz w:val="20"/>
              </w:rPr>
              <w:t xml:space="preserve"> </w:t>
            </w:r>
            <w:r w:rsidRPr="003F6C24">
              <w:rPr>
                <w:sz w:val="20"/>
              </w:rPr>
              <w:t>202</w:t>
            </w:r>
            <w:r w:rsidR="005A54E8">
              <w:rPr>
                <w:sz w:val="20"/>
              </w:rPr>
              <w:t>5</w:t>
            </w:r>
          </w:p>
        </w:tc>
        <w:tc>
          <w:tcPr>
            <w:tcW w:w="990" w:type="dxa"/>
            <w:hideMark/>
          </w:tcPr>
          <w:p w:rsidR="001768A1" w:rsidRPr="003F6C24" w:rsidP="00F3068F" w14:paraId="6430786B" w14:textId="39F62859">
            <w:pPr>
              <w:spacing w:line="240" w:lineRule="auto"/>
              <w:jc w:val="center"/>
              <w:rPr>
                <w:sz w:val="20"/>
              </w:rPr>
            </w:pPr>
            <w:r w:rsidRPr="003F6C24">
              <w:rPr>
                <w:sz w:val="20"/>
              </w:rPr>
              <w:t>FY</w:t>
            </w:r>
            <w:r w:rsidR="002A263A">
              <w:rPr>
                <w:sz w:val="20"/>
              </w:rPr>
              <w:t xml:space="preserve"> </w:t>
            </w:r>
            <w:r w:rsidRPr="003F6C24">
              <w:rPr>
                <w:sz w:val="20"/>
              </w:rPr>
              <w:t>202</w:t>
            </w:r>
            <w:r w:rsidR="005A54E8">
              <w:rPr>
                <w:sz w:val="20"/>
              </w:rPr>
              <w:t>6</w:t>
            </w:r>
          </w:p>
        </w:tc>
      </w:tr>
      <w:tr w14:paraId="752D9D9E" w14:textId="77777777" w:rsidTr="00F3068F">
        <w:tblPrEx>
          <w:tblW w:w="4945" w:type="dxa"/>
          <w:tblLook w:val="04A0"/>
        </w:tblPrEx>
        <w:trPr>
          <w:trHeight w:val="315"/>
        </w:trPr>
        <w:tc>
          <w:tcPr>
            <w:tcW w:w="1975" w:type="dxa"/>
            <w:noWrap/>
            <w:hideMark/>
          </w:tcPr>
          <w:p w:rsidR="001768A1" w:rsidRPr="00F064D4" w:rsidP="00F3068F" w14:paraId="3FEB3448" w14:textId="77777777">
            <w:pPr>
              <w:spacing w:line="240" w:lineRule="auto"/>
              <w:rPr>
                <w:sz w:val="20"/>
              </w:rPr>
            </w:pPr>
            <w:r w:rsidRPr="00F064D4">
              <w:rPr>
                <w:sz w:val="20"/>
              </w:rPr>
              <w:t>Beneficiary Status</w:t>
            </w:r>
          </w:p>
        </w:tc>
        <w:tc>
          <w:tcPr>
            <w:tcW w:w="990" w:type="dxa"/>
            <w:noWrap/>
            <w:hideMark/>
          </w:tcPr>
          <w:p w:rsidR="001768A1" w:rsidRPr="00F064D4" w:rsidP="00F3068F" w14:paraId="1610D30E" w14:textId="067DD235">
            <w:pPr>
              <w:spacing w:line="240" w:lineRule="auto"/>
              <w:rPr>
                <w:sz w:val="20"/>
              </w:rPr>
            </w:pPr>
          </w:p>
        </w:tc>
        <w:tc>
          <w:tcPr>
            <w:tcW w:w="990" w:type="dxa"/>
            <w:noWrap/>
            <w:hideMark/>
          </w:tcPr>
          <w:p w:rsidR="001768A1" w:rsidRPr="00F064D4" w:rsidP="00F3068F" w14:paraId="1E7D6ADF" w14:textId="23F5DE8C">
            <w:pPr>
              <w:spacing w:line="240" w:lineRule="auto"/>
              <w:rPr>
                <w:sz w:val="20"/>
              </w:rPr>
            </w:pPr>
          </w:p>
        </w:tc>
        <w:tc>
          <w:tcPr>
            <w:tcW w:w="990" w:type="dxa"/>
            <w:noWrap/>
            <w:hideMark/>
          </w:tcPr>
          <w:p w:rsidR="001768A1" w:rsidRPr="00F064D4" w:rsidP="00F3068F" w14:paraId="4C79BBFC" w14:textId="2A67698B">
            <w:pPr>
              <w:spacing w:line="240" w:lineRule="auto"/>
              <w:rPr>
                <w:sz w:val="20"/>
              </w:rPr>
            </w:pPr>
          </w:p>
        </w:tc>
      </w:tr>
      <w:tr w14:paraId="0AB621A5" w14:textId="77777777" w:rsidTr="00F3068F">
        <w:tblPrEx>
          <w:tblW w:w="4945" w:type="dxa"/>
          <w:tblLook w:val="04A0"/>
        </w:tblPrEx>
        <w:trPr>
          <w:trHeight w:val="315"/>
        </w:trPr>
        <w:tc>
          <w:tcPr>
            <w:tcW w:w="1975" w:type="dxa"/>
            <w:hideMark/>
          </w:tcPr>
          <w:p w:rsidR="001768A1" w:rsidRPr="00F064D4" w:rsidP="00F3068F" w14:paraId="7204A5E4" w14:textId="77777777">
            <w:pPr>
              <w:spacing w:line="240" w:lineRule="auto"/>
              <w:ind w:firstLine="200" w:firstLineChars="100"/>
              <w:rPr>
                <w:sz w:val="20"/>
              </w:rPr>
            </w:pPr>
            <w:r w:rsidRPr="00F064D4">
              <w:rPr>
                <w:sz w:val="20"/>
              </w:rPr>
              <w:t>Beneficiary</w:t>
            </w:r>
          </w:p>
        </w:tc>
        <w:tc>
          <w:tcPr>
            <w:tcW w:w="990" w:type="dxa"/>
            <w:noWrap/>
            <w:hideMark/>
          </w:tcPr>
          <w:p w:rsidR="001768A1" w:rsidRPr="00F064D4" w:rsidP="00F3068F" w14:paraId="05E76040" w14:textId="4A4AF6DB">
            <w:pPr>
              <w:spacing w:line="240" w:lineRule="auto"/>
              <w:jc w:val="right"/>
              <w:rPr>
                <w:sz w:val="20"/>
              </w:rPr>
            </w:pPr>
            <w:r>
              <w:rPr>
                <w:sz w:val="20"/>
              </w:rPr>
              <w:t>400</w:t>
            </w:r>
          </w:p>
        </w:tc>
        <w:tc>
          <w:tcPr>
            <w:tcW w:w="990" w:type="dxa"/>
            <w:noWrap/>
            <w:hideMark/>
          </w:tcPr>
          <w:p w:rsidR="001768A1" w:rsidRPr="00F064D4" w:rsidP="00F3068F" w14:paraId="18641F44" w14:textId="6B2CD868">
            <w:pPr>
              <w:spacing w:line="240" w:lineRule="auto"/>
              <w:jc w:val="right"/>
              <w:rPr>
                <w:sz w:val="20"/>
              </w:rPr>
            </w:pPr>
            <w:r w:rsidRPr="00F064D4">
              <w:rPr>
                <w:sz w:val="20"/>
              </w:rPr>
              <w:t>400</w:t>
            </w:r>
          </w:p>
        </w:tc>
        <w:tc>
          <w:tcPr>
            <w:tcW w:w="990" w:type="dxa"/>
            <w:noWrap/>
            <w:hideMark/>
          </w:tcPr>
          <w:p w:rsidR="001768A1" w:rsidRPr="00F064D4" w:rsidP="00F3068F" w14:paraId="54102707" w14:textId="1B54FA66">
            <w:pPr>
              <w:spacing w:line="240" w:lineRule="auto"/>
              <w:jc w:val="right"/>
              <w:rPr>
                <w:sz w:val="20"/>
              </w:rPr>
            </w:pPr>
            <w:r w:rsidRPr="00F064D4">
              <w:rPr>
                <w:sz w:val="20"/>
              </w:rPr>
              <w:t>400</w:t>
            </w:r>
          </w:p>
        </w:tc>
      </w:tr>
      <w:tr w14:paraId="1A3B47CD" w14:textId="77777777" w:rsidTr="00F3068F">
        <w:tblPrEx>
          <w:tblW w:w="4945" w:type="dxa"/>
          <w:tblLook w:val="04A0"/>
        </w:tblPrEx>
        <w:trPr>
          <w:trHeight w:val="315"/>
        </w:trPr>
        <w:tc>
          <w:tcPr>
            <w:tcW w:w="1975" w:type="dxa"/>
            <w:hideMark/>
          </w:tcPr>
          <w:p w:rsidR="001768A1" w:rsidRPr="00F064D4" w:rsidP="00F3068F" w14:paraId="08357237" w14:textId="77777777">
            <w:pPr>
              <w:spacing w:line="240" w:lineRule="auto"/>
              <w:ind w:firstLine="200" w:firstLineChars="100"/>
              <w:rPr>
                <w:sz w:val="20"/>
              </w:rPr>
            </w:pPr>
            <w:r w:rsidRPr="00F064D4">
              <w:rPr>
                <w:sz w:val="20"/>
              </w:rPr>
              <w:t>Non-beneficiary</w:t>
            </w:r>
          </w:p>
        </w:tc>
        <w:tc>
          <w:tcPr>
            <w:tcW w:w="990" w:type="dxa"/>
            <w:noWrap/>
            <w:hideMark/>
          </w:tcPr>
          <w:p w:rsidR="001768A1" w:rsidRPr="00F064D4" w:rsidP="00F3068F" w14:paraId="00C61E85" w14:textId="38ED1AEE">
            <w:pPr>
              <w:spacing w:line="240" w:lineRule="auto"/>
              <w:jc w:val="right"/>
              <w:rPr>
                <w:sz w:val="20"/>
              </w:rPr>
            </w:pPr>
            <w:r>
              <w:rPr>
                <w:sz w:val="20"/>
              </w:rPr>
              <w:t>400</w:t>
            </w:r>
          </w:p>
        </w:tc>
        <w:tc>
          <w:tcPr>
            <w:tcW w:w="990" w:type="dxa"/>
            <w:noWrap/>
            <w:hideMark/>
          </w:tcPr>
          <w:p w:rsidR="001768A1" w:rsidRPr="00F064D4" w:rsidP="00F3068F" w14:paraId="4B8D7CC7" w14:textId="413C57BE">
            <w:pPr>
              <w:spacing w:line="240" w:lineRule="auto"/>
              <w:jc w:val="right"/>
              <w:rPr>
                <w:sz w:val="20"/>
              </w:rPr>
            </w:pPr>
            <w:r w:rsidRPr="00F064D4">
              <w:rPr>
                <w:sz w:val="20"/>
              </w:rPr>
              <w:t>400</w:t>
            </w:r>
          </w:p>
        </w:tc>
        <w:tc>
          <w:tcPr>
            <w:tcW w:w="990" w:type="dxa"/>
            <w:noWrap/>
            <w:hideMark/>
          </w:tcPr>
          <w:p w:rsidR="001768A1" w:rsidRPr="00F064D4" w:rsidP="00F3068F" w14:paraId="0DF8BB6F" w14:textId="467CC58A">
            <w:pPr>
              <w:spacing w:line="240" w:lineRule="auto"/>
              <w:jc w:val="right"/>
              <w:rPr>
                <w:sz w:val="20"/>
              </w:rPr>
            </w:pPr>
            <w:r w:rsidRPr="00F064D4">
              <w:rPr>
                <w:sz w:val="20"/>
              </w:rPr>
              <w:t>400</w:t>
            </w:r>
          </w:p>
        </w:tc>
      </w:tr>
      <w:tr w14:paraId="3C8EA6A6" w14:textId="77777777" w:rsidTr="00F3068F">
        <w:tblPrEx>
          <w:tblW w:w="4945" w:type="dxa"/>
          <w:tblLook w:val="04A0"/>
        </w:tblPrEx>
        <w:trPr>
          <w:trHeight w:val="315"/>
        </w:trPr>
        <w:tc>
          <w:tcPr>
            <w:tcW w:w="1975" w:type="dxa"/>
            <w:noWrap/>
            <w:hideMark/>
          </w:tcPr>
          <w:p w:rsidR="001768A1" w:rsidRPr="00F064D4" w:rsidP="00F3068F" w14:paraId="6F3E38F8" w14:textId="77777777">
            <w:pPr>
              <w:spacing w:line="240" w:lineRule="auto"/>
              <w:ind w:firstLine="200" w:firstLineChars="100"/>
              <w:rPr>
                <w:sz w:val="20"/>
              </w:rPr>
            </w:pPr>
            <w:r w:rsidRPr="00F064D4">
              <w:rPr>
                <w:sz w:val="20"/>
              </w:rPr>
              <w:t>Total</w:t>
            </w:r>
          </w:p>
        </w:tc>
        <w:tc>
          <w:tcPr>
            <w:tcW w:w="990" w:type="dxa"/>
            <w:noWrap/>
            <w:hideMark/>
          </w:tcPr>
          <w:p w:rsidR="001768A1" w:rsidRPr="00F064D4" w:rsidP="00F3068F" w14:paraId="7BF943C9" w14:textId="7B2F0176">
            <w:pPr>
              <w:spacing w:line="240" w:lineRule="auto"/>
              <w:jc w:val="right"/>
              <w:rPr>
                <w:sz w:val="20"/>
              </w:rPr>
            </w:pPr>
            <w:r>
              <w:rPr>
                <w:sz w:val="20"/>
              </w:rPr>
              <w:t>8</w:t>
            </w:r>
            <w:r w:rsidRPr="00F064D4">
              <w:rPr>
                <w:sz w:val="20"/>
              </w:rPr>
              <w:t>00</w:t>
            </w:r>
          </w:p>
        </w:tc>
        <w:tc>
          <w:tcPr>
            <w:tcW w:w="990" w:type="dxa"/>
            <w:noWrap/>
            <w:hideMark/>
          </w:tcPr>
          <w:p w:rsidR="001768A1" w:rsidRPr="00F064D4" w:rsidP="00F3068F" w14:paraId="24AA7BB2" w14:textId="62FAB447">
            <w:pPr>
              <w:spacing w:line="240" w:lineRule="auto"/>
              <w:jc w:val="right"/>
              <w:rPr>
                <w:sz w:val="20"/>
              </w:rPr>
            </w:pPr>
            <w:r w:rsidRPr="00F064D4">
              <w:rPr>
                <w:sz w:val="20"/>
              </w:rPr>
              <w:t>800</w:t>
            </w:r>
          </w:p>
        </w:tc>
        <w:tc>
          <w:tcPr>
            <w:tcW w:w="990" w:type="dxa"/>
            <w:noWrap/>
            <w:hideMark/>
          </w:tcPr>
          <w:p w:rsidR="001768A1" w:rsidRPr="00F064D4" w:rsidP="00F3068F" w14:paraId="3B5810F0" w14:textId="0B389B88">
            <w:pPr>
              <w:spacing w:line="240" w:lineRule="auto"/>
              <w:jc w:val="right"/>
              <w:rPr>
                <w:sz w:val="20"/>
              </w:rPr>
            </w:pPr>
            <w:r w:rsidRPr="00F064D4">
              <w:rPr>
                <w:sz w:val="20"/>
              </w:rPr>
              <w:t>800</w:t>
            </w:r>
          </w:p>
        </w:tc>
      </w:tr>
    </w:tbl>
    <w:p w:rsidR="00F3068F" w:rsidP="00FD1A79" w14:paraId="3067FB08" w14:textId="77777777">
      <w:pPr>
        <w:pStyle w:val="P1-StandPara"/>
        <w:spacing w:line="240" w:lineRule="auto"/>
        <w:ind w:right="-86" w:firstLine="0"/>
      </w:pPr>
    </w:p>
    <w:p w:rsidR="00F3068F" w:rsidRPr="00F3068F" w:rsidP="00F3068F" w14:paraId="0D3BBFE0" w14:textId="77777777"/>
    <w:p w:rsidR="00F3068F" w:rsidP="00FD1A79" w14:paraId="5C618C73" w14:textId="77777777">
      <w:pPr>
        <w:pStyle w:val="P1-StandPara"/>
        <w:spacing w:line="240" w:lineRule="auto"/>
        <w:ind w:right="-86" w:firstLine="0"/>
      </w:pPr>
    </w:p>
    <w:p w:rsidR="00FD1A79" w:rsidRPr="00D368BA" w:rsidP="00F3068F" w14:paraId="657E1C16" w14:textId="2555F9DC">
      <w:pPr>
        <w:pStyle w:val="P1-StandPara"/>
        <w:tabs>
          <w:tab w:val="left" w:pos="1603"/>
        </w:tabs>
        <w:spacing w:line="240" w:lineRule="auto"/>
        <w:ind w:right="-86" w:firstLine="0"/>
      </w:pPr>
      <w:r>
        <w:tab/>
      </w:r>
      <w:r>
        <w:br w:type="textWrapping" w:clear="all"/>
      </w:r>
    </w:p>
    <w:p w:rsidR="00FD1A79" w:rsidRPr="00D368BA" w:rsidP="00FD1A79" w14:paraId="32087174" w14:textId="77777777">
      <w:pPr>
        <w:pStyle w:val="P1-StandPara"/>
        <w:spacing w:line="240" w:lineRule="auto"/>
        <w:ind w:right="-86" w:firstLine="0"/>
      </w:pPr>
    </w:p>
    <w:p w:rsidR="00FD1A79" w:rsidRPr="00D368BA" w:rsidP="00FD1A79" w14:paraId="08F5337B" w14:textId="77777777">
      <w:pPr>
        <w:pStyle w:val="Normalcontinued"/>
        <w:ind w:left="720"/>
        <w:rPr>
          <w:b/>
          <w:szCs w:val="24"/>
          <w:highlight w:val="yellow"/>
        </w:rPr>
      </w:pPr>
      <w:r w:rsidRPr="0003093C">
        <w:rPr>
          <w:b/>
          <w:szCs w:val="24"/>
        </w:rPr>
        <w:t>B.2.b Estimation procedure</w:t>
      </w:r>
    </w:p>
    <w:p w:rsidR="00FD1A79" w:rsidRPr="00B03E37" w:rsidP="00FD1A79" w14:paraId="41C49BF9" w14:textId="79274308">
      <w:pPr>
        <w:spacing w:line="480" w:lineRule="auto"/>
        <w:ind w:firstLine="720"/>
      </w:pPr>
      <w:r>
        <w:t xml:space="preserve">Data collected from the sample of appellants will be used to produce estimates that are representative of all appellants in the target universe. Sampling weights </w:t>
      </w:r>
      <w:r w:rsidR="003851E5">
        <w:t xml:space="preserve">that </w:t>
      </w:r>
      <w:r>
        <w:t xml:space="preserve">account for the stratified sampling design and adjust for potential nonresponse and coverage errors will be used to calculate estimates and standard errors and </w:t>
      </w:r>
      <w:r w:rsidR="003851E5">
        <w:t xml:space="preserve">to </w:t>
      </w:r>
      <w:r>
        <w:t>conduct hypothesis testing.</w:t>
      </w:r>
      <w:r w:rsidRPr="00B03E37">
        <w:t xml:space="preserve"> </w:t>
      </w:r>
    </w:p>
    <w:p w:rsidR="00FD1A79" w:rsidRPr="00B03E37" w:rsidP="00FD1A79" w14:paraId="2EA07254" w14:textId="77777777"/>
    <w:p w:rsidR="00FD1A79" w:rsidP="00FD1A79" w14:paraId="5C4ED64F" w14:textId="7FF9D274">
      <w:pPr>
        <w:pStyle w:val="Normalcontinued"/>
        <w:spacing w:line="240" w:lineRule="auto"/>
        <w:ind w:left="720"/>
        <w:rPr>
          <w:b/>
          <w:szCs w:val="24"/>
        </w:rPr>
      </w:pPr>
      <w:r w:rsidRPr="00B03E37">
        <w:rPr>
          <w:b/>
          <w:szCs w:val="24"/>
        </w:rPr>
        <w:t>B.2.c Degree of accuracy needed for the purpose described in the justification</w:t>
      </w:r>
    </w:p>
    <w:p w:rsidR="00FC721C" w:rsidRPr="00FC721C" w:rsidP="00FC721C" w14:paraId="2E0BAC32" w14:textId="77777777"/>
    <w:p w:rsidR="00FD1A79" w:rsidRPr="002920F5" w:rsidP="00FD1A79" w14:paraId="74FDD739" w14:textId="1F5F1C5A">
      <w:pPr>
        <w:spacing w:line="480" w:lineRule="auto"/>
        <w:ind w:firstLine="720"/>
        <w:rPr>
          <w:szCs w:val="24"/>
        </w:rPr>
      </w:pPr>
      <w:r w:rsidRPr="002920F5">
        <w:rPr>
          <w:szCs w:val="24"/>
        </w:rPr>
        <w:t>OMHA derived its total sample size</w:t>
      </w:r>
      <w:r>
        <w:rPr>
          <w:szCs w:val="24"/>
        </w:rPr>
        <w:t xml:space="preserve"> to ensure adequate statistical power for calculating estimates representative of the target universe. </w:t>
      </w:r>
      <w:r w:rsidR="0066149C">
        <w:rPr>
          <w:szCs w:val="24"/>
        </w:rPr>
        <w:t>We</w:t>
      </w:r>
      <w:r>
        <w:rPr>
          <w:szCs w:val="24"/>
        </w:rPr>
        <w:t xml:space="preserve"> will select a sample of </w:t>
      </w:r>
      <w:r w:rsidR="00BB66E8">
        <w:rPr>
          <w:szCs w:val="24"/>
        </w:rPr>
        <w:t>1,000</w:t>
      </w:r>
      <w:r>
        <w:rPr>
          <w:szCs w:val="24"/>
        </w:rPr>
        <w:t xml:space="preserve"> appellant</w:t>
      </w:r>
      <w:r w:rsidR="00707C87">
        <w:rPr>
          <w:szCs w:val="24"/>
        </w:rPr>
        <w:t xml:space="preserve"> records</w:t>
      </w:r>
      <w:r w:rsidR="00F51896">
        <w:rPr>
          <w:szCs w:val="24"/>
        </w:rPr>
        <w:t xml:space="preserve"> </w:t>
      </w:r>
      <w:r w:rsidR="00520982">
        <w:rPr>
          <w:szCs w:val="24"/>
        </w:rPr>
        <w:t xml:space="preserve">each FY </w:t>
      </w:r>
      <w:r w:rsidR="0051063A">
        <w:rPr>
          <w:szCs w:val="24"/>
        </w:rPr>
        <w:t>(</w:t>
      </w:r>
      <w:r w:rsidR="00F51896">
        <w:rPr>
          <w:szCs w:val="24"/>
        </w:rPr>
        <w:t>FY 202</w:t>
      </w:r>
      <w:r w:rsidR="005A54E8">
        <w:rPr>
          <w:szCs w:val="24"/>
        </w:rPr>
        <w:t>4</w:t>
      </w:r>
      <w:r w:rsidR="00B945B4">
        <w:rPr>
          <w:szCs w:val="24"/>
        </w:rPr>
        <w:t>,</w:t>
      </w:r>
      <w:r w:rsidR="0017641F">
        <w:rPr>
          <w:szCs w:val="24"/>
        </w:rPr>
        <w:t xml:space="preserve"> FY 202</w:t>
      </w:r>
      <w:r w:rsidR="005A54E8">
        <w:rPr>
          <w:szCs w:val="24"/>
        </w:rPr>
        <w:t>5</w:t>
      </w:r>
      <w:r w:rsidR="008D5D83">
        <w:rPr>
          <w:szCs w:val="24"/>
        </w:rPr>
        <w:t>,</w:t>
      </w:r>
      <w:r w:rsidR="0017641F">
        <w:rPr>
          <w:szCs w:val="24"/>
        </w:rPr>
        <w:t xml:space="preserve"> and FY 202</w:t>
      </w:r>
      <w:r w:rsidR="005A54E8">
        <w:rPr>
          <w:szCs w:val="24"/>
        </w:rPr>
        <w:t>6</w:t>
      </w:r>
      <w:r w:rsidR="0051063A">
        <w:rPr>
          <w:szCs w:val="24"/>
        </w:rPr>
        <w:t>)</w:t>
      </w:r>
      <w:r w:rsidR="0017641F">
        <w:rPr>
          <w:szCs w:val="24"/>
        </w:rPr>
        <w:t xml:space="preserve"> </w:t>
      </w:r>
      <w:r w:rsidR="00364AC1">
        <w:rPr>
          <w:szCs w:val="24"/>
        </w:rPr>
        <w:t>and expect to obtain data from 800 respondents</w:t>
      </w:r>
      <w:r w:rsidR="00BC7B05">
        <w:rPr>
          <w:szCs w:val="24"/>
        </w:rPr>
        <w:t>.</w:t>
      </w:r>
      <w:r>
        <w:rPr>
          <w:szCs w:val="24"/>
        </w:rPr>
        <w:t xml:space="preserve"> This sample is expected to produce representative estimates with 95</w:t>
      </w:r>
      <w:r w:rsidR="00DF44BC">
        <w:rPr>
          <w:szCs w:val="24"/>
        </w:rPr>
        <w:t xml:space="preserve"> percent</w:t>
      </w:r>
      <w:r>
        <w:rPr>
          <w:szCs w:val="24"/>
        </w:rPr>
        <w:t xml:space="preserve"> confidence intervals of +/- </w:t>
      </w:r>
      <w:r w:rsidR="00211B5F">
        <w:rPr>
          <w:szCs w:val="24"/>
        </w:rPr>
        <w:t>3.4</w:t>
      </w:r>
      <w:r>
        <w:rPr>
          <w:szCs w:val="24"/>
        </w:rPr>
        <w:t xml:space="preserve"> percentage points or less depending on the outcome. For subgroup analyses occurring at the beneficiary and non-beneficiary levels, the sample will produce estimates with 95</w:t>
      </w:r>
      <w:r w:rsidR="00DF44BC">
        <w:rPr>
          <w:szCs w:val="24"/>
        </w:rPr>
        <w:t xml:space="preserve"> percent</w:t>
      </w:r>
      <w:r>
        <w:rPr>
          <w:szCs w:val="24"/>
        </w:rPr>
        <w:t xml:space="preserve"> confidence intervals of +/- </w:t>
      </w:r>
      <w:r w:rsidR="00211B5F">
        <w:rPr>
          <w:szCs w:val="24"/>
        </w:rPr>
        <w:t>4.9</w:t>
      </w:r>
      <w:r>
        <w:rPr>
          <w:szCs w:val="24"/>
        </w:rPr>
        <w:t xml:space="preserve"> percentage points or less depending on the outcome. </w:t>
      </w:r>
    </w:p>
    <w:p w:rsidR="00FD1A79" w:rsidP="00FD1A79" w14:paraId="4936AC6E" w14:textId="77777777">
      <w:pPr>
        <w:pStyle w:val="Normalcontinued"/>
        <w:spacing w:line="240" w:lineRule="auto"/>
        <w:ind w:left="720"/>
        <w:rPr>
          <w:b/>
          <w:szCs w:val="24"/>
        </w:rPr>
      </w:pPr>
      <w:r w:rsidRPr="002920F5">
        <w:rPr>
          <w:b/>
          <w:szCs w:val="24"/>
        </w:rPr>
        <w:br/>
        <w:t>B.2.d Unusual problems requiring specialized sampling procedures</w:t>
      </w:r>
    </w:p>
    <w:p w:rsidR="00FD1A79" w:rsidP="00FD1A79" w14:paraId="5181C237" w14:textId="77777777"/>
    <w:p w:rsidR="00FD1A79" w:rsidRPr="002920F5" w:rsidP="00FD1A79" w14:paraId="7A04920B" w14:textId="77777777">
      <w:pPr>
        <w:spacing w:line="480" w:lineRule="auto"/>
        <w:ind w:firstLine="720"/>
      </w:pPr>
      <w:r w:rsidRPr="00C428BC">
        <w:rPr>
          <w:szCs w:val="24"/>
        </w:rPr>
        <w:t>OMHA does not anticipate unusual problems that require the usage of specialized sampling procedures.</w:t>
      </w:r>
    </w:p>
    <w:p w:rsidR="00FD1A79" w:rsidP="00FD1A79" w14:paraId="1C639693" w14:textId="77777777">
      <w:pPr>
        <w:pStyle w:val="Normalcontinued"/>
        <w:spacing w:line="240" w:lineRule="auto"/>
        <w:ind w:left="720"/>
        <w:rPr>
          <w:b/>
          <w:szCs w:val="24"/>
        </w:rPr>
      </w:pPr>
      <w:r w:rsidRPr="002920F5">
        <w:rPr>
          <w:b/>
          <w:szCs w:val="24"/>
        </w:rPr>
        <w:br/>
        <w:t>B.2.e Any use of periodic (less frequent than annual) data collection cycles to reduce burden</w:t>
      </w:r>
    </w:p>
    <w:p w:rsidR="00FD1A79" w:rsidP="00FD1A79" w14:paraId="33945281" w14:textId="77777777">
      <w:pPr>
        <w:pStyle w:val="Normalcontinued"/>
        <w:spacing w:line="240" w:lineRule="auto"/>
        <w:ind w:left="720"/>
        <w:rPr>
          <w:b/>
          <w:szCs w:val="24"/>
        </w:rPr>
      </w:pPr>
    </w:p>
    <w:p w:rsidR="00FD1A79" w:rsidP="00FD1A79" w14:paraId="5C2DF52E" w14:textId="77777777">
      <w:pPr>
        <w:pStyle w:val="Normalcontinued"/>
        <w:ind w:firstLine="720"/>
        <w:rPr>
          <w:szCs w:val="24"/>
        </w:rPr>
      </w:pPr>
      <w:r w:rsidRPr="00C428BC">
        <w:rPr>
          <w:szCs w:val="24"/>
        </w:rPr>
        <w:t xml:space="preserve">OMHA does not </w:t>
      </w:r>
      <w:r>
        <w:rPr>
          <w:szCs w:val="24"/>
        </w:rPr>
        <w:t xml:space="preserve">plan to use data collection cycles that are less frequent than annual. Data collection will be conducted annually. </w:t>
      </w:r>
    </w:p>
    <w:p w:rsidR="00FD1A79" w:rsidRPr="00D368BA" w:rsidP="00FD1A79" w14:paraId="6A23C923" w14:textId="77777777">
      <w:pPr>
        <w:pStyle w:val="Normalcontinued"/>
        <w:ind w:firstLine="720"/>
        <w:rPr>
          <w:b/>
          <w:szCs w:val="24"/>
        </w:rPr>
      </w:pPr>
      <w:r w:rsidRPr="00D368BA">
        <w:rPr>
          <w:b/>
          <w:szCs w:val="24"/>
        </w:rPr>
        <w:t>B.2.f General data collection procedures</w:t>
      </w:r>
    </w:p>
    <w:p w:rsidR="00FD1A79" w:rsidRPr="00D368BA" w:rsidP="00FD1A79" w14:paraId="79E84556" w14:textId="0A230EF6">
      <w:pPr>
        <w:spacing w:line="480" w:lineRule="auto"/>
        <w:ind w:firstLine="720"/>
        <w:rPr>
          <w:szCs w:val="24"/>
        </w:rPr>
      </w:pPr>
      <w:r w:rsidRPr="00D368BA">
        <w:rPr>
          <w:szCs w:val="24"/>
        </w:rPr>
        <w:t xml:space="preserve">A new sample is drawn in each survey cycle. Appellants may be randomly selected in one or more of the years that the survey is conducted. A stratified random sample based on the two factors identified above—appellant type and </w:t>
      </w:r>
      <w:r w:rsidR="00D00C08">
        <w:rPr>
          <w:szCs w:val="24"/>
        </w:rPr>
        <w:t>FO</w:t>
      </w:r>
      <w:r w:rsidRPr="00D368BA">
        <w:rPr>
          <w:szCs w:val="24"/>
        </w:rPr>
        <w:t>—is used to obtain the most representative data possible.</w:t>
      </w:r>
    </w:p>
    <w:p w:rsidR="00FD1A79" w:rsidRPr="00D368BA" w:rsidP="00FD1A79" w14:paraId="5EB8FD96" w14:textId="77777777">
      <w:pPr>
        <w:spacing w:line="480" w:lineRule="auto"/>
        <w:ind w:firstLine="360"/>
        <w:rPr>
          <w:szCs w:val="24"/>
        </w:rPr>
      </w:pPr>
      <w:r w:rsidRPr="00D368BA">
        <w:rPr>
          <w:szCs w:val="24"/>
        </w:rPr>
        <w:t>The process of collecting data will occur in the following fashion:</w:t>
      </w:r>
    </w:p>
    <w:p w:rsidR="00FD1A79" w:rsidRPr="00D368BA" w:rsidP="00FD1A79" w14:paraId="79E53B61" w14:textId="1B6A550C">
      <w:pPr>
        <w:pStyle w:val="ListParagraph"/>
        <w:numPr>
          <w:ilvl w:val="0"/>
          <w:numId w:val="3"/>
        </w:numPr>
        <w:spacing w:line="480" w:lineRule="auto"/>
        <w:rPr>
          <w:rFonts w:ascii="Times New Roman" w:hAnsi="Times New Roman" w:cs="Times New Roman"/>
          <w:sz w:val="24"/>
          <w:szCs w:val="24"/>
        </w:rPr>
      </w:pPr>
      <w:r w:rsidRPr="00D368BA">
        <w:rPr>
          <w:rFonts w:ascii="Times New Roman" w:hAnsi="Times New Roman" w:cs="Times New Roman"/>
          <w:sz w:val="24"/>
          <w:szCs w:val="24"/>
        </w:rPr>
        <w:t xml:space="preserve">At the beginning of each survey cycle, OMHA obtains a list of all unique appellants who have had an appeal closed during the first </w:t>
      </w:r>
      <w:r w:rsidR="002608BC">
        <w:rPr>
          <w:rFonts w:ascii="Times New Roman" w:hAnsi="Times New Roman" w:cs="Times New Roman"/>
          <w:sz w:val="24"/>
          <w:szCs w:val="24"/>
        </w:rPr>
        <w:t>6</w:t>
      </w:r>
      <w:r w:rsidRPr="00D368BA" w:rsidR="002608BC">
        <w:rPr>
          <w:rFonts w:ascii="Times New Roman" w:hAnsi="Times New Roman" w:cs="Times New Roman"/>
          <w:sz w:val="24"/>
          <w:szCs w:val="24"/>
        </w:rPr>
        <w:t xml:space="preserve"> </w:t>
      </w:r>
      <w:r w:rsidRPr="00D368BA">
        <w:rPr>
          <w:rFonts w:ascii="Times New Roman" w:hAnsi="Times New Roman" w:cs="Times New Roman"/>
          <w:sz w:val="24"/>
          <w:szCs w:val="24"/>
        </w:rPr>
        <w:t xml:space="preserve">months of the </w:t>
      </w:r>
      <w:r w:rsidR="002608BC">
        <w:rPr>
          <w:rFonts w:ascii="Times New Roman" w:hAnsi="Times New Roman" w:cs="Times New Roman"/>
          <w:sz w:val="24"/>
          <w:szCs w:val="24"/>
        </w:rPr>
        <w:t>FY</w:t>
      </w:r>
      <w:r w:rsidRPr="00D368BA">
        <w:rPr>
          <w:rFonts w:ascii="Times New Roman" w:hAnsi="Times New Roman" w:cs="Times New Roman"/>
          <w:sz w:val="24"/>
          <w:szCs w:val="24"/>
        </w:rPr>
        <w:t xml:space="preserve">. The sample will be stratified by appellant type (beneficiary and non-beneficiary) and </w:t>
      </w:r>
      <w:r w:rsidR="00BC753C">
        <w:rPr>
          <w:rFonts w:ascii="Times New Roman" w:hAnsi="Times New Roman" w:cs="Times New Roman"/>
          <w:sz w:val="24"/>
          <w:szCs w:val="24"/>
        </w:rPr>
        <w:t>10</w:t>
      </w:r>
      <w:r w:rsidR="00566131">
        <w:rPr>
          <w:rFonts w:ascii="Times New Roman" w:hAnsi="Times New Roman" w:cs="Times New Roman"/>
          <w:sz w:val="24"/>
          <w:szCs w:val="24"/>
        </w:rPr>
        <w:t xml:space="preserve"> </w:t>
      </w:r>
      <w:r w:rsidR="00D05BB7">
        <w:rPr>
          <w:rFonts w:ascii="Times New Roman" w:hAnsi="Times New Roman" w:cs="Times New Roman"/>
          <w:sz w:val="24"/>
          <w:szCs w:val="24"/>
        </w:rPr>
        <w:t>FO</w:t>
      </w:r>
      <w:r w:rsidR="009A1491">
        <w:rPr>
          <w:rFonts w:ascii="Times New Roman" w:hAnsi="Times New Roman" w:cs="Times New Roman"/>
          <w:sz w:val="24"/>
          <w:szCs w:val="24"/>
        </w:rPr>
        <w:t xml:space="preserve"> </w:t>
      </w:r>
      <w:r w:rsidR="00905CC9">
        <w:rPr>
          <w:rFonts w:ascii="Times New Roman" w:hAnsi="Times New Roman" w:cs="Times New Roman"/>
          <w:sz w:val="24"/>
          <w:szCs w:val="24"/>
        </w:rPr>
        <w:t>location</w:t>
      </w:r>
      <w:r w:rsidR="00566131">
        <w:rPr>
          <w:rFonts w:ascii="Times New Roman" w:hAnsi="Times New Roman" w:cs="Times New Roman"/>
          <w:sz w:val="24"/>
          <w:szCs w:val="24"/>
        </w:rPr>
        <w:t>s</w:t>
      </w:r>
      <w:r w:rsidR="00731CAA">
        <w:rPr>
          <w:rFonts w:ascii="Times New Roman" w:hAnsi="Times New Roman" w:cs="Times New Roman"/>
          <w:sz w:val="24"/>
          <w:szCs w:val="24"/>
        </w:rPr>
        <w:t xml:space="preserve"> </w:t>
      </w:r>
      <w:r w:rsidR="00BC753C">
        <w:rPr>
          <w:rFonts w:ascii="Times New Roman" w:hAnsi="Times New Roman" w:cs="Times New Roman"/>
          <w:sz w:val="24"/>
          <w:szCs w:val="24"/>
        </w:rPr>
        <w:t>(plus</w:t>
      </w:r>
      <w:r w:rsidR="005C73E2">
        <w:rPr>
          <w:rFonts w:ascii="Times New Roman" w:hAnsi="Times New Roman" w:cs="Times New Roman"/>
          <w:sz w:val="24"/>
          <w:szCs w:val="24"/>
        </w:rPr>
        <w:t xml:space="preserve"> one</w:t>
      </w:r>
      <w:r w:rsidR="00BC753C">
        <w:rPr>
          <w:rFonts w:ascii="Times New Roman" w:hAnsi="Times New Roman" w:cs="Times New Roman"/>
          <w:sz w:val="24"/>
          <w:szCs w:val="24"/>
        </w:rPr>
        <w:t xml:space="preserve"> satellite location) </w:t>
      </w:r>
      <w:r w:rsidR="005A1C26">
        <w:rPr>
          <w:rFonts w:ascii="Times New Roman" w:hAnsi="Times New Roman" w:cs="Times New Roman"/>
          <w:sz w:val="24"/>
          <w:szCs w:val="24"/>
        </w:rPr>
        <w:t xml:space="preserve">generally </w:t>
      </w:r>
      <w:r w:rsidR="00731CAA">
        <w:rPr>
          <w:rFonts w:ascii="Times New Roman" w:hAnsi="Times New Roman" w:cs="Times New Roman"/>
          <w:sz w:val="24"/>
          <w:szCs w:val="24"/>
        </w:rPr>
        <w:t xml:space="preserve">proportional to </w:t>
      </w:r>
      <w:r w:rsidR="007155F6">
        <w:rPr>
          <w:rFonts w:ascii="Times New Roman" w:hAnsi="Times New Roman" w:cs="Times New Roman"/>
          <w:sz w:val="24"/>
          <w:szCs w:val="24"/>
        </w:rPr>
        <w:t xml:space="preserve">the </w:t>
      </w:r>
      <w:r w:rsidR="00F3513E">
        <w:rPr>
          <w:rFonts w:ascii="Times New Roman" w:hAnsi="Times New Roman" w:cs="Times New Roman"/>
          <w:sz w:val="24"/>
          <w:szCs w:val="24"/>
        </w:rPr>
        <w:t>claims in each location</w:t>
      </w:r>
      <w:r w:rsidRPr="00D368BA">
        <w:rPr>
          <w:rFonts w:ascii="Times New Roman" w:hAnsi="Times New Roman" w:cs="Times New Roman"/>
          <w:sz w:val="24"/>
          <w:szCs w:val="24"/>
        </w:rPr>
        <w:t xml:space="preserve">. </w:t>
      </w:r>
      <w:r w:rsidR="00DE243D">
        <w:rPr>
          <w:rFonts w:ascii="Times New Roman" w:hAnsi="Times New Roman" w:cs="Times New Roman"/>
          <w:sz w:val="24"/>
          <w:szCs w:val="24"/>
        </w:rPr>
        <w:t>We</w:t>
      </w:r>
      <w:r w:rsidR="00EA02E1">
        <w:rPr>
          <w:rFonts w:ascii="Times New Roman" w:hAnsi="Times New Roman" w:cs="Times New Roman"/>
          <w:sz w:val="24"/>
          <w:szCs w:val="24"/>
        </w:rPr>
        <w:t xml:space="preserve"> will randomly select a</w:t>
      </w:r>
      <w:r w:rsidR="006C146E">
        <w:rPr>
          <w:rFonts w:ascii="Times New Roman" w:hAnsi="Times New Roman" w:cs="Times New Roman"/>
          <w:sz w:val="24"/>
          <w:szCs w:val="24"/>
        </w:rPr>
        <w:t xml:space="preserve"> total sample size of </w:t>
      </w:r>
      <w:r w:rsidR="00381BFD">
        <w:rPr>
          <w:rFonts w:ascii="Times New Roman" w:hAnsi="Times New Roman" w:cs="Times New Roman"/>
          <w:sz w:val="24"/>
          <w:szCs w:val="24"/>
        </w:rPr>
        <w:t>1</w:t>
      </w:r>
      <w:r w:rsidR="001C0457">
        <w:rPr>
          <w:rFonts w:ascii="Times New Roman" w:hAnsi="Times New Roman" w:cs="Times New Roman"/>
          <w:sz w:val="24"/>
          <w:szCs w:val="24"/>
        </w:rPr>
        <w:t>,</w:t>
      </w:r>
      <w:r w:rsidR="00381BFD">
        <w:rPr>
          <w:rFonts w:ascii="Times New Roman" w:hAnsi="Times New Roman" w:cs="Times New Roman"/>
          <w:sz w:val="24"/>
          <w:szCs w:val="24"/>
        </w:rPr>
        <w:t>000</w:t>
      </w:r>
      <w:r w:rsidR="00DE243D">
        <w:rPr>
          <w:rFonts w:ascii="Times New Roman" w:hAnsi="Times New Roman" w:cs="Times New Roman"/>
          <w:sz w:val="24"/>
          <w:szCs w:val="24"/>
        </w:rPr>
        <w:t xml:space="preserve"> appellant records</w:t>
      </w:r>
      <w:r w:rsidR="006F67E3">
        <w:rPr>
          <w:rFonts w:ascii="Times New Roman" w:hAnsi="Times New Roman" w:cs="Times New Roman"/>
          <w:sz w:val="24"/>
          <w:szCs w:val="24"/>
        </w:rPr>
        <w:t xml:space="preserve">, including estimated </w:t>
      </w:r>
      <w:r w:rsidR="006F67E3">
        <w:rPr>
          <w:rFonts w:ascii="Times New Roman" w:hAnsi="Times New Roman" w:cs="Times New Roman"/>
          <w:sz w:val="24"/>
          <w:szCs w:val="24"/>
        </w:rPr>
        <w:t xml:space="preserve">sample sizes of </w:t>
      </w:r>
      <w:r w:rsidR="00381BFD">
        <w:rPr>
          <w:rFonts w:ascii="Times New Roman" w:hAnsi="Times New Roman" w:cs="Times New Roman"/>
          <w:sz w:val="24"/>
          <w:szCs w:val="24"/>
        </w:rPr>
        <w:t xml:space="preserve">500 </w:t>
      </w:r>
      <w:r w:rsidR="006F67E3">
        <w:rPr>
          <w:rFonts w:ascii="Times New Roman" w:hAnsi="Times New Roman" w:cs="Times New Roman"/>
          <w:sz w:val="24"/>
          <w:szCs w:val="24"/>
        </w:rPr>
        <w:t xml:space="preserve">beneficiaries and </w:t>
      </w:r>
      <w:r w:rsidR="00381BFD">
        <w:rPr>
          <w:rFonts w:ascii="Times New Roman" w:hAnsi="Times New Roman" w:cs="Times New Roman"/>
          <w:sz w:val="24"/>
          <w:szCs w:val="24"/>
        </w:rPr>
        <w:t xml:space="preserve">500 </w:t>
      </w:r>
      <w:r w:rsidR="006F67E3">
        <w:rPr>
          <w:rFonts w:ascii="Times New Roman" w:hAnsi="Times New Roman" w:cs="Times New Roman"/>
          <w:sz w:val="24"/>
          <w:szCs w:val="24"/>
        </w:rPr>
        <w:t xml:space="preserve">non-beneficiaries for </w:t>
      </w:r>
      <w:r w:rsidR="001B0A36">
        <w:rPr>
          <w:rFonts w:ascii="Times New Roman" w:hAnsi="Times New Roman" w:cs="Times New Roman"/>
          <w:sz w:val="24"/>
          <w:szCs w:val="24"/>
        </w:rPr>
        <w:t>FY 202</w:t>
      </w:r>
      <w:r w:rsidR="005A54E8">
        <w:rPr>
          <w:rFonts w:ascii="Times New Roman" w:hAnsi="Times New Roman" w:cs="Times New Roman"/>
          <w:sz w:val="24"/>
          <w:szCs w:val="24"/>
        </w:rPr>
        <w:t>4</w:t>
      </w:r>
      <w:r w:rsidR="001B0A36">
        <w:rPr>
          <w:rFonts w:ascii="Times New Roman" w:hAnsi="Times New Roman" w:cs="Times New Roman"/>
          <w:sz w:val="24"/>
          <w:szCs w:val="24"/>
        </w:rPr>
        <w:t>,</w:t>
      </w:r>
      <w:r w:rsidR="001C0457">
        <w:rPr>
          <w:rFonts w:ascii="Times New Roman" w:hAnsi="Times New Roman" w:cs="Times New Roman"/>
          <w:sz w:val="24"/>
          <w:szCs w:val="24"/>
        </w:rPr>
        <w:t xml:space="preserve"> </w:t>
      </w:r>
      <w:r w:rsidR="006F67E3">
        <w:rPr>
          <w:rFonts w:ascii="Times New Roman" w:hAnsi="Times New Roman" w:cs="Times New Roman"/>
          <w:sz w:val="24"/>
          <w:szCs w:val="24"/>
        </w:rPr>
        <w:t xml:space="preserve">FY </w:t>
      </w:r>
      <w:r w:rsidR="006F67E3">
        <w:rPr>
          <w:rFonts w:ascii="Times New Roman" w:hAnsi="Times New Roman" w:cs="Times New Roman"/>
          <w:sz w:val="24"/>
          <w:szCs w:val="24"/>
        </w:rPr>
        <w:t>202</w:t>
      </w:r>
      <w:r w:rsidR="005A54E8">
        <w:rPr>
          <w:rFonts w:ascii="Times New Roman" w:hAnsi="Times New Roman" w:cs="Times New Roman"/>
          <w:sz w:val="24"/>
          <w:szCs w:val="24"/>
        </w:rPr>
        <w:t>5</w:t>
      </w:r>
      <w:r w:rsidR="006F67E3">
        <w:rPr>
          <w:rFonts w:ascii="Times New Roman" w:hAnsi="Times New Roman" w:cs="Times New Roman"/>
          <w:sz w:val="24"/>
          <w:szCs w:val="24"/>
        </w:rPr>
        <w:t xml:space="preserve"> and FY 202</w:t>
      </w:r>
      <w:r w:rsidR="005A54E8">
        <w:rPr>
          <w:rFonts w:ascii="Times New Roman" w:hAnsi="Times New Roman" w:cs="Times New Roman"/>
          <w:sz w:val="24"/>
          <w:szCs w:val="24"/>
        </w:rPr>
        <w:t>6</w:t>
      </w:r>
      <w:r w:rsidR="001C0457">
        <w:rPr>
          <w:rFonts w:ascii="Times New Roman" w:hAnsi="Times New Roman" w:cs="Times New Roman"/>
          <w:sz w:val="24"/>
          <w:szCs w:val="24"/>
        </w:rPr>
        <w:t>.</w:t>
      </w:r>
      <w:r w:rsidR="006F67E3">
        <w:rPr>
          <w:rFonts w:ascii="Times New Roman" w:hAnsi="Times New Roman" w:cs="Times New Roman"/>
          <w:sz w:val="24"/>
          <w:szCs w:val="24"/>
        </w:rPr>
        <w:t xml:space="preserve"> </w:t>
      </w:r>
    </w:p>
    <w:p w:rsidR="00FD1A79" w:rsidRPr="00D368BA" w:rsidP="00FD1A79" w14:paraId="6A23FAE9" w14:textId="77777777">
      <w:pPr>
        <w:pStyle w:val="ListParagraph"/>
        <w:numPr>
          <w:ilvl w:val="0"/>
          <w:numId w:val="3"/>
        </w:numPr>
        <w:spacing w:line="480" w:lineRule="auto"/>
        <w:rPr>
          <w:rFonts w:ascii="Times New Roman" w:hAnsi="Times New Roman" w:cs="Times New Roman"/>
          <w:sz w:val="24"/>
          <w:szCs w:val="24"/>
        </w:rPr>
      </w:pPr>
      <w:r w:rsidRPr="00D368BA">
        <w:rPr>
          <w:rFonts w:ascii="Times New Roman" w:hAnsi="Times New Roman" w:cs="Times New Roman"/>
          <w:sz w:val="24"/>
          <w:szCs w:val="24"/>
        </w:rPr>
        <w:t xml:space="preserve">Appellants selected for participation in the Appellant Climate Survey will be notified of the study by mail (Appendices C1 and C2) and provided information necessary to complete the web survey. </w:t>
      </w:r>
      <w:bookmarkStart w:id="9" w:name="_Hlk485198313"/>
      <w:r w:rsidRPr="00D368BA">
        <w:rPr>
          <w:rFonts w:ascii="Times New Roman" w:hAnsi="Times New Roman" w:cs="Times New Roman"/>
          <w:sz w:val="24"/>
          <w:szCs w:val="24"/>
        </w:rPr>
        <w:t>These letters contain official signatures and labels to verify the organization’s intent and professionalism.</w:t>
      </w:r>
      <w:r w:rsidRPr="00D368BA">
        <w:rPr>
          <w:szCs w:val="24"/>
        </w:rPr>
        <w:t xml:space="preserve"> </w:t>
      </w:r>
    </w:p>
    <w:p w:rsidR="00FD1A79" w:rsidRPr="00D368BA" w:rsidP="00FD1A79" w14:paraId="015DB476" w14:textId="4028B413">
      <w:pPr>
        <w:pStyle w:val="ListParagraph"/>
        <w:numPr>
          <w:ilvl w:val="0"/>
          <w:numId w:val="3"/>
        </w:numPr>
        <w:spacing w:line="480" w:lineRule="auto"/>
        <w:rPr>
          <w:rFonts w:ascii="Times New Roman" w:hAnsi="Times New Roman" w:cs="Times New Roman"/>
          <w:sz w:val="24"/>
          <w:szCs w:val="24"/>
        </w:rPr>
      </w:pPr>
      <w:r w:rsidRPr="00D368BA">
        <w:rPr>
          <w:rFonts w:ascii="Times New Roman" w:hAnsi="Times New Roman" w:cs="Times New Roman"/>
          <w:sz w:val="24"/>
          <w:szCs w:val="24"/>
        </w:rPr>
        <w:t xml:space="preserve">If the appellant does not complete the web survey within </w:t>
      </w:r>
      <w:r w:rsidR="00EA02E1">
        <w:rPr>
          <w:rFonts w:ascii="Times New Roman" w:hAnsi="Times New Roman" w:cs="Times New Roman"/>
          <w:sz w:val="24"/>
          <w:szCs w:val="24"/>
        </w:rPr>
        <w:t>1</w:t>
      </w:r>
      <w:r w:rsidRPr="00D368BA" w:rsidR="00EA02E1">
        <w:rPr>
          <w:rFonts w:ascii="Times New Roman" w:hAnsi="Times New Roman" w:cs="Times New Roman"/>
          <w:sz w:val="24"/>
          <w:szCs w:val="24"/>
        </w:rPr>
        <w:t xml:space="preserve"> </w:t>
      </w:r>
      <w:r w:rsidRPr="00D368BA">
        <w:rPr>
          <w:rFonts w:ascii="Times New Roman" w:hAnsi="Times New Roman" w:cs="Times New Roman"/>
          <w:sz w:val="24"/>
          <w:szCs w:val="24"/>
        </w:rPr>
        <w:t>week, appellants may be contacted up to 14 times by telephone (Appendices C3 and C4)</w:t>
      </w:r>
      <w:r>
        <w:rPr>
          <w:rFonts w:ascii="Times New Roman" w:hAnsi="Times New Roman" w:cs="Times New Roman"/>
          <w:sz w:val="24"/>
          <w:szCs w:val="24"/>
        </w:rPr>
        <w:t>,</w:t>
      </w:r>
      <w:r w:rsidRPr="00D368BA">
        <w:rPr>
          <w:rFonts w:ascii="Times New Roman" w:hAnsi="Times New Roman" w:cs="Times New Roman"/>
          <w:sz w:val="24"/>
          <w:szCs w:val="24"/>
        </w:rPr>
        <w:t xml:space="preserve"> and </w:t>
      </w:r>
      <w:r>
        <w:rPr>
          <w:rFonts w:ascii="Times New Roman" w:hAnsi="Times New Roman" w:cs="Times New Roman"/>
          <w:sz w:val="24"/>
          <w:szCs w:val="24"/>
        </w:rPr>
        <w:t xml:space="preserve">non-beneficiaries may </w:t>
      </w:r>
      <w:r w:rsidRPr="00D368BA">
        <w:rPr>
          <w:rFonts w:ascii="Times New Roman" w:hAnsi="Times New Roman" w:cs="Times New Roman"/>
          <w:sz w:val="24"/>
          <w:szCs w:val="24"/>
        </w:rPr>
        <w:t xml:space="preserve">receive up to </w:t>
      </w:r>
      <w:r w:rsidR="003877A4">
        <w:rPr>
          <w:rFonts w:ascii="Times New Roman" w:hAnsi="Times New Roman" w:cs="Times New Roman"/>
          <w:sz w:val="24"/>
          <w:szCs w:val="24"/>
        </w:rPr>
        <w:t>3</w:t>
      </w:r>
      <w:r w:rsidRPr="00D368BA" w:rsidR="003877A4">
        <w:rPr>
          <w:rFonts w:ascii="Times New Roman" w:hAnsi="Times New Roman" w:cs="Times New Roman"/>
          <w:sz w:val="24"/>
          <w:szCs w:val="24"/>
        </w:rPr>
        <w:t xml:space="preserve"> </w:t>
      </w:r>
      <w:r w:rsidRPr="00D368BA">
        <w:rPr>
          <w:rFonts w:ascii="Times New Roman" w:hAnsi="Times New Roman" w:cs="Times New Roman"/>
          <w:sz w:val="24"/>
          <w:szCs w:val="24"/>
        </w:rPr>
        <w:t>voicemails (Appendix C</w:t>
      </w:r>
      <w:r>
        <w:rPr>
          <w:rFonts w:ascii="Times New Roman" w:hAnsi="Times New Roman" w:cs="Times New Roman"/>
          <w:sz w:val="24"/>
          <w:szCs w:val="24"/>
        </w:rPr>
        <w:t>5</w:t>
      </w:r>
      <w:r w:rsidRPr="00D368BA">
        <w:rPr>
          <w:rFonts w:ascii="Times New Roman" w:hAnsi="Times New Roman" w:cs="Times New Roman"/>
          <w:sz w:val="24"/>
          <w:szCs w:val="24"/>
        </w:rPr>
        <w:t xml:space="preserve"> and C</w:t>
      </w:r>
      <w:r>
        <w:rPr>
          <w:rFonts w:ascii="Times New Roman" w:hAnsi="Times New Roman" w:cs="Times New Roman"/>
          <w:sz w:val="24"/>
          <w:szCs w:val="24"/>
        </w:rPr>
        <w:t>6</w:t>
      </w:r>
      <w:r w:rsidRPr="00D368BA">
        <w:rPr>
          <w:rFonts w:ascii="Times New Roman" w:hAnsi="Times New Roman" w:cs="Times New Roman"/>
          <w:sz w:val="24"/>
          <w:szCs w:val="24"/>
        </w:rPr>
        <w:t xml:space="preserve">) as reminders and encouragement to complete the Appellant Climate Survey </w:t>
      </w:r>
      <w:r w:rsidR="00EA02E1">
        <w:rPr>
          <w:rFonts w:ascii="Times New Roman" w:hAnsi="Times New Roman" w:cs="Times New Roman"/>
          <w:sz w:val="24"/>
          <w:szCs w:val="24"/>
        </w:rPr>
        <w:t>on</w:t>
      </w:r>
      <w:r w:rsidRPr="00D368BA" w:rsidR="00EA02E1">
        <w:rPr>
          <w:rFonts w:ascii="Times New Roman" w:hAnsi="Times New Roman" w:cs="Times New Roman"/>
          <w:sz w:val="24"/>
          <w:szCs w:val="24"/>
        </w:rPr>
        <w:t xml:space="preserve"> </w:t>
      </w:r>
      <w:r w:rsidRPr="00D368BA">
        <w:rPr>
          <w:rFonts w:ascii="Times New Roman" w:hAnsi="Times New Roman" w:cs="Times New Roman"/>
          <w:sz w:val="24"/>
          <w:szCs w:val="24"/>
        </w:rPr>
        <w:t xml:space="preserve">the web. The Appellant Climate Survey may be completed by telephone during a reminder telephone call attempt, depending on the appellant’s preference and availability. </w:t>
      </w:r>
    </w:p>
    <w:p w:rsidR="00FD1A79" w:rsidRPr="00D368BA" w:rsidP="00FD1A79" w14:paraId="02E0B0FE" w14:textId="7AE3628F">
      <w:pPr>
        <w:pStyle w:val="ListParagraph"/>
        <w:numPr>
          <w:ilvl w:val="0"/>
          <w:numId w:val="3"/>
        </w:numPr>
        <w:spacing w:after="0" w:line="480" w:lineRule="auto"/>
        <w:rPr>
          <w:rFonts w:ascii="Times New Roman" w:hAnsi="Times New Roman" w:cs="Times New Roman"/>
          <w:sz w:val="24"/>
          <w:szCs w:val="24"/>
        </w:rPr>
      </w:pPr>
      <w:r w:rsidRPr="00D368BA">
        <w:rPr>
          <w:rFonts w:ascii="Times New Roman" w:hAnsi="Times New Roman" w:cs="Times New Roman"/>
          <w:sz w:val="24"/>
          <w:szCs w:val="24"/>
        </w:rPr>
        <w:t xml:space="preserve">Appellants who do not complete the survey after </w:t>
      </w:r>
      <w:r w:rsidR="00EA02E1">
        <w:rPr>
          <w:rFonts w:ascii="Times New Roman" w:hAnsi="Times New Roman" w:cs="Times New Roman"/>
          <w:sz w:val="24"/>
          <w:szCs w:val="24"/>
        </w:rPr>
        <w:t>1</w:t>
      </w:r>
      <w:r w:rsidRPr="00D368BA" w:rsidR="00EA02E1">
        <w:rPr>
          <w:rFonts w:ascii="Times New Roman" w:hAnsi="Times New Roman" w:cs="Times New Roman"/>
          <w:sz w:val="24"/>
          <w:szCs w:val="24"/>
        </w:rPr>
        <w:t xml:space="preserve"> </w:t>
      </w:r>
      <w:r w:rsidRPr="00D368BA">
        <w:rPr>
          <w:rFonts w:ascii="Times New Roman" w:hAnsi="Times New Roman" w:cs="Times New Roman"/>
          <w:sz w:val="24"/>
          <w:szCs w:val="24"/>
        </w:rPr>
        <w:t>month of call attempts will be sent a reminder letter (Appendices C</w:t>
      </w:r>
      <w:r>
        <w:rPr>
          <w:rFonts w:ascii="Times New Roman" w:hAnsi="Times New Roman" w:cs="Times New Roman"/>
          <w:sz w:val="24"/>
          <w:szCs w:val="24"/>
        </w:rPr>
        <w:t>7</w:t>
      </w:r>
      <w:r w:rsidRPr="00D368BA">
        <w:rPr>
          <w:rFonts w:ascii="Times New Roman" w:hAnsi="Times New Roman" w:cs="Times New Roman"/>
          <w:sz w:val="24"/>
          <w:szCs w:val="24"/>
        </w:rPr>
        <w:t xml:space="preserve"> and C</w:t>
      </w:r>
      <w:r>
        <w:rPr>
          <w:rFonts w:ascii="Times New Roman" w:hAnsi="Times New Roman" w:cs="Times New Roman"/>
          <w:sz w:val="24"/>
          <w:szCs w:val="24"/>
        </w:rPr>
        <w:t>8</w:t>
      </w:r>
      <w:r w:rsidRPr="00D368BA">
        <w:rPr>
          <w:rFonts w:ascii="Times New Roman" w:hAnsi="Times New Roman" w:cs="Times New Roman"/>
          <w:sz w:val="24"/>
          <w:szCs w:val="24"/>
        </w:rPr>
        <w:t>) that will include a hard</w:t>
      </w:r>
      <w:r w:rsidR="009B2B35">
        <w:rPr>
          <w:rFonts w:ascii="Times New Roman" w:hAnsi="Times New Roman" w:cs="Times New Roman"/>
          <w:sz w:val="24"/>
          <w:szCs w:val="24"/>
        </w:rPr>
        <w:t xml:space="preserve"> </w:t>
      </w:r>
      <w:r w:rsidRPr="00D368BA">
        <w:rPr>
          <w:rFonts w:ascii="Times New Roman" w:hAnsi="Times New Roman" w:cs="Times New Roman"/>
          <w:sz w:val="24"/>
          <w:szCs w:val="24"/>
        </w:rPr>
        <w:t>copy of the Appellant Climate Survey and a return envelope with prepaid postage. The letter will encourage the appellant to complete the hardcopy version of the Appellant Climate Survey and return the survey by mail.</w:t>
      </w:r>
      <w:bookmarkEnd w:id="9"/>
    </w:p>
    <w:p w:rsidR="00FD1A79" w:rsidRPr="00D368BA" w:rsidP="00FD1A79" w14:paraId="00F2B481" w14:textId="77777777">
      <w:pPr>
        <w:pStyle w:val="ListParagraph"/>
        <w:numPr>
          <w:ilvl w:val="0"/>
          <w:numId w:val="3"/>
        </w:numPr>
        <w:spacing w:after="0" w:line="480" w:lineRule="auto"/>
        <w:rPr>
          <w:rFonts w:ascii="Times New Roman" w:hAnsi="Times New Roman" w:cs="Times New Roman"/>
          <w:sz w:val="24"/>
          <w:szCs w:val="24"/>
        </w:rPr>
      </w:pPr>
      <w:r w:rsidRPr="00D368BA">
        <w:rPr>
          <w:rFonts w:ascii="Times New Roman" w:hAnsi="Times New Roman" w:cs="Times New Roman"/>
          <w:sz w:val="24"/>
          <w:szCs w:val="24"/>
        </w:rPr>
        <w:t>Telephone and web-based responses will be stored electronically and downloaded into a Microsoft Excel or SPSS database. Mailed responses will be manually entered into the database.</w:t>
      </w:r>
    </w:p>
    <w:p w:rsidR="00FD1A79" w:rsidRPr="00D368BA" w:rsidP="00FD1A79" w14:paraId="7A0368A0" w14:textId="77777777">
      <w:pPr>
        <w:pStyle w:val="Heading2"/>
        <w:tabs>
          <w:tab w:val="left" w:pos="720"/>
          <w:tab w:val="clear" w:pos="1152"/>
        </w:tabs>
        <w:spacing w:after="0" w:line="240" w:lineRule="auto"/>
        <w:ind w:left="720" w:hanging="720"/>
        <w:rPr>
          <w:rFonts w:ascii="Times New Roman" w:hAnsi="Times New Roman"/>
          <w:color w:val="auto"/>
          <w:sz w:val="24"/>
          <w:szCs w:val="24"/>
        </w:rPr>
      </w:pPr>
      <w:bookmarkStart w:id="10" w:name="_Toc282506044"/>
      <w:r w:rsidRPr="00D368BA">
        <w:rPr>
          <w:rFonts w:ascii="Times New Roman" w:hAnsi="Times New Roman"/>
          <w:color w:val="auto"/>
          <w:sz w:val="24"/>
          <w:szCs w:val="24"/>
        </w:rPr>
        <w:t>B.3</w:t>
      </w:r>
      <w:r w:rsidRPr="00D368BA">
        <w:rPr>
          <w:rFonts w:ascii="Times New Roman" w:hAnsi="Times New Roman"/>
          <w:color w:val="auto"/>
          <w:sz w:val="24"/>
          <w:szCs w:val="24"/>
        </w:rPr>
        <w:tab/>
      </w:r>
      <w:bookmarkEnd w:id="10"/>
      <w:r w:rsidRPr="00D368BA">
        <w:rPr>
          <w:rFonts w:ascii="Times New Roman" w:hAnsi="Times New Roman"/>
          <w:color w:val="auto"/>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D1A79" w:rsidRPr="00D368BA" w:rsidP="00FD1A79" w14:paraId="6FD1B6AE" w14:textId="77777777">
      <w:pPr>
        <w:spacing w:line="240" w:lineRule="auto"/>
        <w:rPr>
          <w:szCs w:val="24"/>
        </w:rPr>
      </w:pPr>
    </w:p>
    <w:p w:rsidR="00FD1A79" w:rsidRPr="00D368BA" w:rsidP="00FD1A79" w14:paraId="5B5A36CF" w14:textId="0048F413">
      <w:pPr>
        <w:spacing w:line="480" w:lineRule="auto"/>
        <w:ind w:firstLine="720"/>
        <w:rPr>
          <w:szCs w:val="24"/>
          <w:highlight w:val="yellow"/>
        </w:rPr>
      </w:pPr>
      <w:r w:rsidRPr="00D368BA">
        <w:rPr>
          <w:szCs w:val="24"/>
        </w:rPr>
        <w:t xml:space="preserve">Overall response rate projections are presented above in section B.1.b. Achieving the specified response rates involves using procedures described below to secure participation once the potential respondents have been identified. The Appellant Climate Survey is designed to achieve the highest practical rates of response, commensurate with the importance of survey uses, time constraints, respondent burden, and data collection costs. </w:t>
      </w:r>
      <w:r>
        <w:rPr>
          <w:szCs w:val="24"/>
        </w:rPr>
        <w:t>I</w:t>
      </w:r>
      <w:r w:rsidRPr="00D368BA">
        <w:rPr>
          <w:szCs w:val="24"/>
        </w:rPr>
        <w:t>n the event that</w:t>
      </w:r>
      <w:r w:rsidRPr="00D368BA">
        <w:rPr>
          <w:szCs w:val="24"/>
        </w:rPr>
        <w:t xml:space="preserve"> an 80</w:t>
      </w:r>
      <w:r w:rsidR="00055E45">
        <w:rPr>
          <w:szCs w:val="24"/>
        </w:rPr>
        <w:t xml:space="preserve"> percent</w:t>
      </w:r>
      <w:r w:rsidRPr="00D368BA">
        <w:rPr>
          <w:szCs w:val="24"/>
        </w:rPr>
        <w:t xml:space="preserve"> response rate is not obtained, a non-response bias analysis will be conducted.</w:t>
      </w:r>
      <w:r w:rsidRPr="00D368BA">
        <w:rPr>
          <w:rStyle w:val="FootnoteReference"/>
          <w:szCs w:val="24"/>
        </w:rPr>
        <w:t xml:space="preserve"> </w:t>
      </w:r>
    </w:p>
    <w:p w:rsidR="00FD1A79" w:rsidRPr="00D368BA" w:rsidP="00FD1A79" w14:paraId="2EF577F2" w14:textId="77777777">
      <w:pPr>
        <w:spacing w:line="480" w:lineRule="auto"/>
        <w:ind w:firstLine="720"/>
        <w:rPr>
          <w:szCs w:val="24"/>
        </w:rPr>
      </w:pPr>
      <w:r w:rsidRPr="00D368BA">
        <w:rPr>
          <w:szCs w:val="24"/>
        </w:rPr>
        <w:t>The recruitment procedures designed to maximize the number of sampled appellants who complete the Appellant Climate Survey are described below.</w:t>
      </w:r>
    </w:p>
    <w:p w:rsidR="00FD1A79" w:rsidRPr="00D368BA" w:rsidP="00FD1A79" w14:paraId="1A07431A" w14:textId="77777777">
      <w:pPr>
        <w:pStyle w:val="N1-1stBullet"/>
      </w:pPr>
      <w:r w:rsidRPr="00D368BA">
        <w:t xml:space="preserve">The introductory letters inviting appellants to participate in the Appellant Climate Survey will be carefully developed to emphasize the importance of this study and how the information will help OMHA improve the appeals process, and to maximize cooperation through advance warning. All letters will include </w:t>
      </w:r>
      <w:r w:rsidRPr="00D368BA">
        <w:rPr>
          <w:szCs w:val="24"/>
        </w:rPr>
        <w:t xml:space="preserve">official U.S. Department of Health and Human Services (HHS) OMHA letterhead signed by the Chief Administrative Law Judge to increase study </w:t>
      </w:r>
      <w:r>
        <w:rPr>
          <w:szCs w:val="24"/>
        </w:rPr>
        <w:t>credibility</w:t>
      </w:r>
      <w:r w:rsidRPr="00D368BA">
        <w:rPr>
          <w:szCs w:val="24"/>
        </w:rPr>
        <w:t xml:space="preserve">. </w:t>
      </w:r>
    </w:p>
    <w:p w:rsidR="00FD1A79" w:rsidRPr="00D368BA" w:rsidP="00FD1A79" w14:paraId="23A5FB2A" w14:textId="77777777">
      <w:pPr>
        <w:pStyle w:val="N1-1stBullet"/>
        <w:tabs>
          <w:tab w:val="num" w:pos="1080"/>
          <w:tab w:val="clear" w:pos="1152"/>
        </w:tabs>
        <w:spacing w:after="120" w:line="240" w:lineRule="auto"/>
        <w:ind w:left="1080" w:hanging="504"/>
        <w:rPr>
          <w:szCs w:val="24"/>
        </w:rPr>
      </w:pPr>
      <w:r w:rsidRPr="00D368BA">
        <w:rPr>
          <w:szCs w:val="24"/>
        </w:rPr>
        <w:t>A toll-free number and study email address will be provided so appellants can receive assistance with the survey. English and Spanish speakers will be available to respond to questions and concerns.</w:t>
      </w:r>
    </w:p>
    <w:p w:rsidR="00FD1A79" w:rsidRPr="00D368BA" w:rsidP="00FD1A79" w14:paraId="31A12F02" w14:textId="71EB8D20">
      <w:pPr>
        <w:pStyle w:val="N1-1stBullet"/>
        <w:tabs>
          <w:tab w:val="num" w:pos="1080"/>
          <w:tab w:val="clear" w:pos="1152"/>
        </w:tabs>
        <w:spacing w:after="120" w:line="240" w:lineRule="auto"/>
        <w:ind w:left="1080" w:hanging="504"/>
        <w:rPr>
          <w:szCs w:val="24"/>
        </w:rPr>
      </w:pPr>
      <w:r w:rsidRPr="00D368BA">
        <w:rPr>
          <w:szCs w:val="24"/>
        </w:rPr>
        <w:t xml:space="preserve">Sampled appellants will have the option of completing the Appellant Climate Survey as a </w:t>
      </w:r>
      <w:r>
        <w:rPr>
          <w:szCs w:val="24"/>
        </w:rPr>
        <w:t xml:space="preserve">web, </w:t>
      </w:r>
      <w:r w:rsidRPr="00D368BA">
        <w:rPr>
          <w:szCs w:val="24"/>
        </w:rPr>
        <w:t>telephone</w:t>
      </w:r>
      <w:r w:rsidR="00E05A1A">
        <w:rPr>
          <w:szCs w:val="24"/>
        </w:rPr>
        <w:t>,</w:t>
      </w:r>
      <w:r w:rsidRPr="00D368BA">
        <w:rPr>
          <w:szCs w:val="24"/>
        </w:rPr>
        <w:t xml:space="preserve"> </w:t>
      </w:r>
      <w:r>
        <w:rPr>
          <w:szCs w:val="24"/>
        </w:rPr>
        <w:t>or</w:t>
      </w:r>
      <w:r w:rsidRPr="00D368BA">
        <w:rPr>
          <w:szCs w:val="24"/>
        </w:rPr>
        <w:t xml:space="preserve"> mail-in survey. </w:t>
      </w:r>
    </w:p>
    <w:p w:rsidR="00FD1A79" w:rsidRPr="00D368BA" w:rsidP="00FD1A79" w14:paraId="0F9534C6" w14:textId="77777777">
      <w:pPr>
        <w:pStyle w:val="N1-1stBullet"/>
        <w:tabs>
          <w:tab w:val="num" w:pos="1080"/>
          <w:tab w:val="clear" w:pos="1152"/>
        </w:tabs>
        <w:ind w:left="1080" w:hanging="504"/>
      </w:pPr>
      <w:r w:rsidRPr="00D368BA">
        <w:rPr>
          <w:szCs w:val="24"/>
        </w:rPr>
        <w:t xml:space="preserve">A training for telephone interviewers will be conducted. The training, specific to this study, will include an overview of the project, a review of the research questions the study will address, a primer on interviewing practices and procedures, and techniques for encouraging respondent candor. </w:t>
      </w:r>
    </w:p>
    <w:p w:rsidR="00FD1A79" w:rsidRPr="00D368BA" w:rsidP="00FD1A79" w14:paraId="6A16499F" w14:textId="77777777">
      <w:pPr>
        <w:pStyle w:val="N1-1stBullet"/>
        <w:tabs>
          <w:tab w:val="num" w:pos="1080"/>
          <w:tab w:val="clear" w:pos="1152"/>
        </w:tabs>
        <w:spacing w:after="120" w:line="240" w:lineRule="auto"/>
        <w:ind w:left="1080" w:hanging="504"/>
        <w:rPr>
          <w:szCs w:val="24"/>
        </w:rPr>
      </w:pPr>
      <w:r w:rsidRPr="00D368BA">
        <w:rPr>
          <w:szCs w:val="24"/>
        </w:rPr>
        <w:t>A core set of interviewers with experience conducting telephone interviews, particularly interviewers who have proven their ability to obtain cooperation from a high proportion of sample members, will be employed.</w:t>
      </w:r>
    </w:p>
    <w:p w:rsidR="00FD1A79" w:rsidRPr="00D368BA" w:rsidP="00FD1A79" w14:paraId="741353B7" w14:textId="6095C3AB">
      <w:pPr>
        <w:pStyle w:val="N1-1stBullet"/>
        <w:tabs>
          <w:tab w:val="num" w:pos="1080"/>
          <w:tab w:val="clear" w:pos="1152"/>
        </w:tabs>
        <w:spacing w:after="120" w:line="240" w:lineRule="auto"/>
        <w:ind w:left="1080" w:hanging="504"/>
        <w:rPr>
          <w:szCs w:val="24"/>
        </w:rPr>
      </w:pPr>
      <w:r w:rsidRPr="00D368BA">
        <w:rPr>
          <w:szCs w:val="24"/>
        </w:rPr>
        <w:t>Follow</w:t>
      </w:r>
      <w:r>
        <w:rPr>
          <w:szCs w:val="24"/>
        </w:rPr>
        <w:t>-</w:t>
      </w:r>
      <w:r w:rsidRPr="00D368BA">
        <w:rPr>
          <w:szCs w:val="24"/>
        </w:rPr>
        <w:t xml:space="preserve">up attempts by telephone will be made with all sampled appellants who do not complete the survey </w:t>
      </w:r>
      <w:r w:rsidR="00E05A1A">
        <w:rPr>
          <w:szCs w:val="24"/>
        </w:rPr>
        <w:t>1</w:t>
      </w:r>
      <w:r w:rsidRPr="00D368BA" w:rsidR="00E05A1A">
        <w:rPr>
          <w:szCs w:val="24"/>
        </w:rPr>
        <w:t xml:space="preserve"> </w:t>
      </w:r>
      <w:r w:rsidRPr="00D368BA">
        <w:rPr>
          <w:szCs w:val="24"/>
        </w:rPr>
        <w:t xml:space="preserve">week after the start of data collection. The primary purpose of the call will be to urge </w:t>
      </w:r>
      <w:r w:rsidR="00E05A1A">
        <w:rPr>
          <w:szCs w:val="24"/>
        </w:rPr>
        <w:t>appellants</w:t>
      </w:r>
      <w:r w:rsidRPr="00D368BA" w:rsidR="00E05A1A">
        <w:rPr>
          <w:szCs w:val="24"/>
        </w:rPr>
        <w:t xml:space="preserve"> </w:t>
      </w:r>
      <w:r w:rsidRPr="00D368BA">
        <w:rPr>
          <w:szCs w:val="24"/>
        </w:rPr>
        <w:t xml:space="preserve">to complete the survey. At that point, if the appellants prefer to complete the survey or remaining sections of the survey over the telephone, an interviewer will administer the full survey or any remaining parts of the survey over the telephone. </w:t>
      </w:r>
    </w:p>
    <w:p w:rsidR="00FD1A79" w:rsidRPr="00D368BA" w:rsidP="00FD1A79" w14:paraId="247F9675" w14:textId="77777777">
      <w:pPr>
        <w:pStyle w:val="N1-1stBullet"/>
        <w:tabs>
          <w:tab w:val="num" w:pos="1080"/>
          <w:tab w:val="clear" w:pos="1152"/>
        </w:tabs>
        <w:spacing w:after="120" w:line="240" w:lineRule="auto"/>
        <w:ind w:left="1080" w:hanging="504"/>
        <w:rPr>
          <w:szCs w:val="24"/>
        </w:rPr>
      </w:pPr>
      <w:r w:rsidRPr="00D368BA">
        <w:rPr>
          <w:szCs w:val="24"/>
        </w:rPr>
        <w:t xml:space="preserve">Call scheduling procedures that are designed to call numbers at different times of the day (between 8 a.m. and 6 p.m.) and days of the week (Monday through Saturday) will be used to improve response rates. </w:t>
      </w:r>
    </w:p>
    <w:p w:rsidR="00FD1A79" w:rsidRPr="00D368BA" w:rsidP="00FD1A79" w14:paraId="4DBBCD76" w14:textId="23BB33EB">
      <w:pPr>
        <w:pStyle w:val="N1-1stBullet"/>
        <w:tabs>
          <w:tab w:val="num" w:pos="1080"/>
          <w:tab w:val="clear" w:pos="1152"/>
        </w:tabs>
        <w:spacing w:after="0" w:line="240" w:lineRule="auto"/>
        <w:ind w:left="1080" w:hanging="504"/>
        <w:rPr>
          <w:szCs w:val="24"/>
        </w:rPr>
      </w:pPr>
      <w:r w:rsidRPr="00D368BA">
        <w:rPr>
          <w:szCs w:val="24"/>
        </w:rPr>
        <w:t xml:space="preserve">A second mailed reminder will be sent to appellants who have not yet completed the survey after the first month of data collection. </w:t>
      </w:r>
      <w:r w:rsidRPr="00D368BA">
        <w:t xml:space="preserve">All letters will include </w:t>
      </w:r>
      <w:r w:rsidRPr="00D368BA">
        <w:rPr>
          <w:szCs w:val="24"/>
        </w:rPr>
        <w:t xml:space="preserve">official HHS OMHA letterhead signed by the Chief Administrative Law Judge to increase study </w:t>
      </w:r>
      <w:r>
        <w:rPr>
          <w:szCs w:val="24"/>
        </w:rPr>
        <w:t>credibility</w:t>
      </w:r>
      <w:r w:rsidRPr="00D368BA">
        <w:rPr>
          <w:szCs w:val="24"/>
        </w:rPr>
        <w:t>.</w:t>
      </w:r>
      <w:r w:rsidR="00F40A1E">
        <w:rPr>
          <w:szCs w:val="24"/>
        </w:rPr>
        <w:t xml:space="preserve"> The letter will also include a</w:t>
      </w:r>
      <w:r w:rsidR="00FC3307">
        <w:rPr>
          <w:szCs w:val="24"/>
        </w:rPr>
        <w:t xml:space="preserve"> paper survey and postage-paid return envelope.</w:t>
      </w:r>
    </w:p>
    <w:p w:rsidR="00FD1A79" w:rsidRPr="00D368BA" w:rsidP="00FD1A79" w14:paraId="38C6023B" w14:textId="77777777">
      <w:pPr>
        <w:pStyle w:val="N1-1stBullet"/>
        <w:numPr>
          <w:ilvl w:val="0"/>
          <w:numId w:val="0"/>
        </w:numPr>
        <w:ind w:left="1152" w:hanging="576"/>
        <w:rPr>
          <w:highlight w:val="yellow"/>
        </w:rPr>
      </w:pPr>
    </w:p>
    <w:p w:rsidR="00FD1A79" w:rsidRPr="00D368BA" w:rsidP="00FD1A79" w14:paraId="1F506D86" w14:textId="77777777">
      <w:pPr>
        <w:pStyle w:val="Heading2"/>
        <w:tabs>
          <w:tab w:val="left" w:pos="720"/>
          <w:tab w:val="clear" w:pos="1152"/>
        </w:tabs>
        <w:spacing w:line="240" w:lineRule="auto"/>
        <w:ind w:left="720" w:hanging="720"/>
        <w:rPr>
          <w:highlight w:val="yellow"/>
        </w:rPr>
      </w:pPr>
      <w:bookmarkStart w:id="11" w:name="_Toc282506045"/>
      <w:r w:rsidRPr="00D368BA">
        <w:rPr>
          <w:rFonts w:ascii="Times New Roman" w:hAnsi="Times New Roman"/>
          <w:color w:val="auto"/>
          <w:sz w:val="24"/>
          <w:szCs w:val="24"/>
        </w:rPr>
        <w:t>B.4</w:t>
      </w:r>
      <w:r w:rsidRPr="00D368BA">
        <w:rPr>
          <w:rFonts w:ascii="Times New Roman" w:hAnsi="Times New Roman"/>
          <w:color w:val="auto"/>
          <w:sz w:val="24"/>
          <w:szCs w:val="24"/>
        </w:rPr>
        <w:tab/>
      </w:r>
      <w:bookmarkEnd w:id="11"/>
      <w:r w:rsidRPr="00D368BA">
        <w:rPr>
          <w:rFonts w:ascii="Times New Roman" w:hAnsi="Times New Roman"/>
          <w:color w:val="auto"/>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DD1A14" w:rsidP="00FD1A79" w14:paraId="4027B7B7" w14:textId="77777777">
      <w:pPr>
        <w:spacing w:line="480" w:lineRule="auto"/>
        <w:ind w:firstLine="720"/>
      </w:pPr>
      <w:r w:rsidRPr="00D368BA">
        <w:t>The data collection instruments were reviewed for understandability (</w:t>
      </w:r>
      <w:r>
        <w:t xml:space="preserve">e.g., </w:t>
      </w:r>
      <w:r w:rsidRPr="00D368BA">
        <w:t>confusing wording or layout, question</w:t>
      </w:r>
      <w:r>
        <w:t>s that were difficult to comprehend or respond to</w:t>
      </w:r>
      <w:r w:rsidRPr="00D368BA">
        <w:t>) by a total of four OMHA stakeholders</w:t>
      </w:r>
      <w:bookmarkStart w:id="12" w:name="_Toc282506046"/>
      <w:bookmarkStart w:id="13" w:name="_Toc339621325"/>
      <w:r w:rsidRPr="00D368BA">
        <w:t>. Instruments were revised, as needed, to incorporate feedback provide</w:t>
      </w:r>
      <w:r w:rsidR="00914DFA">
        <w:t>d</w:t>
      </w:r>
      <w:r w:rsidRPr="00D368BA">
        <w:t xml:space="preserve"> by the OMHA stakeholders. </w:t>
      </w:r>
    </w:p>
    <w:p w:rsidR="00DD1A14" w:rsidRPr="00DD1A14" w:rsidP="00BD0003" w14:paraId="3446F1BC" w14:textId="59B35C95">
      <w:pPr>
        <w:pStyle w:val="Default"/>
        <w:spacing w:line="480" w:lineRule="auto"/>
        <w:ind w:firstLine="360"/>
        <w:rPr>
          <w:rFonts w:eastAsiaTheme="minorHAnsi"/>
          <w:iCs/>
        </w:rPr>
      </w:pPr>
      <w:r w:rsidRPr="00DD1A14">
        <w:rPr>
          <w:rFonts w:eastAsiaTheme="minorHAnsi"/>
          <w:iCs/>
        </w:rPr>
        <w:t xml:space="preserve">Survey instrument changes from the prior 3-year cycle include the following: </w:t>
      </w:r>
    </w:p>
    <w:p w:rsidR="00DD1A14" w:rsidRPr="00DD1A14" w:rsidP="00DD1A14" w14:paraId="20B481FB" w14:textId="77777777">
      <w:pPr>
        <w:pStyle w:val="ListParagraph"/>
        <w:numPr>
          <w:ilvl w:val="0"/>
          <w:numId w:val="4"/>
        </w:numPr>
        <w:spacing w:after="0" w:line="480" w:lineRule="auto"/>
        <w:rPr>
          <w:rFonts w:ascii="Times New Roman" w:eastAsia="Times New Roman" w:hAnsi="Times New Roman" w:cs="Times New Roman"/>
          <w:sz w:val="24"/>
          <w:szCs w:val="24"/>
        </w:rPr>
      </w:pPr>
      <w:r w:rsidRPr="00DD1A14">
        <w:rPr>
          <w:rFonts w:ascii="Times New Roman" w:hAnsi="Times New Roman" w:cs="Times New Roman"/>
          <w:sz w:val="24"/>
          <w:szCs w:val="24"/>
        </w:rPr>
        <w:t xml:space="preserve">Added a new section, “Request for Hearing.” The section focuses on how customers requested a hearing, </w:t>
      </w:r>
      <w:r w:rsidRPr="00DD1A14">
        <w:rPr>
          <w:rFonts w:ascii="Times New Roman" w:eastAsia="Times New Roman" w:hAnsi="Times New Roman" w:cs="Times New Roman"/>
          <w:sz w:val="24"/>
          <w:szCs w:val="24"/>
        </w:rPr>
        <w:t>how satisfied they were with the method they used to request a hearing</w:t>
      </w:r>
      <w:r w:rsidRPr="00DD1A14">
        <w:rPr>
          <w:rFonts w:ascii="Times New Roman" w:hAnsi="Times New Roman" w:cs="Times New Roman"/>
          <w:sz w:val="24"/>
          <w:szCs w:val="24"/>
        </w:rPr>
        <w:t xml:space="preserve">, and about the </w:t>
      </w:r>
      <w:r w:rsidRPr="00DD1A14">
        <w:rPr>
          <w:rFonts w:ascii="Times New Roman" w:eastAsia="Times New Roman" w:hAnsi="Times New Roman" w:cs="Times New Roman"/>
          <w:sz w:val="24"/>
          <w:szCs w:val="24"/>
        </w:rPr>
        <w:t xml:space="preserve">clarity of </w:t>
      </w:r>
      <w:r w:rsidRPr="00DD1A14">
        <w:rPr>
          <w:rFonts w:ascii="Times New Roman" w:hAnsi="Times New Roman" w:cs="Times New Roman"/>
          <w:sz w:val="24"/>
          <w:szCs w:val="24"/>
        </w:rPr>
        <w:t xml:space="preserve">form </w:t>
      </w:r>
      <w:r w:rsidRPr="00DD1A14">
        <w:rPr>
          <w:rFonts w:ascii="Times New Roman" w:eastAsia="Times New Roman" w:hAnsi="Times New Roman" w:cs="Times New Roman"/>
          <w:sz w:val="24"/>
          <w:szCs w:val="24"/>
        </w:rPr>
        <w:t>OMHA-100</w:t>
      </w:r>
      <w:r w:rsidRPr="00DD1A14">
        <w:rPr>
          <w:rFonts w:ascii="Times New Roman" w:hAnsi="Times New Roman" w:cs="Times New Roman"/>
          <w:sz w:val="24"/>
          <w:szCs w:val="24"/>
        </w:rPr>
        <w:t xml:space="preserve"> (Request for ALJ Hearing or Review of Dismissal)</w:t>
      </w:r>
      <w:r w:rsidRPr="00DD1A14">
        <w:rPr>
          <w:rFonts w:ascii="Times New Roman" w:eastAsia="Times New Roman" w:hAnsi="Times New Roman" w:cs="Times New Roman"/>
          <w:sz w:val="24"/>
          <w:szCs w:val="24"/>
        </w:rPr>
        <w:t>.</w:t>
      </w:r>
    </w:p>
    <w:p w:rsidR="00DD1A14" w:rsidRPr="00DD1A14" w:rsidP="00DD1A14" w14:paraId="47EB3501" w14:textId="77777777">
      <w:pPr>
        <w:pStyle w:val="ListParagraph"/>
        <w:widowControl w:val="0"/>
        <w:numPr>
          <w:ilvl w:val="0"/>
          <w:numId w:val="4"/>
        </w:numPr>
        <w:spacing w:after="0" w:line="480" w:lineRule="auto"/>
        <w:rPr>
          <w:rFonts w:ascii="Times New Roman" w:hAnsi="Times New Roman" w:cs="Times New Roman"/>
          <w:sz w:val="24"/>
          <w:szCs w:val="24"/>
        </w:rPr>
      </w:pPr>
      <w:r w:rsidRPr="00DD1A14">
        <w:rPr>
          <w:rFonts w:ascii="Times New Roman" w:hAnsi="Times New Roman" w:cs="Times New Roman"/>
          <w:sz w:val="24"/>
          <w:szCs w:val="24"/>
        </w:rPr>
        <w:t xml:space="preserve">Changed “Hard Copy, Internet and Phone Information” section to “Communications and Web Tools” section.  </w:t>
      </w:r>
    </w:p>
    <w:p w:rsidR="00DD1A14" w:rsidRPr="00DD1A14" w:rsidP="00DD1A14" w14:paraId="255D3165" w14:textId="77777777">
      <w:pPr>
        <w:numPr>
          <w:ilvl w:val="0"/>
          <w:numId w:val="4"/>
        </w:numPr>
        <w:spacing w:line="480" w:lineRule="auto"/>
        <w:rPr>
          <w:szCs w:val="24"/>
        </w:rPr>
      </w:pPr>
      <w:r w:rsidRPr="00DD1A14">
        <w:rPr>
          <w:szCs w:val="24"/>
        </w:rPr>
        <w:t xml:space="preserve">Added a brief statement about when customers should have received the “Notice of Nondiscrimination” document. </w:t>
      </w:r>
    </w:p>
    <w:p w:rsidR="00DD1A14" w:rsidRPr="00DD1A14" w:rsidP="00DD1A14" w14:paraId="033CB4DB" w14:textId="77777777">
      <w:pPr>
        <w:numPr>
          <w:ilvl w:val="0"/>
          <w:numId w:val="4"/>
        </w:numPr>
        <w:spacing w:line="480" w:lineRule="auto"/>
        <w:rPr>
          <w:szCs w:val="24"/>
        </w:rPr>
      </w:pPr>
      <w:r w:rsidRPr="00DD1A14">
        <w:rPr>
          <w:szCs w:val="24"/>
        </w:rPr>
        <w:t>Added two satisfaction questions for appellants who used the e-Appeal Portal—one about updates the portal provides on their appeal and another about using the portal for uploading documents electronically.</w:t>
      </w:r>
    </w:p>
    <w:p w:rsidR="00DD1A14" w:rsidRPr="00DD1A14" w:rsidP="00DD1A14" w14:paraId="4AF2DBC6" w14:textId="77777777">
      <w:pPr>
        <w:pStyle w:val="ListParagraph"/>
        <w:numPr>
          <w:ilvl w:val="0"/>
          <w:numId w:val="4"/>
        </w:numPr>
        <w:spacing w:after="0" w:line="480" w:lineRule="auto"/>
        <w:rPr>
          <w:rFonts w:ascii="Times New Roman" w:eastAsia="Times New Roman" w:hAnsi="Times New Roman" w:cs="Times New Roman"/>
          <w:sz w:val="24"/>
          <w:szCs w:val="24"/>
        </w:rPr>
      </w:pPr>
      <w:r w:rsidRPr="00DD1A14">
        <w:rPr>
          <w:rFonts w:ascii="Times New Roman" w:hAnsi="Times New Roman" w:cs="Times New Roman"/>
          <w:sz w:val="24"/>
          <w:szCs w:val="24"/>
        </w:rPr>
        <w:t xml:space="preserve">Changed “Telephone Hearing” section to “Hearing.” The appellant </w:t>
      </w:r>
      <w:r w:rsidRPr="00DD1A14">
        <w:rPr>
          <w:rFonts w:ascii="Times New Roman" w:eastAsia="Times New Roman" w:hAnsi="Times New Roman" w:cs="Times New Roman"/>
          <w:sz w:val="24"/>
          <w:szCs w:val="24"/>
        </w:rPr>
        <w:t xml:space="preserve">is asked what type of hearing they had </w:t>
      </w:r>
      <w:r w:rsidRPr="00DD1A14">
        <w:rPr>
          <w:rFonts w:ascii="Times New Roman" w:hAnsi="Times New Roman" w:cs="Times New Roman"/>
          <w:sz w:val="24"/>
          <w:szCs w:val="24"/>
        </w:rPr>
        <w:t xml:space="preserve">(telephone or video) </w:t>
      </w:r>
      <w:r w:rsidRPr="00DD1A14">
        <w:rPr>
          <w:rFonts w:ascii="Times New Roman" w:eastAsia="Times New Roman" w:hAnsi="Times New Roman" w:cs="Times New Roman"/>
          <w:sz w:val="24"/>
          <w:szCs w:val="24"/>
        </w:rPr>
        <w:t xml:space="preserve">and satisfaction </w:t>
      </w:r>
      <w:r w:rsidRPr="00DD1A14">
        <w:rPr>
          <w:rFonts w:ascii="Times New Roman" w:hAnsi="Times New Roman" w:cs="Times New Roman"/>
          <w:sz w:val="24"/>
          <w:szCs w:val="24"/>
        </w:rPr>
        <w:t xml:space="preserve">with using that </w:t>
      </w:r>
      <w:r w:rsidRPr="00DD1A14">
        <w:rPr>
          <w:rFonts w:ascii="Times New Roman" w:eastAsia="Times New Roman" w:hAnsi="Times New Roman" w:cs="Times New Roman"/>
          <w:sz w:val="24"/>
          <w:szCs w:val="24"/>
        </w:rPr>
        <w:t>method.</w:t>
      </w:r>
      <w:r w:rsidRPr="00DD1A14">
        <w:rPr>
          <w:rFonts w:ascii="Times New Roman" w:hAnsi="Times New Roman" w:cs="Times New Roman"/>
          <w:sz w:val="24"/>
          <w:szCs w:val="24"/>
        </w:rPr>
        <w:t xml:space="preserve"> If they attended a telephone hearing, appellants </w:t>
      </w:r>
      <w:r w:rsidRPr="00DD1A14">
        <w:rPr>
          <w:rFonts w:ascii="Times New Roman" w:eastAsia="Times New Roman" w:hAnsi="Times New Roman" w:cs="Times New Roman"/>
          <w:sz w:val="24"/>
          <w:szCs w:val="24"/>
        </w:rPr>
        <w:t xml:space="preserve">will be asked whether they were offered the option of a </w:t>
      </w:r>
      <w:r w:rsidRPr="00DD1A14">
        <w:rPr>
          <w:rFonts w:ascii="Times New Roman" w:hAnsi="Times New Roman" w:cs="Times New Roman"/>
          <w:sz w:val="24"/>
          <w:szCs w:val="24"/>
        </w:rPr>
        <w:t xml:space="preserve">video </w:t>
      </w:r>
      <w:r w:rsidRPr="00DD1A14">
        <w:rPr>
          <w:rFonts w:ascii="Times New Roman" w:eastAsia="Times New Roman" w:hAnsi="Times New Roman" w:cs="Times New Roman"/>
          <w:sz w:val="24"/>
          <w:szCs w:val="24"/>
        </w:rPr>
        <w:t>hearing</w:t>
      </w:r>
      <w:r w:rsidRPr="00DD1A14">
        <w:rPr>
          <w:rFonts w:ascii="Times New Roman" w:hAnsi="Times New Roman" w:cs="Times New Roman"/>
          <w:sz w:val="24"/>
          <w:szCs w:val="24"/>
        </w:rPr>
        <w:t xml:space="preserve">; if not, </w:t>
      </w:r>
      <w:r w:rsidRPr="00DD1A14">
        <w:rPr>
          <w:rFonts w:ascii="Times New Roman" w:eastAsia="Times New Roman" w:hAnsi="Times New Roman" w:cs="Times New Roman"/>
          <w:sz w:val="24"/>
          <w:szCs w:val="24"/>
        </w:rPr>
        <w:t xml:space="preserve">they will be asked if they would have participated in a </w:t>
      </w:r>
      <w:r w:rsidRPr="00DD1A14">
        <w:rPr>
          <w:rFonts w:ascii="Times New Roman" w:hAnsi="Times New Roman" w:cs="Times New Roman"/>
          <w:sz w:val="24"/>
          <w:szCs w:val="24"/>
        </w:rPr>
        <w:t xml:space="preserve">video </w:t>
      </w:r>
      <w:r w:rsidRPr="00DD1A14">
        <w:rPr>
          <w:rFonts w:ascii="Times New Roman" w:eastAsia="Times New Roman" w:hAnsi="Times New Roman" w:cs="Times New Roman"/>
          <w:sz w:val="24"/>
          <w:szCs w:val="24"/>
        </w:rPr>
        <w:t>hearing if offered.</w:t>
      </w:r>
    </w:p>
    <w:p w:rsidR="00FD1A79" w:rsidRPr="00D368BA" w:rsidP="00FD1A79" w14:paraId="6B866A38" w14:textId="6D5B0B95">
      <w:pPr>
        <w:spacing w:line="480" w:lineRule="auto"/>
        <w:ind w:firstLine="720"/>
        <w:rPr>
          <w:sz w:val="22"/>
        </w:rPr>
      </w:pPr>
      <w:r w:rsidRPr="00D368BA">
        <w:t xml:space="preserve">All data collection materials are reviewed by OMHA staff prior to the start of data collection </w:t>
      </w:r>
      <w:r w:rsidRPr="00D368BA">
        <w:t>in an effort to</w:t>
      </w:r>
      <w:r w:rsidRPr="00D368BA">
        <w:t xml:space="preserve"> minimize respondent burden and improve utility. This study is a continuation of p</w:t>
      </w:r>
      <w:r>
        <w:t>re</w:t>
      </w:r>
      <w:r w:rsidRPr="00D368BA">
        <w:t>vious data collection and utilizes previously tested instruments</w:t>
      </w:r>
      <w:r w:rsidR="0071027D">
        <w:t xml:space="preserve"> </w:t>
      </w:r>
      <w:r w:rsidR="009F3DC3">
        <w:t>w</w:t>
      </w:r>
      <w:r w:rsidR="00156049">
        <w:t>ith some added measures</w:t>
      </w:r>
      <w:r w:rsidRPr="00D368BA">
        <w:t xml:space="preserve">. </w:t>
      </w:r>
    </w:p>
    <w:p w:rsidR="0077551D" w14:paraId="23B78C5E" w14:textId="77777777">
      <w:pPr>
        <w:spacing w:after="160" w:line="259" w:lineRule="auto"/>
        <w:rPr>
          <w:b/>
          <w:szCs w:val="24"/>
        </w:rPr>
      </w:pPr>
      <w:r>
        <w:rPr>
          <w:szCs w:val="24"/>
        </w:rPr>
        <w:br w:type="page"/>
      </w:r>
    </w:p>
    <w:p w:rsidR="00FD1A79" w:rsidRPr="00D368BA" w:rsidP="00FD1A79" w14:paraId="1EA5DD8F" w14:textId="0EB72949">
      <w:pPr>
        <w:pStyle w:val="Heading2"/>
        <w:tabs>
          <w:tab w:val="clear" w:pos="1152"/>
        </w:tabs>
        <w:spacing w:line="240" w:lineRule="auto"/>
        <w:ind w:left="720" w:hanging="720"/>
        <w:rPr>
          <w:rFonts w:ascii="Times New Roman" w:hAnsi="Times New Roman"/>
          <w:color w:val="auto"/>
          <w:sz w:val="24"/>
          <w:szCs w:val="24"/>
        </w:rPr>
      </w:pPr>
      <w:r w:rsidRPr="00D368BA">
        <w:rPr>
          <w:rFonts w:ascii="Times New Roman" w:hAnsi="Times New Roman"/>
          <w:color w:val="auto"/>
          <w:sz w:val="24"/>
          <w:szCs w:val="24"/>
        </w:rPr>
        <w:t>B.5</w:t>
      </w:r>
      <w:r w:rsidRPr="00D368BA">
        <w:rPr>
          <w:rFonts w:ascii="Times New Roman" w:hAnsi="Times New Roman"/>
          <w:color w:val="auto"/>
          <w:sz w:val="24"/>
          <w:szCs w:val="24"/>
        </w:rPr>
        <w:tab/>
      </w:r>
      <w:bookmarkEnd w:id="12"/>
      <w:r w:rsidRPr="00D368BA">
        <w:rPr>
          <w:rFonts w:ascii="Times New Roman" w:hAnsi="Times New Roman"/>
          <w:color w:val="auto"/>
          <w:sz w:val="24"/>
          <w:szCs w:val="24"/>
        </w:rPr>
        <w:t xml:space="preserve">Provide the name and telephone number of individuals consulted on statistical aspects of the design and the name of the agency unit, contractor(s), grantee(s), or other person(s) who will </w:t>
      </w:r>
      <w:r w:rsidRPr="00D368BA">
        <w:rPr>
          <w:rFonts w:ascii="Times New Roman" w:hAnsi="Times New Roman"/>
          <w:color w:val="auto"/>
          <w:sz w:val="24"/>
          <w:szCs w:val="24"/>
        </w:rPr>
        <w:t>actually collect</w:t>
      </w:r>
      <w:r w:rsidRPr="00D368BA">
        <w:rPr>
          <w:rFonts w:ascii="Times New Roman" w:hAnsi="Times New Roman"/>
          <w:color w:val="auto"/>
          <w:sz w:val="24"/>
          <w:szCs w:val="24"/>
        </w:rPr>
        <w:t xml:space="preserve"> and/or analyze the information for the agency.</w:t>
      </w:r>
      <w:bookmarkEnd w:id="13"/>
    </w:p>
    <w:p w:rsidR="00FD1A79" w:rsidRPr="00D368BA" w:rsidP="00130704" w14:paraId="6EC129C9" w14:textId="778B3827">
      <w:pPr>
        <w:spacing w:line="480" w:lineRule="auto"/>
        <w:ind w:firstLine="720"/>
        <w:rPr>
          <w:rFonts w:eastAsiaTheme="minorHAnsi"/>
          <w:szCs w:val="24"/>
        </w:rPr>
      </w:pPr>
      <w:r w:rsidRPr="00D368BA">
        <w:t>The Contractor, 2M Research, will conduct the Appellant Climate Survey in 20</w:t>
      </w:r>
      <w:r w:rsidR="0050214E">
        <w:t>2</w:t>
      </w:r>
      <w:r w:rsidR="00B86813">
        <w:t>4</w:t>
      </w:r>
      <w:r w:rsidRPr="00D368BA">
        <w:t>. The contact information provided below may change depending on the Contractor selected to administer the survey in 20</w:t>
      </w:r>
      <w:r w:rsidR="0050214E">
        <w:t>2</w:t>
      </w:r>
      <w:r w:rsidR="004F1BCB">
        <w:t>5</w:t>
      </w:r>
      <w:r w:rsidRPr="00D368BA">
        <w:t xml:space="preserve"> and 202</w:t>
      </w:r>
      <w:r w:rsidR="004F1BCB">
        <w:t>6</w:t>
      </w:r>
      <w:r w:rsidRPr="00D368BA">
        <w:t xml:space="preserve">. See Table B3 for current study contact information. </w:t>
      </w:r>
      <w:r w:rsidRPr="00D368BA">
        <w:rPr>
          <w:rStyle w:val="TableHeaderRowChar"/>
          <w:szCs w:val="24"/>
        </w:rPr>
        <w:br/>
      </w:r>
      <w:r w:rsidRPr="00D368BA">
        <w:rPr>
          <w:rStyle w:val="TableHeaderRowChar"/>
        </w:rPr>
        <w:t>Table B3. Contact Information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1"/>
        <w:gridCol w:w="2428"/>
        <w:gridCol w:w="1743"/>
        <w:gridCol w:w="3183"/>
      </w:tblGrid>
      <w:tr w14:paraId="10B94C7A" w14:textId="77777777" w:rsidTr="00815D09">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11" w:type="dxa"/>
            <w:shd w:val="clear" w:color="auto" w:fill="AFBED7"/>
            <w:vAlign w:val="bottom"/>
          </w:tcPr>
          <w:p w:rsidR="00FD1A79" w:rsidRPr="007D09BA" w:rsidP="00982A62" w14:paraId="036CEDE6" w14:textId="77777777">
            <w:pPr>
              <w:pStyle w:val="TH-TableHeading"/>
              <w:rPr>
                <w:rFonts w:ascii="Times New Roman" w:hAnsi="Times New Roman"/>
                <w:sz w:val="22"/>
                <w:szCs w:val="22"/>
              </w:rPr>
            </w:pPr>
            <w:bookmarkStart w:id="14" w:name="_Toc339621326"/>
            <w:r w:rsidRPr="007D09BA">
              <w:rPr>
                <w:rFonts w:ascii="Times New Roman" w:hAnsi="Times New Roman"/>
                <w:sz w:val="22"/>
                <w:szCs w:val="22"/>
              </w:rPr>
              <w:t>Name</w:t>
            </w:r>
            <w:bookmarkEnd w:id="14"/>
          </w:p>
        </w:tc>
        <w:tc>
          <w:tcPr>
            <w:tcW w:w="2428" w:type="dxa"/>
            <w:shd w:val="clear" w:color="auto" w:fill="AFBED7"/>
            <w:vAlign w:val="bottom"/>
          </w:tcPr>
          <w:p w:rsidR="00FD1A79" w:rsidRPr="007D09BA" w:rsidP="00982A62" w14:paraId="04EF36FF" w14:textId="77777777">
            <w:pPr>
              <w:pStyle w:val="TH-TableHeading"/>
              <w:rPr>
                <w:rFonts w:ascii="Times New Roman" w:hAnsi="Times New Roman"/>
                <w:sz w:val="22"/>
                <w:szCs w:val="22"/>
              </w:rPr>
            </w:pPr>
            <w:bookmarkStart w:id="15" w:name="_Toc339621327"/>
            <w:r w:rsidRPr="007D09BA">
              <w:rPr>
                <w:rFonts w:ascii="Times New Roman" w:hAnsi="Times New Roman"/>
                <w:sz w:val="22"/>
                <w:szCs w:val="22"/>
              </w:rPr>
              <w:t>Affiliation</w:t>
            </w:r>
            <w:bookmarkEnd w:id="15"/>
          </w:p>
        </w:tc>
        <w:tc>
          <w:tcPr>
            <w:tcW w:w="1743" w:type="dxa"/>
            <w:shd w:val="clear" w:color="auto" w:fill="AFBED7"/>
            <w:vAlign w:val="bottom"/>
          </w:tcPr>
          <w:p w:rsidR="00FD1A79" w:rsidRPr="007D09BA" w:rsidP="00982A62" w14:paraId="681D8F14" w14:textId="77777777">
            <w:pPr>
              <w:pStyle w:val="TH-TableHeading"/>
              <w:rPr>
                <w:rFonts w:ascii="Times New Roman" w:hAnsi="Times New Roman"/>
                <w:sz w:val="22"/>
                <w:szCs w:val="22"/>
              </w:rPr>
            </w:pPr>
            <w:bookmarkStart w:id="16" w:name="_Toc339621328"/>
            <w:r w:rsidRPr="007D09BA">
              <w:rPr>
                <w:rFonts w:ascii="Times New Roman" w:hAnsi="Times New Roman"/>
                <w:sz w:val="22"/>
                <w:szCs w:val="22"/>
              </w:rPr>
              <w:t>Telephone Number</w:t>
            </w:r>
            <w:bookmarkEnd w:id="16"/>
          </w:p>
        </w:tc>
        <w:tc>
          <w:tcPr>
            <w:tcW w:w="3183" w:type="dxa"/>
            <w:shd w:val="clear" w:color="auto" w:fill="AFBED7"/>
            <w:vAlign w:val="bottom"/>
          </w:tcPr>
          <w:p w:rsidR="00FD1A79" w:rsidRPr="007D09BA" w:rsidP="00982A62" w14:paraId="5106E62E" w14:textId="77777777">
            <w:pPr>
              <w:pStyle w:val="TH-TableHeading"/>
              <w:rPr>
                <w:rFonts w:ascii="Times New Roman" w:hAnsi="Times New Roman"/>
                <w:sz w:val="22"/>
                <w:szCs w:val="22"/>
              </w:rPr>
            </w:pPr>
            <w:bookmarkStart w:id="17" w:name="_Toc339621329"/>
            <w:r w:rsidRPr="007D09BA">
              <w:rPr>
                <w:rFonts w:ascii="Times New Roman" w:hAnsi="Times New Roman"/>
                <w:sz w:val="22"/>
                <w:szCs w:val="22"/>
              </w:rPr>
              <w:t>E-mail</w:t>
            </w:r>
            <w:bookmarkEnd w:id="17"/>
          </w:p>
        </w:tc>
      </w:tr>
      <w:tr w14:paraId="024A51DD" w14:textId="77777777" w:rsidTr="00815D09">
        <w:tblPrEx>
          <w:tblW w:w="9265" w:type="dxa"/>
          <w:tblLook w:val="01E0"/>
        </w:tblPrEx>
        <w:tc>
          <w:tcPr>
            <w:tcW w:w="1911" w:type="dxa"/>
          </w:tcPr>
          <w:p w:rsidR="00FD1A79" w:rsidRPr="007D09BA" w:rsidP="00982A62" w14:paraId="2FB7AF06" w14:textId="77777777">
            <w:pPr>
              <w:pStyle w:val="TX-TableText"/>
              <w:spacing w:before="60" w:after="60"/>
              <w:rPr>
                <w:rFonts w:ascii="Times New Roman" w:hAnsi="Times New Roman"/>
                <w:sz w:val="22"/>
                <w:szCs w:val="22"/>
              </w:rPr>
            </w:pPr>
            <w:r w:rsidRPr="007D09BA">
              <w:rPr>
                <w:rFonts w:ascii="Times New Roman" w:hAnsi="Times New Roman"/>
                <w:sz w:val="22"/>
                <w:szCs w:val="22"/>
              </w:rPr>
              <w:t>Renée A. Johnson</w:t>
            </w:r>
          </w:p>
          <w:p w:rsidR="00FD1A79" w:rsidRPr="007D09BA" w:rsidP="00982A62" w14:paraId="34C256B1" w14:textId="77777777">
            <w:pPr>
              <w:pStyle w:val="TX-TableText"/>
              <w:spacing w:before="60" w:after="60"/>
              <w:rPr>
                <w:rFonts w:ascii="Times New Roman" w:hAnsi="Times New Roman"/>
                <w:sz w:val="22"/>
                <w:szCs w:val="22"/>
              </w:rPr>
            </w:pPr>
          </w:p>
        </w:tc>
        <w:tc>
          <w:tcPr>
            <w:tcW w:w="2428" w:type="dxa"/>
          </w:tcPr>
          <w:p w:rsidR="00FD1A79" w:rsidRPr="007D09BA" w:rsidP="00982A62" w14:paraId="1E849227" w14:textId="77777777">
            <w:pPr>
              <w:pStyle w:val="TX-TableText"/>
              <w:spacing w:before="60" w:after="60"/>
              <w:rPr>
                <w:rFonts w:ascii="Times New Roman" w:hAnsi="Times New Roman"/>
                <w:sz w:val="22"/>
                <w:szCs w:val="22"/>
              </w:rPr>
            </w:pPr>
            <w:r w:rsidRPr="007D09BA">
              <w:rPr>
                <w:rFonts w:ascii="Times New Roman" w:hAnsi="Times New Roman"/>
                <w:sz w:val="22"/>
                <w:szCs w:val="22"/>
              </w:rPr>
              <w:t>HHS OMHA</w:t>
            </w:r>
          </w:p>
        </w:tc>
        <w:tc>
          <w:tcPr>
            <w:tcW w:w="1743" w:type="dxa"/>
          </w:tcPr>
          <w:p w:rsidR="00FD1A79" w:rsidRPr="007D09BA" w:rsidP="00982A62" w14:paraId="5EE7B171" w14:textId="77777777">
            <w:pPr>
              <w:pStyle w:val="TX-TableText"/>
              <w:spacing w:before="60" w:after="60"/>
              <w:rPr>
                <w:rFonts w:ascii="Times New Roman" w:hAnsi="Times New Roman"/>
                <w:sz w:val="22"/>
                <w:szCs w:val="22"/>
              </w:rPr>
            </w:pPr>
            <w:r w:rsidRPr="007D09BA">
              <w:rPr>
                <w:rFonts w:ascii="Times New Roman" w:hAnsi="Times New Roman"/>
                <w:sz w:val="22"/>
                <w:szCs w:val="22"/>
              </w:rPr>
              <w:t>(571) 777-2741</w:t>
            </w:r>
          </w:p>
        </w:tc>
        <w:tc>
          <w:tcPr>
            <w:tcW w:w="3183" w:type="dxa"/>
          </w:tcPr>
          <w:p w:rsidR="00FD1A79" w:rsidRPr="007D09BA" w:rsidP="00982A62" w14:paraId="798F1CA1" w14:textId="77777777">
            <w:pPr>
              <w:pStyle w:val="TX-TableText"/>
              <w:spacing w:before="60" w:after="60"/>
              <w:rPr>
                <w:rFonts w:ascii="Times New Roman" w:hAnsi="Times New Roman"/>
                <w:sz w:val="22"/>
                <w:szCs w:val="22"/>
              </w:rPr>
            </w:pPr>
            <w:r w:rsidRPr="007D09BA">
              <w:rPr>
                <w:rFonts w:ascii="Times New Roman" w:hAnsi="Times New Roman"/>
                <w:sz w:val="22"/>
                <w:szCs w:val="22"/>
              </w:rPr>
              <w:t>renee.johnson@hhs.gov</w:t>
            </w:r>
          </w:p>
        </w:tc>
      </w:tr>
      <w:tr w14:paraId="4E0C5FBC" w14:textId="77777777" w:rsidTr="00815D09">
        <w:tblPrEx>
          <w:tblW w:w="9265" w:type="dxa"/>
          <w:tblLook w:val="01E0"/>
        </w:tblPrEx>
        <w:tc>
          <w:tcPr>
            <w:tcW w:w="1911" w:type="dxa"/>
          </w:tcPr>
          <w:p w:rsidR="00FD1A79" w:rsidRPr="007D09BA" w:rsidP="00982A62" w14:paraId="78334B0C" w14:textId="36124C26">
            <w:pPr>
              <w:pStyle w:val="TX-TableText"/>
              <w:spacing w:before="60" w:after="60"/>
              <w:rPr>
                <w:rFonts w:ascii="Times New Roman" w:hAnsi="Times New Roman"/>
                <w:sz w:val="22"/>
                <w:szCs w:val="22"/>
              </w:rPr>
            </w:pPr>
            <w:r>
              <w:rPr>
                <w:rFonts w:ascii="Times New Roman" w:hAnsi="Times New Roman"/>
                <w:sz w:val="22"/>
                <w:szCs w:val="22"/>
              </w:rPr>
              <w:t>Jessica Izzo</w:t>
            </w:r>
          </w:p>
        </w:tc>
        <w:tc>
          <w:tcPr>
            <w:tcW w:w="2428" w:type="dxa"/>
          </w:tcPr>
          <w:p w:rsidR="00FD1A79" w:rsidRPr="007D09BA" w:rsidP="00982A62" w14:paraId="62D2FB4E" w14:textId="77777777">
            <w:pPr>
              <w:pStyle w:val="TX-TableText"/>
              <w:spacing w:before="60" w:after="60"/>
              <w:rPr>
                <w:rFonts w:ascii="Times New Roman" w:hAnsi="Times New Roman"/>
                <w:sz w:val="22"/>
                <w:szCs w:val="22"/>
              </w:rPr>
            </w:pPr>
            <w:r w:rsidRPr="007D09BA">
              <w:rPr>
                <w:rFonts w:ascii="Times New Roman" w:hAnsi="Times New Roman"/>
                <w:sz w:val="22"/>
                <w:szCs w:val="22"/>
              </w:rPr>
              <w:t>HHS OMHA</w:t>
            </w:r>
          </w:p>
        </w:tc>
        <w:tc>
          <w:tcPr>
            <w:tcW w:w="1743" w:type="dxa"/>
          </w:tcPr>
          <w:p w:rsidR="00FD1A79" w:rsidRPr="007D09BA" w:rsidP="00982A62" w14:paraId="52FFB820" w14:textId="2483F857">
            <w:pPr>
              <w:pStyle w:val="TX-TableText"/>
              <w:spacing w:before="60" w:after="60"/>
              <w:rPr>
                <w:rFonts w:ascii="Times New Roman" w:hAnsi="Times New Roman"/>
                <w:sz w:val="22"/>
                <w:szCs w:val="22"/>
              </w:rPr>
            </w:pPr>
            <w:r w:rsidRPr="00D83C46">
              <w:rPr>
                <w:rFonts w:ascii="Times New Roman" w:hAnsi="Times New Roman"/>
                <w:sz w:val="22"/>
                <w:szCs w:val="22"/>
              </w:rPr>
              <w:t>(571) 777-2761</w:t>
            </w:r>
          </w:p>
        </w:tc>
        <w:tc>
          <w:tcPr>
            <w:tcW w:w="3183" w:type="dxa"/>
          </w:tcPr>
          <w:p w:rsidR="00FD1A79" w:rsidRPr="007D09BA" w:rsidP="00982A62" w14:paraId="374786D5" w14:textId="201B5808">
            <w:pPr>
              <w:pStyle w:val="TX-TableText"/>
              <w:spacing w:before="60" w:after="60"/>
              <w:rPr>
                <w:rFonts w:ascii="Times New Roman" w:hAnsi="Times New Roman"/>
                <w:sz w:val="22"/>
                <w:szCs w:val="22"/>
              </w:rPr>
            </w:pPr>
            <w:r w:rsidRPr="00644C18">
              <w:rPr>
                <w:rFonts w:ascii="Times New Roman" w:hAnsi="Times New Roman"/>
                <w:sz w:val="22"/>
                <w:szCs w:val="22"/>
              </w:rPr>
              <w:t>Jessica.Izzo@hhs.gov</w:t>
            </w:r>
          </w:p>
        </w:tc>
      </w:tr>
      <w:tr w14:paraId="43B3CC2D" w14:textId="77777777" w:rsidTr="00815D09">
        <w:tblPrEx>
          <w:tblW w:w="9265" w:type="dxa"/>
          <w:tblLook w:val="01E0"/>
        </w:tblPrEx>
        <w:tc>
          <w:tcPr>
            <w:tcW w:w="1911" w:type="dxa"/>
          </w:tcPr>
          <w:p w:rsidR="00FD1A79" w:rsidRPr="007D09BA" w:rsidP="00982A62" w14:paraId="4BC19EA4" w14:textId="77777777">
            <w:pPr>
              <w:pStyle w:val="TX-TableText"/>
              <w:spacing w:before="60" w:after="60"/>
              <w:rPr>
                <w:rFonts w:ascii="Times New Roman" w:hAnsi="Times New Roman"/>
                <w:sz w:val="22"/>
                <w:szCs w:val="22"/>
              </w:rPr>
            </w:pPr>
            <w:r w:rsidRPr="007D09BA">
              <w:rPr>
                <w:rFonts w:ascii="Times New Roman" w:hAnsi="Times New Roman"/>
                <w:sz w:val="22"/>
                <w:szCs w:val="22"/>
              </w:rPr>
              <w:t>Paul Ruggiere</w:t>
            </w:r>
          </w:p>
        </w:tc>
        <w:tc>
          <w:tcPr>
            <w:tcW w:w="2428" w:type="dxa"/>
          </w:tcPr>
          <w:p w:rsidR="00FD1A79" w:rsidRPr="007D09BA" w:rsidP="00982A62" w14:paraId="5DEFD045" w14:textId="77777777">
            <w:pPr>
              <w:pStyle w:val="TX-TableText"/>
              <w:spacing w:before="60" w:after="60"/>
              <w:rPr>
                <w:rFonts w:ascii="Times New Roman" w:hAnsi="Times New Roman"/>
                <w:sz w:val="22"/>
                <w:szCs w:val="22"/>
              </w:rPr>
            </w:pPr>
            <w:r w:rsidRPr="007D09BA">
              <w:rPr>
                <w:rFonts w:ascii="Times New Roman" w:hAnsi="Times New Roman"/>
                <w:sz w:val="22"/>
                <w:szCs w:val="22"/>
              </w:rPr>
              <w:t>Project Manager,</w:t>
            </w:r>
            <w:r w:rsidRPr="007D09BA">
              <w:rPr>
                <w:rFonts w:ascii="Times New Roman" w:hAnsi="Times New Roman"/>
                <w:sz w:val="22"/>
                <w:szCs w:val="22"/>
              </w:rPr>
              <w:br/>
              <w:t xml:space="preserve">2M Research </w:t>
            </w:r>
          </w:p>
        </w:tc>
        <w:tc>
          <w:tcPr>
            <w:tcW w:w="1743" w:type="dxa"/>
          </w:tcPr>
          <w:p w:rsidR="00FD1A79" w:rsidRPr="007D09BA" w:rsidP="00982A62" w14:paraId="5415C6F9" w14:textId="77777777">
            <w:pPr>
              <w:pStyle w:val="TX-TableText"/>
              <w:spacing w:before="60" w:after="60"/>
              <w:rPr>
                <w:rFonts w:ascii="Times New Roman" w:hAnsi="Times New Roman"/>
                <w:sz w:val="22"/>
                <w:szCs w:val="22"/>
                <w:highlight w:val="yellow"/>
              </w:rPr>
            </w:pPr>
            <w:r w:rsidRPr="007D09BA">
              <w:rPr>
                <w:rFonts w:ascii="Times New Roman" w:hAnsi="Times New Roman"/>
                <w:sz w:val="22"/>
                <w:szCs w:val="22"/>
              </w:rPr>
              <w:t>(817) 856-0871</w:t>
            </w:r>
          </w:p>
        </w:tc>
        <w:tc>
          <w:tcPr>
            <w:tcW w:w="3183" w:type="dxa"/>
          </w:tcPr>
          <w:p w:rsidR="00FD1A79" w:rsidRPr="007D09BA" w:rsidP="00982A62" w14:paraId="627F2B7A" w14:textId="77777777">
            <w:pPr>
              <w:pStyle w:val="TX-TableText"/>
              <w:spacing w:before="60" w:after="60"/>
              <w:rPr>
                <w:rFonts w:ascii="Times New Roman" w:hAnsi="Times New Roman"/>
                <w:sz w:val="22"/>
                <w:szCs w:val="22"/>
                <w:highlight w:val="yellow"/>
              </w:rPr>
            </w:pPr>
            <w:r w:rsidRPr="007D09BA">
              <w:rPr>
                <w:rFonts w:ascii="Times New Roman" w:hAnsi="Times New Roman"/>
                <w:sz w:val="22"/>
                <w:szCs w:val="22"/>
              </w:rPr>
              <w:t>pruggiere@2mresearch.com</w:t>
            </w:r>
          </w:p>
        </w:tc>
      </w:tr>
      <w:tr w14:paraId="74D09657" w14:textId="77777777" w:rsidTr="00815D09">
        <w:tblPrEx>
          <w:tblW w:w="9265" w:type="dxa"/>
          <w:tblLook w:val="01E0"/>
        </w:tblPrEx>
        <w:tc>
          <w:tcPr>
            <w:tcW w:w="1911" w:type="dxa"/>
          </w:tcPr>
          <w:p w:rsidR="00302F7A" w:rsidRPr="007D09BA" w:rsidP="00982A62" w14:paraId="3310FF32" w14:textId="473A8EF8">
            <w:pPr>
              <w:pStyle w:val="TX-TableText"/>
              <w:spacing w:before="60" w:after="60"/>
              <w:rPr>
                <w:rFonts w:ascii="Times New Roman" w:hAnsi="Times New Roman"/>
                <w:sz w:val="22"/>
                <w:szCs w:val="22"/>
              </w:rPr>
            </w:pPr>
            <w:r>
              <w:rPr>
                <w:rFonts w:ascii="Times New Roman" w:hAnsi="Times New Roman"/>
                <w:sz w:val="22"/>
                <w:szCs w:val="22"/>
              </w:rPr>
              <w:t>Neel Chakraborti</w:t>
            </w:r>
          </w:p>
        </w:tc>
        <w:tc>
          <w:tcPr>
            <w:tcW w:w="2428" w:type="dxa"/>
          </w:tcPr>
          <w:p w:rsidR="00302F7A" w:rsidRPr="007D09BA" w:rsidP="003462E7" w14:paraId="2E1AF383" w14:textId="5031CFFF">
            <w:pPr>
              <w:pStyle w:val="TX-TableText"/>
              <w:tabs>
                <w:tab w:val="left" w:pos="480"/>
              </w:tabs>
              <w:spacing w:before="60" w:after="60"/>
              <w:rPr>
                <w:rFonts w:ascii="Times New Roman" w:hAnsi="Times New Roman"/>
                <w:sz w:val="22"/>
                <w:szCs w:val="22"/>
              </w:rPr>
            </w:pPr>
            <w:r>
              <w:rPr>
                <w:rFonts w:ascii="Times New Roman" w:hAnsi="Times New Roman"/>
                <w:sz w:val="22"/>
                <w:szCs w:val="22"/>
              </w:rPr>
              <w:t>Corporate Officer in Charge, 2M Research</w:t>
            </w:r>
          </w:p>
        </w:tc>
        <w:tc>
          <w:tcPr>
            <w:tcW w:w="1743" w:type="dxa"/>
          </w:tcPr>
          <w:p w:rsidR="00302F7A" w:rsidRPr="007D09BA" w:rsidP="00982A62" w14:paraId="5AFCB3F7" w14:textId="219DADA4">
            <w:pPr>
              <w:pStyle w:val="TX-TableText"/>
              <w:spacing w:before="60" w:after="60"/>
              <w:rPr>
                <w:rFonts w:ascii="Times New Roman" w:hAnsi="Times New Roman"/>
                <w:sz w:val="22"/>
                <w:szCs w:val="22"/>
              </w:rPr>
            </w:pPr>
            <w:r>
              <w:rPr>
                <w:rFonts w:ascii="Times New Roman" w:hAnsi="Times New Roman"/>
                <w:sz w:val="22"/>
                <w:szCs w:val="22"/>
              </w:rPr>
              <w:t>(</w:t>
            </w:r>
            <w:r w:rsidR="00EE2A2B">
              <w:rPr>
                <w:rFonts w:ascii="Times New Roman" w:hAnsi="Times New Roman"/>
                <w:sz w:val="22"/>
                <w:szCs w:val="22"/>
              </w:rPr>
              <w:t>703) 214</w:t>
            </w:r>
            <w:r w:rsidR="00B40E74">
              <w:rPr>
                <w:rFonts w:ascii="Times New Roman" w:hAnsi="Times New Roman"/>
                <w:sz w:val="22"/>
                <w:szCs w:val="22"/>
              </w:rPr>
              <w:t>-</w:t>
            </w:r>
            <w:r w:rsidR="009C6F10">
              <w:rPr>
                <w:rFonts w:ascii="Times New Roman" w:hAnsi="Times New Roman"/>
                <w:sz w:val="22"/>
                <w:szCs w:val="22"/>
              </w:rPr>
              <w:t>1429</w:t>
            </w:r>
          </w:p>
        </w:tc>
        <w:tc>
          <w:tcPr>
            <w:tcW w:w="3183" w:type="dxa"/>
          </w:tcPr>
          <w:p w:rsidR="00302F7A" w:rsidRPr="007D09BA" w:rsidP="00982A62" w14:paraId="2B910098" w14:textId="0F85CF00">
            <w:pPr>
              <w:pStyle w:val="TX-TableText"/>
              <w:spacing w:before="60" w:after="60"/>
              <w:rPr>
                <w:rFonts w:ascii="Times New Roman" w:hAnsi="Times New Roman"/>
                <w:sz w:val="22"/>
                <w:szCs w:val="22"/>
              </w:rPr>
            </w:pPr>
            <w:r>
              <w:rPr>
                <w:rFonts w:ascii="Times New Roman" w:hAnsi="Times New Roman"/>
                <w:sz w:val="22"/>
                <w:szCs w:val="22"/>
              </w:rPr>
              <w:t>nchakraborti@</w:t>
            </w:r>
            <w:r w:rsidR="00F442EE">
              <w:rPr>
                <w:rFonts w:ascii="Times New Roman" w:hAnsi="Times New Roman"/>
                <w:sz w:val="22"/>
                <w:szCs w:val="22"/>
              </w:rPr>
              <w:t>2mresearch.com</w:t>
            </w:r>
          </w:p>
        </w:tc>
      </w:tr>
    </w:tbl>
    <w:p w:rsidR="00FD1A79" w:rsidRPr="00D368BA" w:rsidP="00FD1A79" w14:paraId="069D23CF" w14:textId="77777777">
      <w:pPr>
        <w:pStyle w:val="BodyTextIndent3"/>
        <w:widowControl/>
        <w:tabs>
          <w:tab w:val="clear" w:pos="0"/>
        </w:tabs>
        <w:suppressAutoHyphens w:val="0"/>
        <w:autoSpaceDE/>
        <w:autoSpaceDN/>
        <w:adjustRightInd/>
        <w:spacing w:line="240" w:lineRule="auto"/>
        <w:ind w:firstLine="0"/>
        <w:jc w:val="both"/>
        <w:rPr>
          <w:bCs/>
          <w:szCs w:val="24"/>
        </w:rPr>
      </w:pPr>
    </w:p>
    <w:p w:rsidR="00FD1A79" w:rsidRPr="00D368BA" w:rsidP="00FD1A79" w14:paraId="55737764" w14:textId="77777777">
      <w:pPr>
        <w:pStyle w:val="BodyTextIndent3"/>
        <w:widowControl/>
        <w:tabs>
          <w:tab w:val="clear" w:pos="0"/>
        </w:tabs>
        <w:suppressAutoHyphens w:val="0"/>
        <w:autoSpaceDE/>
        <w:autoSpaceDN/>
        <w:adjustRightInd/>
        <w:spacing w:line="240" w:lineRule="auto"/>
        <w:ind w:firstLine="0"/>
        <w:jc w:val="both"/>
        <w:rPr>
          <w:bCs/>
          <w:szCs w:val="24"/>
        </w:rPr>
      </w:pPr>
    </w:p>
    <w:p w:rsidR="00FD1A79" w:rsidRPr="00D368BA" w:rsidP="00FD1A79" w14:paraId="49B82433" w14:textId="77777777">
      <w:pPr>
        <w:rPr>
          <w:szCs w:val="24"/>
        </w:rPr>
      </w:pPr>
    </w:p>
    <w:p w:rsidR="00FD1A79" w:rsidRPr="00D368BA" w:rsidP="00FD1A79" w14:paraId="38518F72" w14:textId="77777777">
      <w:pPr>
        <w:rPr>
          <w:color w:val="FF0000"/>
          <w:szCs w:val="24"/>
        </w:rPr>
      </w:pPr>
    </w:p>
    <w:p w:rsidR="00982A62" w14:paraId="72DFD918" w14:textId="77777777"/>
    <w:sectPr w:rsidSect="00842A83">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4556591"/>
      <w:docPartObj>
        <w:docPartGallery w:val="Page Numbers (Bottom of Page)"/>
        <w:docPartUnique/>
      </w:docPartObj>
    </w:sdtPr>
    <w:sdtContent>
      <w:p w:rsidR="00FD1A79" w:rsidRPr="0066456C" w14:paraId="0C4D2DDA" w14:textId="77777777">
        <w:pPr>
          <w:pStyle w:val="Footer"/>
          <w:jc w:val="center"/>
        </w:pPr>
        <w:r w:rsidRPr="0066456C">
          <w:t>B-</w:t>
        </w:r>
        <w:r>
          <w:t>i</w:t>
        </w:r>
      </w:p>
    </w:sdtContent>
  </w:sdt>
  <w:p w:rsidR="00FD1A79" w14:paraId="07E4B234"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A62" w:rsidRPr="0064537D" w14:paraId="57428CE7" w14:textId="77777777">
    <w:pPr>
      <w:pStyle w:val="Footer"/>
      <w:jc w:val="center"/>
    </w:pPr>
    <w:r w:rsidRPr="0064537D">
      <w:t>B-</w:t>
    </w:r>
    <w:sdt>
      <w:sdtPr>
        <w:id w:val="-1842237661"/>
        <w:docPartObj>
          <w:docPartGallery w:val="Page Numbers (Bottom of Page)"/>
          <w:docPartUnique/>
        </w:docPartObj>
      </w:sdtPr>
      <w:sdtContent>
        <w:r w:rsidRPr="0064537D">
          <w:fldChar w:fldCharType="begin"/>
        </w:r>
        <w:r w:rsidRPr="0064537D">
          <w:instrText xml:space="preserve"> PAGE   \* MERGEFORMAT </w:instrText>
        </w:r>
        <w:r w:rsidRPr="0064537D">
          <w:fldChar w:fldCharType="separate"/>
        </w:r>
        <w:r>
          <w:rPr>
            <w:noProof/>
          </w:rPr>
          <w:t>8</w:t>
        </w:r>
        <w:r w:rsidRPr="0064537D">
          <w:fldChar w:fldCharType="end"/>
        </w:r>
      </w:sdtContent>
    </w:sdt>
  </w:p>
  <w:p w:rsidR="00982A62" w14:paraId="2F245329"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A62" w:rsidRPr="001A7B22" w14:paraId="0EE90322" w14:textId="77777777">
    <w:pPr>
      <w:pStyle w:val="Footer"/>
      <w:jc w:val="center"/>
    </w:pPr>
    <w:r w:rsidRPr="001A7B22">
      <w:t>B-</w:t>
    </w:r>
    <w:sdt>
      <w:sdtPr>
        <w:id w:val="270903420"/>
        <w:docPartObj>
          <w:docPartGallery w:val="Page Numbers (Bottom of Page)"/>
          <w:docPartUnique/>
        </w:docPartObj>
      </w:sdtPr>
      <w:sdtContent>
        <w:r w:rsidRPr="001A7B22">
          <w:fldChar w:fldCharType="begin"/>
        </w:r>
        <w:r w:rsidRPr="001A7B22">
          <w:instrText xml:space="preserve"> PAGE   \* MERGEFORMAT </w:instrText>
        </w:r>
        <w:r w:rsidRPr="001A7B22">
          <w:fldChar w:fldCharType="separate"/>
        </w:r>
        <w:r w:rsidRPr="00C3207E">
          <w:rPr>
            <w:rFonts w:ascii="Garamond" w:hAnsi="Garamond"/>
            <w:noProof/>
          </w:rPr>
          <w:t>1</w:t>
        </w:r>
        <w:r w:rsidRPr="001A7B22">
          <w:fldChar w:fldCharType="end"/>
        </w:r>
      </w:sdtContent>
    </w:sdt>
  </w:p>
  <w:p w:rsidR="00982A62" w:rsidRPr="00627E46" w:rsidP="00982A62" w14:paraId="1C29EB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127E" w:rsidP="00FD1A79" w14:paraId="28323F89" w14:textId="77777777">
      <w:pPr>
        <w:spacing w:line="240" w:lineRule="auto"/>
      </w:pPr>
      <w:r>
        <w:separator/>
      </w:r>
    </w:p>
  </w:footnote>
  <w:footnote w:type="continuationSeparator" w:id="1">
    <w:p w:rsidR="0042127E" w:rsidP="00FD1A79" w14:paraId="1330CB64" w14:textId="77777777">
      <w:pPr>
        <w:spacing w:line="240" w:lineRule="auto"/>
      </w:pPr>
      <w:r>
        <w:continuationSeparator/>
      </w:r>
    </w:p>
  </w:footnote>
  <w:footnote w:type="continuationNotice" w:id="2">
    <w:p w:rsidR="0042127E" w14:paraId="1D683ABE" w14:textId="77777777">
      <w:pPr>
        <w:spacing w:line="240" w:lineRule="auto"/>
      </w:pPr>
    </w:p>
  </w:footnote>
  <w:footnote w:id="3">
    <w:p w:rsidR="00FD1A79" w:rsidRPr="00A1258A" w:rsidP="00FD1A79" w14:paraId="2BF8D6DE" w14:textId="6577BBF4">
      <w:pPr>
        <w:pStyle w:val="FootnoteText"/>
        <w:rPr>
          <w:rFonts w:ascii="Times New Roman" w:hAnsi="Times New Roman"/>
          <w:sz w:val="20"/>
        </w:rPr>
      </w:pPr>
      <w:r w:rsidRPr="003C41F3">
        <w:rPr>
          <w:rStyle w:val="FootnoteReference"/>
          <w:rFonts w:ascii="Times New Roman" w:hAnsi="Times New Roman"/>
          <w:sz w:val="20"/>
        </w:rPr>
        <w:footnoteRef/>
      </w:r>
      <w:r w:rsidRPr="003C41F3">
        <w:rPr>
          <w:rFonts w:ascii="Times New Roman" w:hAnsi="Times New Roman"/>
          <w:sz w:val="20"/>
        </w:rPr>
        <w:t xml:space="preserve"> </w:t>
      </w:r>
      <w:r>
        <w:rPr>
          <w:rFonts w:ascii="Times New Roman" w:hAnsi="Times New Roman"/>
          <w:sz w:val="20"/>
        </w:rPr>
        <w:t xml:space="preserve">The actual number of appeal cases submitted each </w:t>
      </w:r>
      <w:r w:rsidR="0052638F">
        <w:rPr>
          <w:rFonts w:ascii="Times New Roman" w:hAnsi="Times New Roman"/>
          <w:sz w:val="20"/>
        </w:rPr>
        <w:t>FY</w:t>
      </w:r>
      <w:r>
        <w:rPr>
          <w:rFonts w:ascii="Times New Roman" w:hAnsi="Times New Roman"/>
          <w:sz w:val="20"/>
        </w:rPr>
        <w:t xml:space="preserve"> varies; thus, the sample universe will fluctuate each </w:t>
      </w:r>
      <w:r w:rsidR="0052638F">
        <w:rPr>
          <w:rFonts w:ascii="Times New Roman" w:hAnsi="Times New Roman"/>
          <w:sz w:val="20"/>
        </w:rPr>
        <w:t>FY</w:t>
      </w:r>
      <w:r>
        <w:rPr>
          <w:rFonts w:ascii="Times New Roman" w:hAnsi="Times New Roman"/>
          <w:sz w:val="20"/>
        </w:rPr>
        <w:t>.</w:t>
      </w:r>
    </w:p>
  </w:footnote>
  <w:footnote w:id="4">
    <w:p w:rsidR="00FD1A79" w:rsidRPr="00A1258A" w:rsidP="00FD1A79" w14:paraId="0457BCF2" w14:textId="1002FF6E">
      <w:pPr>
        <w:pStyle w:val="FootnoteText"/>
        <w:rPr>
          <w:rFonts w:ascii="Times New Roman" w:hAnsi="Times New Roman"/>
          <w:sz w:val="20"/>
        </w:rPr>
      </w:pPr>
      <w:r w:rsidRPr="003C41F3">
        <w:rPr>
          <w:rStyle w:val="FootnoteReference"/>
          <w:rFonts w:ascii="Times New Roman" w:hAnsi="Times New Roman"/>
          <w:sz w:val="20"/>
        </w:rPr>
        <w:footnoteRef/>
      </w:r>
      <w:r w:rsidRPr="003C41F3">
        <w:rPr>
          <w:rFonts w:ascii="Times New Roman" w:hAnsi="Times New Roman"/>
          <w:sz w:val="20"/>
        </w:rPr>
        <w:t xml:space="preserve"> </w:t>
      </w:r>
      <w:r>
        <w:rPr>
          <w:rFonts w:ascii="Times New Roman" w:hAnsi="Times New Roman"/>
          <w:sz w:val="20"/>
        </w:rPr>
        <w:t>As in previous OMHA Appellant Climate Survey data collection efforts, additional sample</w:t>
      </w:r>
      <w:r w:rsidR="006C23B2">
        <w:rPr>
          <w:rFonts w:ascii="Times New Roman" w:hAnsi="Times New Roman"/>
          <w:sz w:val="20"/>
        </w:rPr>
        <w:t>s</w:t>
      </w:r>
      <w:r>
        <w:rPr>
          <w:rFonts w:ascii="Times New Roman" w:hAnsi="Times New Roman"/>
          <w:sz w:val="20"/>
        </w:rPr>
        <w:t xml:space="preserve"> may need to be added if response counts are lower than expected.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A62" w:rsidRPr="0066456C" w:rsidP="00982A62" w14:paraId="00BB3B13" w14:textId="77777777">
    <w:pPr>
      <w:pStyle w:val="Header"/>
      <w:rPr>
        <w:i/>
      </w:rPr>
    </w:pPr>
    <w:r w:rsidRPr="00CB511B">
      <w:rPr>
        <w:i/>
      </w:rPr>
      <w:t>P</w:t>
    </w:r>
    <w:r>
      <w:rPr>
        <w:i/>
      </w:rPr>
      <w:t xml:space="preserve">art B: </w:t>
    </w:r>
    <w:r w:rsidRPr="0066456C">
      <w:rPr>
        <w:i/>
      </w:rPr>
      <w:t>Collec</w:t>
    </w:r>
    <w:r>
      <w:rPr>
        <w:i/>
      </w:rPr>
      <w:t xml:space="preserve">tions of Information Employing </w:t>
    </w:r>
    <w:r w:rsidRPr="0066456C">
      <w:rPr>
        <w:i/>
      </w:rPr>
      <w:t>Statistical Methods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E960D42"/>
    <w:multiLevelType w:val="hybridMultilevel"/>
    <w:tmpl w:val="2FEA72BC"/>
    <w:lvl w:ilvl="0">
      <w:start w:val="2"/>
      <w:numFmt w:val="upperLetter"/>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60B41323"/>
    <w:multiLevelType w:val="hybridMultilevel"/>
    <w:tmpl w:val="169A766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666B50BC"/>
    <w:multiLevelType w:val="hybridMultilevel"/>
    <w:tmpl w:val="BC8A8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0115248">
    <w:abstractNumId w:val="0"/>
  </w:num>
  <w:num w:numId="2" w16cid:durableId="1439713548">
    <w:abstractNumId w:val="1"/>
  </w:num>
  <w:num w:numId="3" w16cid:durableId="1854225735">
    <w:abstractNumId w:val="3"/>
  </w:num>
  <w:num w:numId="4" w16cid:durableId="1249652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79"/>
    <w:rsid w:val="00002919"/>
    <w:rsid w:val="00004DA7"/>
    <w:rsid w:val="00012E1F"/>
    <w:rsid w:val="00017F03"/>
    <w:rsid w:val="00027CBC"/>
    <w:rsid w:val="0003093C"/>
    <w:rsid w:val="00031BC1"/>
    <w:rsid w:val="0003424E"/>
    <w:rsid w:val="00037646"/>
    <w:rsid w:val="00055E45"/>
    <w:rsid w:val="00056846"/>
    <w:rsid w:val="0007373B"/>
    <w:rsid w:val="000806F5"/>
    <w:rsid w:val="000815AD"/>
    <w:rsid w:val="00084C85"/>
    <w:rsid w:val="000A09C9"/>
    <w:rsid w:val="000A0ADB"/>
    <w:rsid w:val="000A6833"/>
    <w:rsid w:val="000A7ABE"/>
    <w:rsid w:val="000B10B8"/>
    <w:rsid w:val="000C053B"/>
    <w:rsid w:val="000C42F4"/>
    <w:rsid w:val="000D3C1D"/>
    <w:rsid w:val="000D4FD8"/>
    <w:rsid w:val="000D577E"/>
    <w:rsid w:val="000D7B59"/>
    <w:rsid w:val="000F3D5C"/>
    <w:rsid w:val="001005E3"/>
    <w:rsid w:val="00100908"/>
    <w:rsid w:val="001040D2"/>
    <w:rsid w:val="00105E0A"/>
    <w:rsid w:val="00107402"/>
    <w:rsid w:val="001142A5"/>
    <w:rsid w:val="00114DAD"/>
    <w:rsid w:val="0012140A"/>
    <w:rsid w:val="00126CD1"/>
    <w:rsid w:val="00127D01"/>
    <w:rsid w:val="00130704"/>
    <w:rsid w:val="00136E1B"/>
    <w:rsid w:val="00137F3C"/>
    <w:rsid w:val="00142907"/>
    <w:rsid w:val="001463B2"/>
    <w:rsid w:val="001528B3"/>
    <w:rsid w:val="00156049"/>
    <w:rsid w:val="00156AFE"/>
    <w:rsid w:val="0016625E"/>
    <w:rsid w:val="0017641F"/>
    <w:rsid w:val="001765A0"/>
    <w:rsid w:val="001768A1"/>
    <w:rsid w:val="0018350D"/>
    <w:rsid w:val="0019442A"/>
    <w:rsid w:val="001A0057"/>
    <w:rsid w:val="001A7B22"/>
    <w:rsid w:val="001B0A36"/>
    <w:rsid w:val="001B295A"/>
    <w:rsid w:val="001C0457"/>
    <w:rsid w:val="001C4CA2"/>
    <w:rsid w:val="001D0FB8"/>
    <w:rsid w:val="001D1077"/>
    <w:rsid w:val="001F09BD"/>
    <w:rsid w:val="001F3ECD"/>
    <w:rsid w:val="001F543E"/>
    <w:rsid w:val="001F5DEE"/>
    <w:rsid w:val="00200E02"/>
    <w:rsid w:val="00211B5F"/>
    <w:rsid w:val="00211C5A"/>
    <w:rsid w:val="00224C76"/>
    <w:rsid w:val="00226573"/>
    <w:rsid w:val="002267A0"/>
    <w:rsid w:val="002304FE"/>
    <w:rsid w:val="00241B2C"/>
    <w:rsid w:val="002460E7"/>
    <w:rsid w:val="00253B68"/>
    <w:rsid w:val="002608BC"/>
    <w:rsid w:val="0026536E"/>
    <w:rsid w:val="00274103"/>
    <w:rsid w:val="00274E35"/>
    <w:rsid w:val="002873B2"/>
    <w:rsid w:val="002920F5"/>
    <w:rsid w:val="00292989"/>
    <w:rsid w:val="00292CB3"/>
    <w:rsid w:val="00293A2B"/>
    <w:rsid w:val="00297397"/>
    <w:rsid w:val="002A09C5"/>
    <w:rsid w:val="002A1A8B"/>
    <w:rsid w:val="002A263A"/>
    <w:rsid w:val="002B199B"/>
    <w:rsid w:val="002B3C03"/>
    <w:rsid w:val="002C44A9"/>
    <w:rsid w:val="002D2209"/>
    <w:rsid w:val="002D6250"/>
    <w:rsid w:val="002E0EBF"/>
    <w:rsid w:val="002E1578"/>
    <w:rsid w:val="002F3339"/>
    <w:rsid w:val="002F6D9B"/>
    <w:rsid w:val="003009B2"/>
    <w:rsid w:val="00301657"/>
    <w:rsid w:val="00302F7A"/>
    <w:rsid w:val="00305847"/>
    <w:rsid w:val="00305908"/>
    <w:rsid w:val="00323D0C"/>
    <w:rsid w:val="003462E7"/>
    <w:rsid w:val="0035393C"/>
    <w:rsid w:val="00356614"/>
    <w:rsid w:val="00361665"/>
    <w:rsid w:val="00364AC1"/>
    <w:rsid w:val="00376CD5"/>
    <w:rsid w:val="00381BFD"/>
    <w:rsid w:val="003827C5"/>
    <w:rsid w:val="003851E5"/>
    <w:rsid w:val="003877A4"/>
    <w:rsid w:val="003A7C04"/>
    <w:rsid w:val="003A7F3D"/>
    <w:rsid w:val="003C2471"/>
    <w:rsid w:val="003C41F3"/>
    <w:rsid w:val="003D2DE1"/>
    <w:rsid w:val="003D4452"/>
    <w:rsid w:val="003D7034"/>
    <w:rsid w:val="003E508C"/>
    <w:rsid w:val="003F0041"/>
    <w:rsid w:val="003F465D"/>
    <w:rsid w:val="003F4997"/>
    <w:rsid w:val="003F6C24"/>
    <w:rsid w:val="003F777F"/>
    <w:rsid w:val="00403C55"/>
    <w:rsid w:val="00407D2D"/>
    <w:rsid w:val="00407E51"/>
    <w:rsid w:val="00421059"/>
    <w:rsid w:val="0042127E"/>
    <w:rsid w:val="004309E1"/>
    <w:rsid w:val="0043465F"/>
    <w:rsid w:val="00440578"/>
    <w:rsid w:val="0044309E"/>
    <w:rsid w:val="00445F4D"/>
    <w:rsid w:val="0045320B"/>
    <w:rsid w:val="00480699"/>
    <w:rsid w:val="00487564"/>
    <w:rsid w:val="004903DA"/>
    <w:rsid w:val="00495CBB"/>
    <w:rsid w:val="004A2E94"/>
    <w:rsid w:val="004A7568"/>
    <w:rsid w:val="004B1F47"/>
    <w:rsid w:val="004B3BD8"/>
    <w:rsid w:val="004C1290"/>
    <w:rsid w:val="004C7E53"/>
    <w:rsid w:val="004D5584"/>
    <w:rsid w:val="004E0CF2"/>
    <w:rsid w:val="004E1DE6"/>
    <w:rsid w:val="004E2860"/>
    <w:rsid w:val="004E4D88"/>
    <w:rsid w:val="004E5BB4"/>
    <w:rsid w:val="004E6B5C"/>
    <w:rsid w:val="004F1BCB"/>
    <w:rsid w:val="004F224B"/>
    <w:rsid w:val="004F695C"/>
    <w:rsid w:val="004F78B1"/>
    <w:rsid w:val="0050214E"/>
    <w:rsid w:val="0050589F"/>
    <w:rsid w:val="0051063A"/>
    <w:rsid w:val="00513464"/>
    <w:rsid w:val="00520982"/>
    <w:rsid w:val="00521CC5"/>
    <w:rsid w:val="00524D63"/>
    <w:rsid w:val="0052638F"/>
    <w:rsid w:val="00526F78"/>
    <w:rsid w:val="0052765A"/>
    <w:rsid w:val="00535F50"/>
    <w:rsid w:val="0054238D"/>
    <w:rsid w:val="00542E16"/>
    <w:rsid w:val="00552051"/>
    <w:rsid w:val="00555962"/>
    <w:rsid w:val="00555A84"/>
    <w:rsid w:val="00562E89"/>
    <w:rsid w:val="00566131"/>
    <w:rsid w:val="005756C5"/>
    <w:rsid w:val="00580E1A"/>
    <w:rsid w:val="005871B8"/>
    <w:rsid w:val="00592278"/>
    <w:rsid w:val="005A007A"/>
    <w:rsid w:val="005A1C26"/>
    <w:rsid w:val="005A4156"/>
    <w:rsid w:val="005A54E8"/>
    <w:rsid w:val="005A75D6"/>
    <w:rsid w:val="005B261B"/>
    <w:rsid w:val="005C73E2"/>
    <w:rsid w:val="005D03C2"/>
    <w:rsid w:val="005D0BBD"/>
    <w:rsid w:val="005D35B1"/>
    <w:rsid w:val="005E3CEF"/>
    <w:rsid w:val="005F134B"/>
    <w:rsid w:val="005F5FDF"/>
    <w:rsid w:val="005F63AE"/>
    <w:rsid w:val="00604353"/>
    <w:rsid w:val="00610FC4"/>
    <w:rsid w:val="006165CE"/>
    <w:rsid w:val="00616C49"/>
    <w:rsid w:val="006175D2"/>
    <w:rsid w:val="006175E4"/>
    <w:rsid w:val="00621A77"/>
    <w:rsid w:val="00625683"/>
    <w:rsid w:val="00627E46"/>
    <w:rsid w:val="006345DE"/>
    <w:rsid w:val="006362AD"/>
    <w:rsid w:val="00644348"/>
    <w:rsid w:val="00644C18"/>
    <w:rsid w:val="0064537D"/>
    <w:rsid w:val="0065213C"/>
    <w:rsid w:val="006557D8"/>
    <w:rsid w:val="00655AF9"/>
    <w:rsid w:val="0066149C"/>
    <w:rsid w:val="0066456C"/>
    <w:rsid w:val="00666702"/>
    <w:rsid w:val="006730A0"/>
    <w:rsid w:val="0068044D"/>
    <w:rsid w:val="00682BA2"/>
    <w:rsid w:val="00692D20"/>
    <w:rsid w:val="00694A8E"/>
    <w:rsid w:val="006A3319"/>
    <w:rsid w:val="006A41FC"/>
    <w:rsid w:val="006B4E31"/>
    <w:rsid w:val="006C146E"/>
    <w:rsid w:val="006C1C88"/>
    <w:rsid w:val="006C23B2"/>
    <w:rsid w:val="006E342D"/>
    <w:rsid w:val="006E543C"/>
    <w:rsid w:val="006E6ABA"/>
    <w:rsid w:val="006F2184"/>
    <w:rsid w:val="006F3C02"/>
    <w:rsid w:val="006F3C13"/>
    <w:rsid w:val="006F41A8"/>
    <w:rsid w:val="006F67E3"/>
    <w:rsid w:val="00700E2D"/>
    <w:rsid w:val="0070435D"/>
    <w:rsid w:val="00707C87"/>
    <w:rsid w:val="0071027D"/>
    <w:rsid w:val="007155F6"/>
    <w:rsid w:val="00716656"/>
    <w:rsid w:val="00731CAA"/>
    <w:rsid w:val="00772004"/>
    <w:rsid w:val="0077551D"/>
    <w:rsid w:val="0079279D"/>
    <w:rsid w:val="007C016D"/>
    <w:rsid w:val="007C46E0"/>
    <w:rsid w:val="007D09BA"/>
    <w:rsid w:val="007D5D9D"/>
    <w:rsid w:val="007D6762"/>
    <w:rsid w:val="007E3935"/>
    <w:rsid w:val="007E48D5"/>
    <w:rsid w:val="007E7B9B"/>
    <w:rsid w:val="007F3D48"/>
    <w:rsid w:val="007F7AD2"/>
    <w:rsid w:val="00806A71"/>
    <w:rsid w:val="00810CD3"/>
    <w:rsid w:val="00814649"/>
    <w:rsid w:val="00815D09"/>
    <w:rsid w:val="00822561"/>
    <w:rsid w:val="0082480C"/>
    <w:rsid w:val="008303A1"/>
    <w:rsid w:val="00842A83"/>
    <w:rsid w:val="00842B51"/>
    <w:rsid w:val="00843D71"/>
    <w:rsid w:val="00853A8B"/>
    <w:rsid w:val="00855C84"/>
    <w:rsid w:val="00865F15"/>
    <w:rsid w:val="00870AE4"/>
    <w:rsid w:val="00876A4E"/>
    <w:rsid w:val="00883ECC"/>
    <w:rsid w:val="00896C60"/>
    <w:rsid w:val="008A23F1"/>
    <w:rsid w:val="008A58BE"/>
    <w:rsid w:val="008B5731"/>
    <w:rsid w:val="008B63ED"/>
    <w:rsid w:val="008B7189"/>
    <w:rsid w:val="008C21FF"/>
    <w:rsid w:val="008D1A5C"/>
    <w:rsid w:val="008D3A50"/>
    <w:rsid w:val="008D4085"/>
    <w:rsid w:val="008D5D0A"/>
    <w:rsid w:val="008D5D83"/>
    <w:rsid w:val="008D6FED"/>
    <w:rsid w:val="008E3FE5"/>
    <w:rsid w:val="008E48A9"/>
    <w:rsid w:val="009026B8"/>
    <w:rsid w:val="00903765"/>
    <w:rsid w:val="00904F4A"/>
    <w:rsid w:val="0090543D"/>
    <w:rsid w:val="00905CC9"/>
    <w:rsid w:val="009131D1"/>
    <w:rsid w:val="00914DFA"/>
    <w:rsid w:val="00916AE9"/>
    <w:rsid w:val="0093088C"/>
    <w:rsid w:val="00931AEE"/>
    <w:rsid w:val="00953F7B"/>
    <w:rsid w:val="00955419"/>
    <w:rsid w:val="009559EA"/>
    <w:rsid w:val="009603EE"/>
    <w:rsid w:val="00963675"/>
    <w:rsid w:val="00966E6E"/>
    <w:rsid w:val="009742EE"/>
    <w:rsid w:val="00976BA1"/>
    <w:rsid w:val="00982A62"/>
    <w:rsid w:val="00995417"/>
    <w:rsid w:val="009A1491"/>
    <w:rsid w:val="009A4865"/>
    <w:rsid w:val="009A5AF9"/>
    <w:rsid w:val="009A6B1D"/>
    <w:rsid w:val="009B0028"/>
    <w:rsid w:val="009B2B35"/>
    <w:rsid w:val="009B79D1"/>
    <w:rsid w:val="009C0287"/>
    <w:rsid w:val="009C2AAE"/>
    <w:rsid w:val="009C416B"/>
    <w:rsid w:val="009C6F10"/>
    <w:rsid w:val="009E068D"/>
    <w:rsid w:val="009E37F5"/>
    <w:rsid w:val="009E63C9"/>
    <w:rsid w:val="009F1955"/>
    <w:rsid w:val="009F333D"/>
    <w:rsid w:val="009F3DC3"/>
    <w:rsid w:val="00A054B4"/>
    <w:rsid w:val="00A059A3"/>
    <w:rsid w:val="00A121A3"/>
    <w:rsid w:val="00A1258A"/>
    <w:rsid w:val="00A14F35"/>
    <w:rsid w:val="00A35B4E"/>
    <w:rsid w:val="00A407FC"/>
    <w:rsid w:val="00A40C59"/>
    <w:rsid w:val="00A45FA2"/>
    <w:rsid w:val="00A4643C"/>
    <w:rsid w:val="00A4770C"/>
    <w:rsid w:val="00A47999"/>
    <w:rsid w:val="00A556A9"/>
    <w:rsid w:val="00A56907"/>
    <w:rsid w:val="00A64906"/>
    <w:rsid w:val="00A65987"/>
    <w:rsid w:val="00A6662F"/>
    <w:rsid w:val="00A825E2"/>
    <w:rsid w:val="00A87664"/>
    <w:rsid w:val="00A947B1"/>
    <w:rsid w:val="00A957F3"/>
    <w:rsid w:val="00A97280"/>
    <w:rsid w:val="00AA232D"/>
    <w:rsid w:val="00AA35FE"/>
    <w:rsid w:val="00AA6A42"/>
    <w:rsid w:val="00AB7328"/>
    <w:rsid w:val="00AB7ABC"/>
    <w:rsid w:val="00AD5073"/>
    <w:rsid w:val="00AD7740"/>
    <w:rsid w:val="00AE7565"/>
    <w:rsid w:val="00AF3202"/>
    <w:rsid w:val="00AF7934"/>
    <w:rsid w:val="00B03E37"/>
    <w:rsid w:val="00B05321"/>
    <w:rsid w:val="00B057C9"/>
    <w:rsid w:val="00B124C6"/>
    <w:rsid w:val="00B141B9"/>
    <w:rsid w:val="00B1603F"/>
    <w:rsid w:val="00B16930"/>
    <w:rsid w:val="00B203F1"/>
    <w:rsid w:val="00B22474"/>
    <w:rsid w:val="00B32B01"/>
    <w:rsid w:val="00B37942"/>
    <w:rsid w:val="00B40E74"/>
    <w:rsid w:val="00B41423"/>
    <w:rsid w:val="00B50A8A"/>
    <w:rsid w:val="00B55D16"/>
    <w:rsid w:val="00B621B7"/>
    <w:rsid w:val="00B702FA"/>
    <w:rsid w:val="00B81356"/>
    <w:rsid w:val="00B86813"/>
    <w:rsid w:val="00B91099"/>
    <w:rsid w:val="00B945B4"/>
    <w:rsid w:val="00BA2FE0"/>
    <w:rsid w:val="00BA75D3"/>
    <w:rsid w:val="00BB181C"/>
    <w:rsid w:val="00BB2AD7"/>
    <w:rsid w:val="00BB3DB4"/>
    <w:rsid w:val="00BB66E8"/>
    <w:rsid w:val="00BC1BB8"/>
    <w:rsid w:val="00BC27C2"/>
    <w:rsid w:val="00BC343D"/>
    <w:rsid w:val="00BC3F1C"/>
    <w:rsid w:val="00BC7276"/>
    <w:rsid w:val="00BC753C"/>
    <w:rsid w:val="00BC7B05"/>
    <w:rsid w:val="00BD0003"/>
    <w:rsid w:val="00BE549B"/>
    <w:rsid w:val="00C022C5"/>
    <w:rsid w:val="00C15B63"/>
    <w:rsid w:val="00C2155B"/>
    <w:rsid w:val="00C26E66"/>
    <w:rsid w:val="00C27013"/>
    <w:rsid w:val="00C3207E"/>
    <w:rsid w:val="00C353EF"/>
    <w:rsid w:val="00C366BB"/>
    <w:rsid w:val="00C428BC"/>
    <w:rsid w:val="00C46AF8"/>
    <w:rsid w:val="00C46E78"/>
    <w:rsid w:val="00C5134B"/>
    <w:rsid w:val="00C638BC"/>
    <w:rsid w:val="00C73870"/>
    <w:rsid w:val="00C8597D"/>
    <w:rsid w:val="00C92BFF"/>
    <w:rsid w:val="00CA791B"/>
    <w:rsid w:val="00CA7C97"/>
    <w:rsid w:val="00CB43EA"/>
    <w:rsid w:val="00CB511B"/>
    <w:rsid w:val="00CB7418"/>
    <w:rsid w:val="00CC1486"/>
    <w:rsid w:val="00CC5652"/>
    <w:rsid w:val="00CE0A77"/>
    <w:rsid w:val="00CE319A"/>
    <w:rsid w:val="00CE3515"/>
    <w:rsid w:val="00CE75AC"/>
    <w:rsid w:val="00CF21ED"/>
    <w:rsid w:val="00CF5D55"/>
    <w:rsid w:val="00D00C08"/>
    <w:rsid w:val="00D0380C"/>
    <w:rsid w:val="00D05BB7"/>
    <w:rsid w:val="00D05E03"/>
    <w:rsid w:val="00D060D6"/>
    <w:rsid w:val="00D113AB"/>
    <w:rsid w:val="00D3672F"/>
    <w:rsid w:val="00D368BA"/>
    <w:rsid w:val="00D437A8"/>
    <w:rsid w:val="00D45941"/>
    <w:rsid w:val="00D53CF0"/>
    <w:rsid w:val="00D56AFB"/>
    <w:rsid w:val="00D725CB"/>
    <w:rsid w:val="00D75B21"/>
    <w:rsid w:val="00D83C46"/>
    <w:rsid w:val="00D84C7D"/>
    <w:rsid w:val="00D8690D"/>
    <w:rsid w:val="00DA025B"/>
    <w:rsid w:val="00DA2657"/>
    <w:rsid w:val="00DA3A58"/>
    <w:rsid w:val="00DD16D1"/>
    <w:rsid w:val="00DD1A14"/>
    <w:rsid w:val="00DD4342"/>
    <w:rsid w:val="00DD4A93"/>
    <w:rsid w:val="00DE243D"/>
    <w:rsid w:val="00DF267E"/>
    <w:rsid w:val="00DF44BC"/>
    <w:rsid w:val="00DF6374"/>
    <w:rsid w:val="00E0074A"/>
    <w:rsid w:val="00E03158"/>
    <w:rsid w:val="00E05A1A"/>
    <w:rsid w:val="00E2218F"/>
    <w:rsid w:val="00E34D11"/>
    <w:rsid w:val="00E5006C"/>
    <w:rsid w:val="00E57FA1"/>
    <w:rsid w:val="00E6432F"/>
    <w:rsid w:val="00E71F87"/>
    <w:rsid w:val="00E830D6"/>
    <w:rsid w:val="00E87896"/>
    <w:rsid w:val="00E9421A"/>
    <w:rsid w:val="00EA02E1"/>
    <w:rsid w:val="00EA7560"/>
    <w:rsid w:val="00EB1C86"/>
    <w:rsid w:val="00EB2FE2"/>
    <w:rsid w:val="00EB540A"/>
    <w:rsid w:val="00EC06BC"/>
    <w:rsid w:val="00EC3CD9"/>
    <w:rsid w:val="00EE2A2B"/>
    <w:rsid w:val="00EE6F00"/>
    <w:rsid w:val="00EF189D"/>
    <w:rsid w:val="00F01550"/>
    <w:rsid w:val="00F064D4"/>
    <w:rsid w:val="00F07B3A"/>
    <w:rsid w:val="00F24639"/>
    <w:rsid w:val="00F26B91"/>
    <w:rsid w:val="00F3068F"/>
    <w:rsid w:val="00F34E24"/>
    <w:rsid w:val="00F3513E"/>
    <w:rsid w:val="00F353B3"/>
    <w:rsid w:val="00F363E0"/>
    <w:rsid w:val="00F40A1E"/>
    <w:rsid w:val="00F442EE"/>
    <w:rsid w:val="00F51896"/>
    <w:rsid w:val="00F5367D"/>
    <w:rsid w:val="00F55B58"/>
    <w:rsid w:val="00F577D4"/>
    <w:rsid w:val="00F63E5C"/>
    <w:rsid w:val="00F67926"/>
    <w:rsid w:val="00F67AD3"/>
    <w:rsid w:val="00F75E38"/>
    <w:rsid w:val="00F77C87"/>
    <w:rsid w:val="00F813A2"/>
    <w:rsid w:val="00F94598"/>
    <w:rsid w:val="00FB269F"/>
    <w:rsid w:val="00FB2D2B"/>
    <w:rsid w:val="00FB4E98"/>
    <w:rsid w:val="00FB68B4"/>
    <w:rsid w:val="00FC3307"/>
    <w:rsid w:val="00FC3ED5"/>
    <w:rsid w:val="00FC721C"/>
    <w:rsid w:val="00FD1A79"/>
    <w:rsid w:val="00FD516A"/>
    <w:rsid w:val="00FE06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FEBA8"/>
  <w15:chartTrackingRefBased/>
  <w15:docId w15:val="{BD99B4A3-3945-4D49-B11C-9E4E13BE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A79"/>
    <w:pPr>
      <w:spacing w:after="0" w:line="240" w:lineRule="atLeast"/>
    </w:pPr>
    <w:rPr>
      <w:rFonts w:ascii="Times New Roman" w:eastAsia="Times New Roman" w:hAnsi="Times New Roman" w:cs="Times New Roman"/>
      <w:sz w:val="24"/>
      <w:szCs w:val="20"/>
    </w:rPr>
  </w:style>
  <w:style w:type="paragraph" w:styleId="Heading1">
    <w:name w:val="heading 1"/>
    <w:aliases w:val="H1-Sec.Head"/>
    <w:basedOn w:val="Normal"/>
    <w:next w:val="Normal"/>
    <w:link w:val="Heading1Char"/>
    <w:qFormat/>
    <w:rsid w:val="00FD1A79"/>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qFormat/>
    <w:rsid w:val="00FD1A79"/>
    <w:pPr>
      <w:outlineLvl w:val="1"/>
    </w:pPr>
    <w:rPr>
      <w:sz w:val="28"/>
    </w:rPr>
  </w:style>
  <w:style w:type="paragraph" w:styleId="Heading3">
    <w:name w:val="heading 3"/>
    <w:basedOn w:val="Normal"/>
    <w:next w:val="Normal"/>
    <w:link w:val="Heading3Char"/>
    <w:uiPriority w:val="9"/>
    <w:semiHidden/>
    <w:unhideWhenUsed/>
    <w:qFormat/>
    <w:rsid w:val="00FD1A7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D1A79"/>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D1A79"/>
    <w:rPr>
      <w:rFonts w:ascii="Franklin Gothic Medium" w:eastAsia="Times New Roman" w:hAnsi="Franklin Gothic Medium" w:cs="Times New Roman"/>
      <w:b/>
      <w:color w:val="324162"/>
      <w:sz w:val="28"/>
      <w:szCs w:val="20"/>
    </w:rPr>
  </w:style>
  <w:style w:type="paragraph" w:styleId="Footer">
    <w:name w:val="footer"/>
    <w:basedOn w:val="Normal"/>
    <w:link w:val="FooterChar"/>
    <w:uiPriority w:val="99"/>
    <w:qFormat/>
    <w:rsid w:val="00FD1A79"/>
    <w:pPr>
      <w:tabs>
        <w:tab w:val="center" w:pos="4320"/>
        <w:tab w:val="right" w:pos="8640"/>
      </w:tabs>
    </w:pPr>
  </w:style>
  <w:style w:type="character" w:customStyle="1" w:styleId="FooterChar">
    <w:name w:val="Footer Char"/>
    <w:basedOn w:val="DefaultParagraphFont"/>
    <w:link w:val="Footer"/>
    <w:uiPriority w:val="99"/>
    <w:rsid w:val="00FD1A79"/>
    <w:rPr>
      <w:rFonts w:ascii="Times New Roman" w:eastAsia="Times New Roman" w:hAnsi="Times New Roman" w:cs="Times New Roman"/>
      <w:sz w:val="24"/>
      <w:szCs w:val="20"/>
    </w:rPr>
  </w:style>
  <w:style w:type="paragraph" w:styleId="FootnoteText">
    <w:name w:val="footnote text"/>
    <w:aliases w:val="F,F1,Footnote Text2"/>
    <w:link w:val="FootnoteTextChar"/>
    <w:uiPriority w:val="99"/>
    <w:rsid w:val="00FD1A79"/>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 Char,F1 Char,Footnote Text2 Char"/>
    <w:basedOn w:val="DefaultParagraphFont"/>
    <w:link w:val="FootnoteText"/>
    <w:uiPriority w:val="99"/>
    <w:rsid w:val="00FD1A79"/>
    <w:rPr>
      <w:rFonts w:ascii="Garamond" w:eastAsia="Times New Roman" w:hAnsi="Garamond" w:cs="Times New Roman"/>
      <w:sz w:val="16"/>
      <w:szCs w:val="20"/>
    </w:rPr>
  </w:style>
  <w:style w:type="paragraph" w:styleId="Header">
    <w:name w:val="header"/>
    <w:basedOn w:val="Normal"/>
    <w:link w:val="HeaderChar"/>
    <w:uiPriority w:val="99"/>
    <w:qFormat/>
    <w:rsid w:val="00FD1A79"/>
    <w:pPr>
      <w:tabs>
        <w:tab w:val="center" w:pos="4320"/>
        <w:tab w:val="right" w:pos="8640"/>
      </w:tabs>
    </w:pPr>
    <w:rPr>
      <w:sz w:val="16"/>
    </w:rPr>
  </w:style>
  <w:style w:type="character" w:customStyle="1" w:styleId="HeaderChar">
    <w:name w:val="Header Char"/>
    <w:basedOn w:val="DefaultParagraphFont"/>
    <w:link w:val="Header"/>
    <w:uiPriority w:val="99"/>
    <w:rsid w:val="00FD1A79"/>
    <w:rPr>
      <w:rFonts w:ascii="Times New Roman" w:eastAsia="Times New Roman" w:hAnsi="Times New Roman" w:cs="Times New Roman"/>
      <w:sz w:val="16"/>
      <w:szCs w:val="20"/>
    </w:rPr>
  </w:style>
  <w:style w:type="paragraph" w:customStyle="1" w:styleId="N1-1stBullet">
    <w:name w:val="N1-1st Bullet"/>
    <w:basedOn w:val="Normal"/>
    <w:link w:val="N1-1stBulletChar"/>
    <w:rsid w:val="00FD1A79"/>
    <w:pPr>
      <w:numPr>
        <w:numId w:val="1"/>
      </w:numPr>
      <w:spacing w:after="240"/>
    </w:pPr>
  </w:style>
  <w:style w:type="paragraph" w:customStyle="1" w:styleId="P1-StandPara">
    <w:name w:val="P1-Stand Para"/>
    <w:basedOn w:val="Normal"/>
    <w:link w:val="P1-StandParaChar"/>
    <w:rsid w:val="00FD1A79"/>
    <w:pPr>
      <w:spacing w:line="360" w:lineRule="atLeast"/>
      <w:ind w:firstLine="1152"/>
    </w:pPr>
  </w:style>
  <w:style w:type="paragraph" w:styleId="TOC1">
    <w:name w:val="toc 1"/>
    <w:basedOn w:val="Normal"/>
    <w:uiPriority w:val="39"/>
    <w:rsid w:val="00FD1A79"/>
    <w:pPr>
      <w:tabs>
        <w:tab w:val="left" w:pos="1440"/>
        <w:tab w:val="right" w:leader="dot" w:pos="8208"/>
        <w:tab w:val="left" w:pos="8640"/>
      </w:tabs>
      <w:ind w:left="1440" w:right="1800" w:hanging="1152"/>
    </w:pPr>
  </w:style>
  <w:style w:type="character" w:styleId="PageNumber">
    <w:name w:val="page number"/>
    <w:basedOn w:val="DefaultParagraphFont"/>
    <w:qFormat/>
    <w:rsid w:val="00FD1A79"/>
  </w:style>
  <w:style w:type="paragraph" w:customStyle="1" w:styleId="TC-TableofContentsHeading">
    <w:name w:val="TC-Table of Contents Heading"/>
    <w:basedOn w:val="Heading1"/>
    <w:next w:val="Normal"/>
    <w:rsid w:val="00FD1A79"/>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FD1A79"/>
    <w:pPr>
      <w:spacing w:after="0" w:line="240" w:lineRule="atLeast"/>
      <w:ind w:left="0" w:firstLine="0"/>
      <w:jc w:val="center"/>
    </w:pPr>
    <w:rPr>
      <w:color w:val="auto"/>
      <w:sz w:val="20"/>
    </w:rPr>
  </w:style>
  <w:style w:type="paragraph" w:customStyle="1" w:styleId="TX-TableText">
    <w:name w:val="TX-Table Text"/>
    <w:basedOn w:val="Normal"/>
    <w:rsid w:val="00FD1A79"/>
    <w:rPr>
      <w:rFonts w:ascii="Franklin Gothic Medium" w:hAnsi="Franklin Gothic Medium"/>
      <w:sz w:val="20"/>
    </w:rPr>
  </w:style>
  <w:style w:type="paragraph" w:styleId="ListParagraph">
    <w:name w:val="List Paragraph"/>
    <w:basedOn w:val="Normal"/>
    <w:uiPriority w:val="34"/>
    <w:qFormat/>
    <w:rsid w:val="00FD1A79"/>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D1A79"/>
    <w:rPr>
      <w:rFonts w:ascii="Times New Roman" w:eastAsia="Times New Roman" w:hAnsi="Times New Roman" w:cs="Times New Roman"/>
      <w:sz w:val="24"/>
      <w:szCs w:val="20"/>
    </w:rPr>
  </w:style>
  <w:style w:type="paragraph" w:styleId="BodyTextIndent3">
    <w:name w:val="Body Text Indent 3"/>
    <w:basedOn w:val="Normal"/>
    <w:link w:val="BodyTextIndent3Char"/>
    <w:rsid w:val="00FD1A79"/>
    <w:pPr>
      <w:widowControl w:val="0"/>
      <w:tabs>
        <w:tab w:val="left" w:pos="0"/>
      </w:tabs>
      <w:suppressAutoHyphens/>
      <w:autoSpaceDE w:val="0"/>
      <w:autoSpaceDN w:val="0"/>
      <w:adjustRightInd w:val="0"/>
      <w:spacing w:line="480" w:lineRule="auto"/>
      <w:ind w:firstLine="720"/>
    </w:pPr>
    <w:rPr>
      <w:sz w:val="22"/>
      <w:szCs w:val="22"/>
    </w:rPr>
  </w:style>
  <w:style w:type="character" w:customStyle="1" w:styleId="BodyTextIndent3Char">
    <w:name w:val="Body Text Indent 3 Char"/>
    <w:basedOn w:val="DefaultParagraphFont"/>
    <w:link w:val="BodyTextIndent3"/>
    <w:rsid w:val="00FD1A79"/>
    <w:rPr>
      <w:rFonts w:ascii="Times New Roman" w:eastAsia="Times New Roman" w:hAnsi="Times New Roman" w:cs="Times New Roman"/>
    </w:rPr>
  </w:style>
  <w:style w:type="table" w:styleId="TableGrid">
    <w:name w:val="Table Grid"/>
    <w:aliases w:val="2M Table Grid"/>
    <w:basedOn w:val="TableNormal"/>
    <w:uiPriority w:val="59"/>
    <w:rsid w:val="00FD1A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1-1stBulletChar">
    <w:name w:val="N1-1st Bullet Char"/>
    <w:basedOn w:val="DefaultParagraphFont"/>
    <w:link w:val="N1-1stBullet"/>
    <w:locked/>
    <w:rsid w:val="00FD1A79"/>
    <w:rPr>
      <w:rFonts w:ascii="Times New Roman" w:eastAsia="Times New Roman" w:hAnsi="Times New Roman" w:cs="Times New Roman"/>
      <w:sz w:val="24"/>
      <w:szCs w:val="20"/>
    </w:rPr>
  </w:style>
  <w:style w:type="character" w:styleId="Hyperlink">
    <w:name w:val="Hyperlink"/>
    <w:basedOn w:val="DefaultParagraphFont"/>
    <w:uiPriority w:val="99"/>
    <w:rsid w:val="00FD1A79"/>
    <w:rPr>
      <w:rFonts w:cs="Times New Roman"/>
      <w:color w:val="0000FF"/>
      <w:u w:val="single"/>
    </w:rPr>
  </w:style>
  <w:style w:type="character" w:styleId="FootnoteReference">
    <w:name w:val="footnote reference"/>
    <w:basedOn w:val="DefaultParagraphFont"/>
    <w:unhideWhenUsed/>
    <w:qFormat/>
    <w:rsid w:val="00FD1A79"/>
    <w:rPr>
      <w:vertAlign w:val="superscript"/>
    </w:rPr>
  </w:style>
  <w:style w:type="paragraph" w:customStyle="1" w:styleId="Normalcontinued">
    <w:name w:val="Normal (continued)"/>
    <w:basedOn w:val="Normal"/>
    <w:next w:val="Normal"/>
    <w:qFormat/>
    <w:rsid w:val="00FD1A79"/>
    <w:pPr>
      <w:spacing w:line="480" w:lineRule="auto"/>
    </w:pPr>
  </w:style>
  <w:style w:type="paragraph" w:customStyle="1" w:styleId="TableText">
    <w:name w:val="Table Text"/>
    <w:basedOn w:val="Normal"/>
    <w:link w:val="TableTextChar"/>
    <w:qFormat/>
    <w:rsid w:val="00FD1A79"/>
    <w:pPr>
      <w:spacing w:line="240" w:lineRule="auto"/>
    </w:pPr>
    <w:rPr>
      <w:rFonts w:ascii="Arial" w:hAnsi="Arial"/>
      <w:sz w:val="18"/>
    </w:rPr>
  </w:style>
  <w:style w:type="character" w:customStyle="1" w:styleId="TableTextChar">
    <w:name w:val="Table Text Char"/>
    <w:aliases w:val="No Spacing Char"/>
    <w:basedOn w:val="DefaultParagraphFont"/>
    <w:link w:val="TableText"/>
    <w:rsid w:val="00FD1A79"/>
    <w:rPr>
      <w:rFonts w:ascii="Arial" w:eastAsia="Times New Roman" w:hAnsi="Arial" w:cs="Times New Roman"/>
      <w:sz w:val="18"/>
      <w:szCs w:val="20"/>
    </w:rPr>
  </w:style>
  <w:style w:type="paragraph" w:customStyle="1" w:styleId="TableHeaderRow">
    <w:name w:val="Table Header Row"/>
    <w:basedOn w:val="Heading3"/>
    <w:link w:val="TableHeaderRowChar"/>
    <w:qFormat/>
    <w:rsid w:val="00FD1A79"/>
    <w:pPr>
      <w:tabs>
        <w:tab w:val="left" w:pos="1152"/>
      </w:tabs>
      <w:spacing w:before="0" w:after="360" w:line="360" w:lineRule="atLeast"/>
      <w:ind w:left="1152" w:hanging="1152"/>
    </w:pPr>
    <w:rPr>
      <w:rFonts w:ascii="Times New Roman" w:hAnsi="Times New Roman" w:eastAsiaTheme="minorHAnsi" w:cstheme="minorBidi"/>
      <w:b/>
      <w:color w:val="auto"/>
      <w:szCs w:val="18"/>
    </w:rPr>
  </w:style>
  <w:style w:type="character" w:customStyle="1" w:styleId="TableHeaderRowChar">
    <w:name w:val="Table Header Row Char"/>
    <w:basedOn w:val="DefaultParagraphFont"/>
    <w:link w:val="TableHeaderRow"/>
    <w:rsid w:val="00FD1A79"/>
    <w:rPr>
      <w:rFonts w:ascii="Times New Roman" w:hAnsi="Times New Roman"/>
      <w:b/>
      <w:sz w:val="24"/>
      <w:szCs w:val="18"/>
    </w:rPr>
  </w:style>
  <w:style w:type="character" w:customStyle="1" w:styleId="Heading3Char">
    <w:name w:val="Heading 3 Char"/>
    <w:basedOn w:val="DefaultParagraphFont"/>
    <w:link w:val="Heading3"/>
    <w:uiPriority w:val="9"/>
    <w:semiHidden/>
    <w:rsid w:val="00FD1A7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05321"/>
    <w:rPr>
      <w:sz w:val="16"/>
      <w:szCs w:val="16"/>
    </w:rPr>
  </w:style>
  <w:style w:type="paragraph" w:styleId="CommentText">
    <w:name w:val="annotation text"/>
    <w:basedOn w:val="Normal"/>
    <w:link w:val="CommentTextChar"/>
    <w:uiPriority w:val="99"/>
    <w:semiHidden/>
    <w:unhideWhenUsed/>
    <w:rsid w:val="00B05321"/>
    <w:pPr>
      <w:spacing w:line="240" w:lineRule="auto"/>
    </w:pPr>
    <w:rPr>
      <w:sz w:val="20"/>
    </w:rPr>
  </w:style>
  <w:style w:type="character" w:customStyle="1" w:styleId="CommentTextChar">
    <w:name w:val="Comment Text Char"/>
    <w:basedOn w:val="DefaultParagraphFont"/>
    <w:link w:val="CommentText"/>
    <w:uiPriority w:val="99"/>
    <w:semiHidden/>
    <w:rsid w:val="00B053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5321"/>
    <w:rPr>
      <w:b/>
      <w:bCs/>
    </w:rPr>
  </w:style>
  <w:style w:type="character" w:customStyle="1" w:styleId="CommentSubjectChar">
    <w:name w:val="Comment Subject Char"/>
    <w:basedOn w:val="CommentTextChar"/>
    <w:link w:val="CommentSubject"/>
    <w:uiPriority w:val="99"/>
    <w:semiHidden/>
    <w:rsid w:val="00B053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53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321"/>
    <w:rPr>
      <w:rFonts w:ascii="Segoe UI" w:eastAsia="Times New Roman" w:hAnsi="Segoe UI" w:cs="Segoe UI"/>
      <w:sz w:val="18"/>
      <w:szCs w:val="18"/>
    </w:rPr>
  </w:style>
  <w:style w:type="table" w:styleId="GridTableLight">
    <w:name w:val="Grid Table Light"/>
    <w:basedOn w:val="TableNormal"/>
    <w:uiPriority w:val="40"/>
    <w:rsid w:val="006B4E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2267A0"/>
    <w:pPr>
      <w:spacing w:after="100"/>
      <w:ind w:left="240"/>
    </w:pPr>
  </w:style>
  <w:style w:type="paragraph" w:styleId="TOC3">
    <w:name w:val="toc 3"/>
    <w:basedOn w:val="Normal"/>
    <w:next w:val="Normal"/>
    <w:autoRedefine/>
    <w:uiPriority w:val="39"/>
    <w:unhideWhenUsed/>
    <w:rsid w:val="002267A0"/>
    <w:pPr>
      <w:spacing w:after="100"/>
      <w:ind w:left="480"/>
    </w:pPr>
  </w:style>
  <w:style w:type="character" w:styleId="UnresolvedMention">
    <w:name w:val="Unresolved Mention"/>
    <w:basedOn w:val="DefaultParagraphFont"/>
    <w:uiPriority w:val="99"/>
    <w:unhideWhenUsed/>
    <w:rsid w:val="0018350D"/>
    <w:rPr>
      <w:color w:val="605E5C"/>
      <w:shd w:val="clear" w:color="auto" w:fill="E1DFDD"/>
    </w:rPr>
  </w:style>
  <w:style w:type="character" w:styleId="Mention">
    <w:name w:val="Mention"/>
    <w:basedOn w:val="DefaultParagraphFont"/>
    <w:uiPriority w:val="99"/>
    <w:unhideWhenUsed/>
    <w:rsid w:val="0018350D"/>
    <w:rPr>
      <w:color w:val="2B579A"/>
      <w:shd w:val="clear" w:color="auto" w:fill="E1DFDD"/>
    </w:rPr>
  </w:style>
  <w:style w:type="paragraph" w:styleId="Revision">
    <w:name w:val="Revision"/>
    <w:hidden/>
    <w:uiPriority w:val="99"/>
    <w:semiHidden/>
    <w:rsid w:val="00301657"/>
    <w:pPr>
      <w:spacing w:after="0" w:line="240" w:lineRule="auto"/>
    </w:pPr>
    <w:rPr>
      <w:rFonts w:ascii="Times New Roman" w:eastAsia="Times New Roman" w:hAnsi="Times New Roman" w:cs="Times New Roman"/>
      <w:sz w:val="24"/>
      <w:szCs w:val="20"/>
    </w:rPr>
  </w:style>
  <w:style w:type="paragraph" w:customStyle="1" w:styleId="Default">
    <w:name w:val="Default"/>
    <w:rsid w:val="00DD1A1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A7EBC04EB0E14D89BF257D956EBD76" ma:contentTypeVersion="10" ma:contentTypeDescription="Create a new document." ma:contentTypeScope="" ma:versionID="a2ea8cdeb741d8c0728332b992abc3af">
  <xsd:schema xmlns:xsd="http://www.w3.org/2001/XMLSchema" xmlns:xs="http://www.w3.org/2001/XMLSchema" xmlns:p="http://schemas.microsoft.com/office/2006/metadata/properties" xmlns:ns2="c68ad34e-a0d9-43b8-8d91-cf7d1044e8e1" xmlns:ns3="8156a931-90ed-4987-8e2b-7d78c8983f89" targetNamespace="http://schemas.microsoft.com/office/2006/metadata/properties" ma:root="true" ma:fieldsID="af01717ecab0bf3cf9426ff71ec1912e" ns2:_="" ns3:_="">
    <xsd:import namespace="c68ad34e-a0d9-43b8-8d91-cf7d1044e8e1"/>
    <xsd:import namespace="8156a931-90ed-4987-8e2b-7d78c8983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ad34e-a0d9-43b8-8d91-cf7d1044e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a931-90ed-4987-8e2b-7d78c8983f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3BFCED-1363-461F-B7DF-E7818212BAA3}">
  <ds:schemaRefs>
    <ds:schemaRef ds:uri="http://schemas.microsoft.com/sharepoint/v3/contenttype/forms"/>
  </ds:schemaRefs>
</ds:datastoreItem>
</file>

<file path=customXml/itemProps2.xml><?xml version="1.0" encoding="utf-8"?>
<ds:datastoreItem xmlns:ds="http://schemas.openxmlformats.org/officeDocument/2006/customXml" ds:itemID="{D8F73F1E-1923-4952-8454-3C65B2F3BB7F}">
  <ds:schemaRefs>
    <ds:schemaRef ds:uri="http://schemas.openxmlformats.org/officeDocument/2006/bibliography"/>
  </ds:schemaRefs>
</ds:datastoreItem>
</file>

<file path=customXml/itemProps3.xml><?xml version="1.0" encoding="utf-8"?>
<ds:datastoreItem xmlns:ds="http://schemas.openxmlformats.org/officeDocument/2006/customXml" ds:itemID="{2D9FAC54-63F2-4270-B977-FB48C00BA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ad34e-a0d9-43b8-8d91-cf7d1044e8e1"/>
    <ds:schemaRef ds:uri="8156a931-90ed-4987-8e2b-7d78c898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6C6AD-7CF1-420D-BF14-F3F434F61A82}">
  <ds:schemaRefs>
    <ds:schemaRef ds:uri="c68ad34e-a0d9-43b8-8d91-cf7d1044e8e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156a931-90ed-4987-8e2b-7d78c8983f89"/>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Galadima, MPH</dc:creator>
  <cp:lastModifiedBy>Johnson, Renee (HHS/OMHA)</cp:lastModifiedBy>
  <cp:revision>2</cp:revision>
  <dcterms:created xsi:type="dcterms:W3CDTF">2023-12-04T13:54:00Z</dcterms:created>
  <dcterms:modified xsi:type="dcterms:W3CDTF">2023-12-04T13:54:00Z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0x01010069A7EBC04EB0E14D89BF257D956EBD76</vt:lpwstr>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_ExtendedDescription">
    <vt:lpwstr/>
  </property>
</Properties>
</file>