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37CD8" w:rsidRPr="006D3CDA" w:rsidP="00466B49" w14:paraId="45312580" w14:textId="1B06925B">
      <w:pPr>
        <w:jc w:val="center"/>
        <w:rPr>
          <w:rFonts w:ascii="Tahoma" w:hAnsi="Tahoma" w:cs="Tahoma"/>
          <w:b/>
          <w:bCs/>
          <w:sz w:val="22"/>
          <w:szCs w:val="22"/>
          <w:u w:val="single"/>
        </w:rPr>
      </w:pPr>
      <w:r w:rsidRPr="006D3CDA">
        <w:rPr>
          <w:rFonts w:ascii="Tahoma" w:hAnsi="Tahoma" w:cs="Tahoma"/>
          <w:b/>
          <w:bCs/>
          <w:sz w:val="22"/>
          <w:szCs w:val="22"/>
          <w:u w:val="single"/>
        </w:rPr>
        <w:t>Department of the Treasury</w:t>
      </w:r>
    </w:p>
    <w:p w:rsidR="003A5DE5" w:rsidP="00466B49" w14:paraId="097876CC" w14:textId="77777777">
      <w:pPr>
        <w:ind w:left="-360" w:right="-360"/>
        <w:jc w:val="center"/>
        <w:rPr>
          <w:rFonts w:ascii="Arial" w:hAnsi="Arial" w:cs="Arial"/>
          <w:b/>
          <w:bCs/>
          <w:u w:val="single"/>
        </w:rPr>
      </w:pPr>
      <w:r>
        <w:rPr>
          <w:rFonts w:ascii="Arial" w:hAnsi="Arial" w:cs="Arial"/>
          <w:b/>
          <w:bCs/>
          <w:u w:val="single"/>
        </w:rPr>
        <w:t xml:space="preserve">Supporting Statement </w:t>
      </w:r>
    </w:p>
    <w:p w:rsidR="00C37CD8" w:rsidP="00466B49" w14:paraId="6D7214AC" w14:textId="126FD654">
      <w:pPr>
        <w:ind w:left="-360" w:right="-360"/>
        <w:jc w:val="center"/>
        <w:rPr>
          <w:rFonts w:ascii="Arial" w:hAnsi="Arial" w:cs="Arial"/>
          <w:b/>
          <w:bCs/>
          <w:u w:val="single"/>
        </w:rPr>
      </w:pPr>
      <w:r w:rsidRPr="008112BA">
        <w:rPr>
          <w:rFonts w:ascii="Arial" w:hAnsi="Arial" w:cs="Arial"/>
          <w:b/>
          <w:bCs/>
          <w:u w:val="single"/>
        </w:rPr>
        <w:t xml:space="preserve">OMB </w:t>
      </w:r>
      <w:r w:rsidR="007015A7">
        <w:rPr>
          <w:rFonts w:ascii="Arial" w:hAnsi="Arial" w:cs="Arial"/>
          <w:b/>
          <w:bCs/>
          <w:u w:val="single"/>
        </w:rPr>
        <w:t>1505</w:t>
      </w:r>
      <w:r w:rsidRPr="008112BA">
        <w:rPr>
          <w:rFonts w:ascii="Arial" w:hAnsi="Arial" w:cs="Arial"/>
          <w:b/>
          <w:bCs/>
          <w:u w:val="single"/>
        </w:rPr>
        <w:t>-</w:t>
      </w:r>
      <w:r w:rsidR="00650741">
        <w:rPr>
          <w:rFonts w:ascii="Arial" w:hAnsi="Arial" w:cs="Arial"/>
          <w:b/>
          <w:bCs/>
          <w:u w:val="single"/>
        </w:rPr>
        <w:t>NEW</w:t>
      </w:r>
    </w:p>
    <w:p w:rsidR="007015A7" w:rsidRPr="008112BA" w:rsidP="00466B49" w14:paraId="27E18115" w14:textId="77777777">
      <w:pPr>
        <w:ind w:left="-360" w:right="-360"/>
        <w:jc w:val="center"/>
        <w:rPr>
          <w:rFonts w:ascii="Arial" w:hAnsi="Arial" w:cs="Arial"/>
          <w:color w:val="3366FF"/>
          <w:u w:val="single"/>
        </w:rPr>
      </w:pPr>
    </w:p>
    <w:p w:rsidR="00EC10FF" w:rsidP="00BC5EF3" w14:paraId="4C8FFCE6" w14:textId="1121BCC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Arial" w:hAnsi="Arial" w:cs="Arial"/>
          <w:color w:val="000000"/>
        </w:rPr>
      </w:pPr>
      <w:bookmarkStart w:id="0" w:name="_Hlk111724040"/>
      <w:r w:rsidRPr="00C218C2">
        <w:rPr>
          <w:rFonts w:ascii="Arial" w:hAnsi="Arial" w:cs="Arial"/>
          <w:color w:val="000000"/>
        </w:rPr>
        <w:t xml:space="preserve">Ongoing Data Collection of Non-Centrally Cleared Bilateral Transactions in the U.S. Repurchase Agreement </w:t>
      </w:r>
      <w:r w:rsidR="00F432C5">
        <w:rPr>
          <w:rFonts w:ascii="Arial" w:hAnsi="Arial" w:cs="Arial"/>
          <w:color w:val="000000"/>
        </w:rPr>
        <w:t xml:space="preserve">(Repo) </w:t>
      </w:r>
      <w:r w:rsidRPr="00C218C2">
        <w:rPr>
          <w:rFonts w:ascii="Arial" w:hAnsi="Arial" w:cs="Arial"/>
          <w:color w:val="000000"/>
        </w:rPr>
        <w:t>Market</w:t>
      </w:r>
    </w:p>
    <w:p w:rsidR="007015A7" w:rsidRPr="00C218C2" w:rsidP="00BC5EF3" w14:paraId="5653CFF8"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color w:val="000000"/>
          <w:sz w:val="22"/>
          <w:szCs w:val="22"/>
        </w:rPr>
      </w:pPr>
    </w:p>
    <w:bookmarkEnd w:id="0"/>
    <w:p w:rsidR="008112BA" w:rsidP="00BC5EF3" w14:paraId="4AE5EB7B" w14:textId="77777777">
      <w:pPr>
        <w:numPr>
          <w:ilvl w:val="0"/>
          <w:numId w:val="21"/>
        </w:numPr>
        <w:tabs>
          <w:tab w:val="left" w:pos="540"/>
          <w:tab w:val="clear" w:pos="720"/>
        </w:tabs>
        <w:ind w:left="0" w:firstLine="0"/>
        <w:rPr>
          <w:rFonts w:ascii="Arial" w:hAnsi="Arial" w:cs="Arial"/>
          <w:b/>
          <w:bCs/>
          <w:sz w:val="22"/>
          <w:szCs w:val="22"/>
        </w:rPr>
      </w:pPr>
      <w:r w:rsidRPr="008112BA">
        <w:rPr>
          <w:rFonts w:ascii="Arial" w:hAnsi="Arial" w:cs="Arial"/>
          <w:b/>
          <w:bCs/>
          <w:sz w:val="22"/>
          <w:szCs w:val="22"/>
        </w:rPr>
        <w:t>Justification</w:t>
      </w:r>
    </w:p>
    <w:p w:rsidR="008112BA" w:rsidRPr="008112BA" w:rsidP="00BC5EF3" w14:paraId="7187A50C" w14:textId="77777777">
      <w:pPr>
        <w:tabs>
          <w:tab w:val="left" w:pos="540"/>
        </w:tabs>
        <w:rPr>
          <w:rFonts w:ascii="Arial" w:hAnsi="Arial" w:cs="Arial"/>
          <w:b/>
          <w:bCs/>
          <w:sz w:val="22"/>
          <w:szCs w:val="22"/>
        </w:rPr>
      </w:pPr>
    </w:p>
    <w:p w:rsidR="00432C2B" w:rsidP="00BC5EF3" w14:paraId="7BD3B59E" w14:textId="77777777">
      <w:pPr>
        <w:pStyle w:val="BodyTextIndent2"/>
        <w:numPr>
          <w:ilvl w:val="0"/>
          <w:numId w:val="11"/>
        </w:numPr>
        <w:tabs>
          <w:tab w:val="clear" w:pos="0"/>
          <w:tab w:val="clear" w:pos="360"/>
          <w:tab w:val="left" w:pos="540"/>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spacing w:before="120" w:after="120"/>
        <w:ind w:left="540" w:hanging="540"/>
        <w:rPr>
          <w:rFonts w:ascii="Arial" w:hAnsi="Arial" w:cs="Arial"/>
          <w:sz w:val="22"/>
          <w:szCs w:val="22"/>
        </w:rPr>
      </w:pPr>
      <w:r>
        <w:rPr>
          <w:rFonts w:ascii="Arial" w:hAnsi="Arial" w:cs="Arial"/>
          <w:sz w:val="22"/>
          <w:szCs w:val="22"/>
        </w:rPr>
        <w:t>Circumstances Making the Collection of Information Necessary.</w:t>
      </w:r>
    </w:p>
    <w:p w:rsidR="00315E5B" w:rsidRPr="003A3552" w:rsidP="003A3552" w14:paraId="73AACEC1" w14:textId="6B392A6E">
      <w:pPr>
        <w:tabs>
          <w:tab w:val="left" w:pos="540"/>
        </w:tabs>
        <w:spacing w:before="120" w:after="120"/>
        <w:rPr>
          <w:rFonts w:ascii="Arial" w:hAnsi="Arial" w:cs="Arial"/>
          <w:color w:val="000000"/>
          <w:sz w:val="22"/>
          <w:szCs w:val="22"/>
        </w:rPr>
      </w:pPr>
      <w:r w:rsidRPr="00C218C2">
        <w:rPr>
          <w:rFonts w:ascii="Arial" w:hAnsi="Arial" w:cs="Arial"/>
          <w:color w:val="000000"/>
          <w:sz w:val="22"/>
          <w:szCs w:val="22"/>
        </w:rPr>
        <w:t>The collection of data on the non-centrally cleared bilateral segment of the re</w:t>
      </w:r>
      <w:r w:rsidRPr="003A3552">
        <w:rPr>
          <w:rFonts w:ascii="Arial" w:hAnsi="Arial" w:cs="Arial"/>
          <w:color w:val="000000"/>
          <w:sz w:val="22"/>
          <w:szCs w:val="22"/>
        </w:rPr>
        <w:t xml:space="preserve">po market </w:t>
      </w:r>
      <w:r w:rsidRPr="003A3552" w:rsidR="6F216EC1">
        <w:rPr>
          <w:rFonts w:ascii="Arial" w:hAnsi="Arial" w:cs="Arial"/>
          <w:color w:val="000000"/>
          <w:sz w:val="22"/>
          <w:szCs w:val="22"/>
        </w:rPr>
        <w:t xml:space="preserve">is consistent with the </w:t>
      </w:r>
      <w:r w:rsidRPr="003A3552" w:rsidR="02C1A66E">
        <w:rPr>
          <w:rFonts w:ascii="Arial" w:hAnsi="Arial" w:cs="Arial"/>
          <w:color w:val="000000"/>
          <w:sz w:val="22"/>
          <w:szCs w:val="22"/>
        </w:rPr>
        <w:t xml:space="preserve">purpose and duties of the Office of Financial Research </w:t>
      </w:r>
      <w:r w:rsidRPr="003A3552" w:rsidR="0ACCB853">
        <w:rPr>
          <w:rFonts w:ascii="Arial" w:hAnsi="Arial" w:cs="Arial"/>
          <w:color w:val="000000"/>
          <w:sz w:val="22"/>
          <w:szCs w:val="22"/>
        </w:rPr>
        <w:t xml:space="preserve">(OFR) </w:t>
      </w:r>
      <w:r w:rsidRPr="003A3552" w:rsidR="02C1A66E">
        <w:rPr>
          <w:rFonts w:ascii="Arial" w:hAnsi="Arial" w:cs="Arial"/>
          <w:color w:val="000000"/>
          <w:sz w:val="22"/>
          <w:szCs w:val="22"/>
        </w:rPr>
        <w:t>as set forth</w:t>
      </w:r>
      <w:r w:rsidRPr="003A3552" w:rsidR="417517E4">
        <w:rPr>
          <w:rFonts w:ascii="Arial" w:hAnsi="Arial" w:cs="Arial"/>
          <w:color w:val="000000"/>
          <w:sz w:val="22"/>
          <w:szCs w:val="22"/>
        </w:rPr>
        <w:t xml:space="preserve"> in</w:t>
      </w:r>
      <w:r w:rsidRPr="003A3552" w:rsidR="02C1A66E">
        <w:rPr>
          <w:rFonts w:ascii="Arial" w:hAnsi="Arial" w:cs="Arial"/>
          <w:color w:val="000000"/>
          <w:sz w:val="22"/>
          <w:szCs w:val="22"/>
        </w:rPr>
        <w:t xml:space="preserve"> Section 153 of the </w:t>
      </w:r>
      <w:r w:rsidRPr="003A3552" w:rsidR="006D3CDA">
        <w:rPr>
          <w:rFonts w:ascii="Arial" w:hAnsi="Arial" w:cs="Arial"/>
          <w:color w:val="000000"/>
          <w:sz w:val="22"/>
          <w:szCs w:val="22"/>
        </w:rPr>
        <w:t>Dodd-Frank Wall Street Reform and Consumer Protection Act</w:t>
      </w:r>
      <w:r w:rsidRPr="003A3552" w:rsidR="02C1A66E">
        <w:rPr>
          <w:rFonts w:ascii="Arial" w:hAnsi="Arial" w:cs="Arial"/>
          <w:color w:val="000000"/>
          <w:sz w:val="22"/>
          <w:szCs w:val="22"/>
        </w:rPr>
        <w:t xml:space="preserve"> (12 USC 5343), which </w:t>
      </w:r>
      <w:r w:rsidRPr="003A3552" w:rsidR="29B60998">
        <w:rPr>
          <w:rFonts w:ascii="Arial" w:hAnsi="Arial" w:cs="Arial"/>
          <w:color w:val="000000"/>
          <w:sz w:val="22"/>
          <w:szCs w:val="22"/>
        </w:rPr>
        <w:t>requir</w:t>
      </w:r>
      <w:r w:rsidRPr="003A3552" w:rsidR="471B3617">
        <w:rPr>
          <w:rFonts w:ascii="Arial" w:hAnsi="Arial" w:cs="Arial"/>
          <w:color w:val="000000"/>
          <w:sz w:val="22"/>
          <w:szCs w:val="22"/>
        </w:rPr>
        <w:t>es</w:t>
      </w:r>
      <w:r w:rsidRPr="003A3552" w:rsidR="29B60998">
        <w:rPr>
          <w:rFonts w:ascii="Arial" w:hAnsi="Arial" w:cs="Arial"/>
          <w:color w:val="000000"/>
          <w:sz w:val="22"/>
          <w:szCs w:val="22"/>
        </w:rPr>
        <w:t xml:space="preserve"> the OFR to </w:t>
      </w:r>
      <w:r w:rsidRPr="003A3552" w:rsidR="6F216EC1">
        <w:rPr>
          <w:rFonts w:ascii="Arial" w:hAnsi="Arial" w:cs="Arial"/>
          <w:color w:val="000000"/>
          <w:sz w:val="22"/>
          <w:szCs w:val="22"/>
        </w:rPr>
        <w:t xml:space="preserve">collect data on behalf of the </w:t>
      </w:r>
      <w:r w:rsidRPr="003A3552" w:rsidR="6CFD76EA">
        <w:rPr>
          <w:rFonts w:ascii="Arial" w:hAnsi="Arial" w:cs="Arial"/>
          <w:color w:val="000000"/>
          <w:sz w:val="22"/>
          <w:szCs w:val="22"/>
        </w:rPr>
        <w:t xml:space="preserve">Financial Stability Oversight </w:t>
      </w:r>
      <w:r w:rsidRPr="003A3552" w:rsidR="6F216EC1">
        <w:rPr>
          <w:rFonts w:ascii="Arial" w:hAnsi="Arial" w:cs="Arial"/>
          <w:color w:val="000000"/>
          <w:sz w:val="22"/>
          <w:szCs w:val="22"/>
        </w:rPr>
        <w:t>Council</w:t>
      </w:r>
      <w:r w:rsidRPr="003A3552" w:rsidR="7F75B727">
        <w:rPr>
          <w:rFonts w:ascii="Arial" w:hAnsi="Arial" w:cs="Arial"/>
          <w:color w:val="000000"/>
          <w:sz w:val="22"/>
          <w:szCs w:val="22"/>
        </w:rPr>
        <w:t xml:space="preserve"> </w:t>
      </w:r>
      <w:r w:rsidRPr="003A3552" w:rsidR="1C869A04">
        <w:rPr>
          <w:rFonts w:ascii="Arial" w:hAnsi="Arial" w:cs="Arial"/>
          <w:color w:val="000000"/>
          <w:sz w:val="22"/>
          <w:szCs w:val="22"/>
        </w:rPr>
        <w:t xml:space="preserve">(Council) and </w:t>
      </w:r>
      <w:r w:rsidRPr="003A3552" w:rsidR="6F216EC1">
        <w:rPr>
          <w:rFonts w:ascii="Arial" w:hAnsi="Arial" w:cs="Arial"/>
          <w:color w:val="000000"/>
          <w:sz w:val="22"/>
          <w:szCs w:val="22"/>
        </w:rPr>
        <w:t>provid</w:t>
      </w:r>
      <w:r w:rsidRPr="003A3552" w:rsidR="0002539E">
        <w:rPr>
          <w:rFonts w:ascii="Arial" w:hAnsi="Arial" w:cs="Arial"/>
          <w:color w:val="000000"/>
          <w:sz w:val="22"/>
          <w:szCs w:val="22"/>
        </w:rPr>
        <w:t>e</w:t>
      </w:r>
      <w:r w:rsidRPr="003A3552" w:rsidR="6F216EC1">
        <w:rPr>
          <w:rFonts w:ascii="Arial" w:hAnsi="Arial" w:cs="Arial"/>
          <w:color w:val="000000"/>
          <w:sz w:val="22"/>
          <w:szCs w:val="22"/>
        </w:rPr>
        <w:t xml:space="preserve"> such data to the Council and </w:t>
      </w:r>
      <w:r w:rsidRPr="003A3552" w:rsidR="6915DB34">
        <w:rPr>
          <w:rFonts w:ascii="Arial" w:hAnsi="Arial" w:cs="Arial"/>
          <w:color w:val="000000"/>
          <w:sz w:val="22"/>
          <w:szCs w:val="22"/>
        </w:rPr>
        <w:t xml:space="preserve">its </w:t>
      </w:r>
      <w:r w:rsidRPr="003A3552" w:rsidR="6F216EC1">
        <w:rPr>
          <w:rFonts w:ascii="Arial" w:hAnsi="Arial" w:cs="Arial"/>
          <w:color w:val="000000"/>
          <w:sz w:val="22"/>
          <w:szCs w:val="22"/>
        </w:rPr>
        <w:t>member agencies</w:t>
      </w:r>
      <w:r w:rsidRPr="003A3552" w:rsidR="032617EF">
        <w:rPr>
          <w:rFonts w:ascii="Arial" w:hAnsi="Arial" w:cs="Arial"/>
          <w:color w:val="000000"/>
          <w:sz w:val="22"/>
          <w:szCs w:val="22"/>
        </w:rPr>
        <w:t>, and</w:t>
      </w:r>
      <w:r w:rsidRPr="003A3552" w:rsidR="6F216EC1">
        <w:rPr>
          <w:rFonts w:ascii="Arial" w:hAnsi="Arial" w:cs="Arial"/>
          <w:color w:val="000000"/>
          <w:sz w:val="22"/>
          <w:szCs w:val="22"/>
        </w:rPr>
        <w:t xml:space="preserve"> </w:t>
      </w:r>
      <w:r w:rsidRPr="003A3552">
        <w:rPr>
          <w:rFonts w:ascii="Arial" w:hAnsi="Arial" w:cs="Arial"/>
          <w:color w:val="000000"/>
          <w:sz w:val="22"/>
          <w:szCs w:val="22"/>
        </w:rPr>
        <w:t>marks th</w:t>
      </w:r>
      <w:r w:rsidRPr="00C218C2">
        <w:rPr>
          <w:rFonts w:ascii="Arial" w:hAnsi="Arial" w:cs="Arial"/>
          <w:color w:val="000000"/>
          <w:sz w:val="22"/>
          <w:szCs w:val="22"/>
        </w:rPr>
        <w:t>e final step in carrying out the Council</w:t>
      </w:r>
      <w:r w:rsidRPr="00C218C2" w:rsidR="0FA02976">
        <w:rPr>
          <w:rFonts w:ascii="Arial" w:hAnsi="Arial" w:cs="Arial"/>
          <w:color w:val="000000"/>
          <w:sz w:val="22"/>
          <w:szCs w:val="22"/>
        </w:rPr>
        <w:t>’s</w:t>
      </w:r>
      <w:r w:rsidRPr="00C218C2">
        <w:rPr>
          <w:rFonts w:ascii="Arial" w:hAnsi="Arial" w:cs="Arial"/>
          <w:color w:val="000000"/>
          <w:sz w:val="22"/>
          <w:szCs w:val="22"/>
        </w:rPr>
        <w:t xml:space="preserve"> recommendation to expand and make permanent the collection of data on the U.S. repo market. The Council first recommended a collection of non-centrally cleared bilateral repo data in its 2016 annual report. The </w:t>
      </w:r>
      <w:r w:rsidR="000E1054">
        <w:rPr>
          <w:rFonts w:ascii="Arial" w:hAnsi="Arial" w:cs="Arial"/>
          <w:color w:val="000000"/>
          <w:sz w:val="22"/>
          <w:szCs w:val="22"/>
        </w:rPr>
        <w:t>OFR</w:t>
      </w:r>
      <w:r w:rsidRPr="00C218C2">
        <w:rPr>
          <w:rFonts w:ascii="Arial" w:hAnsi="Arial" w:cs="Arial"/>
          <w:color w:val="000000"/>
          <w:sz w:val="22"/>
          <w:szCs w:val="22"/>
        </w:rPr>
        <w:t xml:space="preserve"> mentioned in its 2018 rule making on cleared repo that it was considering separate rule making on the non-centrally cleared bilateral segment of the repo market. In the wake of the March 2020 illiquidity in the Treasury market</w:t>
      </w:r>
      <w:r w:rsidRPr="00C218C2" w:rsidR="47AD6162">
        <w:rPr>
          <w:rFonts w:ascii="Arial" w:hAnsi="Arial" w:cs="Arial"/>
          <w:color w:val="000000"/>
          <w:sz w:val="22"/>
          <w:szCs w:val="22"/>
        </w:rPr>
        <w:t>,</w:t>
      </w:r>
      <w:r w:rsidRPr="00C218C2">
        <w:rPr>
          <w:rFonts w:ascii="Arial" w:hAnsi="Arial" w:cs="Arial"/>
          <w:color w:val="000000"/>
          <w:sz w:val="22"/>
          <w:szCs w:val="22"/>
        </w:rPr>
        <w:t xml:space="preserve"> both the </w:t>
      </w:r>
      <w:r w:rsidR="000E1054">
        <w:rPr>
          <w:rFonts w:ascii="Arial" w:hAnsi="Arial" w:cs="Arial"/>
          <w:color w:val="000000"/>
          <w:sz w:val="22"/>
          <w:szCs w:val="22"/>
        </w:rPr>
        <w:t>OFR</w:t>
      </w:r>
      <w:r w:rsidRPr="00C218C2">
        <w:rPr>
          <w:rFonts w:ascii="Arial" w:hAnsi="Arial" w:cs="Arial"/>
          <w:color w:val="000000"/>
          <w:sz w:val="22"/>
          <w:szCs w:val="22"/>
        </w:rPr>
        <w:t xml:space="preserve">’s 2020 Annual Report and the Council’s 2020 Annual Report highlighted the non-centrally cleared bilateral repo market as an important blind spot in financial stability monitoring. The Council again recommended a collection of non-centrally cleared bilateral repo data in its 2021 annual report to Congress. </w:t>
      </w:r>
      <w:r w:rsidRPr="00315E5B">
        <w:rPr>
          <w:rFonts w:ascii="Arial" w:hAnsi="Arial" w:cs="Arial"/>
          <w:color w:val="000000"/>
          <w:sz w:val="22"/>
          <w:szCs w:val="22"/>
        </w:rPr>
        <w:t xml:space="preserve">In a 2022 statement on nonbank financial intermediation, the Council supported a recommendation made by the Council’s Hedge Fund Working Group that the Office consider ways to collect NCCBR data and, in July 2022 and February 2024, the Office consulted with the Council on efforts to collect NCCBR data.  </w:t>
      </w:r>
    </w:p>
    <w:p w:rsidR="003114F2" w:rsidRPr="003A3552" w:rsidP="003A3552" w14:paraId="3BC883AE" w14:textId="0010F26E">
      <w:pPr>
        <w:tabs>
          <w:tab w:val="left" w:pos="540"/>
        </w:tabs>
        <w:spacing w:before="120" w:after="120"/>
        <w:rPr>
          <w:rFonts w:ascii="Arial" w:hAnsi="Arial" w:cs="Arial"/>
          <w:color w:val="000000"/>
          <w:sz w:val="22"/>
          <w:szCs w:val="22"/>
        </w:rPr>
      </w:pPr>
      <w:r w:rsidRPr="003A3552">
        <w:rPr>
          <w:rFonts w:ascii="Arial" w:hAnsi="Arial" w:cs="Arial"/>
          <w:color w:val="000000"/>
          <w:sz w:val="22"/>
          <w:szCs w:val="22"/>
        </w:rPr>
        <w:t xml:space="preserve">The collection of transactional data on non-centrally cleared bilateral repos is key to the Council's effective identification and monitoring of emerging threats to the stability of the U.S. financial system, filling in the remaining gap in coverage following the </w:t>
      </w:r>
      <w:r w:rsidRPr="003A3552" w:rsidR="669C2AE8">
        <w:rPr>
          <w:rFonts w:ascii="Arial" w:hAnsi="Arial" w:cs="Arial"/>
          <w:color w:val="000000"/>
          <w:sz w:val="22"/>
          <w:szCs w:val="22"/>
        </w:rPr>
        <w:t>OFR</w:t>
      </w:r>
      <w:r w:rsidRPr="003A3552">
        <w:rPr>
          <w:rFonts w:ascii="Arial" w:hAnsi="Arial" w:cs="Arial"/>
          <w:color w:val="000000"/>
          <w:sz w:val="22"/>
          <w:szCs w:val="22"/>
        </w:rPr>
        <w:t xml:space="preserve">’s rulemaking on the cleared repo market. By collecting from </w:t>
      </w:r>
      <w:r w:rsidRPr="003A3552" w:rsidR="7A3963DC">
        <w:rPr>
          <w:rFonts w:ascii="Arial" w:hAnsi="Arial" w:cs="Arial"/>
          <w:color w:val="000000"/>
          <w:sz w:val="22"/>
          <w:szCs w:val="22"/>
        </w:rPr>
        <w:t>financial companies</w:t>
      </w:r>
      <w:r w:rsidRPr="003A3552">
        <w:rPr>
          <w:rFonts w:ascii="Arial" w:hAnsi="Arial" w:cs="Arial"/>
          <w:color w:val="000000"/>
          <w:sz w:val="22"/>
          <w:szCs w:val="22"/>
        </w:rPr>
        <w:t xml:space="preserve"> with over $10 billion in outstanding non-centrally cleared bilateral repo borrowing, the </w:t>
      </w:r>
      <w:r w:rsidRPr="003A3552" w:rsidR="669C2AE8">
        <w:rPr>
          <w:rFonts w:ascii="Arial" w:hAnsi="Arial" w:cs="Arial"/>
          <w:color w:val="000000"/>
          <w:sz w:val="22"/>
          <w:szCs w:val="22"/>
        </w:rPr>
        <w:t>OFR</w:t>
      </w:r>
      <w:r w:rsidRPr="003A3552">
        <w:rPr>
          <w:rFonts w:ascii="Arial" w:hAnsi="Arial" w:cs="Arial"/>
          <w:color w:val="000000"/>
          <w:sz w:val="22"/>
          <w:szCs w:val="22"/>
        </w:rPr>
        <w:t xml:space="preserve"> </w:t>
      </w:r>
      <w:r w:rsidRPr="003A3552" w:rsidR="746FAC79">
        <w:rPr>
          <w:rFonts w:ascii="Arial" w:hAnsi="Arial" w:cs="Arial"/>
          <w:color w:val="000000"/>
          <w:sz w:val="22"/>
          <w:szCs w:val="22"/>
        </w:rPr>
        <w:t xml:space="preserve">initially </w:t>
      </w:r>
      <w:r w:rsidRPr="003A3552">
        <w:rPr>
          <w:rFonts w:ascii="Arial" w:hAnsi="Arial" w:cs="Arial"/>
          <w:color w:val="000000"/>
          <w:sz w:val="22"/>
          <w:szCs w:val="22"/>
        </w:rPr>
        <w:t xml:space="preserve">expects to cover over 90% of the total non-centrally cleared bilateral repo market </w:t>
      </w:r>
      <w:r w:rsidRPr="003A3552" w:rsidR="746FAC79">
        <w:rPr>
          <w:rFonts w:ascii="Arial" w:hAnsi="Arial" w:cs="Arial"/>
          <w:color w:val="000000"/>
          <w:sz w:val="22"/>
          <w:szCs w:val="22"/>
        </w:rPr>
        <w:t xml:space="preserve">segment </w:t>
      </w:r>
      <w:r w:rsidRPr="003A3552">
        <w:rPr>
          <w:rFonts w:ascii="Arial" w:hAnsi="Arial" w:cs="Arial"/>
          <w:color w:val="000000"/>
          <w:sz w:val="22"/>
          <w:szCs w:val="22"/>
        </w:rPr>
        <w:t xml:space="preserve">with 40 reporters. </w:t>
      </w:r>
    </w:p>
    <w:p w:rsidR="00AD4231" w:rsidRPr="003A3552" w:rsidP="003A3552" w14:paraId="7AD77976" w14:textId="64FAAE45">
      <w:pPr>
        <w:tabs>
          <w:tab w:val="left" w:pos="540"/>
        </w:tabs>
        <w:spacing w:before="120" w:after="120"/>
        <w:rPr>
          <w:rFonts w:ascii="Arial" w:hAnsi="Arial" w:cs="Arial"/>
          <w:color w:val="000000"/>
          <w:sz w:val="22"/>
          <w:szCs w:val="22"/>
        </w:rPr>
      </w:pPr>
      <w:r w:rsidRPr="003A3552">
        <w:rPr>
          <w:rFonts w:ascii="Arial" w:hAnsi="Arial" w:cs="Arial"/>
          <w:color w:val="000000"/>
          <w:sz w:val="22"/>
          <w:szCs w:val="22"/>
        </w:rPr>
        <w:t>In Q4 of 2023 the SEC passed a new rule that would require all treasury collateralized repo</w:t>
      </w:r>
      <w:r w:rsidRPr="003A3552" w:rsidR="00DA5E58">
        <w:rPr>
          <w:rFonts w:ascii="Arial" w:hAnsi="Arial" w:cs="Arial"/>
          <w:color w:val="000000"/>
          <w:sz w:val="22"/>
          <w:szCs w:val="22"/>
        </w:rPr>
        <w:t xml:space="preserve"> transactions</w:t>
      </w:r>
      <w:r w:rsidRPr="003A3552">
        <w:rPr>
          <w:rFonts w:ascii="Arial" w:hAnsi="Arial" w:cs="Arial"/>
          <w:color w:val="000000"/>
          <w:sz w:val="22"/>
          <w:szCs w:val="22"/>
        </w:rPr>
        <w:t xml:space="preserve"> to be centrally cleared. The rule will be fully implemented on June 30, 2026, 18 months after this data collection is projected to start. The OFR estimates that this rule will </w:t>
      </w:r>
      <w:r w:rsidRPr="003A3552" w:rsidR="00E37167">
        <w:rPr>
          <w:rFonts w:ascii="Arial" w:hAnsi="Arial" w:cs="Arial"/>
          <w:color w:val="000000"/>
          <w:sz w:val="22"/>
          <w:szCs w:val="22"/>
        </w:rPr>
        <w:t>reduce</w:t>
      </w:r>
      <w:r w:rsidRPr="003A3552">
        <w:rPr>
          <w:rFonts w:ascii="Arial" w:hAnsi="Arial" w:cs="Arial"/>
          <w:color w:val="000000"/>
          <w:sz w:val="22"/>
          <w:szCs w:val="22"/>
        </w:rPr>
        <w:t xml:space="preserve"> the size of the non-centrally cleared bilateral repo market, but that </w:t>
      </w:r>
      <w:r w:rsidRPr="003A3552" w:rsidR="00C56E70">
        <w:rPr>
          <w:rFonts w:ascii="Arial" w:hAnsi="Arial" w:cs="Arial"/>
          <w:color w:val="000000"/>
          <w:sz w:val="22"/>
          <w:szCs w:val="22"/>
        </w:rPr>
        <w:t xml:space="preserve">the </w:t>
      </w:r>
      <w:r w:rsidRPr="003A3552" w:rsidR="00FA2890">
        <w:rPr>
          <w:rFonts w:ascii="Arial" w:hAnsi="Arial" w:cs="Arial"/>
          <w:color w:val="000000"/>
          <w:sz w:val="22"/>
          <w:szCs w:val="22"/>
        </w:rPr>
        <w:t>segment</w:t>
      </w:r>
      <w:r w:rsidRPr="003A3552" w:rsidR="533EEF0C">
        <w:rPr>
          <w:rFonts w:ascii="Arial" w:hAnsi="Arial" w:cs="Arial"/>
          <w:color w:val="000000"/>
          <w:sz w:val="22"/>
          <w:szCs w:val="22"/>
        </w:rPr>
        <w:t xml:space="preserve"> still poses financial stability risks and this data collection will still be valuable to regulators.</w:t>
      </w:r>
      <w:r w:rsidRPr="003A3552" w:rsidR="161B89FC">
        <w:rPr>
          <w:rFonts w:ascii="Arial" w:hAnsi="Arial" w:cs="Arial"/>
          <w:color w:val="000000"/>
          <w:sz w:val="22"/>
          <w:szCs w:val="22"/>
        </w:rPr>
        <w:t xml:space="preserve"> This market will remain the segment with the riskiest collateral and counterparties even after the full implementation of the SEC’s central clearing rule. For this reason, there remains value in this data collection both to monitor the transition period before full implementation of the SEC’s rule, and to close a potential data gap after the full implementation of the rule.</w:t>
      </w:r>
    </w:p>
    <w:p w:rsidR="00AD4231" w:rsidRPr="003A3552" w:rsidP="003A3552" w14:paraId="56E84D0A" w14:textId="7EF0A066">
      <w:pPr>
        <w:tabs>
          <w:tab w:val="left" w:pos="540"/>
        </w:tabs>
        <w:spacing w:before="120" w:after="120"/>
        <w:rPr>
          <w:rFonts w:ascii="Arial" w:hAnsi="Arial" w:cs="Arial"/>
          <w:color w:val="000000"/>
          <w:sz w:val="22"/>
          <w:szCs w:val="22"/>
        </w:rPr>
      </w:pPr>
      <w:r w:rsidRPr="003A3552">
        <w:rPr>
          <w:rFonts w:ascii="Arial" w:hAnsi="Arial" w:cs="Arial"/>
          <w:color w:val="000000"/>
          <w:sz w:val="22"/>
          <w:szCs w:val="22"/>
        </w:rPr>
        <w:t>It is difficult to project market characteristics after the SEC’s rule has been fully implemented, but using</w:t>
      </w:r>
      <w:r w:rsidRPr="003A3552" w:rsidR="090A1D77">
        <w:rPr>
          <w:rFonts w:ascii="Arial" w:hAnsi="Arial" w:cs="Arial"/>
          <w:color w:val="000000"/>
          <w:sz w:val="22"/>
          <w:szCs w:val="22"/>
        </w:rPr>
        <w:t xml:space="preserve"> a</w:t>
      </w:r>
      <w:r w:rsidRPr="003A3552">
        <w:rPr>
          <w:rFonts w:ascii="Arial" w:hAnsi="Arial" w:cs="Arial"/>
          <w:color w:val="000000"/>
          <w:sz w:val="22"/>
          <w:szCs w:val="22"/>
        </w:rPr>
        <w:t xml:space="preserve"> methodology similar to above</w:t>
      </w:r>
      <w:r w:rsidRPr="003A3552" w:rsidR="00086203">
        <w:rPr>
          <w:rFonts w:ascii="Arial" w:hAnsi="Arial" w:cs="Arial"/>
          <w:color w:val="000000"/>
          <w:sz w:val="22"/>
          <w:szCs w:val="22"/>
        </w:rPr>
        <w:t>,</w:t>
      </w:r>
      <w:r w:rsidRPr="003A3552">
        <w:rPr>
          <w:rFonts w:ascii="Arial" w:hAnsi="Arial" w:cs="Arial"/>
          <w:color w:val="000000"/>
          <w:sz w:val="22"/>
          <w:szCs w:val="22"/>
        </w:rPr>
        <w:t xml:space="preserve"> the OFR estimates that after the rule </w:t>
      </w:r>
      <w:r w:rsidRPr="003A3552" w:rsidR="00C77F79">
        <w:rPr>
          <w:rFonts w:ascii="Arial" w:hAnsi="Arial" w:cs="Arial"/>
          <w:color w:val="000000"/>
          <w:sz w:val="22"/>
          <w:szCs w:val="22"/>
        </w:rPr>
        <w:t>is implemented</w:t>
      </w:r>
      <w:r w:rsidRPr="003A3552" w:rsidR="00465967">
        <w:rPr>
          <w:rFonts w:ascii="Arial" w:hAnsi="Arial" w:cs="Arial"/>
          <w:color w:val="000000"/>
          <w:sz w:val="22"/>
          <w:szCs w:val="22"/>
        </w:rPr>
        <w:t>,</w:t>
      </w:r>
      <w:r w:rsidRPr="003A3552">
        <w:rPr>
          <w:rFonts w:ascii="Arial" w:hAnsi="Arial" w:cs="Arial"/>
          <w:color w:val="000000"/>
          <w:sz w:val="22"/>
          <w:szCs w:val="22"/>
        </w:rPr>
        <w:t xml:space="preserve"> the data</w:t>
      </w:r>
      <w:r w:rsidRPr="003A3552" w:rsidR="580C974C">
        <w:rPr>
          <w:rFonts w:ascii="Arial" w:hAnsi="Arial" w:cs="Arial"/>
          <w:color w:val="000000"/>
          <w:sz w:val="22"/>
          <w:szCs w:val="22"/>
        </w:rPr>
        <w:t xml:space="preserve"> </w:t>
      </w:r>
      <w:r w:rsidRPr="003A3552">
        <w:rPr>
          <w:rFonts w:ascii="Arial" w:hAnsi="Arial" w:cs="Arial"/>
          <w:color w:val="000000"/>
          <w:sz w:val="22"/>
          <w:szCs w:val="22"/>
        </w:rPr>
        <w:t xml:space="preserve">collection will cover between 56% and 75% of the remaining market with </w:t>
      </w:r>
      <w:r w:rsidRPr="003A3552" w:rsidR="00E85EA4">
        <w:rPr>
          <w:rFonts w:ascii="Arial" w:hAnsi="Arial" w:cs="Arial"/>
          <w:color w:val="000000"/>
          <w:sz w:val="22"/>
          <w:szCs w:val="22"/>
        </w:rPr>
        <w:t xml:space="preserve">between </w:t>
      </w:r>
      <w:r w:rsidRPr="003A3552">
        <w:rPr>
          <w:rFonts w:ascii="Arial" w:hAnsi="Arial" w:cs="Arial"/>
          <w:color w:val="000000"/>
          <w:sz w:val="22"/>
          <w:szCs w:val="22"/>
        </w:rPr>
        <w:t xml:space="preserve">6 </w:t>
      </w:r>
      <w:r w:rsidRPr="003A3552" w:rsidR="00E85EA4">
        <w:rPr>
          <w:rFonts w:ascii="Arial" w:hAnsi="Arial" w:cs="Arial"/>
          <w:color w:val="000000"/>
          <w:sz w:val="22"/>
          <w:szCs w:val="22"/>
        </w:rPr>
        <w:t>and</w:t>
      </w:r>
      <w:r w:rsidRPr="003A3552">
        <w:rPr>
          <w:rFonts w:ascii="Arial" w:hAnsi="Arial" w:cs="Arial"/>
          <w:color w:val="000000"/>
          <w:sz w:val="22"/>
          <w:szCs w:val="22"/>
        </w:rPr>
        <w:t xml:space="preserve"> 15 covered reporters.</w:t>
      </w:r>
      <w:r w:rsidRPr="003A3552" w:rsidR="2E1EF9F3">
        <w:rPr>
          <w:rFonts w:ascii="Arial" w:hAnsi="Arial" w:cs="Arial"/>
          <w:color w:val="000000"/>
          <w:sz w:val="22"/>
          <w:szCs w:val="22"/>
        </w:rPr>
        <w:t xml:space="preserve"> The </w:t>
      </w:r>
      <w:r w:rsidRPr="003A3552" w:rsidR="00060279">
        <w:rPr>
          <w:rFonts w:ascii="Arial" w:hAnsi="Arial" w:cs="Arial"/>
          <w:color w:val="000000"/>
          <w:sz w:val="22"/>
          <w:szCs w:val="22"/>
        </w:rPr>
        <w:t xml:space="preserve">OFR believes </w:t>
      </w:r>
      <w:r w:rsidRPr="003A3552" w:rsidR="2E1EF9F3">
        <w:rPr>
          <w:rFonts w:ascii="Arial" w:hAnsi="Arial" w:cs="Arial"/>
          <w:color w:val="000000"/>
          <w:sz w:val="22"/>
          <w:szCs w:val="22"/>
        </w:rPr>
        <w:t xml:space="preserve">56% is a very conservative estimate based on the assumption that all treasuries collateralized </w:t>
      </w:r>
      <w:r w:rsidRPr="003A3552" w:rsidR="1E0D7384">
        <w:rPr>
          <w:rFonts w:ascii="Arial" w:hAnsi="Arial" w:cs="Arial"/>
          <w:color w:val="000000"/>
          <w:sz w:val="22"/>
          <w:szCs w:val="22"/>
        </w:rPr>
        <w:t xml:space="preserve">repo </w:t>
      </w:r>
      <w:r w:rsidRPr="003A3552" w:rsidR="00E03CBD">
        <w:rPr>
          <w:rFonts w:ascii="Arial" w:hAnsi="Arial" w:cs="Arial"/>
          <w:color w:val="000000"/>
          <w:sz w:val="22"/>
          <w:szCs w:val="22"/>
        </w:rPr>
        <w:t xml:space="preserve">transactions </w:t>
      </w:r>
      <w:r w:rsidRPr="003A3552" w:rsidR="1E0D7384">
        <w:rPr>
          <w:rFonts w:ascii="Arial" w:hAnsi="Arial" w:cs="Arial"/>
          <w:color w:val="000000"/>
          <w:sz w:val="22"/>
          <w:szCs w:val="22"/>
        </w:rPr>
        <w:t xml:space="preserve">migrate to central clearing, and </w:t>
      </w:r>
      <w:r w:rsidRPr="003A3552" w:rsidR="1E0D7384">
        <w:rPr>
          <w:rFonts w:ascii="Arial" w:hAnsi="Arial" w:cs="Arial"/>
          <w:color w:val="000000"/>
          <w:sz w:val="22"/>
          <w:szCs w:val="22"/>
        </w:rPr>
        <w:t>th</w:t>
      </w:r>
      <w:r w:rsidRPr="003A3552" w:rsidR="0056407D">
        <w:rPr>
          <w:rFonts w:ascii="Arial" w:hAnsi="Arial" w:cs="Arial"/>
          <w:color w:val="000000"/>
          <w:sz w:val="22"/>
          <w:szCs w:val="22"/>
        </w:rPr>
        <w:t>at</w:t>
      </w:r>
      <w:r w:rsidRPr="003A3552" w:rsidR="1E0D7384">
        <w:rPr>
          <w:rFonts w:ascii="Arial" w:hAnsi="Arial" w:cs="Arial"/>
          <w:color w:val="000000"/>
          <w:sz w:val="22"/>
          <w:szCs w:val="22"/>
        </w:rPr>
        <w:t xml:space="preserve"> 75% is an estimate that assumes a modest amount </w:t>
      </w:r>
      <w:r w:rsidRPr="003A3552" w:rsidR="00A1047A">
        <w:rPr>
          <w:rFonts w:ascii="Arial" w:hAnsi="Arial" w:cs="Arial"/>
          <w:color w:val="000000"/>
          <w:sz w:val="22"/>
          <w:szCs w:val="22"/>
        </w:rPr>
        <w:t>remains</w:t>
      </w:r>
      <w:r w:rsidRPr="003A3552" w:rsidR="1E0D7384">
        <w:rPr>
          <w:rFonts w:ascii="Arial" w:hAnsi="Arial" w:cs="Arial"/>
          <w:color w:val="000000"/>
          <w:sz w:val="22"/>
          <w:szCs w:val="22"/>
        </w:rPr>
        <w:t xml:space="preserve"> in the NCCBR market</w:t>
      </w:r>
      <w:r w:rsidRPr="003A3552" w:rsidR="51A1CD78">
        <w:rPr>
          <w:rFonts w:ascii="Arial" w:hAnsi="Arial" w:cs="Arial"/>
          <w:color w:val="000000"/>
          <w:sz w:val="22"/>
          <w:szCs w:val="22"/>
        </w:rPr>
        <w:t>.</w:t>
      </w:r>
      <w:r w:rsidRPr="003A3552" w:rsidR="1E0D7384">
        <w:rPr>
          <w:rFonts w:ascii="Arial" w:hAnsi="Arial" w:cs="Arial"/>
          <w:color w:val="000000"/>
          <w:sz w:val="22"/>
          <w:szCs w:val="22"/>
        </w:rPr>
        <w:t xml:space="preserve"> </w:t>
      </w:r>
      <w:r w:rsidRPr="003A3552">
        <w:rPr>
          <w:rFonts w:ascii="Arial" w:hAnsi="Arial" w:cs="Arial"/>
          <w:color w:val="000000"/>
          <w:sz w:val="22"/>
          <w:szCs w:val="22"/>
        </w:rPr>
        <w:t xml:space="preserve">The scope of the SEC’s rule depends on </w:t>
      </w:r>
      <w:r w:rsidRPr="003A3552" w:rsidR="4F428062">
        <w:rPr>
          <w:rFonts w:ascii="Arial" w:hAnsi="Arial" w:cs="Arial"/>
          <w:color w:val="000000"/>
          <w:sz w:val="22"/>
          <w:szCs w:val="22"/>
        </w:rPr>
        <w:t>FICC</w:t>
      </w:r>
      <w:r w:rsidRPr="003A3552">
        <w:rPr>
          <w:rFonts w:ascii="Arial" w:hAnsi="Arial" w:cs="Arial"/>
          <w:color w:val="000000"/>
          <w:sz w:val="22"/>
          <w:szCs w:val="22"/>
        </w:rPr>
        <w:t xml:space="preserve">’s ability to adjust </w:t>
      </w:r>
      <w:r w:rsidRPr="003A3552" w:rsidR="0095651C">
        <w:rPr>
          <w:rFonts w:ascii="Arial" w:hAnsi="Arial" w:cs="Arial"/>
          <w:color w:val="000000"/>
          <w:sz w:val="22"/>
          <w:szCs w:val="22"/>
        </w:rPr>
        <w:t>its</w:t>
      </w:r>
      <w:r w:rsidRPr="003A3552">
        <w:rPr>
          <w:rFonts w:ascii="Arial" w:hAnsi="Arial" w:cs="Arial"/>
          <w:color w:val="000000"/>
          <w:sz w:val="22"/>
          <w:szCs w:val="22"/>
        </w:rPr>
        <w:t xml:space="preserve"> </w:t>
      </w:r>
      <w:r w:rsidRPr="003A3552" w:rsidR="47CC96CB">
        <w:rPr>
          <w:rFonts w:ascii="Arial" w:hAnsi="Arial" w:cs="Arial"/>
          <w:color w:val="000000"/>
          <w:sz w:val="22"/>
          <w:szCs w:val="22"/>
        </w:rPr>
        <w:t>clearing rules</w:t>
      </w:r>
      <w:r w:rsidRPr="003A3552">
        <w:rPr>
          <w:rFonts w:ascii="Arial" w:hAnsi="Arial" w:cs="Arial"/>
          <w:color w:val="000000"/>
          <w:sz w:val="22"/>
          <w:szCs w:val="22"/>
        </w:rPr>
        <w:t xml:space="preserve"> to allow for </w:t>
      </w:r>
      <w:r w:rsidRPr="003A3552" w:rsidR="462A4A58">
        <w:rPr>
          <w:rFonts w:ascii="Arial" w:hAnsi="Arial" w:cs="Arial"/>
          <w:color w:val="000000"/>
          <w:sz w:val="22"/>
          <w:szCs w:val="22"/>
        </w:rPr>
        <w:t>repo contracts with embedded optionality</w:t>
      </w:r>
      <w:r w:rsidRPr="003A3552">
        <w:rPr>
          <w:rFonts w:ascii="Arial" w:hAnsi="Arial" w:cs="Arial"/>
          <w:color w:val="000000"/>
          <w:sz w:val="22"/>
          <w:szCs w:val="22"/>
        </w:rPr>
        <w:t xml:space="preserve">, and it is currently unclear how this will be achieved. In addition, </w:t>
      </w:r>
      <w:r w:rsidRPr="003A3552" w:rsidR="53A7E90E">
        <w:rPr>
          <w:rFonts w:ascii="Arial" w:hAnsi="Arial" w:cs="Arial"/>
          <w:color w:val="000000"/>
          <w:sz w:val="22"/>
          <w:szCs w:val="22"/>
        </w:rPr>
        <w:t>inter</w:t>
      </w:r>
      <w:r w:rsidR="0032621D">
        <w:rPr>
          <w:rFonts w:ascii="Arial" w:hAnsi="Arial" w:cs="Arial"/>
          <w:color w:val="000000"/>
          <w:sz w:val="22"/>
          <w:szCs w:val="22"/>
        </w:rPr>
        <w:t>-</w:t>
      </w:r>
      <w:r w:rsidRPr="003A3552" w:rsidR="53A7E90E">
        <w:rPr>
          <w:rFonts w:ascii="Arial" w:hAnsi="Arial" w:cs="Arial"/>
          <w:color w:val="000000"/>
          <w:sz w:val="22"/>
          <w:szCs w:val="22"/>
        </w:rPr>
        <w:t xml:space="preserve">affiliate trades are exempt from the SEC rule. The </w:t>
      </w:r>
      <w:r w:rsidRPr="003A3552" w:rsidR="313CEF7E">
        <w:rPr>
          <w:rFonts w:ascii="Arial" w:hAnsi="Arial" w:cs="Arial"/>
          <w:color w:val="000000"/>
          <w:sz w:val="22"/>
          <w:szCs w:val="22"/>
        </w:rPr>
        <w:t xml:space="preserve">volume of treasury trading that would need to </w:t>
      </w:r>
      <w:r w:rsidRPr="003A3552" w:rsidR="002769EE">
        <w:rPr>
          <w:rFonts w:ascii="Arial" w:hAnsi="Arial" w:cs="Arial"/>
          <w:color w:val="000000"/>
          <w:sz w:val="22"/>
          <w:szCs w:val="22"/>
        </w:rPr>
        <w:t>remain</w:t>
      </w:r>
      <w:r w:rsidRPr="003A3552" w:rsidR="313CEF7E">
        <w:rPr>
          <w:rFonts w:ascii="Arial" w:hAnsi="Arial" w:cs="Arial"/>
          <w:color w:val="000000"/>
          <w:sz w:val="22"/>
          <w:szCs w:val="22"/>
        </w:rPr>
        <w:t xml:space="preserve"> for this 75% estimate (15% of current market volume) is low relative to the </w:t>
      </w:r>
      <w:r w:rsidRPr="003A3552" w:rsidR="009D4726">
        <w:rPr>
          <w:rFonts w:ascii="Arial" w:hAnsi="Arial" w:cs="Arial"/>
          <w:color w:val="000000"/>
          <w:sz w:val="22"/>
          <w:szCs w:val="22"/>
        </w:rPr>
        <w:t xml:space="preserve">total </w:t>
      </w:r>
      <w:r w:rsidRPr="003A3552" w:rsidR="313CEF7E">
        <w:rPr>
          <w:rFonts w:ascii="Arial" w:hAnsi="Arial" w:cs="Arial"/>
          <w:color w:val="000000"/>
          <w:sz w:val="22"/>
          <w:szCs w:val="22"/>
        </w:rPr>
        <w:t>amount of inter</w:t>
      </w:r>
      <w:r w:rsidR="0032621D">
        <w:rPr>
          <w:rFonts w:ascii="Arial" w:hAnsi="Arial" w:cs="Arial"/>
          <w:color w:val="000000"/>
          <w:sz w:val="22"/>
          <w:szCs w:val="22"/>
        </w:rPr>
        <w:t>-</w:t>
      </w:r>
      <w:r w:rsidRPr="003A3552" w:rsidR="313CEF7E">
        <w:rPr>
          <w:rFonts w:ascii="Arial" w:hAnsi="Arial" w:cs="Arial"/>
          <w:color w:val="000000"/>
          <w:sz w:val="22"/>
          <w:szCs w:val="22"/>
        </w:rPr>
        <w:t>affiliate trading we see</w:t>
      </w:r>
      <w:r w:rsidRPr="003A3552" w:rsidR="31C121A0">
        <w:rPr>
          <w:rFonts w:ascii="Arial" w:hAnsi="Arial" w:cs="Arial"/>
          <w:color w:val="000000"/>
          <w:sz w:val="22"/>
          <w:szCs w:val="22"/>
        </w:rPr>
        <w:t xml:space="preserve"> in </w:t>
      </w:r>
      <w:r w:rsidRPr="003A3552" w:rsidR="00F96CF5">
        <w:rPr>
          <w:rFonts w:ascii="Arial" w:hAnsi="Arial" w:cs="Arial"/>
          <w:color w:val="000000"/>
          <w:sz w:val="22"/>
          <w:szCs w:val="22"/>
        </w:rPr>
        <w:t xml:space="preserve">the OFR </w:t>
      </w:r>
      <w:r w:rsidRPr="003A3552" w:rsidR="00383963">
        <w:rPr>
          <w:rFonts w:ascii="Arial" w:hAnsi="Arial" w:cs="Arial"/>
          <w:color w:val="000000"/>
          <w:sz w:val="22"/>
          <w:szCs w:val="22"/>
        </w:rPr>
        <w:t>NCCBR 2022 pilot</w:t>
      </w:r>
      <w:r w:rsidRPr="003A3552" w:rsidR="31C121A0">
        <w:rPr>
          <w:rFonts w:ascii="Arial" w:hAnsi="Arial" w:cs="Arial"/>
          <w:color w:val="000000"/>
          <w:sz w:val="22"/>
          <w:szCs w:val="22"/>
        </w:rPr>
        <w:t xml:space="preserve"> data</w:t>
      </w:r>
      <w:r w:rsidRPr="003A3552" w:rsidR="00A97759">
        <w:rPr>
          <w:rFonts w:ascii="Arial" w:hAnsi="Arial" w:cs="Arial"/>
          <w:color w:val="000000"/>
          <w:sz w:val="22"/>
          <w:szCs w:val="22"/>
        </w:rPr>
        <w:t xml:space="preserve"> (discussed in Section 8, below)</w:t>
      </w:r>
      <w:r w:rsidRPr="003A3552" w:rsidR="31C121A0">
        <w:rPr>
          <w:rFonts w:ascii="Arial" w:hAnsi="Arial" w:cs="Arial"/>
          <w:color w:val="000000"/>
          <w:sz w:val="22"/>
          <w:szCs w:val="22"/>
        </w:rPr>
        <w:t>.</w:t>
      </w:r>
    </w:p>
    <w:p w:rsidR="00B9487E" w:rsidRPr="003A3552" w:rsidP="003A3552" w14:paraId="7166BD2A" w14:textId="61EE1406">
      <w:pPr>
        <w:tabs>
          <w:tab w:val="left" w:pos="540"/>
        </w:tabs>
        <w:spacing w:before="120" w:after="120"/>
        <w:rPr>
          <w:rFonts w:ascii="Arial" w:hAnsi="Arial" w:cs="Arial"/>
          <w:color w:val="000000"/>
          <w:sz w:val="22"/>
          <w:szCs w:val="22"/>
        </w:rPr>
      </w:pPr>
      <w:r w:rsidRPr="003A3552">
        <w:rPr>
          <w:rFonts w:ascii="Arial" w:hAnsi="Arial" w:cs="Arial"/>
          <w:color w:val="000000"/>
          <w:sz w:val="22"/>
          <w:szCs w:val="22"/>
        </w:rPr>
        <w:t xml:space="preserve">Based on the above methodology, the OFR estimates that there will be between 6 and 15 covered reporters </w:t>
      </w:r>
      <w:r w:rsidRPr="003A3552" w:rsidR="008B2F13">
        <w:rPr>
          <w:rFonts w:ascii="Arial" w:hAnsi="Arial" w:cs="Arial"/>
          <w:color w:val="000000"/>
          <w:sz w:val="22"/>
          <w:szCs w:val="22"/>
        </w:rPr>
        <w:t xml:space="preserve">after the SEC’s central clearing rule is fully implemented </w:t>
      </w:r>
      <w:r w:rsidRPr="003A3552">
        <w:rPr>
          <w:rFonts w:ascii="Arial" w:hAnsi="Arial" w:cs="Arial"/>
          <w:color w:val="000000"/>
          <w:sz w:val="22"/>
          <w:szCs w:val="22"/>
        </w:rPr>
        <w:t xml:space="preserve">and the remaining market size will be between </w:t>
      </w:r>
      <w:r w:rsidRPr="003A3552" w:rsidR="4F344748">
        <w:rPr>
          <w:rFonts w:ascii="Arial" w:hAnsi="Arial" w:cs="Arial"/>
          <w:color w:val="000000"/>
          <w:sz w:val="22"/>
          <w:szCs w:val="22"/>
        </w:rPr>
        <w:t>$297 billion and $604 billion in size under the 56% and 75% scenario</w:t>
      </w:r>
      <w:r w:rsidRPr="003A3552" w:rsidR="001361DA">
        <w:rPr>
          <w:rFonts w:ascii="Arial" w:hAnsi="Arial" w:cs="Arial"/>
          <w:color w:val="000000"/>
          <w:sz w:val="22"/>
          <w:szCs w:val="22"/>
        </w:rPr>
        <w:t>s</w:t>
      </w:r>
      <w:r w:rsidRPr="003A3552" w:rsidR="41364AEB">
        <w:rPr>
          <w:rFonts w:ascii="Arial" w:hAnsi="Arial" w:cs="Arial"/>
          <w:color w:val="000000"/>
          <w:sz w:val="22"/>
          <w:szCs w:val="22"/>
        </w:rPr>
        <w:t>, respectively. These estimates are similar in size to the centrally cleared tri-party market</w:t>
      </w:r>
      <w:r w:rsidRPr="003A3552" w:rsidR="23867A61">
        <w:rPr>
          <w:rFonts w:ascii="Arial" w:hAnsi="Arial" w:cs="Arial"/>
          <w:color w:val="000000"/>
          <w:sz w:val="22"/>
          <w:szCs w:val="22"/>
        </w:rPr>
        <w:t xml:space="preserve"> (GCF), a </w:t>
      </w:r>
      <w:r w:rsidRPr="003A3552" w:rsidR="00422A96">
        <w:rPr>
          <w:rFonts w:ascii="Arial" w:hAnsi="Arial" w:cs="Arial"/>
          <w:color w:val="000000"/>
          <w:sz w:val="22"/>
          <w:szCs w:val="22"/>
        </w:rPr>
        <w:t xml:space="preserve">repo </w:t>
      </w:r>
      <w:r w:rsidRPr="003A3552" w:rsidR="23867A61">
        <w:rPr>
          <w:rFonts w:ascii="Arial" w:hAnsi="Arial" w:cs="Arial"/>
          <w:color w:val="000000"/>
          <w:sz w:val="22"/>
          <w:szCs w:val="22"/>
        </w:rPr>
        <w:t xml:space="preserve">segment </w:t>
      </w:r>
      <w:r w:rsidRPr="003A3552" w:rsidR="00875936">
        <w:rPr>
          <w:rFonts w:ascii="Arial" w:hAnsi="Arial" w:cs="Arial"/>
          <w:color w:val="000000"/>
          <w:sz w:val="22"/>
          <w:szCs w:val="22"/>
        </w:rPr>
        <w:t>for which</w:t>
      </w:r>
      <w:r w:rsidRPr="003A3552" w:rsidR="23867A61">
        <w:rPr>
          <w:rFonts w:ascii="Arial" w:hAnsi="Arial" w:cs="Arial"/>
          <w:color w:val="000000"/>
          <w:sz w:val="22"/>
          <w:szCs w:val="22"/>
        </w:rPr>
        <w:t xml:space="preserve"> the OFR currently collects </w:t>
      </w:r>
      <w:r w:rsidRPr="003A3552" w:rsidR="00447655">
        <w:rPr>
          <w:rFonts w:ascii="Arial" w:hAnsi="Arial" w:cs="Arial"/>
          <w:color w:val="000000"/>
          <w:sz w:val="22"/>
          <w:szCs w:val="22"/>
        </w:rPr>
        <w:t xml:space="preserve">transaction </w:t>
      </w:r>
      <w:r w:rsidRPr="003A3552" w:rsidR="23867A61">
        <w:rPr>
          <w:rFonts w:ascii="Arial" w:hAnsi="Arial" w:cs="Arial"/>
          <w:color w:val="000000"/>
          <w:sz w:val="22"/>
          <w:szCs w:val="22"/>
        </w:rPr>
        <w:t>data. Given the similarity in size and the significantly elevated risk in this segment compared to GCF</w:t>
      </w:r>
      <w:r w:rsidRPr="003A3552" w:rsidR="2E9C4AFB">
        <w:rPr>
          <w:rFonts w:ascii="Arial" w:hAnsi="Arial" w:cs="Arial"/>
          <w:color w:val="000000"/>
          <w:sz w:val="22"/>
          <w:szCs w:val="22"/>
        </w:rPr>
        <w:t>, th</w:t>
      </w:r>
      <w:r w:rsidRPr="003A3552" w:rsidR="2F207D1D">
        <w:rPr>
          <w:rFonts w:ascii="Arial" w:hAnsi="Arial" w:cs="Arial"/>
          <w:color w:val="000000"/>
          <w:sz w:val="22"/>
          <w:szCs w:val="22"/>
        </w:rPr>
        <w:t>e OFR believes that monitoring this segment will remain important for monitoring financial stability risks in the market aft</w:t>
      </w:r>
      <w:r w:rsidRPr="003A3552" w:rsidR="0229F510">
        <w:rPr>
          <w:rFonts w:ascii="Arial" w:hAnsi="Arial" w:cs="Arial"/>
          <w:color w:val="000000"/>
          <w:sz w:val="22"/>
          <w:szCs w:val="22"/>
        </w:rPr>
        <w:t>er the SEC rule is implemented</w:t>
      </w:r>
      <w:r w:rsidRPr="003A3552" w:rsidR="2F207D1D">
        <w:rPr>
          <w:rFonts w:ascii="Arial" w:hAnsi="Arial" w:cs="Arial"/>
          <w:color w:val="000000"/>
          <w:sz w:val="22"/>
          <w:szCs w:val="22"/>
        </w:rPr>
        <w:t>.</w:t>
      </w:r>
      <w:r w:rsidRPr="003A3552" w:rsidR="002A1D50">
        <w:rPr>
          <w:rFonts w:ascii="Arial" w:hAnsi="Arial" w:cs="Arial"/>
          <w:color w:val="000000"/>
          <w:sz w:val="22"/>
          <w:szCs w:val="22"/>
        </w:rPr>
        <w:t xml:space="preserve">  </w:t>
      </w:r>
      <w:r w:rsidRPr="00B26C75" w:rsidR="002A1D50">
        <w:rPr>
          <w:rFonts w:ascii="Arial" w:hAnsi="Arial" w:cs="Arial"/>
          <w:color w:val="000000"/>
          <w:sz w:val="22"/>
          <w:szCs w:val="22"/>
        </w:rPr>
        <w:t>With this collection in combination with the OFR’s collection of cleared repo data and the collection of tri-party data by the Federal Reserve, nearly all of the activity in the repo market will be collected on a transaction level basis.</w:t>
      </w:r>
    </w:p>
    <w:p w:rsidR="003114F2" w:rsidRPr="003A3552" w:rsidP="003A3552" w14:paraId="16708E3E" w14:textId="25BD7CBA">
      <w:pPr>
        <w:tabs>
          <w:tab w:val="left" w:pos="540"/>
        </w:tabs>
        <w:spacing w:before="120" w:after="120"/>
        <w:rPr>
          <w:rFonts w:ascii="Arial" w:hAnsi="Arial" w:cs="Arial"/>
          <w:color w:val="000000"/>
          <w:sz w:val="22"/>
          <w:szCs w:val="22"/>
        </w:rPr>
      </w:pPr>
      <w:r w:rsidRPr="00C218C2">
        <w:rPr>
          <w:rFonts w:ascii="Arial" w:hAnsi="Arial" w:cs="Arial"/>
          <w:color w:val="000000"/>
          <w:sz w:val="22"/>
          <w:szCs w:val="22"/>
        </w:rPr>
        <w:t>The repo market plays a number of critical functions which have associated vulnerabilities that could give rise to conditions that impair the ability of repo markets to perform. It also forms critical links between diverse financial sector participants and between securities markets and funding markets. However, the repo market remains exposed to vulnerabilities which materialized in 2008 and again in March 2020.</w:t>
      </w:r>
    </w:p>
    <w:p w:rsidR="003114F2" w:rsidRPr="003A3552" w:rsidP="003A3552" w14:paraId="770DA6CE" w14:textId="62F29850">
      <w:pPr>
        <w:tabs>
          <w:tab w:val="left" w:pos="540"/>
        </w:tabs>
        <w:spacing w:before="120" w:after="120"/>
        <w:rPr>
          <w:rFonts w:ascii="Arial" w:hAnsi="Arial" w:cs="Arial"/>
          <w:color w:val="000000"/>
          <w:sz w:val="22"/>
          <w:szCs w:val="22"/>
        </w:rPr>
      </w:pPr>
      <w:r w:rsidRPr="003A3552">
        <w:rPr>
          <w:rFonts w:ascii="Arial" w:hAnsi="Arial" w:cs="Arial"/>
          <w:color w:val="000000"/>
          <w:sz w:val="22"/>
          <w:szCs w:val="22"/>
        </w:rPr>
        <w:t xml:space="preserve">From a financial stability perspective, it is important to monitor transactions in the </w:t>
      </w:r>
      <w:r w:rsidRPr="003A3552" w:rsidR="007D76E6">
        <w:rPr>
          <w:rFonts w:ascii="Arial" w:hAnsi="Arial" w:cs="Arial"/>
          <w:color w:val="000000"/>
          <w:sz w:val="22"/>
          <w:szCs w:val="22"/>
        </w:rPr>
        <w:t>NCCBR</w:t>
      </w:r>
      <w:r w:rsidRPr="003A3552">
        <w:rPr>
          <w:rFonts w:ascii="Arial" w:hAnsi="Arial" w:cs="Arial"/>
          <w:color w:val="000000"/>
          <w:sz w:val="22"/>
          <w:szCs w:val="22"/>
        </w:rPr>
        <w:t xml:space="preserve"> segment for several reasons. First, activity across the different segments of the repo market is linked. The centrally cleared bilateral market, for instance, serves as a close substitute for </w:t>
      </w:r>
      <w:r w:rsidRPr="003A3552" w:rsidR="007D76E6">
        <w:rPr>
          <w:rFonts w:ascii="Arial" w:hAnsi="Arial" w:cs="Arial"/>
          <w:color w:val="000000"/>
          <w:sz w:val="22"/>
          <w:szCs w:val="22"/>
        </w:rPr>
        <w:t>NCCBR</w:t>
      </w:r>
      <w:r w:rsidRPr="003A3552">
        <w:rPr>
          <w:rFonts w:ascii="Arial" w:hAnsi="Arial" w:cs="Arial"/>
          <w:color w:val="000000"/>
          <w:sz w:val="22"/>
          <w:szCs w:val="22"/>
        </w:rPr>
        <w:t>, particularly in the sponsored segment of the market where customers who are not direct clearing members of FICC</w:t>
      </w:r>
      <w:r w:rsidRPr="003A3552" w:rsidR="00AD4231">
        <w:rPr>
          <w:rFonts w:ascii="Arial" w:hAnsi="Arial" w:cs="Arial"/>
          <w:color w:val="000000"/>
          <w:sz w:val="22"/>
          <w:szCs w:val="22"/>
        </w:rPr>
        <w:t>,</w:t>
      </w:r>
      <w:r w:rsidRPr="003A3552">
        <w:rPr>
          <w:rFonts w:ascii="Arial" w:hAnsi="Arial" w:cs="Arial"/>
          <w:color w:val="000000"/>
          <w:sz w:val="22"/>
          <w:szCs w:val="22"/>
        </w:rPr>
        <w:t xml:space="preserve"> </w:t>
      </w:r>
      <w:r w:rsidRPr="003A3552" w:rsidR="00AD4231">
        <w:rPr>
          <w:rFonts w:ascii="Arial" w:hAnsi="Arial" w:cs="Arial"/>
          <w:color w:val="000000"/>
          <w:sz w:val="22"/>
          <w:szCs w:val="22"/>
        </w:rPr>
        <w:t>such as</w:t>
      </w:r>
      <w:r w:rsidRPr="003A3552">
        <w:rPr>
          <w:rFonts w:ascii="Arial" w:hAnsi="Arial" w:cs="Arial"/>
          <w:color w:val="000000"/>
          <w:sz w:val="22"/>
          <w:szCs w:val="22"/>
        </w:rPr>
        <w:t xml:space="preserve"> hedge funds and money market funds</w:t>
      </w:r>
      <w:r w:rsidRPr="003A3552" w:rsidR="00AD4231">
        <w:rPr>
          <w:rFonts w:ascii="Arial" w:hAnsi="Arial" w:cs="Arial"/>
          <w:color w:val="000000"/>
          <w:sz w:val="22"/>
          <w:szCs w:val="22"/>
        </w:rPr>
        <w:t>,</w:t>
      </w:r>
      <w:r w:rsidRPr="003A3552">
        <w:rPr>
          <w:rFonts w:ascii="Arial" w:hAnsi="Arial" w:cs="Arial"/>
          <w:color w:val="000000"/>
          <w:sz w:val="22"/>
          <w:szCs w:val="22"/>
        </w:rPr>
        <w:t xml:space="preserve"> can participate in transactions with clearing members. In times of stress, activity may move </w:t>
      </w:r>
      <w:r w:rsidRPr="003A3552" w:rsidR="143140FB">
        <w:rPr>
          <w:rFonts w:ascii="Arial" w:hAnsi="Arial" w:cs="Arial"/>
          <w:color w:val="000000"/>
          <w:sz w:val="22"/>
          <w:szCs w:val="22"/>
        </w:rPr>
        <w:t xml:space="preserve">between </w:t>
      </w:r>
      <w:r w:rsidRPr="003A3552">
        <w:rPr>
          <w:rFonts w:ascii="Arial" w:hAnsi="Arial" w:cs="Arial"/>
          <w:color w:val="000000"/>
          <w:sz w:val="22"/>
          <w:szCs w:val="22"/>
        </w:rPr>
        <w:t xml:space="preserve">sponsored repo </w:t>
      </w:r>
      <w:r w:rsidRPr="003A3552" w:rsidR="066537EE">
        <w:rPr>
          <w:rFonts w:ascii="Arial" w:hAnsi="Arial" w:cs="Arial"/>
          <w:color w:val="000000"/>
          <w:sz w:val="22"/>
          <w:szCs w:val="22"/>
        </w:rPr>
        <w:t xml:space="preserve">and </w:t>
      </w:r>
      <w:r w:rsidRPr="003A3552" w:rsidR="007D76E6">
        <w:rPr>
          <w:rFonts w:ascii="Arial" w:hAnsi="Arial" w:cs="Arial"/>
          <w:color w:val="000000"/>
          <w:sz w:val="22"/>
          <w:szCs w:val="22"/>
        </w:rPr>
        <w:t>NCCBR</w:t>
      </w:r>
      <w:r w:rsidRPr="003A3552">
        <w:rPr>
          <w:rFonts w:ascii="Arial" w:hAnsi="Arial" w:cs="Arial"/>
          <w:color w:val="000000"/>
          <w:sz w:val="22"/>
          <w:szCs w:val="22"/>
        </w:rPr>
        <w:t>. Additionally,</w:t>
      </w:r>
      <w:r w:rsidRPr="003A3552" w:rsidR="673AB8ED">
        <w:rPr>
          <w:rFonts w:ascii="Arial" w:hAnsi="Arial" w:cs="Arial"/>
          <w:color w:val="000000"/>
          <w:sz w:val="22"/>
          <w:szCs w:val="22"/>
        </w:rPr>
        <w:t xml:space="preserve"> external</w:t>
      </w:r>
      <w:r w:rsidRPr="003A3552">
        <w:rPr>
          <w:rFonts w:ascii="Arial" w:hAnsi="Arial" w:cs="Arial"/>
          <w:color w:val="000000"/>
          <w:sz w:val="22"/>
          <w:szCs w:val="22"/>
        </w:rPr>
        <w:t xml:space="preserve"> changes affect the decisions of dealers to engage in sponsored repo, such as changes in the supply of cash to money market funds and the size of netting benefits provided by sponsored repo. This means that shifts </w:t>
      </w:r>
      <w:r w:rsidRPr="003A3552" w:rsidR="7F814DB5">
        <w:rPr>
          <w:rFonts w:ascii="Arial" w:hAnsi="Arial" w:cs="Arial"/>
          <w:color w:val="000000"/>
          <w:sz w:val="22"/>
          <w:szCs w:val="22"/>
        </w:rPr>
        <w:t xml:space="preserve">between </w:t>
      </w:r>
      <w:r w:rsidRPr="003A3552" w:rsidR="007D76E6">
        <w:rPr>
          <w:rFonts w:ascii="Arial" w:hAnsi="Arial" w:cs="Arial"/>
          <w:color w:val="000000"/>
          <w:sz w:val="22"/>
          <w:szCs w:val="22"/>
        </w:rPr>
        <w:t xml:space="preserve">NCCBR </w:t>
      </w:r>
      <w:r w:rsidRPr="003A3552" w:rsidR="7B2FB26B">
        <w:rPr>
          <w:rFonts w:ascii="Arial" w:hAnsi="Arial" w:cs="Arial"/>
          <w:color w:val="000000"/>
          <w:sz w:val="22"/>
          <w:szCs w:val="22"/>
        </w:rPr>
        <w:t xml:space="preserve">and </w:t>
      </w:r>
      <w:r w:rsidRPr="003A3552">
        <w:rPr>
          <w:rFonts w:ascii="Arial" w:hAnsi="Arial" w:cs="Arial"/>
          <w:color w:val="000000"/>
          <w:sz w:val="22"/>
          <w:szCs w:val="22"/>
        </w:rPr>
        <w:t xml:space="preserve">sponsored repo are difficult to infer without direct data. Covering this final </w:t>
      </w:r>
      <w:r w:rsidRPr="003A3552" w:rsidR="007D76E6">
        <w:rPr>
          <w:rFonts w:ascii="Arial" w:hAnsi="Arial" w:cs="Arial"/>
          <w:color w:val="000000"/>
          <w:sz w:val="22"/>
          <w:szCs w:val="22"/>
        </w:rPr>
        <w:t xml:space="preserve">segment </w:t>
      </w:r>
      <w:r w:rsidRPr="003A3552">
        <w:rPr>
          <w:rFonts w:ascii="Arial" w:hAnsi="Arial" w:cs="Arial"/>
          <w:color w:val="000000"/>
          <w:sz w:val="22"/>
          <w:szCs w:val="22"/>
        </w:rPr>
        <w:t>of the repo market is therefore essential to providing regulators with a complete picture of repo market activity and to realizing the full potential of existing data collections on other segments of the repo market.</w:t>
      </w:r>
    </w:p>
    <w:p w:rsidR="003114F2" w:rsidRPr="003A3552" w:rsidP="003A3552" w14:paraId="61C51536" w14:textId="57D26CC2">
      <w:pPr>
        <w:tabs>
          <w:tab w:val="left" w:pos="540"/>
        </w:tabs>
        <w:spacing w:before="120" w:after="120"/>
        <w:rPr>
          <w:rFonts w:ascii="Arial" w:hAnsi="Arial" w:cs="Arial"/>
          <w:color w:val="000000"/>
          <w:sz w:val="22"/>
          <w:szCs w:val="22"/>
        </w:rPr>
      </w:pPr>
      <w:r w:rsidRPr="003A3552">
        <w:rPr>
          <w:rFonts w:ascii="Arial" w:hAnsi="Arial" w:cs="Arial"/>
          <w:color w:val="000000"/>
          <w:sz w:val="22"/>
          <w:szCs w:val="22"/>
        </w:rPr>
        <w:t xml:space="preserve">Second, as listed above, because the non-centrally cleared bilateral repo market has no central counterparty or custodian, because of the nature of collateral underlying trades in </w:t>
      </w:r>
      <w:r w:rsidRPr="003A3552" w:rsidR="002617F0">
        <w:rPr>
          <w:rFonts w:ascii="Arial" w:hAnsi="Arial" w:cs="Arial"/>
          <w:color w:val="000000"/>
          <w:sz w:val="22"/>
          <w:szCs w:val="22"/>
        </w:rPr>
        <w:t>NCCBR</w:t>
      </w:r>
      <w:r w:rsidRPr="003A3552">
        <w:rPr>
          <w:rFonts w:ascii="Arial" w:hAnsi="Arial" w:cs="Arial"/>
          <w:color w:val="000000"/>
          <w:sz w:val="22"/>
          <w:szCs w:val="22"/>
        </w:rPr>
        <w:t xml:space="preserve">, and because of the types of counterparties that have large exposures to </w:t>
      </w:r>
      <w:r w:rsidRPr="003A3552" w:rsidR="002617F0">
        <w:rPr>
          <w:rFonts w:ascii="Arial" w:hAnsi="Arial" w:cs="Arial"/>
          <w:color w:val="000000"/>
          <w:sz w:val="22"/>
          <w:szCs w:val="22"/>
        </w:rPr>
        <w:t>NCCBR</w:t>
      </w:r>
      <w:r w:rsidRPr="003A3552">
        <w:rPr>
          <w:rFonts w:ascii="Arial" w:hAnsi="Arial" w:cs="Arial"/>
          <w:color w:val="000000"/>
          <w:sz w:val="22"/>
          <w:szCs w:val="22"/>
        </w:rPr>
        <w:t>, this data will provide insights into a market that may be a particularly salient source of vulnerability for financial stability. M</w:t>
      </w:r>
      <w:r w:rsidRPr="003A3552" w:rsidR="6A5F611D">
        <w:rPr>
          <w:rFonts w:ascii="Arial" w:hAnsi="Arial" w:cs="Arial"/>
          <w:color w:val="000000"/>
          <w:sz w:val="22"/>
          <w:szCs w:val="22"/>
        </w:rPr>
        <w:t xml:space="preserve">any </w:t>
      </w:r>
      <w:r w:rsidRPr="003A3552">
        <w:rPr>
          <w:rFonts w:ascii="Arial" w:hAnsi="Arial" w:cs="Arial"/>
          <w:color w:val="000000"/>
          <w:sz w:val="22"/>
          <w:szCs w:val="22"/>
        </w:rPr>
        <w:t xml:space="preserve">of the counterparties involved in the market, such as non-bank and non-primary dealers, are impossible to monitor with existing regulatory collections. Transaction-level data will provide regulators with the granularity necessary to monitor </w:t>
      </w:r>
      <w:r w:rsidRPr="003A3552" w:rsidR="0002431E">
        <w:rPr>
          <w:rFonts w:ascii="Arial" w:hAnsi="Arial" w:cs="Arial"/>
          <w:color w:val="000000"/>
          <w:sz w:val="22"/>
          <w:szCs w:val="22"/>
        </w:rPr>
        <w:t>vul</w:t>
      </w:r>
      <w:r w:rsidRPr="003A3552" w:rsidR="00DF1BF4">
        <w:rPr>
          <w:rFonts w:ascii="Arial" w:hAnsi="Arial" w:cs="Arial"/>
          <w:color w:val="000000"/>
          <w:sz w:val="22"/>
          <w:szCs w:val="22"/>
        </w:rPr>
        <w:t>nerabilities</w:t>
      </w:r>
      <w:r w:rsidRPr="003A3552">
        <w:rPr>
          <w:rFonts w:ascii="Arial" w:hAnsi="Arial" w:cs="Arial"/>
          <w:color w:val="000000"/>
          <w:sz w:val="22"/>
          <w:szCs w:val="22"/>
        </w:rPr>
        <w:t xml:space="preserve"> on a high-frequency basis, which is essential in a market where crises are often too short-lived for other monthly or quarterly reporting to capture. Moreover, data on collateral will allow regulators to monitor exposures to particular classes of collateral, margining practices which protect participants from movements in the value of collateral, and the potential transmission of repo market stress into asset markets. Timestamps and details of trading venues will allow regulators to monitor activity in a market</w:t>
      </w:r>
      <w:r w:rsidRPr="003A3552" w:rsidR="57BF403C">
        <w:rPr>
          <w:rFonts w:ascii="Arial" w:hAnsi="Arial" w:cs="Arial"/>
          <w:color w:val="000000"/>
          <w:sz w:val="22"/>
          <w:szCs w:val="22"/>
        </w:rPr>
        <w:t xml:space="preserve"> </w:t>
      </w:r>
      <w:r w:rsidRPr="003A3552">
        <w:rPr>
          <w:rFonts w:ascii="Arial" w:hAnsi="Arial" w:cs="Arial"/>
          <w:color w:val="000000"/>
          <w:sz w:val="22"/>
          <w:szCs w:val="22"/>
        </w:rPr>
        <w:t xml:space="preserve">where intra-day liquidity concerns play a key role in the creation of </w:t>
      </w:r>
      <w:r w:rsidRPr="003A3552">
        <w:rPr>
          <w:rFonts w:ascii="Arial" w:hAnsi="Arial" w:cs="Arial"/>
          <w:color w:val="000000"/>
          <w:sz w:val="22"/>
          <w:szCs w:val="22"/>
        </w:rPr>
        <w:t>stress.</w:t>
      </w:r>
    </w:p>
    <w:p w:rsidR="00504B59" w:rsidRPr="003A3552" w:rsidP="003A3552" w14:paraId="60CB9381" w14:textId="3EA33641">
      <w:pPr>
        <w:tabs>
          <w:tab w:val="left" w:pos="540"/>
        </w:tabs>
        <w:spacing w:before="120" w:after="120"/>
        <w:rPr>
          <w:rFonts w:ascii="Arial" w:hAnsi="Arial" w:cs="Arial"/>
          <w:color w:val="000000"/>
          <w:sz w:val="22"/>
          <w:szCs w:val="22"/>
        </w:rPr>
      </w:pPr>
      <w:r w:rsidRPr="003A3552">
        <w:rPr>
          <w:rFonts w:ascii="Arial" w:hAnsi="Arial" w:cs="Arial"/>
          <w:color w:val="000000"/>
          <w:sz w:val="22"/>
          <w:szCs w:val="22"/>
        </w:rPr>
        <w:t xml:space="preserve">Third, the </w:t>
      </w:r>
      <w:r w:rsidRPr="003A3552" w:rsidR="00276BBE">
        <w:rPr>
          <w:rFonts w:ascii="Arial" w:hAnsi="Arial" w:cs="Arial"/>
          <w:color w:val="000000"/>
          <w:sz w:val="22"/>
          <w:szCs w:val="22"/>
        </w:rPr>
        <w:t xml:space="preserve">NCCBR </w:t>
      </w:r>
      <w:r w:rsidRPr="003A3552">
        <w:rPr>
          <w:rFonts w:ascii="Arial" w:hAnsi="Arial" w:cs="Arial"/>
          <w:color w:val="000000"/>
          <w:sz w:val="22"/>
          <w:szCs w:val="22"/>
        </w:rPr>
        <w:t>market</w:t>
      </w:r>
      <w:r w:rsidRPr="003A3552" w:rsidR="00276BBE">
        <w:rPr>
          <w:rFonts w:ascii="Arial" w:hAnsi="Arial" w:cs="Arial"/>
          <w:color w:val="000000"/>
          <w:sz w:val="22"/>
          <w:szCs w:val="22"/>
        </w:rPr>
        <w:t xml:space="preserve"> segment</w:t>
      </w:r>
      <w:r w:rsidRPr="003A3552">
        <w:rPr>
          <w:rFonts w:ascii="Arial" w:hAnsi="Arial" w:cs="Arial"/>
          <w:color w:val="000000"/>
          <w:sz w:val="22"/>
          <w:szCs w:val="22"/>
        </w:rPr>
        <w:t xml:space="preserve"> currently lacks transparency on a variety of dimensions even f</w:t>
      </w:r>
      <w:r w:rsidRPr="003A3552" w:rsidR="553B95B0">
        <w:rPr>
          <w:rFonts w:ascii="Arial" w:hAnsi="Arial" w:cs="Arial"/>
          <w:color w:val="000000"/>
          <w:sz w:val="22"/>
          <w:szCs w:val="22"/>
        </w:rPr>
        <w:t xml:space="preserve">or </w:t>
      </w:r>
      <w:r w:rsidRPr="003A3552">
        <w:rPr>
          <w:rFonts w:ascii="Arial" w:hAnsi="Arial" w:cs="Arial"/>
          <w:color w:val="000000"/>
          <w:sz w:val="22"/>
          <w:szCs w:val="22"/>
        </w:rPr>
        <w:t xml:space="preserve">market participants. Providing aggregated statistics on rates, haircuts and volumes could provide greater clarity to market participants on characteristics of the market relevant to their risk-management and other decision making. This could take a form similar to the </w:t>
      </w:r>
      <w:r w:rsidRPr="003A3552" w:rsidR="000E1054">
        <w:rPr>
          <w:rFonts w:ascii="Arial" w:hAnsi="Arial" w:cs="Arial"/>
          <w:color w:val="000000"/>
          <w:sz w:val="22"/>
          <w:szCs w:val="22"/>
        </w:rPr>
        <w:t>OFR</w:t>
      </w:r>
      <w:r w:rsidRPr="003A3552">
        <w:rPr>
          <w:rFonts w:ascii="Arial" w:hAnsi="Arial" w:cs="Arial"/>
          <w:color w:val="000000"/>
          <w:sz w:val="22"/>
          <w:szCs w:val="22"/>
        </w:rPr>
        <w:t xml:space="preserve">’s current disclosure of aggregated cleared repo data through the </w:t>
      </w:r>
      <w:r w:rsidRPr="003A3552" w:rsidR="000E1054">
        <w:rPr>
          <w:rFonts w:ascii="Arial" w:hAnsi="Arial" w:cs="Arial"/>
          <w:color w:val="000000"/>
          <w:sz w:val="22"/>
          <w:szCs w:val="22"/>
        </w:rPr>
        <w:t>OFR</w:t>
      </w:r>
      <w:r w:rsidRPr="003A3552">
        <w:rPr>
          <w:rFonts w:ascii="Arial" w:hAnsi="Arial" w:cs="Arial"/>
          <w:color w:val="000000"/>
          <w:sz w:val="22"/>
          <w:szCs w:val="22"/>
        </w:rPr>
        <w:t>’s U.S. Repo Markets Data Release. Introducing data standards through the rule’s reporting process into this decentralized market may also improve the ability to reconcile records between firms in the event of a crisis.</w:t>
      </w:r>
    </w:p>
    <w:p w:rsidR="00432C2B" w:rsidP="000356B0" w14:paraId="7CE6A25D" w14:textId="77777777">
      <w:pPr>
        <w:pStyle w:val="BodyTextIndent2"/>
        <w:numPr>
          <w:ilvl w:val="0"/>
          <w:numId w:val="11"/>
        </w:numPr>
        <w:tabs>
          <w:tab w:val="clear" w:pos="0"/>
          <w:tab w:val="clear" w:pos="360"/>
          <w:tab w:val="left" w:pos="540"/>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spacing w:before="120" w:after="120"/>
        <w:ind w:left="540" w:hanging="540"/>
        <w:rPr>
          <w:rFonts w:ascii="Arial" w:hAnsi="Arial" w:cs="Arial"/>
          <w:sz w:val="22"/>
          <w:szCs w:val="22"/>
        </w:rPr>
      </w:pPr>
      <w:r>
        <w:rPr>
          <w:rFonts w:ascii="Arial" w:hAnsi="Arial" w:cs="Arial"/>
          <w:sz w:val="22"/>
          <w:szCs w:val="22"/>
        </w:rPr>
        <w:t>Purpose and Use of the Information Collection.</w:t>
      </w:r>
    </w:p>
    <w:p w:rsidR="003114F2" w:rsidRPr="003A3552" w:rsidP="003A3552" w14:paraId="6C629A40" w14:textId="4B007C1D">
      <w:pPr>
        <w:tabs>
          <w:tab w:val="left" w:pos="540"/>
        </w:tabs>
        <w:spacing w:before="120" w:after="120"/>
        <w:rPr>
          <w:rFonts w:ascii="Arial" w:hAnsi="Arial" w:cs="Arial"/>
          <w:color w:val="000000"/>
          <w:sz w:val="22"/>
          <w:szCs w:val="22"/>
        </w:rPr>
      </w:pPr>
      <w:r w:rsidRPr="003A3552">
        <w:rPr>
          <w:rFonts w:ascii="Arial" w:hAnsi="Arial" w:cs="Arial"/>
          <w:color w:val="000000"/>
          <w:sz w:val="22"/>
          <w:szCs w:val="22"/>
        </w:rPr>
        <w:t xml:space="preserve">This collection will be used by the </w:t>
      </w:r>
      <w:r w:rsidRPr="003A3552" w:rsidR="000E1054">
        <w:rPr>
          <w:rFonts w:ascii="Arial" w:hAnsi="Arial" w:cs="Arial"/>
          <w:color w:val="000000"/>
          <w:sz w:val="22"/>
          <w:szCs w:val="22"/>
        </w:rPr>
        <w:t>OFR</w:t>
      </w:r>
      <w:r w:rsidRPr="003A3552">
        <w:rPr>
          <w:rFonts w:ascii="Arial" w:hAnsi="Arial" w:cs="Arial"/>
          <w:color w:val="000000"/>
          <w:sz w:val="22"/>
          <w:szCs w:val="22"/>
        </w:rPr>
        <w:t xml:space="preserve"> to improve the Council's and member agencies' monitoring of the U.S. repo market and in identifying and assessing potential financial stability risks. The additional daily transaction data this collection will facilitate identification of potential repo market vulnerabilities and will help identify shifting repo market trends that could be destabilizing or indicate stresses elsewhere in the financial system. Such trends might be reflected in the volume and price of funding in the repo market at different tenors, differentiated by the type and credit quality of participants and the quality of underlying collateral. Further, analyzing the collateral data from this collection together with other data available to the </w:t>
      </w:r>
      <w:r w:rsidRPr="003A3552" w:rsidR="000E1054">
        <w:rPr>
          <w:rFonts w:ascii="Arial" w:hAnsi="Arial" w:cs="Arial"/>
          <w:color w:val="000000"/>
          <w:sz w:val="22"/>
          <w:szCs w:val="22"/>
        </w:rPr>
        <w:t>OFR</w:t>
      </w:r>
      <w:r w:rsidRPr="003A3552">
        <w:rPr>
          <w:rFonts w:ascii="Arial" w:hAnsi="Arial" w:cs="Arial"/>
          <w:color w:val="000000"/>
          <w:sz w:val="22"/>
          <w:szCs w:val="22"/>
        </w:rPr>
        <w:t>, the Council, and member agencies will enable a clearer understanding of collateral flows in securities markets and potential financial stability risks.</w:t>
      </w:r>
    </w:p>
    <w:p w:rsidR="00973B7D" w:rsidRPr="003A3552" w:rsidP="003A3552" w14:paraId="1ABA6EED" w14:textId="00E20087">
      <w:pPr>
        <w:tabs>
          <w:tab w:val="left" w:pos="540"/>
        </w:tabs>
        <w:spacing w:before="120" w:after="120"/>
        <w:rPr>
          <w:rFonts w:ascii="Arial" w:hAnsi="Arial" w:cs="Arial"/>
          <w:color w:val="000000"/>
          <w:sz w:val="22"/>
          <w:szCs w:val="22"/>
        </w:rPr>
      </w:pPr>
      <w:r w:rsidRPr="003A3552">
        <w:rPr>
          <w:rFonts w:ascii="Arial" w:hAnsi="Arial" w:cs="Arial"/>
          <w:color w:val="000000"/>
          <w:sz w:val="22"/>
          <w:szCs w:val="22"/>
        </w:rPr>
        <w:t>Another</w:t>
      </w:r>
      <w:r w:rsidRPr="003A3552">
        <w:rPr>
          <w:rFonts w:ascii="Arial" w:hAnsi="Arial" w:cs="Arial"/>
          <w:color w:val="000000"/>
          <w:sz w:val="22"/>
          <w:szCs w:val="22"/>
        </w:rPr>
        <w:t xml:space="preserve"> important use of the data will be to monitor the transition between the time that the NCCBR collection commences and when, under the SEC’s central clearing rule, certain Treasury repo trades will be required to migrate to central clearing.  The NCCBR collection will provide contemporaneous information to policymakers on the progress of market participants in moving to central clearing. Because the rule will involve such significant changes in market structure, and because there is substantial uncertainty surrounding how markets will respond to its implementation, this source of information to regulators on progress and risks associated with the transition will be invaluable.</w:t>
      </w:r>
    </w:p>
    <w:p w:rsidR="003114F2" w:rsidRPr="003A3552" w:rsidP="003A3552" w14:paraId="1DC489E7" w14:textId="45AF44C1">
      <w:pPr>
        <w:tabs>
          <w:tab w:val="left" w:pos="540"/>
        </w:tabs>
        <w:spacing w:before="120" w:after="120"/>
        <w:rPr>
          <w:rFonts w:ascii="Arial" w:hAnsi="Arial" w:cs="Arial"/>
          <w:color w:val="000000"/>
          <w:sz w:val="22"/>
          <w:szCs w:val="22"/>
        </w:rPr>
      </w:pPr>
      <w:r w:rsidRPr="003A3552">
        <w:rPr>
          <w:rFonts w:ascii="Arial" w:hAnsi="Arial" w:cs="Arial"/>
          <w:color w:val="000000"/>
          <w:sz w:val="22"/>
          <w:szCs w:val="22"/>
        </w:rPr>
        <w:t xml:space="preserve">The </w:t>
      </w:r>
      <w:r w:rsidRPr="003A3552" w:rsidR="000E1054">
        <w:rPr>
          <w:rFonts w:ascii="Arial" w:hAnsi="Arial" w:cs="Arial"/>
          <w:color w:val="000000"/>
          <w:sz w:val="22"/>
          <w:szCs w:val="22"/>
        </w:rPr>
        <w:t>OFR</w:t>
      </w:r>
      <w:r w:rsidRPr="003A3552">
        <w:rPr>
          <w:rFonts w:ascii="Arial" w:hAnsi="Arial" w:cs="Arial"/>
          <w:color w:val="000000"/>
          <w:sz w:val="22"/>
          <w:szCs w:val="22"/>
        </w:rPr>
        <w:t xml:space="preserve"> expects, consistent with the Dodd-Frank Act, to share data and information with the Council and member agencies, and such data and information must be maintained with at least the same level of security as used by the </w:t>
      </w:r>
      <w:r w:rsidRPr="003A3552" w:rsidR="000E1054">
        <w:rPr>
          <w:rFonts w:ascii="Arial" w:hAnsi="Arial" w:cs="Arial"/>
          <w:color w:val="000000"/>
          <w:sz w:val="22"/>
          <w:szCs w:val="22"/>
        </w:rPr>
        <w:t>OFR</w:t>
      </w:r>
      <w:r w:rsidRPr="003A3552">
        <w:rPr>
          <w:rFonts w:ascii="Arial" w:hAnsi="Arial" w:cs="Arial"/>
          <w:color w:val="000000"/>
          <w:sz w:val="22"/>
          <w:szCs w:val="22"/>
        </w:rPr>
        <w:t xml:space="preserve"> and may not be shared with any individual or entity without the permission of the Council. Consistent with this authority, the </w:t>
      </w:r>
      <w:r w:rsidRPr="003A3552" w:rsidR="000E1054">
        <w:rPr>
          <w:rFonts w:ascii="Arial" w:hAnsi="Arial" w:cs="Arial"/>
          <w:color w:val="000000"/>
          <w:sz w:val="22"/>
          <w:szCs w:val="22"/>
        </w:rPr>
        <w:t>OFR</w:t>
      </w:r>
      <w:r w:rsidRPr="003A3552">
        <w:rPr>
          <w:rFonts w:ascii="Arial" w:hAnsi="Arial" w:cs="Arial"/>
          <w:color w:val="000000"/>
          <w:sz w:val="22"/>
          <w:szCs w:val="22"/>
        </w:rPr>
        <w:t xml:space="preserve"> will also make data collected and maintained under this collection available to the Council and member agencies, as necessary to support their financial-stability regulatory responsibilities. The sharing of any data from this collection will be subject to the confidentiality and security requirements of applicable laws, including the Dodd-Frank Act. Pursuant to the Dodd-Frank Act, the submission of any non-publicly available data to the </w:t>
      </w:r>
      <w:r w:rsidRPr="003A3552" w:rsidR="000E1054">
        <w:rPr>
          <w:rFonts w:ascii="Arial" w:hAnsi="Arial" w:cs="Arial"/>
          <w:color w:val="000000"/>
          <w:sz w:val="22"/>
          <w:szCs w:val="22"/>
        </w:rPr>
        <w:t>OFR</w:t>
      </w:r>
      <w:r w:rsidRPr="003A3552">
        <w:rPr>
          <w:rFonts w:ascii="Arial" w:hAnsi="Arial" w:cs="Arial"/>
          <w:color w:val="000000"/>
          <w:sz w:val="22"/>
          <w:szCs w:val="22"/>
        </w:rPr>
        <w:t xml:space="preserve"> under this collection will not constitute a waiver of, or otherwise affect, any privilege arising under federal or state law to which the data or information is otherwise subject.</w:t>
      </w:r>
    </w:p>
    <w:p w:rsidR="009F6C41" w:rsidRPr="003A3552" w:rsidP="003A3552" w14:paraId="301E98EF" w14:textId="7781E9DA">
      <w:pPr>
        <w:tabs>
          <w:tab w:val="left" w:pos="540"/>
        </w:tabs>
        <w:spacing w:before="120" w:after="120"/>
        <w:rPr>
          <w:rFonts w:ascii="Arial" w:hAnsi="Arial" w:cs="Arial"/>
          <w:color w:val="000000"/>
          <w:sz w:val="22"/>
          <w:szCs w:val="22"/>
        </w:rPr>
      </w:pPr>
      <w:r w:rsidRPr="003A3552">
        <w:rPr>
          <w:rFonts w:ascii="Arial" w:hAnsi="Arial" w:cs="Arial"/>
          <w:color w:val="000000"/>
          <w:sz w:val="22"/>
          <w:szCs w:val="22"/>
        </w:rPr>
        <w:t>A</w:t>
      </w:r>
      <w:r w:rsidRPr="003A3552" w:rsidR="003114F2">
        <w:rPr>
          <w:rFonts w:ascii="Arial" w:hAnsi="Arial" w:cs="Arial"/>
          <w:color w:val="000000"/>
          <w:sz w:val="22"/>
          <w:szCs w:val="22"/>
        </w:rPr>
        <w:t xml:space="preserve">ggregate or summary data from </w:t>
      </w:r>
      <w:r w:rsidRPr="003A3552">
        <w:rPr>
          <w:rFonts w:ascii="Arial" w:hAnsi="Arial" w:cs="Arial"/>
          <w:color w:val="000000"/>
          <w:sz w:val="22"/>
          <w:szCs w:val="22"/>
        </w:rPr>
        <w:t>the</w:t>
      </w:r>
      <w:r w:rsidRPr="003A3552" w:rsidR="003114F2">
        <w:rPr>
          <w:rFonts w:ascii="Arial" w:hAnsi="Arial" w:cs="Arial"/>
          <w:color w:val="000000"/>
          <w:sz w:val="22"/>
          <w:szCs w:val="22"/>
        </w:rPr>
        <w:t xml:space="preserve"> collection </w:t>
      </w:r>
      <w:r w:rsidRPr="003A3552">
        <w:rPr>
          <w:rFonts w:ascii="Arial" w:hAnsi="Arial" w:cs="Arial"/>
          <w:color w:val="000000"/>
          <w:sz w:val="22"/>
          <w:szCs w:val="22"/>
        </w:rPr>
        <w:t>may</w:t>
      </w:r>
      <w:r w:rsidRPr="003A3552" w:rsidR="003114F2">
        <w:rPr>
          <w:rFonts w:ascii="Arial" w:hAnsi="Arial" w:cs="Arial"/>
          <w:color w:val="000000"/>
          <w:sz w:val="22"/>
          <w:szCs w:val="22"/>
        </w:rPr>
        <w:t xml:space="preserve"> be provided to the public as described above to increase market transparency and facilitate research on the financial system, to the extent that intellectual property rights are not violated, business confidential information is properly protected, and the sharing of such information poses no significant threats to the U.S. financial system. </w:t>
      </w:r>
      <w:r w:rsidRPr="003A3552">
        <w:rPr>
          <w:rFonts w:ascii="Arial" w:hAnsi="Arial" w:cs="Arial"/>
          <w:color w:val="000000"/>
          <w:sz w:val="22"/>
          <w:szCs w:val="22"/>
        </w:rPr>
        <w:t xml:space="preserve">For example, the </w:t>
      </w:r>
      <w:r w:rsidRPr="003A3552" w:rsidR="000E1054">
        <w:rPr>
          <w:rFonts w:ascii="Arial" w:hAnsi="Arial" w:cs="Arial"/>
          <w:color w:val="000000"/>
          <w:sz w:val="22"/>
          <w:szCs w:val="22"/>
        </w:rPr>
        <w:t>OFR</w:t>
      </w:r>
      <w:r w:rsidRPr="003A3552">
        <w:rPr>
          <w:rFonts w:ascii="Arial" w:hAnsi="Arial" w:cs="Arial"/>
          <w:color w:val="000000"/>
          <w:sz w:val="22"/>
          <w:szCs w:val="22"/>
        </w:rPr>
        <w:t xml:space="preserve"> </w:t>
      </w:r>
      <w:r w:rsidRPr="003A3552" w:rsidR="00FA1C3A">
        <w:rPr>
          <w:rFonts w:ascii="Arial" w:hAnsi="Arial" w:cs="Arial"/>
          <w:color w:val="000000"/>
          <w:sz w:val="22"/>
          <w:szCs w:val="22"/>
        </w:rPr>
        <w:t xml:space="preserve">may </w:t>
      </w:r>
      <w:r w:rsidRPr="003A3552">
        <w:rPr>
          <w:rFonts w:ascii="Arial" w:hAnsi="Arial" w:cs="Arial"/>
          <w:color w:val="000000"/>
          <w:sz w:val="22"/>
          <w:szCs w:val="22"/>
        </w:rPr>
        <w:t>develop aggregated data series</w:t>
      </w:r>
      <w:r w:rsidRPr="003A3552" w:rsidR="00FA1C3A">
        <w:rPr>
          <w:rFonts w:ascii="Arial" w:hAnsi="Arial" w:cs="Arial"/>
          <w:color w:val="000000"/>
          <w:sz w:val="22"/>
          <w:szCs w:val="22"/>
        </w:rPr>
        <w:t xml:space="preserve"> from this collection</w:t>
      </w:r>
      <w:r w:rsidRPr="003A3552">
        <w:rPr>
          <w:rFonts w:ascii="Arial" w:hAnsi="Arial" w:cs="Arial"/>
          <w:color w:val="000000"/>
          <w:sz w:val="22"/>
          <w:szCs w:val="22"/>
        </w:rPr>
        <w:t xml:space="preserve">, analogous to the </w:t>
      </w:r>
      <w:r w:rsidRPr="003A3552" w:rsidR="000E1054">
        <w:rPr>
          <w:rFonts w:ascii="Arial" w:hAnsi="Arial" w:cs="Arial"/>
          <w:color w:val="000000"/>
          <w:sz w:val="22"/>
          <w:szCs w:val="22"/>
        </w:rPr>
        <w:t>OFR</w:t>
      </w:r>
      <w:r w:rsidRPr="003A3552">
        <w:rPr>
          <w:rFonts w:ascii="Arial" w:hAnsi="Arial" w:cs="Arial"/>
          <w:color w:val="000000"/>
          <w:sz w:val="22"/>
          <w:szCs w:val="22"/>
        </w:rPr>
        <w:t xml:space="preserve">’s centrally cleared repo data series published at </w:t>
      </w:r>
      <w:hyperlink r:id="rId9" w:history="1">
        <w:hyperlink r:id="rId9" w:history="1">
          <w:r w:rsidRPr="003A3552">
            <w:rPr>
              <w:rStyle w:val="Hyperlink"/>
            </w:rPr>
            <w:t>https://www.financialresearch.gov/short-term-funding-monitor/</w:t>
          </w:r>
        </w:hyperlink>
      </w:hyperlink>
      <w:r w:rsidRPr="003A3552">
        <w:rPr>
          <w:color w:val="000000"/>
        </w:rPr>
        <w:t>.</w:t>
      </w:r>
    </w:p>
    <w:p w:rsidR="003114F2" w:rsidRPr="003A3552" w:rsidP="003A3552" w14:paraId="35D4782B" w14:textId="6AF7D15E">
      <w:pPr>
        <w:tabs>
          <w:tab w:val="left" w:pos="540"/>
        </w:tabs>
        <w:spacing w:before="120" w:after="120"/>
        <w:rPr>
          <w:rFonts w:ascii="Arial" w:hAnsi="Arial" w:cs="Arial"/>
          <w:color w:val="000000"/>
          <w:sz w:val="22"/>
          <w:szCs w:val="22"/>
        </w:rPr>
      </w:pPr>
      <w:r w:rsidRPr="003A3552">
        <w:rPr>
          <w:rFonts w:ascii="Arial" w:hAnsi="Arial" w:cs="Arial"/>
          <w:color w:val="000000"/>
          <w:sz w:val="22"/>
          <w:szCs w:val="22"/>
        </w:rPr>
        <w:t>The potential sharing of aggregate or summary data collected under this collection would help fulfill a recommendation of the Council to make appropriately aggregated securities financing data available to the public.</w:t>
      </w:r>
      <w:r w:rsidRPr="003A3552" w:rsidR="00E253AF">
        <w:rPr>
          <w:rFonts w:ascii="Arial" w:hAnsi="Arial" w:cs="Arial"/>
          <w:color w:val="000000"/>
          <w:sz w:val="22"/>
          <w:szCs w:val="22"/>
        </w:rPr>
        <w:t xml:space="preserve">  </w:t>
      </w:r>
    </w:p>
    <w:p w:rsidR="008112BA" w:rsidRPr="003A3552" w:rsidP="003A3552" w14:paraId="3312D5F9" w14:textId="1577C302">
      <w:pPr>
        <w:tabs>
          <w:tab w:val="left" w:pos="540"/>
        </w:tabs>
        <w:spacing w:before="120" w:after="120"/>
        <w:rPr>
          <w:rFonts w:ascii="Arial" w:hAnsi="Arial" w:cs="Arial"/>
          <w:color w:val="000000"/>
          <w:sz w:val="22"/>
          <w:szCs w:val="22"/>
        </w:rPr>
      </w:pPr>
      <w:r w:rsidRPr="003A3552">
        <w:rPr>
          <w:rFonts w:ascii="Arial" w:hAnsi="Arial" w:cs="Arial"/>
          <w:color w:val="000000"/>
          <w:sz w:val="22"/>
          <w:szCs w:val="22"/>
        </w:rPr>
        <w:t xml:space="preserve">The </w:t>
      </w:r>
      <w:r w:rsidRPr="003A3552" w:rsidR="000E1054">
        <w:rPr>
          <w:rFonts w:ascii="Arial" w:hAnsi="Arial" w:cs="Arial"/>
          <w:color w:val="000000"/>
          <w:sz w:val="22"/>
          <w:szCs w:val="22"/>
        </w:rPr>
        <w:t>OFR</w:t>
      </w:r>
      <w:r w:rsidRPr="003A3552">
        <w:rPr>
          <w:rFonts w:ascii="Arial" w:hAnsi="Arial" w:cs="Arial"/>
          <w:color w:val="000000"/>
          <w:sz w:val="22"/>
          <w:szCs w:val="22"/>
        </w:rPr>
        <w:t xml:space="preserve"> </w:t>
      </w:r>
      <w:r w:rsidRPr="003A3552" w:rsidR="00E253AF">
        <w:rPr>
          <w:rFonts w:ascii="Arial" w:hAnsi="Arial" w:cs="Arial"/>
          <w:color w:val="000000"/>
          <w:sz w:val="22"/>
          <w:szCs w:val="22"/>
        </w:rPr>
        <w:t>will</w:t>
      </w:r>
      <w:r w:rsidRPr="003A3552">
        <w:rPr>
          <w:rFonts w:ascii="Arial" w:hAnsi="Arial" w:cs="Arial"/>
          <w:color w:val="000000"/>
          <w:sz w:val="22"/>
          <w:szCs w:val="22"/>
        </w:rPr>
        <w:t xml:space="preserve"> also use the data to conduct additional research. This research may include the use of these data to help fulfill the duties and purposes under the Dodd-Frank Act relating to the responsibility of the </w:t>
      </w:r>
      <w:r w:rsidRPr="003A3552" w:rsidR="000E1054">
        <w:rPr>
          <w:rFonts w:ascii="Arial" w:hAnsi="Arial" w:cs="Arial"/>
          <w:color w:val="000000"/>
          <w:sz w:val="22"/>
          <w:szCs w:val="22"/>
        </w:rPr>
        <w:t>OFR</w:t>
      </w:r>
      <w:r w:rsidRPr="003A3552">
        <w:rPr>
          <w:rFonts w:ascii="Arial" w:hAnsi="Arial" w:cs="Arial"/>
          <w:color w:val="000000"/>
          <w:sz w:val="22"/>
          <w:szCs w:val="22"/>
        </w:rPr>
        <w:t xml:space="preserve">'s Research and Analysis Center to develop and maintain independent analytical capabilities to support the Council and relating to the programmatic functions of the </w:t>
      </w:r>
      <w:r w:rsidRPr="003A3552" w:rsidR="000E1054">
        <w:rPr>
          <w:rFonts w:ascii="Arial" w:hAnsi="Arial" w:cs="Arial"/>
          <w:color w:val="000000"/>
          <w:sz w:val="22"/>
          <w:szCs w:val="22"/>
        </w:rPr>
        <w:t>OFR</w:t>
      </w:r>
      <w:r w:rsidRPr="003A3552">
        <w:rPr>
          <w:rFonts w:ascii="Arial" w:hAnsi="Arial" w:cs="Arial"/>
          <w:color w:val="000000"/>
          <w:sz w:val="22"/>
          <w:szCs w:val="22"/>
        </w:rPr>
        <w:t xml:space="preserve">'s Data Center. For example, access to data on </w:t>
      </w:r>
      <w:r w:rsidRPr="003A3552" w:rsidR="00E23D30">
        <w:rPr>
          <w:rFonts w:ascii="Arial" w:hAnsi="Arial" w:cs="Arial"/>
          <w:color w:val="000000"/>
          <w:sz w:val="22"/>
          <w:szCs w:val="22"/>
        </w:rPr>
        <w:t xml:space="preserve">NCCBR </w:t>
      </w:r>
      <w:r w:rsidRPr="003A3552">
        <w:rPr>
          <w:rFonts w:ascii="Arial" w:hAnsi="Arial" w:cs="Arial"/>
          <w:color w:val="000000"/>
          <w:sz w:val="22"/>
          <w:szCs w:val="22"/>
        </w:rPr>
        <w:t xml:space="preserve">will allow the </w:t>
      </w:r>
      <w:r w:rsidRPr="003A3552" w:rsidR="000E1054">
        <w:rPr>
          <w:rFonts w:ascii="Arial" w:hAnsi="Arial" w:cs="Arial"/>
          <w:color w:val="000000"/>
          <w:sz w:val="22"/>
          <w:szCs w:val="22"/>
        </w:rPr>
        <w:t>OFR</w:t>
      </w:r>
      <w:r w:rsidRPr="003A3552">
        <w:rPr>
          <w:rFonts w:ascii="Arial" w:hAnsi="Arial" w:cs="Arial"/>
          <w:color w:val="000000"/>
          <w:sz w:val="22"/>
          <w:szCs w:val="22"/>
        </w:rPr>
        <w:t xml:space="preserve"> to conduct research related to the Council's analysis of potential risks arising from securities financing activities and nonbank financial institutions.</w:t>
      </w:r>
    </w:p>
    <w:p w:rsidR="00432C2B" w:rsidP="00BC5EF3" w14:paraId="74A78ED1" w14:textId="77777777">
      <w:pPr>
        <w:numPr>
          <w:ilvl w:val="0"/>
          <w:numId w:val="11"/>
        </w:numPr>
        <w:tabs>
          <w:tab w:val="clear" w:pos="360"/>
          <w:tab w:val="left" w:pos="540"/>
        </w:tabs>
        <w:spacing w:before="120" w:after="120"/>
        <w:ind w:left="540" w:hanging="540"/>
        <w:rPr>
          <w:rFonts w:ascii="Arial" w:hAnsi="Arial" w:cs="Arial"/>
          <w:b/>
          <w:bCs/>
          <w:sz w:val="22"/>
          <w:szCs w:val="22"/>
        </w:rPr>
      </w:pPr>
      <w:r>
        <w:rPr>
          <w:rFonts w:ascii="Arial" w:hAnsi="Arial" w:cs="Arial"/>
          <w:b/>
          <w:bCs/>
          <w:sz w:val="22"/>
          <w:szCs w:val="22"/>
        </w:rPr>
        <w:t>Consideration Given to Information Technology.</w:t>
      </w:r>
    </w:p>
    <w:p w:rsidR="00200A74" w:rsidRPr="002769EA" w:rsidP="003A3552" w14:paraId="2E7E533F" w14:textId="685FA7D7">
      <w:pPr>
        <w:tabs>
          <w:tab w:val="left" w:pos="540"/>
        </w:tabs>
        <w:spacing w:before="120" w:after="120"/>
        <w:rPr>
          <w:rFonts w:ascii="Arial" w:hAnsi="Arial" w:cs="Arial"/>
          <w:color w:val="000000"/>
          <w:sz w:val="22"/>
          <w:szCs w:val="22"/>
        </w:rPr>
      </w:pPr>
      <w:r w:rsidRPr="002769EA">
        <w:rPr>
          <w:rFonts w:ascii="Arial" w:hAnsi="Arial" w:cs="Arial"/>
          <w:color w:val="000000"/>
          <w:sz w:val="22"/>
          <w:szCs w:val="22"/>
        </w:rPr>
        <w:t xml:space="preserve">This collection seeks transaction data created by financial companies </w:t>
      </w:r>
      <w:r w:rsidRPr="002769EA" w:rsidR="00B6347C">
        <w:rPr>
          <w:rFonts w:ascii="Arial" w:hAnsi="Arial" w:cs="Arial"/>
          <w:color w:val="000000"/>
          <w:sz w:val="22"/>
          <w:szCs w:val="22"/>
        </w:rPr>
        <w:t xml:space="preserve">related to </w:t>
      </w:r>
      <w:r w:rsidR="00DE2757">
        <w:rPr>
          <w:rFonts w:ascii="Arial" w:hAnsi="Arial" w:cs="Arial"/>
          <w:color w:val="000000"/>
          <w:sz w:val="22"/>
          <w:szCs w:val="22"/>
        </w:rPr>
        <w:t>NCCBR</w:t>
      </w:r>
      <w:r w:rsidRPr="002769EA" w:rsidR="00B6347C">
        <w:rPr>
          <w:rFonts w:ascii="Arial" w:hAnsi="Arial" w:cs="Arial"/>
          <w:color w:val="000000"/>
          <w:sz w:val="22"/>
          <w:szCs w:val="22"/>
        </w:rPr>
        <w:t xml:space="preserve"> trades. Various IT systems and software are currently used by financial companies when conducting these transactions. We know this from collections on data from </w:t>
      </w:r>
      <w:r w:rsidRPr="002769EA" w:rsidR="00197C2C">
        <w:rPr>
          <w:rFonts w:ascii="Arial" w:hAnsi="Arial" w:cs="Arial"/>
          <w:color w:val="000000"/>
          <w:sz w:val="22"/>
          <w:szCs w:val="22"/>
        </w:rPr>
        <w:t>tri-party</w:t>
      </w:r>
      <w:r w:rsidRPr="002769EA" w:rsidR="00B6347C">
        <w:rPr>
          <w:rFonts w:ascii="Arial" w:hAnsi="Arial" w:cs="Arial"/>
          <w:color w:val="000000"/>
          <w:sz w:val="22"/>
          <w:szCs w:val="22"/>
        </w:rPr>
        <w:t xml:space="preserve"> repurchase agreements and centrally cleared repurchase agreements as well as </w:t>
      </w:r>
      <w:r w:rsidR="001425AD">
        <w:rPr>
          <w:rFonts w:ascii="Arial" w:hAnsi="Arial" w:cs="Arial"/>
          <w:color w:val="000000"/>
          <w:sz w:val="22"/>
          <w:szCs w:val="22"/>
        </w:rPr>
        <w:t xml:space="preserve">from </w:t>
      </w:r>
      <w:r w:rsidR="000B1FB1">
        <w:rPr>
          <w:rFonts w:ascii="Arial" w:hAnsi="Arial" w:cs="Arial"/>
          <w:color w:val="000000"/>
          <w:sz w:val="22"/>
          <w:szCs w:val="22"/>
        </w:rPr>
        <w:t xml:space="preserve">the OFR’s </w:t>
      </w:r>
      <w:r w:rsidR="000F5E3C">
        <w:rPr>
          <w:rFonts w:ascii="Arial" w:hAnsi="Arial" w:cs="Arial"/>
          <w:color w:val="000000"/>
          <w:sz w:val="22"/>
          <w:szCs w:val="22"/>
        </w:rPr>
        <w:t xml:space="preserve">2022 </w:t>
      </w:r>
      <w:r w:rsidRPr="002769EA" w:rsidR="00B6347C">
        <w:rPr>
          <w:rFonts w:ascii="Arial" w:hAnsi="Arial" w:cs="Arial"/>
          <w:color w:val="000000"/>
          <w:sz w:val="22"/>
          <w:szCs w:val="22"/>
        </w:rPr>
        <w:t xml:space="preserve">pilot collection of </w:t>
      </w:r>
      <w:r w:rsidRPr="003A3552" w:rsidR="00013223">
        <w:rPr>
          <w:rFonts w:ascii="Arial" w:hAnsi="Arial" w:cs="Arial"/>
          <w:color w:val="000000"/>
          <w:sz w:val="22"/>
          <w:szCs w:val="22"/>
        </w:rPr>
        <w:t xml:space="preserve">NCCBR </w:t>
      </w:r>
      <w:r w:rsidR="00821CB4">
        <w:rPr>
          <w:rFonts w:ascii="Arial" w:hAnsi="Arial" w:cs="Arial"/>
          <w:color w:val="000000"/>
          <w:sz w:val="22"/>
          <w:szCs w:val="22"/>
        </w:rPr>
        <w:t>data</w:t>
      </w:r>
      <w:r w:rsidRPr="002769EA" w:rsidR="00B6347C">
        <w:rPr>
          <w:rFonts w:ascii="Arial" w:hAnsi="Arial" w:cs="Arial"/>
          <w:color w:val="000000"/>
          <w:sz w:val="22"/>
          <w:szCs w:val="22"/>
        </w:rPr>
        <w:t xml:space="preserve">. OFR intends to collect these data through electronic submission to reduce the burden on reporters. </w:t>
      </w:r>
    </w:p>
    <w:p w:rsidR="00432C2B" w:rsidP="00432C2B" w14:paraId="3F4C612B" w14:textId="77777777">
      <w:pPr>
        <w:numPr>
          <w:ilvl w:val="0"/>
          <w:numId w:val="11"/>
        </w:numPr>
        <w:tabs>
          <w:tab w:val="clear" w:pos="360"/>
          <w:tab w:val="num" w:pos="540"/>
        </w:tabs>
        <w:spacing w:before="120" w:after="120"/>
        <w:ind w:left="540" w:hanging="540"/>
        <w:jc w:val="both"/>
        <w:rPr>
          <w:rFonts w:ascii="Arial" w:hAnsi="Arial" w:cs="Arial"/>
          <w:b/>
          <w:bCs/>
          <w:sz w:val="22"/>
          <w:szCs w:val="22"/>
        </w:rPr>
      </w:pPr>
      <w:r>
        <w:rPr>
          <w:rFonts w:ascii="Arial" w:hAnsi="Arial" w:cs="Arial"/>
          <w:b/>
          <w:bCs/>
          <w:sz w:val="22"/>
          <w:szCs w:val="22"/>
        </w:rPr>
        <w:t>Duplication of Information.</w:t>
      </w:r>
    </w:p>
    <w:p w:rsidR="00890057" w:rsidRPr="002769EA" w:rsidP="003A3552" w14:paraId="66F1876B" w14:textId="352EA2B9">
      <w:pPr>
        <w:tabs>
          <w:tab w:val="left" w:pos="540"/>
        </w:tabs>
        <w:spacing w:before="120" w:after="120"/>
        <w:rPr>
          <w:rFonts w:ascii="Arial" w:hAnsi="Arial" w:cs="Arial"/>
          <w:color w:val="000000"/>
          <w:sz w:val="22"/>
          <w:szCs w:val="22"/>
        </w:rPr>
      </w:pPr>
      <w:r w:rsidRPr="002769EA">
        <w:rPr>
          <w:rFonts w:ascii="Arial" w:hAnsi="Arial" w:cs="Arial"/>
          <w:color w:val="000000"/>
          <w:sz w:val="22"/>
          <w:szCs w:val="22"/>
        </w:rPr>
        <w:t xml:space="preserve">There are currently no existing collections within Treasury or in other parts of government </w:t>
      </w:r>
      <w:r w:rsidR="00821CB4">
        <w:rPr>
          <w:rFonts w:ascii="Arial" w:hAnsi="Arial" w:cs="Arial"/>
          <w:color w:val="000000"/>
          <w:sz w:val="22"/>
          <w:szCs w:val="22"/>
        </w:rPr>
        <w:t>that</w:t>
      </w:r>
      <w:r w:rsidRPr="002769EA">
        <w:rPr>
          <w:rFonts w:ascii="Arial" w:hAnsi="Arial" w:cs="Arial"/>
          <w:color w:val="000000"/>
          <w:sz w:val="22"/>
          <w:szCs w:val="22"/>
        </w:rPr>
        <w:t xml:space="preserve"> collect daily transaction level data on </w:t>
      </w:r>
      <w:r w:rsidR="00C405A5">
        <w:rPr>
          <w:rFonts w:ascii="Arial" w:hAnsi="Arial" w:cs="Arial"/>
          <w:color w:val="000000"/>
          <w:sz w:val="22"/>
          <w:szCs w:val="22"/>
        </w:rPr>
        <w:t>NCCBR</w:t>
      </w:r>
      <w:r w:rsidRPr="002769EA">
        <w:rPr>
          <w:rFonts w:ascii="Arial" w:hAnsi="Arial" w:cs="Arial"/>
          <w:color w:val="000000"/>
          <w:sz w:val="22"/>
          <w:szCs w:val="22"/>
        </w:rPr>
        <w:t xml:space="preserve"> </w:t>
      </w:r>
      <w:r w:rsidR="00934C8D">
        <w:rPr>
          <w:rFonts w:ascii="Arial" w:hAnsi="Arial" w:cs="Arial"/>
          <w:color w:val="000000"/>
          <w:sz w:val="22"/>
          <w:szCs w:val="22"/>
        </w:rPr>
        <w:t>agreements</w:t>
      </w:r>
      <w:r w:rsidRPr="002769EA">
        <w:rPr>
          <w:rFonts w:ascii="Arial" w:hAnsi="Arial" w:cs="Arial"/>
          <w:color w:val="000000"/>
          <w:sz w:val="22"/>
          <w:szCs w:val="22"/>
        </w:rPr>
        <w:t xml:space="preserve">. </w:t>
      </w:r>
      <w:r w:rsidR="007D795F">
        <w:rPr>
          <w:rFonts w:ascii="Arial" w:hAnsi="Arial" w:cs="Arial"/>
          <w:color w:val="000000"/>
          <w:sz w:val="22"/>
          <w:szCs w:val="22"/>
        </w:rPr>
        <w:t xml:space="preserve">The OFR confirmed this initially with research, followed by a series of interviews conducted in 2022 to determine that there are no existing or planned collections that would duplicate or overlap with the </w:t>
      </w:r>
      <w:r w:rsidRPr="003A3552" w:rsidR="00013223">
        <w:rPr>
          <w:rFonts w:ascii="Arial" w:hAnsi="Arial" w:cs="Arial"/>
          <w:color w:val="000000"/>
          <w:sz w:val="22"/>
          <w:szCs w:val="22"/>
        </w:rPr>
        <w:t xml:space="preserve">NCCBR </w:t>
      </w:r>
      <w:r w:rsidR="007D795F">
        <w:rPr>
          <w:rFonts w:ascii="Arial" w:hAnsi="Arial" w:cs="Arial"/>
          <w:color w:val="000000"/>
          <w:sz w:val="22"/>
          <w:szCs w:val="22"/>
        </w:rPr>
        <w:t>collection. The</w:t>
      </w:r>
      <w:r w:rsidR="00402885">
        <w:rPr>
          <w:rFonts w:ascii="Arial" w:hAnsi="Arial" w:cs="Arial"/>
          <w:color w:val="000000"/>
          <w:sz w:val="22"/>
          <w:szCs w:val="22"/>
        </w:rPr>
        <w:t xml:space="preserve">se </w:t>
      </w:r>
      <w:r w:rsidR="007D795F">
        <w:rPr>
          <w:rFonts w:ascii="Arial" w:hAnsi="Arial" w:cs="Arial"/>
          <w:color w:val="000000"/>
          <w:sz w:val="22"/>
          <w:szCs w:val="22"/>
        </w:rPr>
        <w:t xml:space="preserve">interviews were conducted with: Treasury’s Office of Domestic Finance, the </w:t>
      </w:r>
      <w:r w:rsidRPr="00343469" w:rsidR="00343469">
        <w:rPr>
          <w:rFonts w:ascii="Arial" w:hAnsi="Arial" w:cs="Arial"/>
          <w:color w:val="000000"/>
          <w:sz w:val="22"/>
          <w:szCs w:val="22"/>
        </w:rPr>
        <w:t>Board of Governors of the Federal Reserve System, the Securities and Exchange Commission, and the Federal Reserve Bank of New York</w:t>
      </w:r>
      <w:r w:rsidR="007D795F">
        <w:rPr>
          <w:rFonts w:ascii="Arial" w:hAnsi="Arial" w:cs="Arial"/>
          <w:color w:val="000000"/>
          <w:sz w:val="22"/>
          <w:szCs w:val="22"/>
        </w:rPr>
        <w:t>.  The OFR also met with</w:t>
      </w:r>
      <w:r w:rsidRPr="002769EA">
        <w:rPr>
          <w:rFonts w:ascii="Arial" w:hAnsi="Arial" w:cs="Arial"/>
          <w:color w:val="000000"/>
          <w:sz w:val="22"/>
          <w:szCs w:val="22"/>
        </w:rPr>
        <w:t xml:space="preserve"> industry associations including </w:t>
      </w:r>
      <w:r w:rsidRPr="00343469" w:rsidR="00343469">
        <w:rPr>
          <w:rFonts w:ascii="Arial" w:hAnsi="Arial" w:cs="Arial"/>
          <w:color w:val="000000"/>
          <w:sz w:val="22"/>
          <w:szCs w:val="22"/>
        </w:rPr>
        <w:t>Securities Industry and Financial Markets Association, Financial Industry Regulatory Authority, Managed Funds Association, and the Independent Dealer and Trader Association</w:t>
      </w:r>
      <w:r w:rsidR="007D795F">
        <w:rPr>
          <w:rFonts w:ascii="Arial" w:hAnsi="Arial" w:cs="Arial"/>
          <w:color w:val="000000"/>
          <w:sz w:val="22"/>
          <w:szCs w:val="22"/>
        </w:rPr>
        <w:t>.</w:t>
      </w:r>
      <w:r w:rsidR="00D12144">
        <w:rPr>
          <w:rFonts w:ascii="Arial" w:hAnsi="Arial" w:cs="Arial"/>
          <w:color w:val="000000"/>
          <w:sz w:val="22"/>
          <w:szCs w:val="22"/>
        </w:rPr>
        <w:t xml:space="preserve">  Additionally, the OFR received no public comments</w:t>
      </w:r>
      <w:r w:rsidR="00515584">
        <w:rPr>
          <w:rFonts w:ascii="Arial" w:hAnsi="Arial" w:cs="Arial"/>
          <w:color w:val="000000"/>
          <w:sz w:val="22"/>
          <w:szCs w:val="22"/>
        </w:rPr>
        <w:t xml:space="preserve"> </w:t>
      </w:r>
      <w:r w:rsidR="001461EC">
        <w:rPr>
          <w:rFonts w:ascii="Arial" w:hAnsi="Arial" w:cs="Arial"/>
          <w:color w:val="000000"/>
          <w:sz w:val="22"/>
          <w:szCs w:val="22"/>
        </w:rPr>
        <w:t xml:space="preserve">on its </w:t>
      </w:r>
      <w:r w:rsidR="00C405A5">
        <w:rPr>
          <w:rFonts w:ascii="Arial" w:hAnsi="Arial" w:cs="Arial"/>
          <w:color w:val="000000"/>
          <w:sz w:val="22"/>
          <w:szCs w:val="22"/>
        </w:rPr>
        <w:t xml:space="preserve">January 2023 </w:t>
      </w:r>
      <w:r w:rsidR="001461EC">
        <w:rPr>
          <w:rFonts w:ascii="Arial" w:hAnsi="Arial" w:cs="Arial"/>
          <w:color w:val="000000"/>
          <w:sz w:val="22"/>
          <w:szCs w:val="22"/>
        </w:rPr>
        <w:t xml:space="preserve">proposed rule </w:t>
      </w:r>
      <w:r w:rsidR="00D12144">
        <w:rPr>
          <w:rFonts w:ascii="Arial" w:hAnsi="Arial" w:cs="Arial"/>
          <w:color w:val="000000"/>
          <w:sz w:val="22"/>
          <w:szCs w:val="22"/>
        </w:rPr>
        <w:t>that identified duplicative</w:t>
      </w:r>
      <w:r w:rsidR="003D70FC">
        <w:rPr>
          <w:rFonts w:ascii="Arial" w:hAnsi="Arial" w:cs="Arial"/>
          <w:color w:val="000000"/>
          <w:sz w:val="22"/>
          <w:szCs w:val="22"/>
        </w:rPr>
        <w:t xml:space="preserve"> data collections.</w:t>
      </w:r>
      <w:r w:rsidR="00D12144">
        <w:rPr>
          <w:rFonts w:ascii="Arial" w:hAnsi="Arial" w:cs="Arial"/>
          <w:color w:val="000000"/>
          <w:sz w:val="22"/>
          <w:szCs w:val="22"/>
        </w:rPr>
        <w:t xml:space="preserve"> </w:t>
      </w:r>
    </w:p>
    <w:p w:rsidR="00432C2B" w:rsidP="00432C2B" w14:paraId="5AE51100" w14:textId="77777777">
      <w:pPr>
        <w:numPr>
          <w:ilvl w:val="0"/>
          <w:numId w:val="11"/>
        </w:numPr>
        <w:tabs>
          <w:tab w:val="left" w:pos="540"/>
        </w:tabs>
        <w:spacing w:before="120" w:after="120"/>
        <w:jc w:val="both"/>
        <w:rPr>
          <w:rFonts w:ascii="Arial" w:hAnsi="Arial" w:cs="Arial"/>
          <w:b/>
          <w:bCs/>
          <w:sz w:val="22"/>
          <w:szCs w:val="22"/>
        </w:rPr>
      </w:pPr>
      <w:r>
        <w:rPr>
          <w:rFonts w:ascii="Arial" w:hAnsi="Arial" w:cs="Arial"/>
          <w:b/>
          <w:color w:val="000000"/>
          <w:sz w:val="22"/>
          <w:szCs w:val="22"/>
        </w:rPr>
        <w:t>Reducing the Burden on Small Enti</w:t>
      </w:r>
      <w:r>
        <w:rPr>
          <w:rFonts w:ascii="Arial" w:hAnsi="Arial" w:cs="Arial"/>
          <w:b/>
          <w:bCs/>
          <w:sz w:val="22"/>
          <w:szCs w:val="22"/>
        </w:rPr>
        <w:t xml:space="preserve">ties. </w:t>
      </w:r>
    </w:p>
    <w:p w:rsidR="00890057" w:rsidP="003A3552" w14:paraId="7CC59FA8" w14:textId="0B485D5F">
      <w:pPr>
        <w:tabs>
          <w:tab w:val="left" w:pos="540"/>
        </w:tabs>
        <w:spacing w:before="120" w:after="120"/>
        <w:rPr>
          <w:rFonts w:ascii="Arial" w:hAnsi="Arial" w:cs="Arial"/>
          <w:color w:val="000000"/>
          <w:sz w:val="22"/>
          <w:szCs w:val="22"/>
        </w:rPr>
      </w:pPr>
      <w:r w:rsidRPr="00A9056D">
        <w:rPr>
          <w:rFonts w:ascii="Arial" w:hAnsi="Arial" w:cs="Arial"/>
          <w:color w:val="000000"/>
          <w:sz w:val="22"/>
          <w:szCs w:val="22"/>
        </w:rPr>
        <w:t>The</w:t>
      </w:r>
      <w:r w:rsidRPr="003A3552">
        <w:rPr>
          <w:rFonts w:ascii="Arial" w:hAnsi="Arial" w:cs="Arial"/>
          <w:color w:val="000000"/>
          <w:sz w:val="22"/>
          <w:szCs w:val="22"/>
        </w:rPr>
        <w:t xml:space="preserve"> </w:t>
      </w:r>
      <w:r w:rsidRPr="002769EA" w:rsidR="00DA3DC8">
        <w:rPr>
          <w:rFonts w:ascii="Arial" w:hAnsi="Arial" w:cs="Arial"/>
          <w:color w:val="000000"/>
          <w:sz w:val="22"/>
          <w:szCs w:val="22"/>
        </w:rPr>
        <w:t xml:space="preserve">OFR does not believe this rule will impact small </w:t>
      </w:r>
      <w:r w:rsidRPr="002769EA" w:rsidR="00197C2C">
        <w:rPr>
          <w:rFonts w:ascii="Arial" w:hAnsi="Arial" w:cs="Arial"/>
          <w:color w:val="000000"/>
          <w:sz w:val="22"/>
          <w:szCs w:val="22"/>
        </w:rPr>
        <w:t>business or</w:t>
      </w:r>
      <w:r w:rsidRPr="002769EA" w:rsidR="00DA3DC8">
        <w:rPr>
          <w:rFonts w:ascii="Arial" w:hAnsi="Arial" w:cs="Arial"/>
          <w:color w:val="000000"/>
          <w:sz w:val="22"/>
          <w:szCs w:val="22"/>
        </w:rPr>
        <w:t xml:space="preserve"> other small entities.  OFR has designed the definition of covered reporters to ensure those financial companies who fall under </w:t>
      </w:r>
      <w:r w:rsidR="007D795F">
        <w:rPr>
          <w:rFonts w:ascii="Arial" w:hAnsi="Arial" w:cs="Arial"/>
          <w:color w:val="000000"/>
          <w:sz w:val="22"/>
          <w:szCs w:val="22"/>
        </w:rPr>
        <w:t xml:space="preserve">the </w:t>
      </w:r>
      <w:r w:rsidRPr="002769EA" w:rsidR="00DA3DC8">
        <w:rPr>
          <w:rFonts w:ascii="Arial" w:hAnsi="Arial" w:cs="Arial"/>
          <w:color w:val="000000"/>
          <w:sz w:val="22"/>
          <w:szCs w:val="22"/>
        </w:rPr>
        <w:t>rule are those who likely have the infrastructure and expertise to report their transactions.</w:t>
      </w:r>
      <w:r w:rsidR="00343469">
        <w:rPr>
          <w:rFonts w:ascii="Arial" w:hAnsi="Arial" w:cs="Arial"/>
          <w:color w:val="000000"/>
          <w:sz w:val="22"/>
          <w:szCs w:val="22"/>
        </w:rPr>
        <w:t xml:space="preserve">  The rule will apply to:</w:t>
      </w:r>
    </w:p>
    <w:p w:rsidR="00343469" w:rsidP="00343469" w14:paraId="448AD915" w14:textId="7978F07C">
      <w:pPr>
        <w:numPr>
          <w:ilvl w:val="0"/>
          <w:numId w:val="35"/>
        </w:numPr>
        <w:tabs>
          <w:tab w:val="left" w:pos="540"/>
        </w:tabs>
        <w:spacing w:before="120" w:after="120"/>
        <w:jc w:val="both"/>
        <w:rPr>
          <w:rFonts w:ascii="Arial" w:hAnsi="Arial" w:cs="Arial"/>
          <w:color w:val="000000"/>
          <w:sz w:val="22"/>
          <w:szCs w:val="22"/>
        </w:rPr>
      </w:pPr>
      <w:r w:rsidRPr="48CCE980">
        <w:rPr>
          <w:rFonts w:ascii="Arial" w:hAnsi="Arial" w:cs="Arial"/>
          <w:color w:val="000000" w:themeColor="text1"/>
          <w:sz w:val="22"/>
          <w:szCs w:val="22"/>
        </w:rPr>
        <w:t>financial companies</w:t>
      </w:r>
      <w:r w:rsidRPr="48CCE980" w:rsidR="3CF36442">
        <w:rPr>
          <w:rFonts w:ascii="Arial" w:hAnsi="Arial" w:cs="Arial"/>
          <w:color w:val="000000" w:themeColor="text1"/>
          <w:sz w:val="22"/>
          <w:szCs w:val="22"/>
        </w:rPr>
        <w:t xml:space="preserve"> filing a Notice of Government Securities Broker or Government Securities Dealer Activities or SEC-registered brokers or dealers that are </w:t>
      </w:r>
      <w:r w:rsidRPr="48CCE980" w:rsidR="3CF36442">
        <w:rPr>
          <w:rFonts w:ascii="Arial" w:hAnsi="Arial" w:cs="Arial"/>
          <w:b/>
          <w:bCs/>
          <w:color w:val="000000" w:themeColor="text1"/>
          <w:sz w:val="22"/>
          <w:szCs w:val="22"/>
        </w:rPr>
        <w:t>at or above the volume threshold of $10 billion</w:t>
      </w:r>
      <w:r w:rsidRPr="48CCE980" w:rsidR="3CF36442">
        <w:rPr>
          <w:rFonts w:ascii="Arial" w:hAnsi="Arial" w:cs="Arial"/>
          <w:color w:val="000000" w:themeColor="text1"/>
          <w:sz w:val="22"/>
          <w:szCs w:val="22"/>
        </w:rPr>
        <w:t xml:space="preserve"> in </w:t>
      </w:r>
      <w:r w:rsidRPr="48CCE980" w:rsidR="7E486080">
        <w:rPr>
          <w:rFonts w:ascii="Arial" w:hAnsi="Arial" w:cs="Arial"/>
          <w:b/>
          <w:bCs/>
          <w:color w:val="000000" w:themeColor="text1"/>
          <w:sz w:val="22"/>
          <w:szCs w:val="22"/>
        </w:rPr>
        <w:t>NCCBR</w:t>
      </w:r>
      <w:r w:rsidRPr="48CCE980" w:rsidR="7E486080">
        <w:rPr>
          <w:rFonts w:ascii="Arial" w:hAnsi="Arial" w:cs="Arial"/>
          <w:color w:val="000000" w:themeColor="text1"/>
          <w:sz w:val="22"/>
          <w:szCs w:val="22"/>
        </w:rPr>
        <w:t xml:space="preserve"> cash </w:t>
      </w:r>
      <w:r w:rsidRPr="48CCE980" w:rsidR="3CF36442">
        <w:rPr>
          <w:rFonts w:ascii="Arial" w:hAnsi="Arial" w:cs="Arial"/>
          <w:color w:val="000000" w:themeColor="text1"/>
          <w:sz w:val="22"/>
          <w:szCs w:val="22"/>
        </w:rPr>
        <w:t>borrowing;</w:t>
      </w:r>
    </w:p>
    <w:p w:rsidR="00343469" w:rsidRPr="00C0461C" w:rsidP="00343469" w14:paraId="1DB6C795" w14:textId="0494738E">
      <w:pPr>
        <w:numPr>
          <w:ilvl w:val="0"/>
          <w:numId w:val="35"/>
        </w:numPr>
        <w:tabs>
          <w:tab w:val="left" w:pos="540"/>
        </w:tabs>
        <w:spacing w:before="120" w:after="120"/>
        <w:jc w:val="both"/>
        <w:rPr>
          <w:rFonts w:ascii="Arial" w:hAnsi="Arial" w:cs="Arial"/>
          <w:color w:val="000000"/>
          <w:sz w:val="22"/>
          <w:szCs w:val="22"/>
        </w:rPr>
      </w:pPr>
      <w:r w:rsidRPr="48CCE980">
        <w:rPr>
          <w:rFonts w:ascii="Arial" w:hAnsi="Arial" w:cs="Arial"/>
          <w:color w:val="000000" w:themeColor="text1"/>
          <w:sz w:val="22"/>
          <w:szCs w:val="22"/>
        </w:rPr>
        <w:t xml:space="preserve">any financial company </w:t>
      </w:r>
      <w:r w:rsidRPr="48CCE980" w:rsidR="6BD95E50">
        <w:rPr>
          <w:rFonts w:ascii="Arial" w:hAnsi="Arial" w:cs="Arial"/>
          <w:color w:val="000000" w:themeColor="text1"/>
          <w:sz w:val="22"/>
          <w:szCs w:val="22"/>
        </w:rPr>
        <w:t xml:space="preserve">not included above </w:t>
      </w:r>
      <w:r w:rsidRPr="48CCE980">
        <w:rPr>
          <w:rFonts w:ascii="Arial" w:hAnsi="Arial" w:cs="Arial"/>
          <w:color w:val="000000" w:themeColor="text1"/>
          <w:sz w:val="22"/>
          <w:szCs w:val="22"/>
        </w:rPr>
        <w:t xml:space="preserve">with over </w:t>
      </w:r>
      <w:r w:rsidRPr="48CCE980">
        <w:rPr>
          <w:rFonts w:ascii="Arial" w:hAnsi="Arial" w:cs="Arial"/>
          <w:b/>
          <w:bCs/>
          <w:color w:val="000000" w:themeColor="text1"/>
          <w:sz w:val="22"/>
          <w:szCs w:val="22"/>
        </w:rPr>
        <w:t>$1 billion in assets</w:t>
      </w:r>
      <w:r w:rsidRPr="48CCE980">
        <w:rPr>
          <w:rFonts w:ascii="Arial" w:hAnsi="Arial" w:cs="Arial"/>
          <w:color w:val="000000" w:themeColor="text1"/>
          <w:sz w:val="22"/>
          <w:szCs w:val="22"/>
        </w:rPr>
        <w:t xml:space="preserve"> whose average of daily total open commitments to borrow cash (inclusive of both overnight and all intraday transactions) through </w:t>
      </w:r>
      <w:r w:rsidRPr="008A1F69" w:rsidR="71F71B39">
        <w:rPr>
          <w:rFonts w:ascii="Arial" w:hAnsi="Arial" w:cs="Arial"/>
          <w:color w:val="000000" w:themeColor="text1"/>
          <w:sz w:val="22"/>
          <w:szCs w:val="22"/>
        </w:rPr>
        <w:t>NCCBR</w:t>
      </w:r>
      <w:r w:rsidRPr="48CCE980" w:rsidR="71F71B39">
        <w:rPr>
          <w:rFonts w:ascii="Arial" w:hAnsi="Arial" w:cs="Arial"/>
          <w:color w:val="000000" w:themeColor="text1"/>
          <w:sz w:val="22"/>
          <w:szCs w:val="22"/>
        </w:rPr>
        <w:t xml:space="preserve"> </w:t>
      </w:r>
      <w:r w:rsidRPr="48CCE980">
        <w:rPr>
          <w:rFonts w:ascii="Arial" w:hAnsi="Arial" w:cs="Arial"/>
          <w:color w:val="000000" w:themeColor="text1"/>
          <w:sz w:val="22"/>
          <w:szCs w:val="22"/>
        </w:rPr>
        <w:t xml:space="preserve">from institutions </w:t>
      </w:r>
      <w:r w:rsidRPr="48CCE980" w:rsidR="4FF9116C">
        <w:rPr>
          <w:rFonts w:ascii="Arial" w:hAnsi="Arial" w:cs="Arial"/>
          <w:color w:val="000000" w:themeColor="text1"/>
          <w:sz w:val="22"/>
          <w:szCs w:val="22"/>
        </w:rPr>
        <w:t xml:space="preserve">not </w:t>
      </w:r>
      <w:r w:rsidRPr="48CCE980" w:rsidR="4CBEA9AD">
        <w:rPr>
          <w:rFonts w:ascii="Arial" w:hAnsi="Arial" w:cs="Arial"/>
          <w:color w:val="000000" w:themeColor="text1"/>
          <w:sz w:val="22"/>
          <w:szCs w:val="22"/>
        </w:rPr>
        <w:t>included in the above category</w:t>
      </w:r>
      <w:r w:rsidRPr="48CCE980">
        <w:rPr>
          <w:rFonts w:ascii="Arial" w:hAnsi="Arial" w:cs="Arial"/>
          <w:color w:val="000000" w:themeColor="text1"/>
          <w:sz w:val="22"/>
          <w:szCs w:val="22"/>
        </w:rPr>
        <w:t xml:space="preserve"> </w:t>
      </w:r>
      <w:r w:rsidRPr="48CCE980">
        <w:rPr>
          <w:rFonts w:ascii="Arial" w:hAnsi="Arial" w:cs="Arial"/>
          <w:b/>
          <w:bCs/>
          <w:color w:val="000000" w:themeColor="text1"/>
          <w:sz w:val="22"/>
          <w:szCs w:val="22"/>
        </w:rPr>
        <w:t>exceeds $10 billion</w:t>
      </w:r>
      <w:r w:rsidRPr="48CCE980">
        <w:rPr>
          <w:rFonts w:ascii="Arial" w:hAnsi="Arial" w:cs="Arial"/>
          <w:color w:val="000000" w:themeColor="text1"/>
          <w:sz w:val="22"/>
          <w:szCs w:val="22"/>
        </w:rPr>
        <w:t>.</w:t>
      </w:r>
    </w:p>
    <w:p w:rsidR="00C0461C" w:rsidP="00C0461C" w14:paraId="16F8A8B0" w14:textId="77777777">
      <w:pPr>
        <w:tabs>
          <w:tab w:val="left" w:pos="540"/>
        </w:tabs>
        <w:spacing w:before="120" w:after="120"/>
        <w:ind w:left="900"/>
        <w:jc w:val="both"/>
        <w:rPr>
          <w:rFonts w:ascii="Arial" w:hAnsi="Arial" w:cs="Arial"/>
          <w:color w:val="000000"/>
          <w:sz w:val="22"/>
          <w:szCs w:val="22"/>
        </w:rPr>
      </w:pPr>
    </w:p>
    <w:p w:rsidR="00432C2B" w:rsidP="00432C2B" w14:paraId="08136783" w14:textId="77777777">
      <w:pPr>
        <w:numPr>
          <w:ilvl w:val="0"/>
          <w:numId w:val="11"/>
        </w:numPr>
        <w:tabs>
          <w:tab w:val="left" w:pos="540"/>
        </w:tabs>
        <w:spacing w:before="120" w:after="120"/>
        <w:rPr>
          <w:rFonts w:ascii="Arial" w:hAnsi="Arial" w:cs="Arial"/>
          <w:b/>
          <w:bCs/>
          <w:sz w:val="22"/>
          <w:szCs w:val="22"/>
        </w:rPr>
      </w:pPr>
      <w:r>
        <w:rPr>
          <w:rFonts w:ascii="Arial" w:hAnsi="Arial" w:cs="Arial"/>
          <w:b/>
          <w:bCs/>
          <w:sz w:val="22"/>
          <w:szCs w:val="22"/>
        </w:rPr>
        <w:t>Consequences of Not Conducting Collection.</w:t>
      </w:r>
    </w:p>
    <w:p w:rsidR="00DA3DC8" w:rsidRPr="002769EA" w:rsidP="003A3552" w14:paraId="09035934" w14:textId="1488EEFF">
      <w:pPr>
        <w:tabs>
          <w:tab w:val="left" w:pos="540"/>
        </w:tabs>
        <w:spacing w:before="120" w:after="120"/>
        <w:rPr>
          <w:rFonts w:ascii="Arial" w:hAnsi="Arial" w:cs="Arial"/>
          <w:color w:val="000000"/>
          <w:sz w:val="22"/>
          <w:szCs w:val="22"/>
        </w:rPr>
      </w:pPr>
      <w:r w:rsidRPr="002769EA">
        <w:rPr>
          <w:rFonts w:ascii="Arial" w:hAnsi="Arial" w:cs="Arial"/>
          <w:color w:val="000000"/>
          <w:sz w:val="22"/>
          <w:szCs w:val="22"/>
        </w:rPr>
        <w:t xml:space="preserve">Unlike the other segments of the market, little is known about the </w:t>
      </w:r>
      <w:r w:rsidRPr="00A27EC6" w:rsidR="00DD657C">
        <w:rPr>
          <w:rFonts w:ascii="Arial" w:hAnsi="Arial" w:cs="Arial"/>
          <w:color w:val="000000" w:themeColor="text1"/>
          <w:sz w:val="22"/>
          <w:szCs w:val="22"/>
        </w:rPr>
        <w:t>NCCBR</w:t>
      </w:r>
      <w:r w:rsidRPr="5B01F674" w:rsidR="00DD657C">
        <w:rPr>
          <w:rFonts w:ascii="Arial" w:hAnsi="Arial" w:cs="Arial"/>
          <w:color w:val="000000" w:themeColor="text1"/>
          <w:sz w:val="22"/>
          <w:szCs w:val="22"/>
        </w:rPr>
        <w:t xml:space="preserve"> </w:t>
      </w:r>
      <w:r w:rsidR="00DD657C">
        <w:rPr>
          <w:rFonts w:ascii="Arial" w:hAnsi="Arial" w:cs="Arial"/>
          <w:color w:val="000000" w:themeColor="text1"/>
          <w:sz w:val="22"/>
          <w:szCs w:val="22"/>
        </w:rPr>
        <w:t xml:space="preserve">market </w:t>
      </w:r>
      <w:r w:rsidRPr="002769EA">
        <w:rPr>
          <w:rFonts w:ascii="Arial" w:hAnsi="Arial" w:cs="Arial"/>
          <w:color w:val="000000"/>
          <w:sz w:val="22"/>
          <w:szCs w:val="22"/>
        </w:rPr>
        <w:t>segment directly, as there is no transaction-level collection</w:t>
      </w:r>
      <w:r w:rsidR="00507C7B">
        <w:rPr>
          <w:rFonts w:ascii="Arial" w:hAnsi="Arial" w:cs="Arial"/>
          <w:color w:val="000000"/>
          <w:sz w:val="22"/>
          <w:szCs w:val="22"/>
        </w:rPr>
        <w:t xml:space="preserve"> of these data</w:t>
      </w:r>
      <w:r w:rsidRPr="002769EA">
        <w:rPr>
          <w:rFonts w:ascii="Arial" w:hAnsi="Arial" w:cs="Arial"/>
          <w:color w:val="000000"/>
          <w:sz w:val="22"/>
          <w:szCs w:val="22"/>
        </w:rPr>
        <w:t>. However, research by the OFR shows that this segment represents 60% of total repo lending and 37% percent of total repo borrowing</w:t>
      </w:r>
      <w:r w:rsidRPr="002769EA" w:rsidR="6DC5624E">
        <w:rPr>
          <w:rFonts w:ascii="Arial" w:hAnsi="Arial" w:cs="Arial"/>
          <w:color w:val="000000"/>
          <w:sz w:val="22"/>
          <w:szCs w:val="22"/>
        </w:rPr>
        <w:t xml:space="preserve"> by primary dealers</w:t>
      </w:r>
      <w:r w:rsidRPr="002769EA">
        <w:rPr>
          <w:rFonts w:ascii="Arial" w:hAnsi="Arial" w:cs="Arial"/>
          <w:color w:val="000000"/>
          <w:sz w:val="22"/>
          <w:szCs w:val="22"/>
        </w:rPr>
        <w:t>.</w:t>
      </w:r>
      <w:r w:rsidRPr="002769EA" w:rsidR="24778D31">
        <w:rPr>
          <w:rFonts w:ascii="Arial" w:hAnsi="Arial" w:cs="Arial"/>
          <w:color w:val="000000"/>
          <w:sz w:val="22"/>
          <w:szCs w:val="22"/>
        </w:rPr>
        <w:t xml:space="preserve"> This segment involves the riskiest collateral, riskiest counterparties, and most opaque margining</w:t>
      </w:r>
      <w:r w:rsidRPr="002769EA" w:rsidR="119F1E5B">
        <w:rPr>
          <w:rFonts w:ascii="Arial" w:hAnsi="Arial" w:cs="Arial"/>
          <w:color w:val="000000"/>
          <w:sz w:val="22"/>
          <w:szCs w:val="22"/>
        </w:rPr>
        <w:t xml:space="preserve"> practices, and has been the origin of several previous stress events. </w:t>
      </w:r>
      <w:r w:rsidRPr="002769EA" w:rsidR="6789633D">
        <w:rPr>
          <w:rFonts w:ascii="Arial" w:hAnsi="Arial" w:cs="Arial"/>
          <w:color w:val="000000"/>
          <w:sz w:val="22"/>
          <w:szCs w:val="22"/>
        </w:rPr>
        <w:t xml:space="preserve">The lack of </w:t>
      </w:r>
      <w:r w:rsidR="00EE6245">
        <w:rPr>
          <w:rFonts w:ascii="Arial" w:hAnsi="Arial" w:cs="Arial"/>
          <w:color w:val="000000"/>
          <w:sz w:val="22"/>
          <w:szCs w:val="22"/>
        </w:rPr>
        <w:t>visibility into</w:t>
      </w:r>
      <w:r w:rsidRPr="002769EA" w:rsidR="6789633D">
        <w:rPr>
          <w:rFonts w:ascii="Arial" w:hAnsi="Arial" w:cs="Arial"/>
          <w:color w:val="000000"/>
          <w:sz w:val="22"/>
          <w:szCs w:val="22"/>
        </w:rPr>
        <w:t xml:space="preserve"> this segment has forced researchers to speculate on the causes of these stress events, with</w:t>
      </w:r>
      <w:r w:rsidR="004E193F">
        <w:rPr>
          <w:rFonts w:ascii="Arial" w:hAnsi="Arial" w:cs="Arial"/>
          <w:color w:val="000000"/>
          <w:sz w:val="22"/>
          <w:szCs w:val="22"/>
        </w:rPr>
        <w:t xml:space="preserve"> limited empirical </w:t>
      </w:r>
      <w:r w:rsidR="00BD0D73">
        <w:rPr>
          <w:rFonts w:ascii="Arial" w:hAnsi="Arial" w:cs="Arial"/>
          <w:color w:val="000000"/>
          <w:sz w:val="22"/>
          <w:szCs w:val="22"/>
        </w:rPr>
        <w:t>evidence</w:t>
      </w:r>
      <w:r w:rsidRPr="002769EA" w:rsidR="6789633D">
        <w:rPr>
          <w:rFonts w:ascii="Arial" w:hAnsi="Arial" w:cs="Arial"/>
          <w:color w:val="000000"/>
          <w:sz w:val="22"/>
          <w:szCs w:val="22"/>
        </w:rPr>
        <w:t>.</w:t>
      </w:r>
    </w:p>
    <w:p w:rsidR="00890057" w:rsidRPr="002769EA" w:rsidP="008A1F69" w14:paraId="6081D430" w14:textId="644571B8">
      <w:pPr>
        <w:tabs>
          <w:tab w:val="left" w:pos="540"/>
        </w:tabs>
        <w:spacing w:before="120" w:after="120"/>
        <w:rPr>
          <w:rFonts w:ascii="Arial" w:hAnsi="Arial" w:cs="Arial"/>
          <w:color w:val="000000"/>
          <w:sz w:val="22"/>
          <w:szCs w:val="22"/>
        </w:rPr>
      </w:pPr>
      <w:r w:rsidRPr="7CE11028">
        <w:rPr>
          <w:rFonts w:ascii="Arial" w:hAnsi="Arial" w:cs="Arial"/>
          <w:color w:val="000000" w:themeColor="text1"/>
          <w:sz w:val="22"/>
          <w:szCs w:val="22"/>
        </w:rPr>
        <w:t xml:space="preserve">This </w:t>
      </w:r>
      <w:r w:rsidR="000F2E79">
        <w:rPr>
          <w:rFonts w:ascii="Arial" w:hAnsi="Arial" w:cs="Arial"/>
          <w:color w:val="000000" w:themeColor="text1"/>
          <w:sz w:val="22"/>
          <w:szCs w:val="22"/>
        </w:rPr>
        <w:t>rule</w:t>
      </w:r>
      <w:r w:rsidR="00DD657C">
        <w:rPr>
          <w:rFonts w:ascii="Arial" w:hAnsi="Arial" w:cs="Arial"/>
          <w:color w:val="000000" w:themeColor="text1"/>
          <w:sz w:val="22"/>
          <w:szCs w:val="22"/>
        </w:rPr>
        <w:t xml:space="preserve"> </w:t>
      </w:r>
      <w:r w:rsidRPr="7CE11028">
        <w:rPr>
          <w:rFonts w:ascii="Arial" w:hAnsi="Arial" w:cs="Arial"/>
          <w:color w:val="000000" w:themeColor="text1"/>
          <w:sz w:val="22"/>
          <w:szCs w:val="22"/>
        </w:rPr>
        <w:t xml:space="preserve">is designed to fill a critical gap in regulators’ information on the repo market by collecting </w:t>
      </w:r>
      <w:r w:rsidRPr="00A27EC6" w:rsidR="00B610D5">
        <w:rPr>
          <w:rFonts w:ascii="Arial" w:hAnsi="Arial" w:cs="Arial"/>
          <w:color w:val="000000" w:themeColor="text1"/>
          <w:sz w:val="22"/>
          <w:szCs w:val="22"/>
        </w:rPr>
        <w:t>NCCBR</w:t>
      </w:r>
      <w:r w:rsidR="00B610D5">
        <w:rPr>
          <w:rFonts w:ascii="Arial" w:hAnsi="Arial" w:cs="Arial"/>
          <w:color w:val="000000" w:themeColor="text1"/>
          <w:sz w:val="22"/>
          <w:szCs w:val="22"/>
        </w:rPr>
        <w:t xml:space="preserve"> </w:t>
      </w:r>
      <w:r w:rsidRPr="7CE11028">
        <w:rPr>
          <w:rFonts w:ascii="Arial" w:hAnsi="Arial" w:cs="Arial"/>
          <w:color w:val="000000" w:themeColor="text1"/>
          <w:sz w:val="22"/>
          <w:szCs w:val="22"/>
        </w:rPr>
        <w:t>data, the last segment for which regulators do not have a transaction-level data source. The need for a collection of data on this segment of the market has been known since 2016, when the Council first called for the OFR to establish a permanent repo data collection. However, this lack of visibility was felt acutely following a September 2019 repo spike and March 2020 dislocations in the Treasury market when substantial portions of activity in these crucial funding markets could not be observed. In the wake of these episodes of stress, market participants and regulators have pointed to this segment as a</w:t>
      </w:r>
      <w:r w:rsidR="000F2E79">
        <w:rPr>
          <w:rFonts w:ascii="Arial" w:hAnsi="Arial" w:cs="Arial"/>
          <w:color w:val="000000" w:themeColor="text1"/>
          <w:sz w:val="22"/>
          <w:szCs w:val="22"/>
        </w:rPr>
        <w:t xml:space="preserve"> </w:t>
      </w:r>
      <w:r w:rsidRPr="7CE11028">
        <w:rPr>
          <w:rFonts w:ascii="Arial" w:hAnsi="Arial" w:cs="Arial"/>
          <w:color w:val="000000" w:themeColor="text1"/>
          <w:sz w:val="22"/>
          <w:szCs w:val="22"/>
        </w:rPr>
        <w:t>critical blind</w:t>
      </w:r>
      <w:r w:rsidRPr="7CE11028" w:rsidR="009628C2">
        <w:rPr>
          <w:rFonts w:ascii="Arial" w:hAnsi="Arial" w:cs="Arial"/>
          <w:color w:val="000000" w:themeColor="text1"/>
          <w:sz w:val="22"/>
          <w:szCs w:val="22"/>
        </w:rPr>
        <w:t xml:space="preserve"> </w:t>
      </w:r>
      <w:r w:rsidRPr="7CE11028">
        <w:rPr>
          <w:rFonts w:ascii="Arial" w:hAnsi="Arial" w:cs="Arial"/>
          <w:color w:val="000000" w:themeColor="text1"/>
          <w:sz w:val="22"/>
          <w:szCs w:val="22"/>
        </w:rPr>
        <w:t>spot in a market that plays a key role in financial stability.</w:t>
      </w:r>
    </w:p>
    <w:p w:rsidR="7CF21C8E" w:rsidP="7CE11028" w14:paraId="67B617BD" w14:textId="064B08D9">
      <w:pPr>
        <w:tabs>
          <w:tab w:val="left" w:pos="540"/>
        </w:tabs>
        <w:spacing w:before="120" w:after="120"/>
        <w:rPr>
          <w:rFonts w:ascii="Arial" w:hAnsi="Arial" w:cs="Arial"/>
          <w:color w:val="000000" w:themeColor="text1"/>
          <w:sz w:val="22"/>
          <w:szCs w:val="22"/>
        </w:rPr>
      </w:pPr>
      <w:r w:rsidRPr="7CE11028">
        <w:rPr>
          <w:rFonts w:ascii="Arial" w:hAnsi="Arial" w:cs="Arial"/>
          <w:color w:val="000000" w:themeColor="text1"/>
          <w:sz w:val="22"/>
          <w:szCs w:val="22"/>
        </w:rPr>
        <w:t xml:space="preserve">This data collection will remain important even after the SEC clearing rule is fully implemented. </w:t>
      </w:r>
      <w:r w:rsidRPr="7CE11028" w:rsidR="777E80F6">
        <w:rPr>
          <w:rFonts w:ascii="Arial" w:hAnsi="Arial" w:cs="Arial"/>
          <w:color w:val="000000" w:themeColor="text1"/>
          <w:sz w:val="22"/>
          <w:szCs w:val="22"/>
        </w:rPr>
        <w:t xml:space="preserve">This segment will still have the riskiest collateral and counterparties </w:t>
      </w:r>
      <w:r w:rsidRPr="7CE11028" w:rsidR="18063278">
        <w:rPr>
          <w:rFonts w:ascii="Arial" w:hAnsi="Arial" w:cs="Arial"/>
          <w:color w:val="000000" w:themeColor="text1"/>
          <w:sz w:val="22"/>
          <w:szCs w:val="22"/>
        </w:rPr>
        <w:t>of all</w:t>
      </w:r>
      <w:r w:rsidRPr="7CE11028" w:rsidR="30F5EC4C">
        <w:rPr>
          <w:rFonts w:ascii="Arial" w:hAnsi="Arial" w:cs="Arial"/>
          <w:color w:val="000000" w:themeColor="text1"/>
          <w:sz w:val="22"/>
          <w:szCs w:val="22"/>
        </w:rPr>
        <w:t xml:space="preserve"> the different</w:t>
      </w:r>
      <w:r w:rsidRPr="7CE11028" w:rsidR="18063278">
        <w:rPr>
          <w:rFonts w:ascii="Arial" w:hAnsi="Arial" w:cs="Arial"/>
          <w:color w:val="000000" w:themeColor="text1"/>
          <w:sz w:val="22"/>
          <w:szCs w:val="22"/>
        </w:rPr>
        <w:t xml:space="preserve"> repo market</w:t>
      </w:r>
      <w:r w:rsidRPr="7CE11028" w:rsidR="19BF6280">
        <w:rPr>
          <w:rFonts w:ascii="Arial" w:hAnsi="Arial" w:cs="Arial"/>
          <w:color w:val="000000" w:themeColor="text1"/>
          <w:sz w:val="22"/>
          <w:szCs w:val="22"/>
        </w:rPr>
        <w:t xml:space="preserve"> segments</w:t>
      </w:r>
      <w:r w:rsidRPr="7CE11028" w:rsidR="18063278">
        <w:rPr>
          <w:rFonts w:ascii="Arial" w:hAnsi="Arial" w:cs="Arial"/>
          <w:color w:val="000000" w:themeColor="text1"/>
          <w:sz w:val="22"/>
          <w:szCs w:val="22"/>
        </w:rPr>
        <w:t>, and the</w:t>
      </w:r>
      <w:r w:rsidRPr="7CE11028" w:rsidR="7E2E041E">
        <w:rPr>
          <w:rFonts w:ascii="Arial" w:hAnsi="Arial" w:cs="Arial"/>
          <w:color w:val="000000" w:themeColor="text1"/>
          <w:sz w:val="22"/>
          <w:szCs w:val="22"/>
        </w:rPr>
        <w:t xml:space="preserve"> OFR estimates that the</w:t>
      </w:r>
      <w:r w:rsidRPr="7CE11028" w:rsidR="18063278">
        <w:rPr>
          <w:rFonts w:ascii="Arial" w:hAnsi="Arial" w:cs="Arial"/>
          <w:color w:val="000000" w:themeColor="text1"/>
          <w:sz w:val="22"/>
          <w:szCs w:val="22"/>
        </w:rPr>
        <w:t xml:space="preserve"> size</w:t>
      </w:r>
      <w:r w:rsidRPr="7CE11028" w:rsidR="0FEA9A5D">
        <w:rPr>
          <w:rFonts w:ascii="Arial" w:hAnsi="Arial" w:cs="Arial"/>
          <w:color w:val="000000" w:themeColor="text1"/>
          <w:sz w:val="22"/>
          <w:szCs w:val="22"/>
        </w:rPr>
        <w:t xml:space="preserve"> will</w:t>
      </w:r>
      <w:r w:rsidRPr="7CE11028" w:rsidR="18063278">
        <w:rPr>
          <w:rFonts w:ascii="Arial" w:hAnsi="Arial" w:cs="Arial"/>
          <w:color w:val="000000" w:themeColor="text1"/>
          <w:sz w:val="22"/>
          <w:szCs w:val="22"/>
        </w:rPr>
        <w:t xml:space="preserve"> remain large enough to cause </w:t>
      </w:r>
      <w:r w:rsidRPr="7CE11028" w:rsidR="500E9677">
        <w:rPr>
          <w:rFonts w:ascii="Arial" w:hAnsi="Arial" w:cs="Arial"/>
          <w:color w:val="000000" w:themeColor="text1"/>
          <w:sz w:val="22"/>
          <w:szCs w:val="22"/>
        </w:rPr>
        <w:t>disruptions in financial markets</w:t>
      </w:r>
      <w:r w:rsidRPr="7CE11028" w:rsidR="692072C2">
        <w:rPr>
          <w:rFonts w:ascii="Arial" w:hAnsi="Arial" w:cs="Arial"/>
          <w:color w:val="000000" w:themeColor="text1"/>
          <w:sz w:val="22"/>
          <w:szCs w:val="22"/>
        </w:rPr>
        <w:t xml:space="preserve">. Additionally, it is unclear how the SEC rule will </w:t>
      </w:r>
      <w:r w:rsidR="0074091C">
        <w:rPr>
          <w:rFonts w:ascii="Arial" w:hAnsi="Arial" w:cs="Arial"/>
          <w:color w:val="000000" w:themeColor="text1"/>
          <w:sz w:val="22"/>
          <w:szCs w:val="22"/>
        </w:rPr>
        <w:t>change the structure of the market</w:t>
      </w:r>
      <w:r w:rsidRPr="7CE11028" w:rsidR="692072C2">
        <w:rPr>
          <w:rFonts w:ascii="Arial" w:hAnsi="Arial" w:cs="Arial"/>
          <w:color w:val="000000" w:themeColor="text1"/>
          <w:sz w:val="22"/>
          <w:szCs w:val="22"/>
        </w:rPr>
        <w:t>, and there may be the potential for avoidance by market participants.</w:t>
      </w:r>
      <w:r w:rsidRPr="7CE11028" w:rsidR="43879C0E">
        <w:rPr>
          <w:rFonts w:ascii="Arial" w:hAnsi="Arial" w:cs="Arial"/>
          <w:color w:val="000000" w:themeColor="text1"/>
          <w:sz w:val="22"/>
          <w:szCs w:val="22"/>
        </w:rPr>
        <w:t xml:space="preserve"> Co</w:t>
      </w:r>
      <w:r w:rsidRPr="7CE11028" w:rsidR="54BBE001">
        <w:rPr>
          <w:rFonts w:ascii="Arial" w:hAnsi="Arial" w:cs="Arial"/>
          <w:color w:val="000000" w:themeColor="text1"/>
          <w:sz w:val="22"/>
          <w:szCs w:val="22"/>
        </w:rPr>
        <w:t xml:space="preserve">llecting data on this segment will </w:t>
      </w:r>
      <w:r w:rsidRPr="7CE11028" w:rsidR="5D21D282">
        <w:rPr>
          <w:rFonts w:ascii="Arial" w:hAnsi="Arial" w:cs="Arial"/>
          <w:color w:val="000000" w:themeColor="text1"/>
          <w:sz w:val="22"/>
          <w:szCs w:val="22"/>
        </w:rPr>
        <w:t>ensure</w:t>
      </w:r>
      <w:r w:rsidRPr="7CE11028" w:rsidR="54BBE001">
        <w:rPr>
          <w:rFonts w:ascii="Arial" w:hAnsi="Arial" w:cs="Arial"/>
          <w:color w:val="000000" w:themeColor="text1"/>
          <w:sz w:val="22"/>
          <w:szCs w:val="22"/>
        </w:rPr>
        <w:t xml:space="preserve"> that regulators are aware of any large </w:t>
      </w:r>
      <w:r w:rsidR="00E201E5">
        <w:rPr>
          <w:rFonts w:ascii="Arial" w:hAnsi="Arial" w:cs="Arial"/>
          <w:color w:val="000000" w:themeColor="text1"/>
          <w:sz w:val="22"/>
          <w:szCs w:val="22"/>
        </w:rPr>
        <w:t>T</w:t>
      </w:r>
      <w:r w:rsidRPr="7CE11028" w:rsidR="54BBE001">
        <w:rPr>
          <w:rFonts w:ascii="Arial" w:hAnsi="Arial" w:cs="Arial"/>
          <w:color w:val="000000" w:themeColor="text1"/>
          <w:sz w:val="22"/>
          <w:szCs w:val="22"/>
        </w:rPr>
        <w:t xml:space="preserve">reasury collateralized repo volumes that may remain even after the SEC clearing rule is </w:t>
      </w:r>
      <w:r w:rsidR="007F5C50">
        <w:rPr>
          <w:rFonts w:ascii="Arial" w:hAnsi="Arial" w:cs="Arial"/>
          <w:color w:val="000000" w:themeColor="text1"/>
          <w:sz w:val="22"/>
          <w:szCs w:val="22"/>
        </w:rPr>
        <w:t>implemented</w:t>
      </w:r>
      <w:r w:rsidRPr="7CE11028" w:rsidR="54BBE001">
        <w:rPr>
          <w:rFonts w:ascii="Arial" w:hAnsi="Arial" w:cs="Arial"/>
          <w:color w:val="000000" w:themeColor="text1"/>
          <w:sz w:val="22"/>
          <w:szCs w:val="22"/>
        </w:rPr>
        <w:t>.</w:t>
      </w:r>
      <w:r w:rsidRPr="7CE11028" w:rsidR="6CEBA49C">
        <w:rPr>
          <w:rFonts w:ascii="Arial" w:hAnsi="Arial" w:cs="Arial"/>
          <w:color w:val="000000" w:themeColor="text1"/>
          <w:sz w:val="22"/>
          <w:szCs w:val="22"/>
        </w:rPr>
        <w:t xml:space="preserve"> Collecting data on this segment is also important to monitor the transition of treasury collateral into the centrally cleared market. Since the rule requires change</w:t>
      </w:r>
      <w:r w:rsidRPr="7CE11028" w:rsidR="3A12B84D">
        <w:rPr>
          <w:rFonts w:ascii="Arial" w:hAnsi="Arial" w:cs="Arial"/>
          <w:color w:val="000000" w:themeColor="text1"/>
          <w:sz w:val="22"/>
          <w:szCs w:val="22"/>
        </w:rPr>
        <w:t>s in the market practices in the central cleared market, it will be important to monitor the transition to central clearing to ensure these rules are ad</w:t>
      </w:r>
      <w:r w:rsidRPr="7CE11028" w:rsidR="0D1C3040">
        <w:rPr>
          <w:rFonts w:ascii="Arial" w:hAnsi="Arial" w:cs="Arial"/>
          <w:color w:val="000000" w:themeColor="text1"/>
          <w:sz w:val="22"/>
          <w:szCs w:val="22"/>
        </w:rPr>
        <w:t>equate and will not cause any disruptions in repo markets.</w:t>
      </w:r>
    </w:p>
    <w:p w:rsidR="00432C2B" w:rsidP="00432C2B" w14:paraId="6FB62D65" w14:textId="77777777">
      <w:pPr>
        <w:numPr>
          <w:ilvl w:val="0"/>
          <w:numId w:val="11"/>
        </w:numPr>
        <w:tabs>
          <w:tab w:val="clear" w:pos="360"/>
          <w:tab w:val="num" w:pos="540"/>
        </w:tabs>
        <w:spacing w:before="120" w:after="120"/>
        <w:ind w:left="540" w:hanging="540"/>
        <w:rPr>
          <w:rFonts w:ascii="Arial" w:hAnsi="Arial" w:cs="Arial"/>
          <w:b/>
          <w:bCs/>
          <w:sz w:val="22"/>
          <w:szCs w:val="22"/>
        </w:rPr>
      </w:pPr>
      <w:r>
        <w:rPr>
          <w:rFonts w:ascii="Arial" w:hAnsi="Arial" w:cs="Arial"/>
          <w:b/>
          <w:bCs/>
          <w:sz w:val="22"/>
          <w:szCs w:val="22"/>
        </w:rPr>
        <w:t>Special Circumstances.</w:t>
      </w:r>
    </w:p>
    <w:p w:rsidR="003D1ABD" w:rsidRPr="008A1F69" w:rsidP="008A1F69" w14:paraId="6099B86D" w14:textId="7AD7F4FE">
      <w:pPr>
        <w:tabs>
          <w:tab w:val="left" w:pos="540"/>
        </w:tabs>
        <w:spacing w:before="120" w:after="120"/>
        <w:rPr>
          <w:rFonts w:ascii="Arial" w:hAnsi="Arial" w:cs="Arial"/>
          <w:color w:val="000000" w:themeColor="text1"/>
          <w:sz w:val="22"/>
          <w:szCs w:val="22"/>
        </w:rPr>
      </w:pPr>
      <w:r w:rsidRPr="008A1F69">
        <w:rPr>
          <w:rFonts w:ascii="Arial" w:hAnsi="Arial" w:cs="Arial"/>
          <w:color w:val="000000" w:themeColor="text1"/>
          <w:sz w:val="22"/>
          <w:szCs w:val="22"/>
        </w:rPr>
        <w:t xml:space="preserve">This collection seeks once daily reporting from financial companies </w:t>
      </w:r>
      <w:r w:rsidRPr="008A1F69" w:rsidR="00507C7B">
        <w:rPr>
          <w:rFonts w:ascii="Arial" w:hAnsi="Arial" w:cs="Arial"/>
          <w:color w:val="000000" w:themeColor="text1"/>
          <w:sz w:val="22"/>
          <w:szCs w:val="22"/>
        </w:rPr>
        <w:t>that</w:t>
      </w:r>
      <w:r w:rsidRPr="008A1F69">
        <w:rPr>
          <w:rFonts w:ascii="Arial" w:hAnsi="Arial" w:cs="Arial"/>
          <w:color w:val="000000" w:themeColor="text1"/>
          <w:sz w:val="22"/>
          <w:szCs w:val="22"/>
        </w:rPr>
        <w:t xml:space="preserve"> meet the volume criteria stipulated in the rule. Daily </w:t>
      </w:r>
      <w:r w:rsidRPr="008A1F69" w:rsidR="00597633">
        <w:rPr>
          <w:rFonts w:ascii="Arial" w:hAnsi="Arial" w:cs="Arial"/>
          <w:color w:val="000000" w:themeColor="text1"/>
          <w:sz w:val="22"/>
          <w:szCs w:val="22"/>
        </w:rPr>
        <w:t>transaction</w:t>
      </w:r>
      <w:r w:rsidRPr="008A1F69">
        <w:rPr>
          <w:rFonts w:ascii="Arial" w:hAnsi="Arial" w:cs="Arial"/>
          <w:color w:val="000000" w:themeColor="text1"/>
          <w:sz w:val="22"/>
          <w:szCs w:val="22"/>
        </w:rPr>
        <w:t xml:space="preserve"> data is consistent with previous OFR rules requiring reporting of tri-party repurchase agreements and centrally cleared repurchase agreements.</w:t>
      </w:r>
    </w:p>
    <w:p w:rsidR="00C37CD8" w:rsidRPr="008A1F69" w:rsidP="008A1F69" w14:paraId="04450F29" w14:textId="77777777">
      <w:pPr>
        <w:tabs>
          <w:tab w:val="left" w:pos="540"/>
        </w:tabs>
        <w:spacing w:before="120" w:after="120"/>
        <w:rPr>
          <w:rFonts w:ascii="Arial" w:hAnsi="Arial" w:cs="Arial"/>
          <w:color w:val="000000" w:themeColor="text1"/>
          <w:sz w:val="22"/>
          <w:szCs w:val="22"/>
        </w:rPr>
      </w:pPr>
      <w:r w:rsidRPr="008A1F69">
        <w:rPr>
          <w:rFonts w:ascii="Arial" w:hAnsi="Arial" w:cs="Arial"/>
          <w:color w:val="000000" w:themeColor="text1"/>
          <w:sz w:val="22"/>
          <w:szCs w:val="22"/>
        </w:rPr>
        <w:t>There are no other special circumstances.  The collection of information is conducted in a manner consistent with the guidelines in 5 CFR 1320.6.</w:t>
      </w:r>
    </w:p>
    <w:p w:rsidR="00432C2B" w:rsidP="00F8418A" w14:paraId="68633809" w14:textId="77777777">
      <w:pPr>
        <w:numPr>
          <w:ilvl w:val="0"/>
          <w:numId w:val="11"/>
        </w:numPr>
        <w:tabs>
          <w:tab w:val="clear" w:pos="360"/>
          <w:tab w:val="left" w:pos="540"/>
        </w:tabs>
        <w:spacing w:before="120" w:after="120"/>
        <w:ind w:left="540" w:hanging="540"/>
        <w:jc w:val="both"/>
        <w:rPr>
          <w:rFonts w:ascii="Arial" w:hAnsi="Arial" w:cs="Arial"/>
          <w:b/>
          <w:bCs/>
          <w:sz w:val="22"/>
          <w:szCs w:val="22"/>
        </w:rPr>
      </w:pPr>
      <w:r>
        <w:rPr>
          <w:rFonts w:ascii="Arial" w:hAnsi="Arial" w:cs="Arial"/>
          <w:b/>
          <w:bCs/>
          <w:sz w:val="22"/>
          <w:szCs w:val="22"/>
        </w:rPr>
        <w:t>Consultations with Persons Outside the Agency.</w:t>
      </w:r>
    </w:p>
    <w:p w:rsidR="002C7EA3" w:rsidP="003A3552" w14:paraId="34EB47C2" w14:textId="3D5D831C">
      <w:pPr>
        <w:tabs>
          <w:tab w:val="left" w:pos="540"/>
        </w:tabs>
        <w:spacing w:before="120" w:after="120"/>
        <w:rPr>
          <w:rFonts w:ascii="Arial" w:hAnsi="Arial" w:cs="Arial"/>
          <w:color w:val="000000" w:themeColor="text1"/>
          <w:sz w:val="22"/>
          <w:szCs w:val="22"/>
        </w:rPr>
      </w:pPr>
      <w:r w:rsidRPr="1A247AA4">
        <w:rPr>
          <w:rFonts w:ascii="Arial" w:hAnsi="Arial" w:cs="Arial"/>
          <w:color w:val="000000" w:themeColor="text1"/>
          <w:sz w:val="22"/>
          <w:szCs w:val="22"/>
        </w:rPr>
        <w:t>In</w:t>
      </w:r>
      <w:r w:rsidRPr="1A247AA4" w:rsidR="006E4DFA">
        <w:rPr>
          <w:rFonts w:ascii="Arial" w:hAnsi="Arial" w:cs="Arial"/>
          <w:color w:val="000000" w:themeColor="text1"/>
          <w:sz w:val="22"/>
          <w:szCs w:val="22"/>
        </w:rPr>
        <w:t xml:space="preserve"> December 2021, the </w:t>
      </w:r>
      <w:r w:rsidRPr="1A247AA4" w:rsidR="003B6EEE">
        <w:rPr>
          <w:rFonts w:ascii="Arial" w:hAnsi="Arial" w:cs="Arial"/>
          <w:color w:val="000000" w:themeColor="text1"/>
          <w:sz w:val="22"/>
          <w:szCs w:val="22"/>
        </w:rPr>
        <w:t>OFR</w:t>
      </w:r>
      <w:r w:rsidRPr="1A247AA4" w:rsidR="006E4DFA">
        <w:rPr>
          <w:rFonts w:ascii="Arial" w:hAnsi="Arial" w:cs="Arial"/>
          <w:color w:val="000000" w:themeColor="text1"/>
          <w:sz w:val="22"/>
          <w:szCs w:val="22"/>
        </w:rPr>
        <w:t xml:space="preserve"> </w:t>
      </w:r>
      <w:r w:rsidRPr="1A247AA4" w:rsidR="00B80A16">
        <w:rPr>
          <w:rFonts w:ascii="Arial" w:hAnsi="Arial" w:cs="Arial"/>
          <w:color w:val="000000" w:themeColor="text1"/>
          <w:sz w:val="22"/>
          <w:szCs w:val="22"/>
        </w:rPr>
        <w:t>initiated a voluntary</w:t>
      </w:r>
      <w:r w:rsidRPr="1A247AA4" w:rsidR="006E4DFA">
        <w:rPr>
          <w:rFonts w:ascii="Arial" w:hAnsi="Arial" w:cs="Arial"/>
          <w:color w:val="000000" w:themeColor="text1"/>
          <w:sz w:val="22"/>
          <w:szCs w:val="22"/>
        </w:rPr>
        <w:t xml:space="preserve"> pilot collection of </w:t>
      </w:r>
      <w:r w:rsidRPr="00A27EC6" w:rsidR="00482DD0">
        <w:rPr>
          <w:rFonts w:ascii="Arial" w:hAnsi="Arial" w:cs="Arial"/>
          <w:color w:val="000000" w:themeColor="text1"/>
          <w:sz w:val="22"/>
          <w:szCs w:val="22"/>
        </w:rPr>
        <w:t>NCCBR</w:t>
      </w:r>
      <w:r w:rsidRPr="5B01F674" w:rsidR="00482DD0">
        <w:rPr>
          <w:rFonts w:ascii="Arial" w:hAnsi="Arial" w:cs="Arial"/>
          <w:color w:val="000000" w:themeColor="text1"/>
          <w:sz w:val="22"/>
          <w:szCs w:val="22"/>
        </w:rPr>
        <w:t xml:space="preserve"> </w:t>
      </w:r>
      <w:r w:rsidRPr="1A247AA4" w:rsidR="006E4DFA">
        <w:rPr>
          <w:rFonts w:ascii="Arial" w:hAnsi="Arial" w:cs="Arial"/>
          <w:color w:val="000000" w:themeColor="text1"/>
          <w:sz w:val="22"/>
          <w:szCs w:val="22"/>
        </w:rPr>
        <w:t>transactions. As part of this pilot, the OFR conducted outreach to government, industry participants, and</w:t>
      </w:r>
      <w:r w:rsidR="008A1F69">
        <w:rPr>
          <w:rFonts w:ascii="Arial" w:hAnsi="Arial" w:cs="Arial"/>
          <w:color w:val="000000" w:themeColor="text1"/>
          <w:sz w:val="22"/>
          <w:szCs w:val="22"/>
        </w:rPr>
        <w:t xml:space="preserve"> </w:t>
      </w:r>
      <w:r w:rsidRPr="1A247AA4" w:rsidR="006E4DFA">
        <w:rPr>
          <w:rFonts w:ascii="Arial" w:hAnsi="Arial" w:cs="Arial"/>
          <w:color w:val="000000" w:themeColor="text1"/>
          <w:sz w:val="22"/>
          <w:szCs w:val="22"/>
        </w:rPr>
        <w:t>industry associations</w:t>
      </w:r>
      <w:r w:rsidRPr="1A247AA4">
        <w:rPr>
          <w:rFonts w:ascii="Arial" w:hAnsi="Arial" w:cs="Arial"/>
          <w:color w:val="000000" w:themeColor="text1"/>
          <w:sz w:val="22"/>
          <w:szCs w:val="22"/>
        </w:rPr>
        <w:t xml:space="preserve"> from January 2022 through September 2022</w:t>
      </w:r>
      <w:r w:rsidRPr="1A247AA4" w:rsidR="006E4DFA">
        <w:rPr>
          <w:rFonts w:ascii="Arial" w:hAnsi="Arial" w:cs="Arial"/>
          <w:color w:val="000000" w:themeColor="text1"/>
          <w:sz w:val="22"/>
          <w:szCs w:val="22"/>
        </w:rPr>
        <w:t>.</w:t>
      </w:r>
      <w:r w:rsidRPr="1A247AA4" w:rsidR="00B85956">
        <w:rPr>
          <w:rFonts w:ascii="Arial" w:hAnsi="Arial" w:cs="Arial"/>
          <w:color w:val="000000" w:themeColor="text1"/>
          <w:sz w:val="22"/>
          <w:szCs w:val="22"/>
        </w:rPr>
        <w:t xml:space="preserve"> During each</w:t>
      </w:r>
      <w:r w:rsidRPr="1A247AA4" w:rsidR="00EA546D">
        <w:rPr>
          <w:rFonts w:ascii="Arial" w:hAnsi="Arial" w:cs="Arial"/>
          <w:color w:val="000000" w:themeColor="text1"/>
          <w:sz w:val="22"/>
          <w:szCs w:val="22"/>
        </w:rPr>
        <w:t xml:space="preserve"> discussion</w:t>
      </w:r>
      <w:r w:rsidRPr="1A247AA4" w:rsidR="00B85956">
        <w:rPr>
          <w:rFonts w:ascii="Arial" w:hAnsi="Arial" w:cs="Arial"/>
          <w:color w:val="000000" w:themeColor="text1"/>
          <w:sz w:val="22"/>
          <w:szCs w:val="22"/>
        </w:rPr>
        <w:t xml:space="preserve">, OFR </w:t>
      </w:r>
      <w:r w:rsidRPr="1A247AA4" w:rsidR="00EA546D">
        <w:rPr>
          <w:rFonts w:ascii="Arial" w:hAnsi="Arial" w:cs="Arial"/>
          <w:color w:val="000000" w:themeColor="text1"/>
          <w:sz w:val="22"/>
          <w:szCs w:val="22"/>
        </w:rPr>
        <w:t>obtained</w:t>
      </w:r>
      <w:r w:rsidRPr="1A247AA4" w:rsidR="00B22306">
        <w:rPr>
          <w:rFonts w:ascii="Arial" w:hAnsi="Arial" w:cs="Arial"/>
          <w:color w:val="000000" w:themeColor="text1"/>
          <w:sz w:val="22"/>
          <w:szCs w:val="22"/>
        </w:rPr>
        <w:t xml:space="preserve"> </w:t>
      </w:r>
      <w:r w:rsidRPr="1A247AA4" w:rsidR="70EE9EC6">
        <w:rPr>
          <w:rFonts w:ascii="Arial" w:hAnsi="Arial" w:cs="Arial"/>
          <w:color w:val="000000" w:themeColor="text1"/>
          <w:sz w:val="22"/>
          <w:szCs w:val="22"/>
        </w:rPr>
        <w:t xml:space="preserve">information relating to </w:t>
      </w:r>
      <w:r w:rsidRPr="1A247AA4" w:rsidR="00B22306">
        <w:rPr>
          <w:rFonts w:ascii="Arial" w:hAnsi="Arial" w:cs="Arial"/>
          <w:color w:val="000000" w:themeColor="text1"/>
          <w:sz w:val="22"/>
          <w:szCs w:val="22"/>
        </w:rPr>
        <w:t>stakeholder</w:t>
      </w:r>
      <w:r w:rsidRPr="1A247AA4">
        <w:rPr>
          <w:rFonts w:ascii="Arial" w:hAnsi="Arial" w:cs="Arial"/>
          <w:color w:val="000000" w:themeColor="text1"/>
          <w:sz w:val="22"/>
          <w:szCs w:val="22"/>
        </w:rPr>
        <w:t xml:space="preserve"> </w:t>
      </w:r>
      <w:r w:rsidRPr="1A247AA4" w:rsidR="00B85956">
        <w:rPr>
          <w:rFonts w:ascii="Arial" w:hAnsi="Arial" w:cs="Arial"/>
          <w:color w:val="000000" w:themeColor="text1"/>
          <w:sz w:val="22"/>
          <w:szCs w:val="22"/>
        </w:rPr>
        <w:t xml:space="preserve">knowledge and interest in the </w:t>
      </w:r>
      <w:r w:rsidRPr="00A27EC6" w:rsidR="00482DD0">
        <w:rPr>
          <w:rFonts w:ascii="Arial" w:hAnsi="Arial" w:cs="Arial"/>
          <w:color w:val="000000" w:themeColor="text1"/>
          <w:sz w:val="22"/>
          <w:szCs w:val="22"/>
        </w:rPr>
        <w:t>NCCBR</w:t>
      </w:r>
      <w:r w:rsidRPr="5B01F674" w:rsidR="00482DD0">
        <w:rPr>
          <w:rFonts w:ascii="Arial" w:hAnsi="Arial" w:cs="Arial"/>
          <w:color w:val="000000" w:themeColor="text1"/>
          <w:sz w:val="22"/>
          <w:szCs w:val="22"/>
        </w:rPr>
        <w:t xml:space="preserve"> </w:t>
      </w:r>
      <w:r w:rsidRPr="1A247AA4" w:rsidR="00B85956">
        <w:rPr>
          <w:rFonts w:ascii="Arial" w:hAnsi="Arial" w:cs="Arial"/>
          <w:color w:val="000000" w:themeColor="text1"/>
          <w:sz w:val="22"/>
          <w:szCs w:val="22"/>
        </w:rPr>
        <w:t>market</w:t>
      </w:r>
      <w:r w:rsidR="00482DD0">
        <w:rPr>
          <w:rFonts w:ascii="Arial" w:hAnsi="Arial" w:cs="Arial"/>
          <w:color w:val="000000" w:themeColor="text1"/>
          <w:sz w:val="22"/>
          <w:szCs w:val="22"/>
        </w:rPr>
        <w:t xml:space="preserve"> segment</w:t>
      </w:r>
      <w:r w:rsidRPr="1A247AA4">
        <w:rPr>
          <w:rFonts w:ascii="Arial" w:hAnsi="Arial" w:cs="Arial"/>
          <w:color w:val="000000" w:themeColor="text1"/>
          <w:sz w:val="22"/>
          <w:szCs w:val="22"/>
        </w:rPr>
        <w:t>, the state of industry reporting capabilities and practices, an</w:t>
      </w:r>
      <w:r w:rsidRPr="1A247AA4" w:rsidR="00354EDA">
        <w:rPr>
          <w:rFonts w:ascii="Arial" w:hAnsi="Arial" w:cs="Arial"/>
          <w:color w:val="000000" w:themeColor="text1"/>
          <w:sz w:val="22"/>
          <w:szCs w:val="22"/>
        </w:rPr>
        <w:t>d other related concerns</w:t>
      </w:r>
      <w:r w:rsidRPr="1A247AA4" w:rsidR="00B85956">
        <w:rPr>
          <w:rFonts w:ascii="Arial" w:hAnsi="Arial" w:cs="Arial"/>
          <w:color w:val="000000" w:themeColor="text1"/>
          <w:sz w:val="22"/>
          <w:szCs w:val="22"/>
        </w:rPr>
        <w:t xml:space="preserve">. Volunteer pilot participants </w:t>
      </w:r>
      <w:r w:rsidRPr="1A247AA4" w:rsidR="00354EDA">
        <w:rPr>
          <w:rFonts w:ascii="Arial" w:hAnsi="Arial" w:cs="Arial"/>
          <w:color w:val="000000" w:themeColor="text1"/>
          <w:sz w:val="22"/>
          <w:szCs w:val="22"/>
        </w:rPr>
        <w:t>included</w:t>
      </w:r>
      <w:r w:rsidRPr="1A247AA4" w:rsidR="00B85956">
        <w:rPr>
          <w:rFonts w:ascii="Arial" w:hAnsi="Arial" w:cs="Arial"/>
          <w:color w:val="000000" w:themeColor="text1"/>
          <w:sz w:val="22"/>
          <w:szCs w:val="22"/>
        </w:rPr>
        <w:t xml:space="preserve"> nine financial companies with significant transaction volume. </w:t>
      </w:r>
      <w:r w:rsidRPr="1A247AA4">
        <w:rPr>
          <w:rFonts w:ascii="Arial" w:hAnsi="Arial" w:cs="Arial"/>
          <w:color w:val="000000" w:themeColor="text1"/>
          <w:sz w:val="22"/>
          <w:szCs w:val="22"/>
        </w:rPr>
        <w:t>The</w:t>
      </w:r>
      <w:r w:rsidRPr="1A247AA4" w:rsidR="00B85956">
        <w:rPr>
          <w:rFonts w:ascii="Arial" w:hAnsi="Arial" w:cs="Arial"/>
          <w:color w:val="000000" w:themeColor="text1"/>
          <w:sz w:val="22"/>
          <w:szCs w:val="22"/>
        </w:rPr>
        <w:t xml:space="preserve"> feedback </w:t>
      </w:r>
      <w:r w:rsidRPr="1A247AA4">
        <w:rPr>
          <w:rFonts w:ascii="Arial" w:hAnsi="Arial" w:cs="Arial"/>
          <w:color w:val="000000" w:themeColor="text1"/>
          <w:sz w:val="22"/>
          <w:szCs w:val="22"/>
        </w:rPr>
        <w:t>obtained through this pilo</w:t>
      </w:r>
      <w:r w:rsidRPr="1A247AA4" w:rsidR="033C9758">
        <w:rPr>
          <w:rFonts w:ascii="Arial" w:hAnsi="Arial" w:cs="Arial"/>
          <w:color w:val="000000" w:themeColor="text1"/>
          <w:sz w:val="22"/>
          <w:szCs w:val="22"/>
        </w:rPr>
        <w:t>t</w:t>
      </w:r>
      <w:r w:rsidRPr="1A247AA4">
        <w:rPr>
          <w:rFonts w:ascii="Arial" w:hAnsi="Arial" w:cs="Arial"/>
          <w:color w:val="000000" w:themeColor="text1"/>
          <w:sz w:val="22"/>
          <w:szCs w:val="22"/>
        </w:rPr>
        <w:t xml:space="preserve"> </w:t>
      </w:r>
      <w:r w:rsidR="00E05802">
        <w:rPr>
          <w:rFonts w:ascii="Arial" w:hAnsi="Arial" w:cs="Arial"/>
          <w:color w:val="000000" w:themeColor="text1"/>
          <w:sz w:val="22"/>
          <w:szCs w:val="22"/>
        </w:rPr>
        <w:t>was</w:t>
      </w:r>
      <w:r w:rsidRPr="1A247AA4" w:rsidR="00B85956">
        <w:rPr>
          <w:rFonts w:ascii="Arial" w:hAnsi="Arial" w:cs="Arial"/>
          <w:color w:val="000000" w:themeColor="text1"/>
          <w:sz w:val="22"/>
          <w:szCs w:val="22"/>
        </w:rPr>
        <w:t xml:space="preserve"> invaluable in designing </w:t>
      </w:r>
      <w:r w:rsidRPr="1A247AA4">
        <w:rPr>
          <w:rFonts w:ascii="Arial" w:hAnsi="Arial" w:cs="Arial"/>
          <w:color w:val="000000" w:themeColor="text1"/>
          <w:sz w:val="22"/>
          <w:szCs w:val="22"/>
        </w:rPr>
        <w:t>the</w:t>
      </w:r>
      <w:r w:rsidRPr="1A247AA4" w:rsidR="00B85956">
        <w:rPr>
          <w:rFonts w:ascii="Arial" w:hAnsi="Arial" w:cs="Arial"/>
          <w:color w:val="000000" w:themeColor="text1"/>
          <w:sz w:val="22"/>
          <w:szCs w:val="22"/>
        </w:rPr>
        <w:t xml:space="preserve"> </w:t>
      </w:r>
      <w:r w:rsidR="00E05802">
        <w:rPr>
          <w:rFonts w:ascii="Arial" w:hAnsi="Arial" w:cs="Arial"/>
          <w:color w:val="000000" w:themeColor="text1"/>
          <w:sz w:val="22"/>
          <w:szCs w:val="22"/>
        </w:rPr>
        <w:t>rule</w:t>
      </w:r>
      <w:r w:rsidRPr="1A247AA4" w:rsidR="00E05802">
        <w:rPr>
          <w:rFonts w:ascii="Arial" w:hAnsi="Arial" w:cs="Arial"/>
          <w:color w:val="000000" w:themeColor="text1"/>
          <w:sz w:val="22"/>
          <w:szCs w:val="22"/>
        </w:rPr>
        <w:t xml:space="preserve"> </w:t>
      </w:r>
      <w:r w:rsidRPr="1A247AA4" w:rsidR="00B85956">
        <w:rPr>
          <w:rFonts w:ascii="Arial" w:hAnsi="Arial" w:cs="Arial"/>
          <w:color w:val="000000" w:themeColor="text1"/>
          <w:sz w:val="22"/>
          <w:szCs w:val="22"/>
        </w:rPr>
        <w:t>to reduce burden and maximize the benefit to</w:t>
      </w:r>
      <w:r w:rsidRPr="1A247AA4" w:rsidR="008F044D">
        <w:rPr>
          <w:rFonts w:ascii="Arial" w:hAnsi="Arial" w:cs="Arial"/>
          <w:color w:val="000000" w:themeColor="text1"/>
          <w:sz w:val="22"/>
          <w:szCs w:val="22"/>
        </w:rPr>
        <w:t xml:space="preserve"> industry and</w:t>
      </w:r>
      <w:r w:rsidRPr="1A247AA4" w:rsidR="00B85956">
        <w:rPr>
          <w:rFonts w:ascii="Arial" w:hAnsi="Arial" w:cs="Arial"/>
          <w:color w:val="000000" w:themeColor="text1"/>
          <w:sz w:val="22"/>
          <w:szCs w:val="22"/>
        </w:rPr>
        <w:t xml:space="preserve"> </w:t>
      </w:r>
      <w:r w:rsidRPr="1A247AA4" w:rsidR="402EDD73">
        <w:rPr>
          <w:rFonts w:ascii="Arial" w:hAnsi="Arial" w:cs="Arial"/>
          <w:color w:val="000000" w:themeColor="text1"/>
          <w:sz w:val="22"/>
          <w:szCs w:val="22"/>
        </w:rPr>
        <w:t xml:space="preserve">Council </w:t>
      </w:r>
      <w:r w:rsidRPr="1A247AA4" w:rsidR="00B85956">
        <w:rPr>
          <w:rFonts w:ascii="Arial" w:hAnsi="Arial" w:cs="Arial"/>
          <w:color w:val="000000" w:themeColor="text1"/>
          <w:sz w:val="22"/>
          <w:szCs w:val="22"/>
        </w:rPr>
        <w:t>member agencies</w:t>
      </w:r>
      <w:r w:rsidRPr="1A247AA4" w:rsidR="008F044D">
        <w:rPr>
          <w:rFonts w:ascii="Arial" w:hAnsi="Arial" w:cs="Arial"/>
          <w:color w:val="000000" w:themeColor="text1"/>
          <w:sz w:val="22"/>
          <w:szCs w:val="22"/>
        </w:rPr>
        <w:t>.</w:t>
      </w:r>
      <w:r w:rsidRPr="1A247AA4" w:rsidR="00B85956">
        <w:rPr>
          <w:rFonts w:ascii="Arial" w:hAnsi="Arial" w:cs="Arial"/>
          <w:color w:val="000000" w:themeColor="text1"/>
          <w:sz w:val="22"/>
          <w:szCs w:val="22"/>
        </w:rPr>
        <w:t xml:space="preserve"> </w:t>
      </w:r>
    </w:p>
    <w:p w:rsidR="002D277C" w:rsidRPr="00BB01F2" w:rsidP="00D13EDC" w14:paraId="4F251217" w14:textId="1057CECE">
      <w:pPr>
        <w:tabs>
          <w:tab w:val="left" w:pos="540"/>
        </w:tabs>
        <w:spacing w:before="120" w:after="120"/>
        <w:rPr>
          <w:rFonts w:ascii="Arial" w:hAnsi="Arial" w:cs="Arial"/>
          <w:color w:val="000000" w:themeColor="text1"/>
          <w:sz w:val="22"/>
          <w:szCs w:val="22"/>
        </w:rPr>
      </w:pPr>
      <w:r>
        <w:rPr>
          <w:rFonts w:ascii="Arial" w:hAnsi="Arial" w:cs="Arial"/>
          <w:color w:val="000000" w:themeColor="text1"/>
          <w:sz w:val="22"/>
          <w:szCs w:val="22"/>
        </w:rPr>
        <w:t xml:space="preserve">The OFR subsequently sought </w:t>
      </w:r>
      <w:r w:rsidR="00AB771B">
        <w:rPr>
          <w:rFonts w:ascii="Arial" w:hAnsi="Arial" w:cs="Arial"/>
          <w:color w:val="000000" w:themeColor="text1"/>
          <w:sz w:val="22"/>
          <w:szCs w:val="22"/>
        </w:rPr>
        <w:t xml:space="preserve">public </w:t>
      </w:r>
      <w:r>
        <w:rPr>
          <w:rFonts w:ascii="Arial" w:hAnsi="Arial" w:cs="Arial"/>
          <w:color w:val="000000" w:themeColor="text1"/>
          <w:sz w:val="22"/>
          <w:szCs w:val="22"/>
        </w:rPr>
        <w:t xml:space="preserve">comment </w:t>
      </w:r>
      <w:r w:rsidRPr="00C008AB" w:rsidR="003767C1">
        <w:rPr>
          <w:rFonts w:ascii="Arial" w:hAnsi="Arial" w:cs="Arial"/>
          <w:color w:val="000000" w:themeColor="text1"/>
          <w:sz w:val="22"/>
          <w:szCs w:val="22"/>
        </w:rPr>
        <w:t>through</w:t>
      </w:r>
      <w:r w:rsidRPr="00C008AB" w:rsidR="00084961">
        <w:rPr>
          <w:rFonts w:ascii="Arial" w:hAnsi="Arial" w:cs="Arial"/>
          <w:color w:val="000000" w:themeColor="text1"/>
          <w:sz w:val="22"/>
          <w:szCs w:val="22"/>
        </w:rPr>
        <w:t xml:space="preserve"> its Notice of Proposed Rulemaking, </w:t>
      </w:r>
      <w:r w:rsidRPr="008A1F69">
        <w:rPr>
          <w:rFonts w:ascii="Arial" w:hAnsi="Arial" w:cs="Arial"/>
          <w:color w:val="000000" w:themeColor="text1"/>
          <w:sz w:val="22"/>
          <w:szCs w:val="22"/>
        </w:rPr>
        <w:t xml:space="preserve">which was published </w:t>
      </w:r>
      <w:r w:rsidRPr="008A1F69" w:rsidR="009D1AF7">
        <w:rPr>
          <w:rFonts w:ascii="Arial" w:hAnsi="Arial" w:cs="Arial"/>
          <w:color w:val="000000" w:themeColor="text1"/>
          <w:sz w:val="22"/>
          <w:szCs w:val="22"/>
        </w:rPr>
        <w:t>in</w:t>
      </w:r>
      <w:r w:rsidRPr="008A1F69" w:rsidR="00F1750B">
        <w:rPr>
          <w:rFonts w:ascii="Arial" w:hAnsi="Arial" w:cs="Arial"/>
          <w:color w:val="000000" w:themeColor="text1"/>
          <w:sz w:val="22"/>
          <w:szCs w:val="22"/>
        </w:rPr>
        <w:t xml:space="preserve"> </w:t>
      </w:r>
      <w:r w:rsidRPr="00C008AB" w:rsidR="00084961">
        <w:rPr>
          <w:rFonts w:ascii="Arial" w:hAnsi="Arial" w:cs="Arial"/>
          <w:color w:val="000000" w:themeColor="text1"/>
          <w:sz w:val="22"/>
          <w:szCs w:val="22"/>
        </w:rPr>
        <w:t>January</w:t>
      </w:r>
      <w:r w:rsidRPr="00C008AB" w:rsidR="003767C1">
        <w:rPr>
          <w:rFonts w:ascii="Arial" w:hAnsi="Arial" w:cs="Arial"/>
          <w:color w:val="000000" w:themeColor="text1"/>
          <w:sz w:val="22"/>
          <w:szCs w:val="22"/>
        </w:rPr>
        <w:t xml:space="preserve"> 2023</w:t>
      </w:r>
      <w:r w:rsidRPr="00C008AB" w:rsidR="00517754">
        <w:rPr>
          <w:rFonts w:ascii="Arial" w:hAnsi="Arial" w:cs="Arial"/>
          <w:color w:val="000000" w:themeColor="text1"/>
          <w:sz w:val="22"/>
          <w:szCs w:val="22"/>
        </w:rPr>
        <w:t>,</w:t>
      </w:r>
      <w:r w:rsidR="00517754">
        <w:rPr>
          <w:rFonts w:ascii="Arial" w:hAnsi="Arial" w:cs="Arial"/>
          <w:color w:val="000000" w:themeColor="text1"/>
          <w:sz w:val="22"/>
          <w:szCs w:val="22"/>
        </w:rPr>
        <w:t xml:space="preserve"> and received more than 30 comments</w:t>
      </w:r>
      <w:r w:rsidR="00910EDE">
        <w:rPr>
          <w:rFonts w:ascii="Arial" w:hAnsi="Arial" w:cs="Arial"/>
          <w:color w:val="000000" w:themeColor="text1"/>
          <w:sz w:val="22"/>
          <w:szCs w:val="22"/>
        </w:rPr>
        <w:t xml:space="preserve">.  These comments represented </w:t>
      </w:r>
      <w:r w:rsidR="00774E2E">
        <w:rPr>
          <w:rFonts w:ascii="Arial" w:hAnsi="Arial" w:cs="Arial"/>
          <w:color w:val="000000" w:themeColor="text1"/>
          <w:sz w:val="22"/>
          <w:szCs w:val="22"/>
        </w:rPr>
        <w:t>financial industry associations as we</w:t>
      </w:r>
      <w:r w:rsidR="00DA0739">
        <w:rPr>
          <w:rFonts w:ascii="Arial" w:hAnsi="Arial" w:cs="Arial"/>
          <w:color w:val="000000" w:themeColor="text1"/>
          <w:sz w:val="22"/>
          <w:szCs w:val="22"/>
        </w:rPr>
        <w:t>ll as a number of individuals.</w:t>
      </w:r>
      <w:r w:rsidR="0060195A">
        <w:rPr>
          <w:rFonts w:ascii="Arial" w:hAnsi="Arial" w:cs="Arial"/>
          <w:color w:val="000000" w:themeColor="text1"/>
          <w:sz w:val="22"/>
          <w:szCs w:val="22"/>
        </w:rPr>
        <w:t xml:space="preserve">  The majority of comments </w:t>
      </w:r>
      <w:r w:rsidR="009E12DC">
        <w:rPr>
          <w:rFonts w:ascii="Arial" w:hAnsi="Arial" w:cs="Arial"/>
          <w:color w:val="000000" w:themeColor="text1"/>
          <w:sz w:val="22"/>
          <w:szCs w:val="22"/>
        </w:rPr>
        <w:t>were supportive of the</w:t>
      </w:r>
      <w:r w:rsidR="001C174B">
        <w:rPr>
          <w:rFonts w:ascii="Arial" w:hAnsi="Arial" w:cs="Arial"/>
          <w:color w:val="000000" w:themeColor="text1"/>
          <w:sz w:val="22"/>
          <w:szCs w:val="22"/>
        </w:rPr>
        <w:t xml:space="preserve"> </w:t>
      </w:r>
      <w:r w:rsidR="00131B89">
        <w:rPr>
          <w:rFonts w:ascii="Arial" w:hAnsi="Arial" w:cs="Arial"/>
          <w:color w:val="000000" w:themeColor="text1"/>
          <w:sz w:val="22"/>
          <w:szCs w:val="22"/>
        </w:rPr>
        <w:t xml:space="preserve">proposed </w:t>
      </w:r>
      <w:r w:rsidR="001C174B">
        <w:rPr>
          <w:rFonts w:ascii="Arial" w:hAnsi="Arial" w:cs="Arial"/>
          <w:color w:val="000000" w:themeColor="text1"/>
          <w:sz w:val="22"/>
          <w:szCs w:val="22"/>
        </w:rPr>
        <w:t>collectio</w:t>
      </w:r>
      <w:r w:rsidR="00131B89">
        <w:rPr>
          <w:rFonts w:ascii="Arial" w:hAnsi="Arial" w:cs="Arial"/>
          <w:color w:val="000000" w:themeColor="text1"/>
          <w:sz w:val="22"/>
          <w:szCs w:val="22"/>
        </w:rPr>
        <w:t xml:space="preserve">n.  </w:t>
      </w:r>
      <w:r w:rsidR="00432F74">
        <w:rPr>
          <w:rFonts w:ascii="Arial" w:hAnsi="Arial" w:cs="Arial"/>
          <w:color w:val="000000" w:themeColor="text1"/>
          <w:sz w:val="22"/>
          <w:szCs w:val="22"/>
        </w:rPr>
        <w:t xml:space="preserve">The OFR also </w:t>
      </w:r>
      <w:r w:rsidR="00CF0D71">
        <w:rPr>
          <w:rFonts w:ascii="Arial" w:hAnsi="Arial" w:cs="Arial"/>
          <w:color w:val="000000" w:themeColor="text1"/>
          <w:sz w:val="22"/>
          <w:szCs w:val="22"/>
        </w:rPr>
        <w:t>consulted with the Council</w:t>
      </w:r>
      <w:r w:rsidR="00A7644D">
        <w:rPr>
          <w:rFonts w:ascii="Arial" w:hAnsi="Arial" w:cs="Arial"/>
          <w:color w:val="000000" w:themeColor="text1"/>
          <w:sz w:val="22"/>
          <w:szCs w:val="22"/>
        </w:rPr>
        <w:t xml:space="preserve"> in July 2022 and February 2024, </w:t>
      </w:r>
      <w:r w:rsidR="00BB01F2">
        <w:rPr>
          <w:rFonts w:ascii="Arial" w:hAnsi="Arial" w:cs="Arial"/>
          <w:color w:val="000000" w:themeColor="text1"/>
          <w:sz w:val="22"/>
          <w:szCs w:val="22"/>
        </w:rPr>
        <w:t>when</w:t>
      </w:r>
      <w:r w:rsidR="001E3643">
        <w:rPr>
          <w:rFonts w:ascii="Arial" w:hAnsi="Arial" w:cs="Arial"/>
          <w:color w:val="000000" w:themeColor="text1"/>
          <w:sz w:val="22"/>
          <w:szCs w:val="22"/>
        </w:rPr>
        <w:t xml:space="preserve"> </w:t>
      </w:r>
      <w:r w:rsidRPr="00BB01F2" w:rsidR="00BB01F2">
        <w:rPr>
          <w:rFonts w:ascii="Arial" w:hAnsi="Arial" w:cs="Arial"/>
          <w:color w:val="000000" w:themeColor="text1"/>
          <w:sz w:val="22"/>
          <w:szCs w:val="22"/>
        </w:rPr>
        <w:t xml:space="preserve">Council members emphasized the importance of this work, which </w:t>
      </w:r>
      <w:r w:rsidR="00D13EDC">
        <w:rPr>
          <w:rFonts w:ascii="Arial" w:hAnsi="Arial" w:cs="Arial"/>
          <w:color w:val="000000" w:themeColor="text1"/>
          <w:sz w:val="22"/>
          <w:szCs w:val="22"/>
        </w:rPr>
        <w:t>they noted is</w:t>
      </w:r>
      <w:r w:rsidRPr="00BB01F2" w:rsidR="00BB01F2">
        <w:rPr>
          <w:rFonts w:ascii="Arial" w:hAnsi="Arial" w:cs="Arial"/>
          <w:color w:val="000000" w:themeColor="text1"/>
          <w:sz w:val="22"/>
          <w:szCs w:val="22"/>
        </w:rPr>
        <w:t xml:space="preserve"> intended to bring greater official-sector transparency to the largest and most opaque segment of the secured financing market.</w:t>
      </w:r>
    </w:p>
    <w:p w:rsidR="00432C2B" w:rsidP="00432C2B" w14:paraId="5C33ECAC" w14:textId="77777777">
      <w:pPr>
        <w:numPr>
          <w:ilvl w:val="0"/>
          <w:numId w:val="11"/>
        </w:numPr>
        <w:tabs>
          <w:tab w:val="clear" w:pos="360"/>
          <w:tab w:val="left" w:pos="540"/>
        </w:tabs>
        <w:spacing w:before="120" w:after="120"/>
        <w:ind w:left="540" w:hanging="540"/>
        <w:jc w:val="both"/>
        <w:rPr>
          <w:rFonts w:ascii="Arial" w:hAnsi="Arial" w:cs="Arial"/>
          <w:b/>
          <w:bCs/>
          <w:sz w:val="22"/>
          <w:szCs w:val="22"/>
        </w:rPr>
      </w:pPr>
      <w:r>
        <w:rPr>
          <w:rFonts w:ascii="Arial" w:hAnsi="Arial" w:cs="Arial"/>
          <w:b/>
          <w:bCs/>
          <w:sz w:val="22"/>
          <w:szCs w:val="22"/>
        </w:rPr>
        <w:t>Payment or Gift.</w:t>
      </w:r>
    </w:p>
    <w:p w:rsidR="00890057" w:rsidRPr="00C218C2" w:rsidP="00C80AA3" w14:paraId="632B7768" w14:textId="477BAC74">
      <w:pPr>
        <w:tabs>
          <w:tab w:val="left" w:pos="540"/>
        </w:tabs>
        <w:spacing w:before="120" w:after="120"/>
        <w:ind w:left="540" w:hanging="540"/>
        <w:rPr>
          <w:rFonts w:ascii="Arial" w:hAnsi="Arial" w:cs="Arial"/>
          <w:color w:val="000000"/>
          <w:sz w:val="22"/>
          <w:szCs w:val="22"/>
        </w:rPr>
      </w:pPr>
      <w:r>
        <w:rPr>
          <w:rFonts w:ascii="Arial" w:hAnsi="Arial" w:cs="Arial"/>
          <w:color w:val="000000"/>
          <w:sz w:val="22"/>
          <w:szCs w:val="22"/>
        </w:rPr>
        <w:t>No payments or gifts will be made to respondents.</w:t>
      </w:r>
    </w:p>
    <w:p w:rsidR="00432C2B" w:rsidP="00432C2B" w14:paraId="1590AE38" w14:textId="77777777">
      <w:pPr>
        <w:numPr>
          <w:ilvl w:val="0"/>
          <w:numId w:val="11"/>
        </w:numPr>
        <w:tabs>
          <w:tab w:val="clear" w:pos="360"/>
          <w:tab w:val="left" w:pos="540"/>
        </w:tabs>
        <w:spacing w:before="120" w:after="120"/>
        <w:ind w:left="540" w:hanging="540"/>
        <w:jc w:val="both"/>
        <w:rPr>
          <w:rFonts w:ascii="Arial" w:hAnsi="Arial" w:cs="Arial"/>
          <w:b/>
          <w:bCs/>
          <w:sz w:val="22"/>
          <w:szCs w:val="22"/>
        </w:rPr>
      </w:pPr>
      <w:r>
        <w:rPr>
          <w:rFonts w:ascii="Arial" w:hAnsi="Arial" w:cs="Arial"/>
          <w:b/>
          <w:bCs/>
          <w:sz w:val="22"/>
          <w:szCs w:val="22"/>
        </w:rPr>
        <w:t>Confidentiality.</w:t>
      </w:r>
    </w:p>
    <w:p w:rsidR="006E4DFA" w:rsidP="003A3552" w14:paraId="7AA8D26F" w14:textId="27B05D4A">
      <w:pPr>
        <w:spacing w:line="259" w:lineRule="auto"/>
        <w:rPr>
          <w:rFonts w:ascii="Arial" w:hAnsi="Arial" w:cs="Arial"/>
          <w:sz w:val="22"/>
          <w:szCs w:val="22"/>
        </w:rPr>
      </w:pPr>
      <w:r w:rsidRPr="003A3552">
        <w:rPr>
          <w:rFonts w:ascii="Arial" w:hAnsi="Arial" w:cs="Arial"/>
          <w:sz w:val="22"/>
          <w:szCs w:val="22"/>
        </w:rPr>
        <w:t xml:space="preserve">The sharing of any data from this collection will be subject to the confidentiality and security requirements of applicable laws, including the Dodd-Frank Act. Pursuant to the Dodd-Frank Act, the submission of any non-publicly available data to the </w:t>
      </w:r>
      <w:r w:rsidRPr="003A3552" w:rsidR="000E1054">
        <w:rPr>
          <w:rFonts w:ascii="Arial" w:hAnsi="Arial" w:cs="Arial"/>
          <w:sz w:val="22"/>
          <w:szCs w:val="22"/>
        </w:rPr>
        <w:t>OFR</w:t>
      </w:r>
      <w:r w:rsidRPr="003A3552">
        <w:rPr>
          <w:rFonts w:ascii="Arial" w:hAnsi="Arial" w:cs="Arial"/>
          <w:sz w:val="22"/>
          <w:szCs w:val="22"/>
        </w:rPr>
        <w:t xml:space="preserve"> under this collection will not constitute a waiver of, or otherwise affect, any privilege arising under federal or state law to which the data or information is otherwise subject.</w:t>
      </w:r>
    </w:p>
    <w:p w:rsidR="003A3552" w:rsidRPr="003A3552" w:rsidP="003A3552" w14:paraId="3C5713B7" w14:textId="77777777">
      <w:pPr>
        <w:spacing w:line="259" w:lineRule="auto"/>
        <w:rPr>
          <w:rFonts w:ascii="Arial" w:hAnsi="Arial" w:cs="Arial"/>
          <w:sz w:val="22"/>
          <w:szCs w:val="22"/>
        </w:rPr>
      </w:pPr>
    </w:p>
    <w:p w:rsidR="006E4DFA" w:rsidP="003A3552" w14:paraId="399DF538" w14:textId="4012F199">
      <w:pPr>
        <w:spacing w:line="259" w:lineRule="auto"/>
        <w:rPr>
          <w:rFonts w:ascii="Arial" w:hAnsi="Arial" w:cs="Arial"/>
          <w:sz w:val="22"/>
          <w:szCs w:val="22"/>
        </w:rPr>
      </w:pPr>
      <w:r w:rsidRPr="003A3552">
        <w:rPr>
          <w:rFonts w:ascii="Arial" w:hAnsi="Arial" w:cs="Arial"/>
          <w:sz w:val="22"/>
          <w:szCs w:val="22"/>
        </w:rPr>
        <w:t>Aggregate or summary data from this collection might be provided to the public as described above to increase market transparency and facilitate research on the financial system, to the extent that intellectual property rights are not violated, business confidential information is properly protected, and the sharing of such information poses no significant threats to the U.S. financial system. The potential sharing of aggregate or summary data collected under this collection would help fulfill a recommendation of the Council to make appropriately aggregated securities financing data available to the public.</w:t>
      </w:r>
    </w:p>
    <w:p w:rsidR="003A3552" w:rsidRPr="003A3552" w:rsidP="003A3552" w14:paraId="4A3B6C2F" w14:textId="77777777">
      <w:pPr>
        <w:spacing w:line="259" w:lineRule="auto"/>
        <w:rPr>
          <w:rFonts w:ascii="Arial" w:hAnsi="Arial" w:cs="Arial"/>
          <w:sz w:val="22"/>
          <w:szCs w:val="22"/>
        </w:rPr>
      </w:pPr>
    </w:p>
    <w:p w:rsidR="00890057" w:rsidP="003A3552" w14:paraId="7BD539C9" w14:textId="79AF8684">
      <w:pPr>
        <w:spacing w:line="259" w:lineRule="auto"/>
        <w:rPr>
          <w:rFonts w:ascii="Arial" w:hAnsi="Arial" w:cs="Arial"/>
          <w:sz w:val="22"/>
          <w:szCs w:val="22"/>
        </w:rPr>
      </w:pPr>
      <w:r w:rsidRPr="003A3552">
        <w:rPr>
          <w:rFonts w:ascii="Arial" w:hAnsi="Arial" w:cs="Arial"/>
          <w:sz w:val="22"/>
          <w:szCs w:val="22"/>
        </w:rPr>
        <w:t xml:space="preserve">The </w:t>
      </w:r>
      <w:r w:rsidRPr="003A3552" w:rsidR="000E1054">
        <w:rPr>
          <w:rFonts w:ascii="Arial" w:hAnsi="Arial" w:cs="Arial"/>
          <w:sz w:val="22"/>
          <w:szCs w:val="22"/>
        </w:rPr>
        <w:t>OFR</w:t>
      </w:r>
      <w:r w:rsidRPr="003A3552">
        <w:rPr>
          <w:rFonts w:ascii="Arial" w:hAnsi="Arial" w:cs="Arial"/>
          <w:sz w:val="22"/>
          <w:szCs w:val="22"/>
        </w:rPr>
        <w:t xml:space="preserve"> may also use the data to sponsor and conduct additional research. This research may include the use of these data to help fulfill the duties and purposes under the Dodd-Frank Act relating to the responsibility of the </w:t>
      </w:r>
      <w:r w:rsidRPr="003A3552" w:rsidR="000E1054">
        <w:rPr>
          <w:rFonts w:ascii="Arial" w:hAnsi="Arial" w:cs="Arial"/>
          <w:sz w:val="22"/>
          <w:szCs w:val="22"/>
        </w:rPr>
        <w:t>OFR</w:t>
      </w:r>
      <w:r w:rsidRPr="003A3552">
        <w:rPr>
          <w:rFonts w:ascii="Arial" w:hAnsi="Arial" w:cs="Arial"/>
          <w:sz w:val="22"/>
          <w:szCs w:val="22"/>
        </w:rPr>
        <w:t xml:space="preserve">'s Research and Analysis Center to develop and maintain independent analytical capabilities to support the Council and relating to the programmatic functions of the </w:t>
      </w:r>
      <w:r w:rsidRPr="003A3552" w:rsidR="000E1054">
        <w:rPr>
          <w:rFonts w:ascii="Arial" w:hAnsi="Arial" w:cs="Arial"/>
          <w:sz w:val="22"/>
          <w:szCs w:val="22"/>
        </w:rPr>
        <w:t>OFR</w:t>
      </w:r>
      <w:r w:rsidRPr="003A3552">
        <w:rPr>
          <w:rFonts w:ascii="Arial" w:hAnsi="Arial" w:cs="Arial"/>
          <w:sz w:val="22"/>
          <w:szCs w:val="22"/>
        </w:rPr>
        <w:t>'s Data Center.</w:t>
      </w:r>
      <w:r w:rsidRPr="003A3552" w:rsidR="008058BD">
        <w:rPr>
          <w:rFonts w:ascii="Arial" w:hAnsi="Arial" w:cs="Arial"/>
          <w:sz w:val="22"/>
          <w:szCs w:val="22"/>
        </w:rPr>
        <w:t xml:space="preserve"> </w:t>
      </w:r>
      <w:r w:rsidRPr="003A3552">
        <w:rPr>
          <w:rFonts w:ascii="Arial" w:hAnsi="Arial" w:cs="Arial"/>
          <w:sz w:val="22"/>
          <w:szCs w:val="22"/>
        </w:rPr>
        <w:t xml:space="preserve">For example, access to data on non-centrally cleared bilateral repos will allow the </w:t>
      </w:r>
      <w:r w:rsidRPr="003A3552" w:rsidR="000E1054">
        <w:rPr>
          <w:rFonts w:ascii="Arial" w:hAnsi="Arial" w:cs="Arial"/>
          <w:sz w:val="22"/>
          <w:szCs w:val="22"/>
        </w:rPr>
        <w:t>OFR</w:t>
      </w:r>
      <w:r w:rsidRPr="003A3552">
        <w:rPr>
          <w:rFonts w:ascii="Arial" w:hAnsi="Arial" w:cs="Arial"/>
          <w:sz w:val="22"/>
          <w:szCs w:val="22"/>
        </w:rPr>
        <w:t xml:space="preserve"> to conduct research related to the Council's analysis of potential risks arising from securities financing activities and nonbank financial institutions.</w:t>
      </w:r>
    </w:p>
    <w:p w:rsidR="003A3552" w:rsidRPr="003A3552" w:rsidP="003A3552" w14:paraId="2151FAEC" w14:textId="77777777">
      <w:pPr>
        <w:spacing w:line="259" w:lineRule="auto"/>
        <w:rPr>
          <w:rFonts w:ascii="Arial" w:hAnsi="Arial" w:cs="Arial"/>
          <w:sz w:val="22"/>
          <w:szCs w:val="22"/>
        </w:rPr>
      </w:pPr>
    </w:p>
    <w:p w:rsidR="00432C2B" w:rsidP="00432C2B" w14:paraId="3E16C90F" w14:textId="77777777">
      <w:pPr>
        <w:numPr>
          <w:ilvl w:val="0"/>
          <w:numId w:val="11"/>
        </w:numPr>
        <w:tabs>
          <w:tab w:val="clear" w:pos="360"/>
          <w:tab w:val="left" w:pos="540"/>
        </w:tabs>
        <w:spacing w:before="120" w:after="120"/>
        <w:ind w:left="540" w:hanging="540"/>
        <w:jc w:val="both"/>
        <w:rPr>
          <w:rFonts w:ascii="Arial" w:hAnsi="Arial" w:cs="Arial"/>
          <w:b/>
          <w:bCs/>
          <w:sz w:val="22"/>
          <w:szCs w:val="22"/>
        </w:rPr>
      </w:pPr>
      <w:r>
        <w:rPr>
          <w:rFonts w:ascii="Arial" w:hAnsi="Arial" w:cs="Arial"/>
          <w:b/>
          <w:bCs/>
          <w:sz w:val="22"/>
          <w:szCs w:val="22"/>
        </w:rPr>
        <w:t>Questions of a Sensitive Nature.</w:t>
      </w:r>
    </w:p>
    <w:p w:rsidR="001E2556" w:rsidP="003A3552" w14:paraId="6A890E48" w14:textId="611D2AAB">
      <w:pPr>
        <w:tabs>
          <w:tab w:val="left" w:pos="540"/>
        </w:tabs>
        <w:spacing w:before="120" w:after="120"/>
        <w:rPr>
          <w:rFonts w:ascii="Arial" w:hAnsi="Arial" w:cs="Arial"/>
          <w:color w:val="000000" w:themeColor="text1"/>
          <w:sz w:val="22"/>
          <w:szCs w:val="22"/>
        </w:rPr>
      </w:pPr>
      <w:r w:rsidRPr="003A3552">
        <w:rPr>
          <w:rFonts w:ascii="Arial" w:hAnsi="Arial" w:cs="Arial"/>
          <w:color w:val="000000" w:themeColor="text1"/>
          <w:sz w:val="22"/>
          <w:szCs w:val="22"/>
        </w:rPr>
        <w:t>This collection does not pertain to individual persons. It will collect data from financial</w:t>
      </w:r>
      <w:r w:rsidR="003A3552">
        <w:rPr>
          <w:rFonts w:ascii="Arial" w:hAnsi="Arial" w:cs="Arial"/>
          <w:color w:val="000000" w:themeColor="text1"/>
          <w:sz w:val="22"/>
          <w:szCs w:val="22"/>
        </w:rPr>
        <w:t xml:space="preserve"> </w:t>
      </w:r>
      <w:r w:rsidRPr="003A3552">
        <w:rPr>
          <w:rFonts w:ascii="Arial" w:hAnsi="Arial" w:cs="Arial"/>
          <w:color w:val="000000" w:themeColor="text1"/>
          <w:sz w:val="22"/>
          <w:szCs w:val="22"/>
        </w:rPr>
        <w:t xml:space="preserve">companies on market </w:t>
      </w:r>
      <w:r w:rsidRPr="003A3552" w:rsidR="00787EFB">
        <w:rPr>
          <w:rFonts w:ascii="Arial" w:hAnsi="Arial" w:cs="Arial"/>
          <w:color w:val="000000" w:themeColor="text1"/>
          <w:sz w:val="22"/>
          <w:szCs w:val="22"/>
        </w:rPr>
        <w:t>transactions</w:t>
      </w:r>
      <w:r w:rsidRPr="003A3552">
        <w:rPr>
          <w:rFonts w:ascii="Arial" w:hAnsi="Arial" w:cs="Arial"/>
          <w:color w:val="000000" w:themeColor="text1"/>
          <w:sz w:val="22"/>
          <w:szCs w:val="22"/>
        </w:rPr>
        <w:t>.</w:t>
      </w:r>
      <w:r w:rsidRPr="003A3552" w:rsidR="006B3A60">
        <w:rPr>
          <w:rFonts w:ascii="Arial" w:hAnsi="Arial" w:cs="Arial"/>
          <w:color w:val="000000" w:themeColor="text1"/>
          <w:sz w:val="22"/>
          <w:szCs w:val="22"/>
        </w:rPr>
        <w:t xml:space="preserve"> There is no PII involved. </w:t>
      </w:r>
    </w:p>
    <w:p w:rsidR="0077484F" w14:paraId="4988A0F3" w14:textId="4BD86FA2">
      <w:pPr>
        <w:widowControl/>
        <w:autoSpaceDE/>
        <w:autoSpaceDN/>
        <w:adjustRightInd/>
        <w:rPr>
          <w:rFonts w:ascii="Arial" w:hAnsi="Arial" w:cs="Arial"/>
          <w:color w:val="000000" w:themeColor="text1"/>
          <w:sz w:val="22"/>
          <w:szCs w:val="22"/>
        </w:rPr>
      </w:pPr>
      <w:r>
        <w:rPr>
          <w:rFonts w:ascii="Arial" w:hAnsi="Arial" w:cs="Arial"/>
          <w:color w:val="000000" w:themeColor="text1"/>
          <w:sz w:val="22"/>
          <w:szCs w:val="22"/>
        </w:rPr>
        <w:br w:type="page"/>
      </w:r>
    </w:p>
    <w:p w:rsidR="00432C2B" w:rsidRPr="00432C2B" w:rsidP="00432C2B" w14:paraId="26F5C6A9" w14:textId="2FA9ED2A">
      <w:pPr>
        <w:numPr>
          <w:ilvl w:val="0"/>
          <w:numId w:val="11"/>
        </w:numPr>
        <w:tabs>
          <w:tab w:val="clear" w:pos="360"/>
          <w:tab w:val="left" w:pos="540"/>
        </w:tabs>
        <w:spacing w:before="120" w:after="120"/>
        <w:ind w:left="540" w:hanging="540"/>
        <w:jc w:val="both"/>
        <w:rPr>
          <w:rFonts w:ascii="Arial" w:hAnsi="Arial" w:cs="Arial"/>
          <w:b/>
          <w:color w:val="000000"/>
          <w:sz w:val="22"/>
          <w:szCs w:val="22"/>
        </w:rPr>
      </w:pPr>
      <w:r w:rsidRPr="4CF0165C">
        <w:rPr>
          <w:rFonts w:ascii="Arial" w:hAnsi="Arial" w:cs="Arial"/>
          <w:b/>
          <w:color w:val="000000" w:themeColor="text1"/>
          <w:sz w:val="22"/>
          <w:szCs w:val="22"/>
        </w:rPr>
        <w:t>Burden of Information Collection.</w:t>
      </w:r>
    </w:p>
    <w:tbl>
      <w:tblPr>
        <w:tblStyle w:val="TableGrid"/>
        <w:tblW w:w="10324" w:type="dxa"/>
        <w:tblInd w:w="-5" w:type="dxa"/>
        <w:tblLayout w:type="fixed"/>
        <w:tblLook w:val="06A0"/>
      </w:tblPr>
      <w:tblGrid>
        <w:gridCol w:w="1655"/>
        <w:gridCol w:w="903"/>
        <w:gridCol w:w="1672"/>
        <w:gridCol w:w="1260"/>
        <w:gridCol w:w="1350"/>
        <w:gridCol w:w="990"/>
        <w:gridCol w:w="1087"/>
        <w:gridCol w:w="1407"/>
      </w:tblGrid>
      <w:tr w14:paraId="7D8BEDA7" w14:textId="77777777" w:rsidTr="00A4063D">
        <w:tblPrEx>
          <w:tblW w:w="10324" w:type="dxa"/>
          <w:tblInd w:w="-5" w:type="dxa"/>
          <w:tblLayout w:type="fixed"/>
          <w:tblLook w:val="06A0"/>
        </w:tblPrEx>
        <w:trPr>
          <w:trHeight w:val="422"/>
        </w:trPr>
        <w:tc>
          <w:tcPr>
            <w:tcW w:w="10324" w:type="dxa"/>
            <w:gridSpan w:val="8"/>
          </w:tcPr>
          <w:p w:rsidR="00BF5103" w:rsidRPr="00A4063D" w:rsidP="7CE11028" w14:paraId="59017482" w14:textId="7A9AFA9D">
            <w:pPr>
              <w:pStyle w:val="BodyTextIndent"/>
              <w:widowControl/>
              <w:jc w:val="center"/>
              <w:rPr>
                <w:rFonts w:ascii="Calibri" w:hAnsi="Calibri" w:cs="Calibri"/>
              </w:rPr>
            </w:pPr>
            <w:r w:rsidRPr="00A4063D">
              <w:rPr>
                <w:rFonts w:ascii="Arial" w:hAnsi="Arial" w:cs="Arial"/>
                <w:b/>
                <w:bCs/>
              </w:rPr>
              <w:tab/>
            </w:r>
            <w:r w:rsidRPr="00A4063D">
              <w:rPr>
                <w:rFonts w:ascii="Calibri" w:hAnsi="Calibri" w:cs="Calibri"/>
              </w:rPr>
              <w:t>Estimated Annual Reporting Burden</w:t>
            </w:r>
            <w:r w:rsidRPr="00A4063D" w:rsidR="7298E471">
              <w:rPr>
                <w:rFonts w:ascii="Calibri" w:hAnsi="Calibri" w:cs="Calibri"/>
              </w:rPr>
              <w:t xml:space="preserve"> </w:t>
            </w:r>
            <w:r w:rsidRPr="00CF7C3E" w:rsidR="7298E471">
              <w:rPr>
                <w:rFonts w:ascii="Calibri" w:hAnsi="Calibri" w:cs="Calibri"/>
                <w:b/>
                <w:bCs/>
              </w:rPr>
              <w:t>before</w:t>
            </w:r>
            <w:r w:rsidRPr="00A4063D" w:rsidR="7298E471">
              <w:rPr>
                <w:rFonts w:ascii="Calibri" w:hAnsi="Calibri" w:cs="Calibri"/>
              </w:rPr>
              <w:t xml:space="preserve"> Implementation of the SEC Clearing Rule</w:t>
            </w:r>
          </w:p>
        </w:tc>
      </w:tr>
      <w:tr w14:paraId="0DFCECD0" w14:textId="77777777" w:rsidTr="31B19EA9">
        <w:tblPrEx>
          <w:tblW w:w="10324" w:type="dxa"/>
          <w:tblInd w:w="-5" w:type="dxa"/>
          <w:tblLayout w:type="fixed"/>
          <w:tblLook w:val="06A0"/>
        </w:tblPrEx>
        <w:trPr>
          <w:trHeight w:val="1385"/>
        </w:trPr>
        <w:tc>
          <w:tcPr>
            <w:tcW w:w="1655" w:type="dxa"/>
          </w:tcPr>
          <w:p w:rsidR="00BF5103" w:rsidP="5B01F674" w14:paraId="6DF4BDF6" w14:textId="199E29E4">
            <w:pPr>
              <w:pStyle w:val="BodyTextIndent"/>
              <w:ind w:left="0"/>
              <w:jc w:val="center"/>
              <w:rPr>
                <w:rFonts w:ascii="Arial" w:hAnsi="Arial" w:cs="Arial"/>
                <w:b/>
                <w:bCs/>
                <w:sz w:val="20"/>
                <w:szCs w:val="20"/>
              </w:rPr>
            </w:pPr>
            <w:r w:rsidRPr="5B01F674">
              <w:rPr>
                <w:rFonts w:ascii="Arial" w:hAnsi="Arial" w:cs="Arial"/>
                <w:b/>
                <w:bCs/>
                <w:sz w:val="20"/>
                <w:szCs w:val="20"/>
              </w:rPr>
              <w:t>Type of Collection</w:t>
            </w:r>
          </w:p>
        </w:tc>
        <w:tc>
          <w:tcPr>
            <w:tcW w:w="903" w:type="dxa"/>
          </w:tcPr>
          <w:p w:rsidR="00BF5103" w:rsidP="5B01F674" w14:paraId="51C50454" w14:textId="4C2E07CA">
            <w:pPr>
              <w:pStyle w:val="BodyTextIndent"/>
              <w:ind w:left="0"/>
              <w:jc w:val="center"/>
              <w:rPr>
                <w:rFonts w:ascii="Arial" w:hAnsi="Arial" w:cs="Arial"/>
                <w:b/>
                <w:bCs/>
                <w:sz w:val="20"/>
                <w:szCs w:val="20"/>
              </w:rPr>
            </w:pPr>
            <w:r w:rsidRPr="5B01F674">
              <w:rPr>
                <w:rFonts w:ascii="Arial" w:hAnsi="Arial" w:cs="Arial"/>
                <w:b/>
                <w:bCs/>
                <w:sz w:val="20"/>
                <w:szCs w:val="20"/>
              </w:rPr>
              <w:t>No. Of Respondents</w:t>
            </w:r>
          </w:p>
        </w:tc>
        <w:tc>
          <w:tcPr>
            <w:tcW w:w="1672" w:type="dxa"/>
          </w:tcPr>
          <w:p w:rsidR="00BF5103" w:rsidP="5B01F674" w14:paraId="6447CD8A" w14:textId="5E71A1A9">
            <w:pPr>
              <w:pStyle w:val="BodyTextIndent"/>
              <w:ind w:left="0"/>
              <w:jc w:val="center"/>
              <w:rPr>
                <w:rFonts w:ascii="Arial" w:hAnsi="Arial" w:cs="Arial"/>
                <w:b/>
                <w:bCs/>
                <w:sz w:val="20"/>
                <w:szCs w:val="20"/>
              </w:rPr>
            </w:pPr>
            <w:r w:rsidRPr="5B01F674">
              <w:rPr>
                <w:rFonts w:ascii="Arial" w:hAnsi="Arial" w:cs="Arial"/>
                <w:b/>
                <w:bCs/>
                <w:sz w:val="20"/>
                <w:szCs w:val="20"/>
              </w:rPr>
              <w:t>Annual Response</w:t>
            </w:r>
            <w:r>
              <w:rPr>
                <w:rFonts w:ascii="Arial" w:hAnsi="Arial" w:cs="Arial"/>
                <w:b/>
                <w:bCs/>
                <w:sz w:val="20"/>
                <w:szCs w:val="20"/>
              </w:rPr>
              <w:t>s per Respondent</w:t>
            </w:r>
          </w:p>
        </w:tc>
        <w:tc>
          <w:tcPr>
            <w:tcW w:w="1260" w:type="dxa"/>
          </w:tcPr>
          <w:p w:rsidR="00BF5103" w:rsidP="5B01F674" w14:paraId="74D1E532" w14:textId="7073EDAD">
            <w:pPr>
              <w:pStyle w:val="BodyTextIndent"/>
              <w:ind w:left="0"/>
              <w:jc w:val="center"/>
              <w:rPr>
                <w:rFonts w:ascii="Arial" w:hAnsi="Arial" w:cs="Arial"/>
                <w:b/>
                <w:bCs/>
                <w:sz w:val="20"/>
                <w:szCs w:val="20"/>
              </w:rPr>
            </w:pPr>
            <w:r w:rsidRPr="5B01F674">
              <w:rPr>
                <w:rFonts w:ascii="Arial" w:hAnsi="Arial" w:cs="Arial"/>
                <w:b/>
                <w:bCs/>
                <w:sz w:val="20"/>
                <w:szCs w:val="20"/>
              </w:rPr>
              <w:t>Hours per Response</w:t>
            </w:r>
          </w:p>
        </w:tc>
        <w:tc>
          <w:tcPr>
            <w:tcW w:w="1350" w:type="dxa"/>
          </w:tcPr>
          <w:p w:rsidR="00BF5103" w:rsidRPr="5B01F674" w:rsidP="5B01F674" w14:paraId="00770791" w14:textId="0B3A66D6">
            <w:pPr>
              <w:pStyle w:val="BodyTextIndent"/>
              <w:ind w:left="0"/>
              <w:jc w:val="center"/>
              <w:rPr>
                <w:rFonts w:ascii="Arial" w:hAnsi="Arial" w:cs="Arial"/>
                <w:b/>
                <w:bCs/>
                <w:sz w:val="20"/>
                <w:szCs w:val="20"/>
              </w:rPr>
            </w:pPr>
            <w:r>
              <w:rPr>
                <w:rFonts w:ascii="Arial" w:hAnsi="Arial" w:cs="Arial"/>
                <w:b/>
                <w:bCs/>
                <w:sz w:val="20"/>
                <w:szCs w:val="20"/>
              </w:rPr>
              <w:t>Total Annual Responses</w:t>
            </w:r>
          </w:p>
        </w:tc>
        <w:tc>
          <w:tcPr>
            <w:tcW w:w="990" w:type="dxa"/>
          </w:tcPr>
          <w:p w:rsidR="00BF5103" w:rsidP="5B01F674" w14:paraId="650D0EAD" w14:textId="55C1A22A">
            <w:pPr>
              <w:pStyle w:val="BodyTextIndent"/>
              <w:ind w:left="0"/>
              <w:jc w:val="center"/>
              <w:rPr>
                <w:rFonts w:ascii="Arial" w:hAnsi="Arial" w:cs="Arial"/>
                <w:b/>
                <w:bCs/>
                <w:sz w:val="20"/>
                <w:szCs w:val="20"/>
              </w:rPr>
            </w:pPr>
            <w:r w:rsidRPr="5B01F674">
              <w:rPr>
                <w:rFonts w:ascii="Arial" w:hAnsi="Arial" w:cs="Arial"/>
                <w:b/>
                <w:bCs/>
                <w:sz w:val="20"/>
                <w:szCs w:val="20"/>
              </w:rPr>
              <w:t>Total Annual Hours</w:t>
            </w:r>
          </w:p>
        </w:tc>
        <w:tc>
          <w:tcPr>
            <w:tcW w:w="1087" w:type="dxa"/>
          </w:tcPr>
          <w:p w:rsidR="00BF5103" w:rsidP="5B01F674" w14:paraId="6FD4C35A" w14:textId="591A9BD4">
            <w:pPr>
              <w:pStyle w:val="BodyTextIndent"/>
              <w:ind w:left="0"/>
              <w:jc w:val="center"/>
              <w:rPr>
                <w:rFonts w:ascii="Arial" w:hAnsi="Arial" w:cs="Arial"/>
                <w:b/>
                <w:bCs/>
                <w:sz w:val="20"/>
                <w:szCs w:val="20"/>
              </w:rPr>
            </w:pPr>
            <w:r w:rsidRPr="5B01F674">
              <w:rPr>
                <w:rFonts w:ascii="Arial" w:hAnsi="Arial" w:cs="Arial"/>
                <w:b/>
                <w:bCs/>
                <w:sz w:val="20"/>
                <w:szCs w:val="20"/>
              </w:rPr>
              <w:t>Average Hourly Wage Rate</w:t>
            </w:r>
          </w:p>
        </w:tc>
        <w:tc>
          <w:tcPr>
            <w:tcW w:w="1407" w:type="dxa"/>
          </w:tcPr>
          <w:p w:rsidR="00BF5103" w:rsidP="5B01F674" w14:paraId="51A94A4E" w14:textId="661042C3">
            <w:pPr>
              <w:pStyle w:val="BodyTextIndent"/>
              <w:ind w:left="0"/>
              <w:jc w:val="center"/>
              <w:rPr>
                <w:rFonts w:ascii="Arial" w:hAnsi="Arial" w:cs="Arial"/>
                <w:b/>
                <w:bCs/>
                <w:sz w:val="20"/>
                <w:szCs w:val="20"/>
              </w:rPr>
            </w:pPr>
            <w:r w:rsidRPr="5B01F674">
              <w:rPr>
                <w:rFonts w:ascii="Arial" w:hAnsi="Arial" w:cs="Arial"/>
                <w:b/>
                <w:bCs/>
                <w:sz w:val="20"/>
                <w:szCs w:val="20"/>
              </w:rPr>
              <w:t xml:space="preserve">Total Annual Respondent </w:t>
            </w:r>
            <w:r>
              <w:rPr>
                <w:rFonts w:ascii="Arial" w:hAnsi="Arial" w:cs="Arial"/>
                <w:b/>
                <w:bCs/>
                <w:sz w:val="20"/>
                <w:szCs w:val="20"/>
              </w:rPr>
              <w:t xml:space="preserve">Labor </w:t>
            </w:r>
            <w:r w:rsidRPr="5B01F674">
              <w:rPr>
                <w:rFonts w:ascii="Arial" w:hAnsi="Arial" w:cs="Arial"/>
                <w:b/>
                <w:bCs/>
                <w:sz w:val="20"/>
                <w:szCs w:val="20"/>
              </w:rPr>
              <w:t xml:space="preserve">Cost </w:t>
            </w:r>
          </w:p>
        </w:tc>
      </w:tr>
      <w:tr w14:paraId="27DB75B0" w14:textId="77777777" w:rsidTr="31B19EA9">
        <w:tblPrEx>
          <w:tblW w:w="10324" w:type="dxa"/>
          <w:tblInd w:w="-5" w:type="dxa"/>
          <w:tblLayout w:type="fixed"/>
          <w:tblLook w:val="06A0"/>
        </w:tblPrEx>
        <w:trPr>
          <w:trHeight w:val="517"/>
        </w:trPr>
        <w:tc>
          <w:tcPr>
            <w:tcW w:w="1655" w:type="dxa"/>
          </w:tcPr>
          <w:p w:rsidR="00BF5103" w:rsidP="5B01F674" w14:paraId="222ABB39" w14:textId="701E85F3">
            <w:pPr>
              <w:pStyle w:val="BodyTextIndent"/>
              <w:ind w:left="0"/>
              <w:rPr>
                <w:rFonts w:ascii="Arial" w:hAnsi="Arial" w:cs="Arial"/>
                <w:sz w:val="20"/>
                <w:szCs w:val="20"/>
              </w:rPr>
            </w:pPr>
            <w:r w:rsidRPr="5B01F674">
              <w:rPr>
                <w:rFonts w:ascii="Arial" w:hAnsi="Arial" w:cs="Arial"/>
                <w:sz w:val="20"/>
                <w:szCs w:val="20"/>
              </w:rPr>
              <w:t>Electronic Data Submission</w:t>
            </w:r>
          </w:p>
        </w:tc>
        <w:tc>
          <w:tcPr>
            <w:tcW w:w="903" w:type="dxa"/>
          </w:tcPr>
          <w:p w:rsidR="00BF5103" w:rsidP="5B01F674" w14:paraId="2E6B0FBC" w14:textId="79475750">
            <w:pPr>
              <w:pStyle w:val="BodyTextIndent"/>
              <w:ind w:left="0"/>
              <w:rPr>
                <w:rFonts w:ascii="Arial" w:hAnsi="Arial" w:cs="Arial"/>
                <w:sz w:val="20"/>
                <w:szCs w:val="20"/>
              </w:rPr>
            </w:pPr>
            <w:r w:rsidRPr="5B01F674">
              <w:rPr>
                <w:rFonts w:ascii="Arial" w:hAnsi="Arial" w:cs="Arial"/>
                <w:sz w:val="20"/>
                <w:szCs w:val="20"/>
              </w:rPr>
              <w:t>40</w:t>
            </w:r>
          </w:p>
        </w:tc>
        <w:tc>
          <w:tcPr>
            <w:tcW w:w="1672" w:type="dxa"/>
          </w:tcPr>
          <w:p w:rsidR="00BF5103" w:rsidP="5B01F674" w14:paraId="25779353" w14:textId="5B77005F">
            <w:pPr>
              <w:pStyle w:val="BodyTextIndent"/>
              <w:ind w:left="0"/>
              <w:rPr>
                <w:rFonts w:ascii="Arial" w:hAnsi="Arial" w:cs="Arial"/>
                <w:sz w:val="20"/>
                <w:szCs w:val="20"/>
              </w:rPr>
            </w:pPr>
            <w:r w:rsidRPr="5B01F674">
              <w:rPr>
                <w:rFonts w:ascii="Arial" w:hAnsi="Arial" w:cs="Arial"/>
                <w:sz w:val="20"/>
                <w:szCs w:val="20"/>
              </w:rPr>
              <w:t>252</w:t>
            </w:r>
          </w:p>
        </w:tc>
        <w:tc>
          <w:tcPr>
            <w:tcW w:w="1260" w:type="dxa"/>
          </w:tcPr>
          <w:p w:rsidR="00BF5103" w:rsidP="5B01F674" w14:paraId="23D1D652" w14:textId="72EF4533">
            <w:pPr>
              <w:pStyle w:val="BodyTextIndent"/>
              <w:ind w:left="0"/>
              <w:rPr>
                <w:rFonts w:ascii="Arial" w:hAnsi="Arial" w:cs="Arial"/>
                <w:sz w:val="20"/>
                <w:szCs w:val="20"/>
              </w:rPr>
            </w:pPr>
            <w:r w:rsidRPr="5B01F674">
              <w:rPr>
                <w:rFonts w:ascii="Arial" w:hAnsi="Arial" w:cs="Arial"/>
                <w:sz w:val="20"/>
                <w:szCs w:val="20"/>
              </w:rPr>
              <w:t>3</w:t>
            </w:r>
          </w:p>
        </w:tc>
        <w:tc>
          <w:tcPr>
            <w:tcW w:w="1350" w:type="dxa"/>
          </w:tcPr>
          <w:p w:rsidR="00BF5103" w:rsidRPr="5B01F674" w:rsidP="5B01F674" w14:paraId="0B540A27" w14:textId="5B8EBFA7">
            <w:pPr>
              <w:pStyle w:val="BodyTextIndent"/>
              <w:ind w:left="0"/>
              <w:rPr>
                <w:rFonts w:ascii="Arial" w:hAnsi="Arial" w:cs="Arial"/>
                <w:sz w:val="20"/>
                <w:szCs w:val="20"/>
              </w:rPr>
            </w:pPr>
            <w:r>
              <w:rPr>
                <w:rFonts w:ascii="Arial" w:hAnsi="Arial" w:cs="Arial"/>
                <w:sz w:val="20"/>
                <w:szCs w:val="20"/>
              </w:rPr>
              <w:t>10,080</w:t>
            </w:r>
          </w:p>
        </w:tc>
        <w:tc>
          <w:tcPr>
            <w:tcW w:w="990" w:type="dxa"/>
          </w:tcPr>
          <w:p w:rsidR="00BF5103" w:rsidP="5B01F674" w14:paraId="292CA45F" w14:textId="716A0523">
            <w:pPr>
              <w:pStyle w:val="BodyTextIndent"/>
              <w:ind w:left="0"/>
              <w:rPr>
                <w:rFonts w:ascii="Arial" w:hAnsi="Arial" w:cs="Arial"/>
                <w:sz w:val="20"/>
                <w:szCs w:val="20"/>
              </w:rPr>
            </w:pPr>
            <w:r w:rsidRPr="5B01F674">
              <w:rPr>
                <w:rFonts w:ascii="Arial" w:hAnsi="Arial" w:cs="Arial"/>
                <w:sz w:val="20"/>
                <w:szCs w:val="20"/>
              </w:rPr>
              <w:t>30,240</w:t>
            </w:r>
          </w:p>
        </w:tc>
        <w:tc>
          <w:tcPr>
            <w:tcW w:w="1087" w:type="dxa"/>
          </w:tcPr>
          <w:p w:rsidR="00BF5103" w:rsidP="5B01F674" w14:paraId="21CB3057" w14:textId="31CB491C">
            <w:pPr>
              <w:pStyle w:val="BodyTextIndent"/>
              <w:ind w:left="0"/>
              <w:rPr>
                <w:rFonts w:ascii="Arial" w:hAnsi="Arial" w:cs="Arial"/>
                <w:sz w:val="20"/>
                <w:szCs w:val="20"/>
              </w:rPr>
            </w:pPr>
            <w:r w:rsidRPr="31B19EA9">
              <w:rPr>
                <w:rFonts w:ascii="Arial" w:hAnsi="Arial" w:cs="Arial"/>
                <w:sz w:val="20"/>
                <w:szCs w:val="20"/>
              </w:rPr>
              <w:t>$1</w:t>
            </w:r>
            <w:r w:rsidRPr="31B19EA9" w:rsidR="2A4B1684">
              <w:rPr>
                <w:rFonts w:ascii="Arial" w:hAnsi="Arial" w:cs="Arial"/>
                <w:sz w:val="20"/>
                <w:szCs w:val="20"/>
              </w:rPr>
              <w:t>3</w:t>
            </w:r>
            <w:r w:rsidRPr="31B19EA9" w:rsidR="6F616D2C">
              <w:rPr>
                <w:rFonts w:ascii="Arial" w:hAnsi="Arial" w:cs="Arial"/>
                <w:sz w:val="20"/>
                <w:szCs w:val="20"/>
              </w:rPr>
              <w:t>1</w:t>
            </w:r>
          </w:p>
        </w:tc>
        <w:tc>
          <w:tcPr>
            <w:tcW w:w="1407" w:type="dxa"/>
          </w:tcPr>
          <w:p w:rsidR="00BF5103" w:rsidP="5B01F674" w14:paraId="2D047D42" w14:textId="5EC0786F">
            <w:pPr>
              <w:pStyle w:val="BodyTextIndent"/>
              <w:ind w:left="0"/>
              <w:rPr>
                <w:rFonts w:ascii="Arial" w:eastAsia="Arial" w:hAnsi="Arial" w:cs="Arial"/>
                <w:color w:val="881798"/>
                <w:sz w:val="20"/>
                <w:szCs w:val="20"/>
              </w:rPr>
            </w:pPr>
            <w:r w:rsidRPr="31B19EA9">
              <w:rPr>
                <w:rFonts w:ascii="Arial" w:hAnsi="Arial" w:cs="Arial"/>
                <w:sz w:val="20"/>
                <w:szCs w:val="20"/>
              </w:rPr>
              <w:t>$</w:t>
            </w:r>
            <w:r w:rsidRPr="31B19EA9" w:rsidR="236E2DBB">
              <w:rPr>
                <w:rFonts w:ascii="Arial" w:hAnsi="Arial" w:cs="Arial"/>
                <w:sz w:val="20"/>
                <w:szCs w:val="20"/>
              </w:rPr>
              <w:t>3</w:t>
            </w:r>
            <w:r w:rsidRPr="0077484F" w:rsidR="17849B51">
              <w:rPr>
                <w:rFonts w:ascii="Arial" w:hAnsi="Arial" w:cs="Arial"/>
                <w:sz w:val="20"/>
                <w:szCs w:val="20"/>
              </w:rPr>
              <w:t>,</w:t>
            </w:r>
            <w:r w:rsidRPr="0077484F" w:rsidR="34D03ADC">
              <w:rPr>
                <w:rFonts w:ascii="Arial" w:hAnsi="Arial" w:cs="Arial"/>
                <w:sz w:val="20"/>
                <w:szCs w:val="20"/>
              </w:rPr>
              <w:t>961,440</w:t>
            </w:r>
          </w:p>
          <w:p w:rsidR="00BF5103" w:rsidP="5B01F674" w14:paraId="7904EFE3" w14:textId="2157A659">
            <w:pPr>
              <w:pStyle w:val="BodyTextIndent"/>
              <w:ind w:left="0"/>
              <w:rPr>
                <w:rFonts w:ascii="Arial" w:hAnsi="Arial" w:cs="Arial"/>
              </w:rPr>
            </w:pPr>
          </w:p>
        </w:tc>
      </w:tr>
      <w:tr w14:paraId="6583A2C3" w14:textId="77777777" w:rsidTr="31B19EA9">
        <w:tblPrEx>
          <w:tblW w:w="10324" w:type="dxa"/>
          <w:tblInd w:w="-5" w:type="dxa"/>
          <w:tblLayout w:type="fixed"/>
          <w:tblLook w:val="06A0"/>
        </w:tblPrEx>
        <w:trPr>
          <w:trHeight w:val="456"/>
        </w:trPr>
        <w:tc>
          <w:tcPr>
            <w:tcW w:w="1655" w:type="dxa"/>
          </w:tcPr>
          <w:p w:rsidR="00BF5103" w:rsidP="5B01F674" w14:paraId="239149FD" w14:textId="01ED4FBE">
            <w:pPr>
              <w:pStyle w:val="BodyTextIndent"/>
              <w:ind w:left="0"/>
              <w:rPr>
                <w:rFonts w:ascii="Arial" w:hAnsi="Arial" w:cs="Arial"/>
                <w:sz w:val="20"/>
                <w:szCs w:val="20"/>
              </w:rPr>
            </w:pPr>
            <w:r w:rsidRPr="5B01F674">
              <w:rPr>
                <w:rFonts w:ascii="Arial" w:hAnsi="Arial" w:cs="Arial"/>
                <w:sz w:val="20"/>
                <w:szCs w:val="20"/>
              </w:rPr>
              <w:t>Assessment of Need to Report</w:t>
            </w:r>
          </w:p>
        </w:tc>
        <w:tc>
          <w:tcPr>
            <w:tcW w:w="903" w:type="dxa"/>
          </w:tcPr>
          <w:p w:rsidR="00BF5103" w:rsidP="5B01F674" w14:paraId="6B386260" w14:textId="153E4748">
            <w:pPr>
              <w:pStyle w:val="BodyTextIndent"/>
              <w:ind w:left="0"/>
              <w:rPr>
                <w:rFonts w:ascii="Arial" w:hAnsi="Arial" w:cs="Arial"/>
                <w:sz w:val="20"/>
                <w:szCs w:val="20"/>
              </w:rPr>
            </w:pPr>
            <w:r w:rsidRPr="5B01F674">
              <w:rPr>
                <w:rFonts w:ascii="Arial" w:hAnsi="Arial" w:cs="Arial"/>
                <w:sz w:val="20"/>
                <w:szCs w:val="20"/>
              </w:rPr>
              <w:t>2,000</w:t>
            </w:r>
          </w:p>
        </w:tc>
        <w:tc>
          <w:tcPr>
            <w:tcW w:w="1672" w:type="dxa"/>
          </w:tcPr>
          <w:p w:rsidR="00BF5103" w:rsidP="5B01F674" w14:paraId="7DBFCDD6" w14:textId="67464EA0">
            <w:pPr>
              <w:pStyle w:val="BodyTextIndent"/>
              <w:ind w:left="0"/>
              <w:rPr>
                <w:rFonts w:ascii="Arial" w:hAnsi="Arial" w:cs="Arial"/>
                <w:sz w:val="20"/>
                <w:szCs w:val="20"/>
              </w:rPr>
            </w:pPr>
            <w:r w:rsidRPr="5B01F674">
              <w:rPr>
                <w:rFonts w:ascii="Arial" w:hAnsi="Arial" w:cs="Arial"/>
                <w:sz w:val="20"/>
                <w:szCs w:val="20"/>
              </w:rPr>
              <w:t>4</w:t>
            </w:r>
          </w:p>
        </w:tc>
        <w:tc>
          <w:tcPr>
            <w:tcW w:w="1260" w:type="dxa"/>
          </w:tcPr>
          <w:p w:rsidR="00BF5103" w:rsidP="5B01F674" w14:paraId="3B5519EC" w14:textId="72EF4533">
            <w:pPr>
              <w:pStyle w:val="BodyTextIndent"/>
              <w:ind w:left="0"/>
              <w:rPr>
                <w:rFonts w:ascii="Arial" w:hAnsi="Arial" w:cs="Arial"/>
                <w:sz w:val="20"/>
                <w:szCs w:val="20"/>
              </w:rPr>
            </w:pPr>
            <w:r w:rsidRPr="5B01F674">
              <w:rPr>
                <w:rFonts w:ascii="Arial" w:hAnsi="Arial" w:cs="Arial"/>
                <w:sz w:val="20"/>
                <w:szCs w:val="20"/>
              </w:rPr>
              <w:t>3</w:t>
            </w:r>
          </w:p>
        </w:tc>
        <w:tc>
          <w:tcPr>
            <w:tcW w:w="1350" w:type="dxa"/>
          </w:tcPr>
          <w:p w:rsidR="00BF5103" w:rsidRPr="5B01F674" w:rsidP="5B01F674" w14:paraId="18775DE4" w14:textId="2CAC6C8E">
            <w:pPr>
              <w:pStyle w:val="BodyTextIndent"/>
              <w:ind w:left="0"/>
              <w:rPr>
                <w:rFonts w:ascii="Arial" w:hAnsi="Arial" w:cs="Arial"/>
                <w:sz w:val="20"/>
                <w:szCs w:val="20"/>
              </w:rPr>
            </w:pPr>
            <w:r>
              <w:rPr>
                <w:rFonts w:ascii="Arial" w:hAnsi="Arial" w:cs="Arial"/>
                <w:sz w:val="20"/>
                <w:szCs w:val="20"/>
              </w:rPr>
              <w:t>8,000</w:t>
            </w:r>
          </w:p>
        </w:tc>
        <w:tc>
          <w:tcPr>
            <w:tcW w:w="990" w:type="dxa"/>
          </w:tcPr>
          <w:p w:rsidR="00BF5103" w:rsidP="5B01F674" w14:paraId="306EC042" w14:textId="3216318B">
            <w:pPr>
              <w:pStyle w:val="BodyTextIndent"/>
              <w:ind w:left="0"/>
              <w:rPr>
                <w:rFonts w:ascii="Arial" w:hAnsi="Arial" w:cs="Arial"/>
                <w:sz w:val="20"/>
                <w:szCs w:val="20"/>
              </w:rPr>
            </w:pPr>
            <w:r w:rsidRPr="5B01F674">
              <w:rPr>
                <w:rFonts w:ascii="Arial" w:hAnsi="Arial" w:cs="Arial"/>
                <w:sz w:val="20"/>
                <w:szCs w:val="20"/>
              </w:rPr>
              <w:t>24,000</w:t>
            </w:r>
          </w:p>
        </w:tc>
        <w:tc>
          <w:tcPr>
            <w:tcW w:w="1087" w:type="dxa"/>
          </w:tcPr>
          <w:p w:rsidR="00BF5103" w:rsidP="5B01F674" w14:paraId="315ABC0E" w14:textId="18D91C2F">
            <w:pPr>
              <w:pStyle w:val="BodyTextIndent"/>
              <w:ind w:left="0"/>
              <w:rPr>
                <w:rFonts w:ascii="Arial" w:hAnsi="Arial" w:cs="Arial"/>
                <w:sz w:val="20"/>
                <w:szCs w:val="20"/>
              </w:rPr>
            </w:pPr>
            <w:r w:rsidRPr="31B19EA9">
              <w:rPr>
                <w:rFonts w:ascii="Arial" w:hAnsi="Arial" w:cs="Arial"/>
                <w:sz w:val="20"/>
                <w:szCs w:val="20"/>
              </w:rPr>
              <w:t>$1</w:t>
            </w:r>
            <w:r w:rsidRPr="31B19EA9" w:rsidR="280B046D">
              <w:rPr>
                <w:rFonts w:ascii="Arial" w:hAnsi="Arial" w:cs="Arial"/>
                <w:sz w:val="20"/>
                <w:szCs w:val="20"/>
              </w:rPr>
              <w:t>3</w:t>
            </w:r>
            <w:r w:rsidRPr="31B19EA9" w:rsidR="72D963BF">
              <w:rPr>
                <w:rFonts w:ascii="Arial" w:hAnsi="Arial" w:cs="Arial"/>
                <w:sz w:val="20"/>
                <w:szCs w:val="20"/>
              </w:rPr>
              <w:t>1</w:t>
            </w:r>
          </w:p>
        </w:tc>
        <w:tc>
          <w:tcPr>
            <w:tcW w:w="1407" w:type="dxa"/>
          </w:tcPr>
          <w:p w:rsidR="00BF5103" w:rsidP="5B01F674" w14:paraId="1ECBC5DA" w14:textId="5C1AF317">
            <w:pPr>
              <w:pStyle w:val="BodyTextIndent"/>
              <w:ind w:left="0"/>
              <w:rPr>
                <w:rFonts w:ascii="Arial" w:hAnsi="Arial" w:cs="Arial"/>
                <w:sz w:val="20"/>
                <w:szCs w:val="20"/>
              </w:rPr>
            </w:pPr>
            <w:r w:rsidRPr="31B19EA9">
              <w:rPr>
                <w:rFonts w:ascii="Arial" w:hAnsi="Arial" w:cs="Arial"/>
                <w:sz w:val="20"/>
                <w:szCs w:val="20"/>
              </w:rPr>
              <w:t>$</w:t>
            </w:r>
            <w:r w:rsidRPr="31B19EA9" w:rsidR="2429482D">
              <w:rPr>
                <w:rFonts w:ascii="Arial" w:hAnsi="Arial" w:cs="Arial"/>
                <w:sz w:val="20"/>
                <w:szCs w:val="20"/>
              </w:rPr>
              <w:t>3,</w:t>
            </w:r>
            <w:r w:rsidRPr="31B19EA9" w:rsidR="033BA4EC">
              <w:rPr>
                <w:rFonts w:ascii="Arial" w:hAnsi="Arial" w:cs="Arial"/>
                <w:sz w:val="20"/>
                <w:szCs w:val="20"/>
              </w:rPr>
              <w:t>144</w:t>
            </w:r>
            <w:r w:rsidRPr="31B19EA9" w:rsidR="2429482D">
              <w:rPr>
                <w:rFonts w:ascii="Arial" w:hAnsi="Arial" w:cs="Arial"/>
                <w:sz w:val="20"/>
                <w:szCs w:val="20"/>
              </w:rPr>
              <w:t>,000</w:t>
            </w:r>
          </w:p>
          <w:p w:rsidR="00BF5103" w:rsidP="5B01F674" w14:paraId="0D3E0132" w14:textId="2157A659">
            <w:pPr>
              <w:pStyle w:val="BodyTextIndent"/>
              <w:ind w:left="0"/>
              <w:rPr>
                <w:rFonts w:ascii="Arial" w:hAnsi="Arial" w:cs="Arial"/>
                <w:sz w:val="20"/>
                <w:szCs w:val="20"/>
              </w:rPr>
            </w:pPr>
          </w:p>
        </w:tc>
      </w:tr>
      <w:tr w14:paraId="7DCC5807" w14:textId="77777777" w:rsidTr="31B19EA9">
        <w:tblPrEx>
          <w:tblW w:w="10324" w:type="dxa"/>
          <w:tblInd w:w="-5" w:type="dxa"/>
          <w:tblLayout w:type="fixed"/>
          <w:tblLook w:val="06A0"/>
        </w:tblPrEx>
        <w:trPr>
          <w:trHeight w:val="304"/>
        </w:trPr>
        <w:tc>
          <w:tcPr>
            <w:tcW w:w="1655" w:type="dxa"/>
          </w:tcPr>
          <w:p w:rsidR="00BF5103" w:rsidP="5B01F674" w14:paraId="6866423C" w14:textId="323BDA00">
            <w:pPr>
              <w:pStyle w:val="BodyTextIndent"/>
              <w:ind w:left="0"/>
              <w:rPr>
                <w:rFonts w:ascii="Arial" w:hAnsi="Arial" w:cs="Arial"/>
                <w:b/>
                <w:bCs/>
                <w:sz w:val="20"/>
                <w:szCs w:val="20"/>
              </w:rPr>
            </w:pPr>
            <w:r w:rsidRPr="5B01F674">
              <w:rPr>
                <w:rFonts w:ascii="Arial" w:hAnsi="Arial" w:cs="Arial"/>
                <w:b/>
                <w:bCs/>
                <w:sz w:val="20"/>
                <w:szCs w:val="20"/>
              </w:rPr>
              <w:t>Total</w:t>
            </w:r>
          </w:p>
        </w:tc>
        <w:tc>
          <w:tcPr>
            <w:tcW w:w="903" w:type="dxa"/>
          </w:tcPr>
          <w:p w:rsidR="00BF5103" w:rsidP="5B01F674" w14:paraId="4E03CA36" w14:textId="5450C244">
            <w:pPr>
              <w:pStyle w:val="BodyTextIndent"/>
              <w:ind w:left="0"/>
              <w:rPr>
                <w:rFonts w:ascii="Arial" w:hAnsi="Arial" w:cs="Arial"/>
                <w:b/>
                <w:bCs/>
                <w:sz w:val="20"/>
                <w:szCs w:val="20"/>
              </w:rPr>
            </w:pPr>
          </w:p>
        </w:tc>
        <w:tc>
          <w:tcPr>
            <w:tcW w:w="1672" w:type="dxa"/>
          </w:tcPr>
          <w:p w:rsidR="00BF5103" w:rsidP="5B01F674" w14:paraId="7E3BB6B0" w14:textId="5450C244">
            <w:pPr>
              <w:pStyle w:val="BodyTextIndent"/>
              <w:ind w:left="0"/>
              <w:rPr>
                <w:rFonts w:ascii="Arial" w:hAnsi="Arial" w:cs="Arial"/>
                <w:b/>
                <w:bCs/>
                <w:sz w:val="20"/>
                <w:szCs w:val="20"/>
              </w:rPr>
            </w:pPr>
          </w:p>
        </w:tc>
        <w:tc>
          <w:tcPr>
            <w:tcW w:w="1260" w:type="dxa"/>
          </w:tcPr>
          <w:p w:rsidR="00BF5103" w:rsidP="5B01F674" w14:paraId="0FD4E980" w14:textId="5450C244">
            <w:pPr>
              <w:pStyle w:val="BodyTextIndent"/>
              <w:ind w:left="0"/>
              <w:rPr>
                <w:rFonts w:ascii="Arial" w:hAnsi="Arial" w:cs="Arial"/>
                <w:b/>
                <w:bCs/>
                <w:sz w:val="20"/>
                <w:szCs w:val="20"/>
              </w:rPr>
            </w:pPr>
          </w:p>
        </w:tc>
        <w:tc>
          <w:tcPr>
            <w:tcW w:w="1350" w:type="dxa"/>
          </w:tcPr>
          <w:p w:rsidR="00BF5103" w:rsidRPr="5B01F674" w:rsidP="5B01F674" w14:paraId="2AC4525E" w14:textId="3CE20EC4">
            <w:pPr>
              <w:pStyle w:val="BodyTextIndent"/>
              <w:ind w:left="0"/>
              <w:rPr>
                <w:rFonts w:ascii="Arial" w:hAnsi="Arial" w:cs="Arial"/>
                <w:b/>
                <w:bCs/>
                <w:sz w:val="20"/>
                <w:szCs w:val="20"/>
              </w:rPr>
            </w:pPr>
            <w:r>
              <w:rPr>
                <w:rFonts w:ascii="Arial" w:hAnsi="Arial" w:cs="Arial"/>
                <w:b/>
                <w:bCs/>
                <w:sz w:val="20"/>
                <w:szCs w:val="20"/>
              </w:rPr>
              <w:t>18,080</w:t>
            </w:r>
          </w:p>
        </w:tc>
        <w:tc>
          <w:tcPr>
            <w:tcW w:w="990" w:type="dxa"/>
          </w:tcPr>
          <w:p w:rsidR="00BF5103" w:rsidP="5B01F674" w14:paraId="2F4354BD" w14:textId="3659B6BD">
            <w:pPr>
              <w:pStyle w:val="BodyTextIndent"/>
              <w:ind w:left="0"/>
              <w:rPr>
                <w:rFonts w:ascii="Arial" w:hAnsi="Arial" w:cs="Arial"/>
                <w:b/>
                <w:bCs/>
                <w:sz w:val="20"/>
                <w:szCs w:val="20"/>
              </w:rPr>
            </w:pPr>
            <w:r w:rsidRPr="5B01F674">
              <w:rPr>
                <w:rFonts w:ascii="Arial" w:hAnsi="Arial" w:cs="Arial"/>
                <w:b/>
                <w:bCs/>
                <w:sz w:val="20"/>
                <w:szCs w:val="20"/>
              </w:rPr>
              <w:t>54,240</w:t>
            </w:r>
          </w:p>
        </w:tc>
        <w:tc>
          <w:tcPr>
            <w:tcW w:w="1087" w:type="dxa"/>
          </w:tcPr>
          <w:p w:rsidR="00BF5103" w:rsidP="5B01F674" w14:paraId="454679CC" w14:textId="5450C244">
            <w:pPr>
              <w:pStyle w:val="BodyTextIndent"/>
              <w:ind w:left="0"/>
              <w:rPr>
                <w:rFonts w:ascii="Arial" w:hAnsi="Arial" w:cs="Arial"/>
                <w:b/>
                <w:bCs/>
                <w:sz w:val="20"/>
                <w:szCs w:val="20"/>
              </w:rPr>
            </w:pPr>
          </w:p>
        </w:tc>
        <w:tc>
          <w:tcPr>
            <w:tcW w:w="1407" w:type="dxa"/>
          </w:tcPr>
          <w:p w:rsidR="00BF5103" w:rsidP="5B01F674" w14:paraId="074FC9DB" w14:textId="10ECA628">
            <w:pPr>
              <w:pStyle w:val="BodyTextIndent"/>
              <w:ind w:left="0"/>
              <w:rPr>
                <w:rFonts w:ascii="Arial" w:hAnsi="Arial" w:cs="Arial"/>
                <w:b/>
                <w:bCs/>
                <w:sz w:val="20"/>
                <w:szCs w:val="20"/>
              </w:rPr>
            </w:pPr>
            <w:r w:rsidRPr="31B19EA9">
              <w:rPr>
                <w:rFonts w:ascii="Arial" w:hAnsi="Arial" w:cs="Arial"/>
                <w:b/>
                <w:bCs/>
                <w:sz w:val="20"/>
                <w:szCs w:val="20"/>
              </w:rPr>
              <w:t>$</w:t>
            </w:r>
            <w:r w:rsidRPr="31B19EA9" w:rsidR="4642B3CA">
              <w:rPr>
                <w:rFonts w:ascii="Arial" w:hAnsi="Arial" w:cs="Arial"/>
                <w:b/>
                <w:bCs/>
                <w:sz w:val="20"/>
                <w:szCs w:val="20"/>
              </w:rPr>
              <w:t>7,</w:t>
            </w:r>
            <w:r w:rsidRPr="31B19EA9" w:rsidR="7ED3A3CF">
              <w:rPr>
                <w:rFonts w:ascii="Arial" w:hAnsi="Arial" w:cs="Arial"/>
                <w:b/>
                <w:bCs/>
                <w:sz w:val="20"/>
                <w:szCs w:val="20"/>
              </w:rPr>
              <w:t>105,44</w:t>
            </w:r>
            <w:r w:rsidRPr="31B19EA9" w:rsidR="4642B3CA">
              <w:rPr>
                <w:rFonts w:ascii="Arial" w:hAnsi="Arial" w:cs="Arial"/>
                <w:b/>
                <w:bCs/>
                <w:sz w:val="20"/>
                <w:szCs w:val="20"/>
              </w:rPr>
              <w:t>0</w:t>
            </w:r>
          </w:p>
        </w:tc>
      </w:tr>
    </w:tbl>
    <w:p w:rsidR="5B01F674" w:rsidP="5B01F674" w14:paraId="697B8A12" w14:textId="05B70234">
      <w:pPr>
        <w:pStyle w:val="BodyTextIndent"/>
        <w:tabs>
          <w:tab w:val="left" w:pos="540"/>
          <w:tab w:val="left" w:pos="810"/>
        </w:tabs>
        <w:ind w:left="540" w:hanging="540"/>
        <w:rPr>
          <w:rFonts w:ascii="Arial" w:hAnsi="Arial" w:cs="Arial"/>
        </w:rPr>
      </w:pPr>
    </w:p>
    <w:tbl>
      <w:tblPr>
        <w:tblStyle w:val="TableGrid"/>
        <w:tblW w:w="10350" w:type="dxa"/>
        <w:tblInd w:w="-5" w:type="dxa"/>
        <w:tblLook w:val="06A0"/>
      </w:tblPr>
      <w:tblGrid>
        <w:gridCol w:w="1620"/>
        <w:gridCol w:w="900"/>
        <w:gridCol w:w="1710"/>
        <w:gridCol w:w="1260"/>
        <w:gridCol w:w="1350"/>
        <w:gridCol w:w="990"/>
        <w:gridCol w:w="1131"/>
        <w:gridCol w:w="1389"/>
      </w:tblGrid>
      <w:tr w14:paraId="571687EA" w14:textId="77777777" w:rsidTr="00A4063D">
        <w:tblPrEx>
          <w:tblW w:w="10350" w:type="dxa"/>
          <w:tblInd w:w="-5" w:type="dxa"/>
          <w:tblLook w:val="06A0"/>
        </w:tblPrEx>
        <w:trPr>
          <w:trHeight w:val="341"/>
        </w:trPr>
        <w:tc>
          <w:tcPr>
            <w:tcW w:w="10350" w:type="dxa"/>
            <w:gridSpan w:val="8"/>
          </w:tcPr>
          <w:p w:rsidR="7CE11028" w:rsidRPr="00A4063D" w:rsidP="7CE11028" w14:paraId="0B75D13C" w14:textId="3B4DDEE2">
            <w:pPr>
              <w:pStyle w:val="BodyTextIndent"/>
              <w:widowControl/>
              <w:ind w:firstLine="361"/>
              <w:jc w:val="center"/>
              <w:rPr>
                <w:rFonts w:ascii="Calibri" w:hAnsi="Calibri" w:cs="Calibri"/>
              </w:rPr>
            </w:pPr>
            <w:r w:rsidRPr="00A4063D">
              <w:rPr>
                <w:rFonts w:ascii="Calibri" w:hAnsi="Calibri" w:cs="Calibri"/>
              </w:rPr>
              <w:t xml:space="preserve">Estimated Annual Reporting Burden </w:t>
            </w:r>
            <w:r w:rsidRPr="00CF7C3E" w:rsidR="651BEBEF">
              <w:rPr>
                <w:rFonts w:ascii="Calibri" w:hAnsi="Calibri" w:cs="Calibri"/>
                <w:b/>
                <w:bCs/>
              </w:rPr>
              <w:t>after</w:t>
            </w:r>
            <w:r w:rsidRPr="00A4063D">
              <w:rPr>
                <w:rFonts w:ascii="Calibri" w:hAnsi="Calibri" w:cs="Calibri"/>
              </w:rPr>
              <w:t xml:space="preserve"> Implementation of the SEC Clearing Rule</w:t>
            </w:r>
          </w:p>
        </w:tc>
      </w:tr>
      <w:tr w14:paraId="25673E9E" w14:textId="77777777" w:rsidTr="008A1F69">
        <w:tblPrEx>
          <w:tblW w:w="10350" w:type="dxa"/>
          <w:tblInd w:w="-5" w:type="dxa"/>
          <w:tblLook w:val="06A0"/>
        </w:tblPrEx>
        <w:trPr>
          <w:trHeight w:val="1385"/>
        </w:trPr>
        <w:tc>
          <w:tcPr>
            <w:tcW w:w="1620" w:type="dxa"/>
          </w:tcPr>
          <w:p w:rsidR="7CE11028" w:rsidP="7CE11028" w14:paraId="6A68A0F9" w14:textId="199E29E4">
            <w:pPr>
              <w:pStyle w:val="BodyTextIndent"/>
              <w:ind w:left="0"/>
              <w:jc w:val="center"/>
              <w:rPr>
                <w:rFonts w:ascii="Arial" w:hAnsi="Arial" w:cs="Arial"/>
                <w:b/>
                <w:bCs/>
                <w:sz w:val="20"/>
                <w:szCs w:val="20"/>
              </w:rPr>
            </w:pPr>
            <w:r w:rsidRPr="7CE11028">
              <w:rPr>
                <w:rFonts w:ascii="Arial" w:hAnsi="Arial" w:cs="Arial"/>
                <w:b/>
                <w:bCs/>
                <w:sz w:val="20"/>
                <w:szCs w:val="20"/>
              </w:rPr>
              <w:t>Type of Collection</w:t>
            </w:r>
          </w:p>
        </w:tc>
        <w:tc>
          <w:tcPr>
            <w:tcW w:w="900" w:type="dxa"/>
          </w:tcPr>
          <w:p w:rsidR="7CE11028" w:rsidP="7CE11028" w14:paraId="2DB0E787" w14:textId="53701419">
            <w:pPr>
              <w:pStyle w:val="BodyTextIndent"/>
              <w:ind w:left="0"/>
              <w:jc w:val="center"/>
              <w:rPr>
                <w:rFonts w:ascii="Arial" w:hAnsi="Arial" w:cs="Arial"/>
                <w:b/>
                <w:bCs/>
                <w:sz w:val="20"/>
                <w:szCs w:val="20"/>
              </w:rPr>
            </w:pPr>
            <w:r w:rsidRPr="7CE11028">
              <w:rPr>
                <w:rFonts w:ascii="Arial" w:hAnsi="Arial" w:cs="Arial"/>
                <w:b/>
                <w:bCs/>
                <w:sz w:val="20"/>
                <w:szCs w:val="20"/>
              </w:rPr>
              <w:t>No. Of Respo</w:t>
            </w:r>
            <w:r w:rsidR="00A91FCF">
              <w:rPr>
                <w:rFonts w:ascii="Arial" w:hAnsi="Arial" w:cs="Arial"/>
                <w:b/>
                <w:bCs/>
                <w:sz w:val="20"/>
                <w:szCs w:val="20"/>
              </w:rPr>
              <w:t xml:space="preserve"> </w:t>
            </w:r>
            <w:r w:rsidRPr="7CE11028">
              <w:rPr>
                <w:rFonts w:ascii="Arial" w:hAnsi="Arial" w:cs="Arial"/>
                <w:b/>
                <w:bCs/>
                <w:sz w:val="20"/>
                <w:szCs w:val="20"/>
              </w:rPr>
              <w:t>ndents</w:t>
            </w:r>
          </w:p>
        </w:tc>
        <w:tc>
          <w:tcPr>
            <w:tcW w:w="1710" w:type="dxa"/>
          </w:tcPr>
          <w:p w:rsidR="7CE11028" w:rsidP="7CE11028" w14:paraId="65265F3E" w14:textId="5E71A1A9">
            <w:pPr>
              <w:pStyle w:val="BodyTextIndent"/>
              <w:ind w:left="0"/>
              <w:jc w:val="center"/>
              <w:rPr>
                <w:rFonts w:ascii="Arial" w:hAnsi="Arial" w:cs="Arial"/>
                <w:b/>
                <w:bCs/>
                <w:sz w:val="20"/>
                <w:szCs w:val="20"/>
              </w:rPr>
            </w:pPr>
            <w:r w:rsidRPr="7CE11028">
              <w:rPr>
                <w:rFonts w:ascii="Arial" w:hAnsi="Arial" w:cs="Arial"/>
                <w:b/>
                <w:bCs/>
                <w:sz w:val="20"/>
                <w:szCs w:val="20"/>
              </w:rPr>
              <w:t>Annual Responses per Respondent</w:t>
            </w:r>
          </w:p>
        </w:tc>
        <w:tc>
          <w:tcPr>
            <w:tcW w:w="1260" w:type="dxa"/>
          </w:tcPr>
          <w:p w:rsidR="7CE11028" w:rsidP="7CE11028" w14:paraId="2F03516A" w14:textId="7073EDAD">
            <w:pPr>
              <w:pStyle w:val="BodyTextIndent"/>
              <w:ind w:left="0"/>
              <w:jc w:val="center"/>
              <w:rPr>
                <w:rFonts w:ascii="Arial" w:hAnsi="Arial" w:cs="Arial"/>
                <w:b/>
                <w:bCs/>
                <w:sz w:val="20"/>
                <w:szCs w:val="20"/>
              </w:rPr>
            </w:pPr>
            <w:r w:rsidRPr="7CE11028">
              <w:rPr>
                <w:rFonts w:ascii="Arial" w:hAnsi="Arial" w:cs="Arial"/>
                <w:b/>
                <w:bCs/>
                <w:sz w:val="20"/>
                <w:szCs w:val="20"/>
              </w:rPr>
              <w:t>Hours per Response</w:t>
            </w:r>
          </w:p>
        </w:tc>
        <w:tc>
          <w:tcPr>
            <w:tcW w:w="1350" w:type="dxa"/>
          </w:tcPr>
          <w:p w:rsidR="7CE11028" w:rsidP="7CE11028" w14:paraId="749286B7" w14:textId="0B3A66D6">
            <w:pPr>
              <w:pStyle w:val="BodyTextIndent"/>
              <w:ind w:left="0"/>
              <w:jc w:val="center"/>
              <w:rPr>
                <w:rFonts w:ascii="Arial" w:hAnsi="Arial" w:cs="Arial"/>
                <w:b/>
                <w:bCs/>
                <w:sz w:val="20"/>
                <w:szCs w:val="20"/>
              </w:rPr>
            </w:pPr>
            <w:r w:rsidRPr="7CE11028">
              <w:rPr>
                <w:rFonts w:ascii="Arial" w:hAnsi="Arial" w:cs="Arial"/>
                <w:b/>
                <w:bCs/>
                <w:sz w:val="20"/>
                <w:szCs w:val="20"/>
              </w:rPr>
              <w:t>Total Annual Responses</w:t>
            </w:r>
          </w:p>
        </w:tc>
        <w:tc>
          <w:tcPr>
            <w:tcW w:w="990" w:type="dxa"/>
          </w:tcPr>
          <w:p w:rsidR="7CE11028" w:rsidP="7CE11028" w14:paraId="31FA57A8" w14:textId="55C1A22A">
            <w:pPr>
              <w:pStyle w:val="BodyTextIndent"/>
              <w:ind w:left="0"/>
              <w:jc w:val="center"/>
              <w:rPr>
                <w:rFonts w:ascii="Arial" w:hAnsi="Arial" w:cs="Arial"/>
                <w:b/>
                <w:bCs/>
                <w:sz w:val="20"/>
                <w:szCs w:val="20"/>
              </w:rPr>
            </w:pPr>
            <w:r w:rsidRPr="7CE11028">
              <w:rPr>
                <w:rFonts w:ascii="Arial" w:hAnsi="Arial" w:cs="Arial"/>
                <w:b/>
                <w:bCs/>
                <w:sz w:val="20"/>
                <w:szCs w:val="20"/>
              </w:rPr>
              <w:t>Total Annual Hours</w:t>
            </w:r>
          </w:p>
        </w:tc>
        <w:tc>
          <w:tcPr>
            <w:tcW w:w="1131" w:type="dxa"/>
          </w:tcPr>
          <w:p w:rsidR="7CE11028" w:rsidP="7CE11028" w14:paraId="7FC41652" w14:textId="591A9BD4">
            <w:pPr>
              <w:pStyle w:val="BodyTextIndent"/>
              <w:ind w:left="0"/>
              <w:jc w:val="center"/>
              <w:rPr>
                <w:rFonts w:ascii="Arial" w:hAnsi="Arial" w:cs="Arial"/>
                <w:b/>
                <w:bCs/>
                <w:sz w:val="20"/>
                <w:szCs w:val="20"/>
              </w:rPr>
            </w:pPr>
            <w:r w:rsidRPr="7CE11028">
              <w:rPr>
                <w:rFonts w:ascii="Arial" w:hAnsi="Arial" w:cs="Arial"/>
                <w:b/>
                <w:bCs/>
                <w:sz w:val="20"/>
                <w:szCs w:val="20"/>
              </w:rPr>
              <w:t>Average Hourly Wage Rate</w:t>
            </w:r>
          </w:p>
        </w:tc>
        <w:tc>
          <w:tcPr>
            <w:tcW w:w="1389" w:type="dxa"/>
          </w:tcPr>
          <w:p w:rsidR="7CE11028" w:rsidP="7CE11028" w14:paraId="7A0091B0" w14:textId="661042C3">
            <w:pPr>
              <w:pStyle w:val="BodyTextIndent"/>
              <w:ind w:left="0"/>
              <w:jc w:val="center"/>
              <w:rPr>
                <w:rFonts w:ascii="Arial" w:hAnsi="Arial" w:cs="Arial"/>
                <w:b/>
                <w:bCs/>
                <w:sz w:val="20"/>
                <w:szCs w:val="20"/>
              </w:rPr>
            </w:pPr>
            <w:r w:rsidRPr="7CE11028">
              <w:rPr>
                <w:rFonts w:ascii="Arial" w:hAnsi="Arial" w:cs="Arial"/>
                <w:b/>
                <w:bCs/>
                <w:sz w:val="20"/>
                <w:szCs w:val="20"/>
              </w:rPr>
              <w:t xml:space="preserve">Total Annual Respondent Labor Cost </w:t>
            </w:r>
          </w:p>
        </w:tc>
      </w:tr>
      <w:tr w14:paraId="335D8FA8" w14:textId="77777777" w:rsidTr="008A1F69">
        <w:tblPrEx>
          <w:tblW w:w="10350" w:type="dxa"/>
          <w:tblInd w:w="-5" w:type="dxa"/>
          <w:tblLook w:val="06A0"/>
        </w:tblPrEx>
        <w:trPr>
          <w:trHeight w:val="517"/>
        </w:trPr>
        <w:tc>
          <w:tcPr>
            <w:tcW w:w="1620" w:type="dxa"/>
          </w:tcPr>
          <w:p w:rsidR="7CE11028" w:rsidP="7CE11028" w14:paraId="58168FA0" w14:textId="701E85F3">
            <w:pPr>
              <w:pStyle w:val="BodyTextIndent"/>
              <w:ind w:left="0"/>
              <w:rPr>
                <w:rFonts w:ascii="Arial" w:hAnsi="Arial" w:cs="Arial"/>
                <w:sz w:val="20"/>
                <w:szCs w:val="20"/>
              </w:rPr>
            </w:pPr>
            <w:r w:rsidRPr="7CE11028">
              <w:rPr>
                <w:rFonts w:ascii="Arial" w:hAnsi="Arial" w:cs="Arial"/>
                <w:sz w:val="20"/>
                <w:szCs w:val="20"/>
              </w:rPr>
              <w:t>Electronic Data Submission</w:t>
            </w:r>
          </w:p>
        </w:tc>
        <w:tc>
          <w:tcPr>
            <w:tcW w:w="900" w:type="dxa"/>
          </w:tcPr>
          <w:p w:rsidR="382563E2" w:rsidP="008A1F69" w14:paraId="37802BAE" w14:textId="2E5D37E7">
            <w:pPr>
              <w:pStyle w:val="BodyTextIndent"/>
              <w:spacing w:line="259" w:lineRule="auto"/>
              <w:ind w:left="0"/>
              <w:rPr>
                <w:rFonts w:ascii="Arial" w:hAnsi="Arial" w:cs="Arial"/>
                <w:sz w:val="20"/>
                <w:szCs w:val="20"/>
              </w:rPr>
            </w:pPr>
            <w:r w:rsidRPr="7CE11028">
              <w:rPr>
                <w:rFonts w:ascii="Arial" w:hAnsi="Arial" w:cs="Arial"/>
                <w:sz w:val="20"/>
                <w:szCs w:val="20"/>
              </w:rPr>
              <w:t>15</w:t>
            </w:r>
          </w:p>
        </w:tc>
        <w:tc>
          <w:tcPr>
            <w:tcW w:w="1710" w:type="dxa"/>
          </w:tcPr>
          <w:p w:rsidR="7CE11028" w:rsidP="7CE11028" w14:paraId="7F47D9FF" w14:textId="5B77005F">
            <w:pPr>
              <w:pStyle w:val="BodyTextIndent"/>
              <w:ind w:left="0"/>
              <w:rPr>
                <w:rFonts w:ascii="Arial" w:hAnsi="Arial" w:cs="Arial"/>
                <w:sz w:val="20"/>
                <w:szCs w:val="20"/>
              </w:rPr>
            </w:pPr>
            <w:r w:rsidRPr="7CE11028">
              <w:rPr>
                <w:rFonts w:ascii="Arial" w:hAnsi="Arial" w:cs="Arial"/>
                <w:sz w:val="20"/>
                <w:szCs w:val="20"/>
              </w:rPr>
              <w:t>252</w:t>
            </w:r>
          </w:p>
        </w:tc>
        <w:tc>
          <w:tcPr>
            <w:tcW w:w="1260" w:type="dxa"/>
          </w:tcPr>
          <w:p w:rsidR="7CE11028" w:rsidP="7CE11028" w14:paraId="24D7C4A4" w14:textId="72EF4533">
            <w:pPr>
              <w:pStyle w:val="BodyTextIndent"/>
              <w:ind w:left="0"/>
              <w:rPr>
                <w:rFonts w:ascii="Arial" w:hAnsi="Arial" w:cs="Arial"/>
                <w:sz w:val="20"/>
                <w:szCs w:val="20"/>
              </w:rPr>
            </w:pPr>
            <w:r w:rsidRPr="7CE11028">
              <w:rPr>
                <w:rFonts w:ascii="Arial" w:hAnsi="Arial" w:cs="Arial"/>
                <w:sz w:val="20"/>
                <w:szCs w:val="20"/>
              </w:rPr>
              <w:t>3</w:t>
            </w:r>
          </w:p>
        </w:tc>
        <w:tc>
          <w:tcPr>
            <w:tcW w:w="1350" w:type="dxa"/>
          </w:tcPr>
          <w:p w:rsidR="17F0FDCA" w:rsidP="7CE11028" w14:paraId="38B66E35" w14:textId="54AD78D3">
            <w:pPr>
              <w:pStyle w:val="BodyTextIndent"/>
              <w:ind w:left="0"/>
              <w:rPr>
                <w:rFonts w:ascii="Arial" w:hAnsi="Arial" w:cs="Arial"/>
                <w:sz w:val="20"/>
                <w:szCs w:val="20"/>
              </w:rPr>
            </w:pPr>
            <w:r w:rsidRPr="7CE11028">
              <w:rPr>
                <w:rFonts w:ascii="Arial" w:hAnsi="Arial" w:cs="Arial"/>
                <w:sz w:val="20"/>
                <w:szCs w:val="20"/>
              </w:rPr>
              <w:t>3,783</w:t>
            </w:r>
          </w:p>
        </w:tc>
        <w:tc>
          <w:tcPr>
            <w:tcW w:w="990" w:type="dxa"/>
          </w:tcPr>
          <w:p w:rsidR="17F0FDCA" w:rsidP="7CE11028" w14:paraId="7080BAAD" w14:textId="0A470837">
            <w:pPr>
              <w:pStyle w:val="BodyTextIndent"/>
              <w:ind w:left="0"/>
              <w:rPr>
                <w:rFonts w:ascii="Arial" w:hAnsi="Arial" w:cs="Arial"/>
                <w:sz w:val="20"/>
                <w:szCs w:val="20"/>
              </w:rPr>
            </w:pPr>
            <w:r w:rsidRPr="7CE11028">
              <w:rPr>
                <w:rFonts w:ascii="Arial" w:hAnsi="Arial" w:cs="Arial"/>
                <w:sz w:val="20"/>
                <w:szCs w:val="20"/>
              </w:rPr>
              <w:t>11,340</w:t>
            </w:r>
          </w:p>
        </w:tc>
        <w:tc>
          <w:tcPr>
            <w:tcW w:w="1131" w:type="dxa"/>
          </w:tcPr>
          <w:p w:rsidR="7CE11028" w:rsidP="7CE11028" w14:paraId="5CBE661F" w14:textId="61AEF61D">
            <w:pPr>
              <w:pStyle w:val="BodyTextIndent"/>
              <w:ind w:left="0"/>
              <w:rPr>
                <w:rFonts w:ascii="Arial" w:hAnsi="Arial" w:cs="Arial"/>
                <w:sz w:val="20"/>
                <w:szCs w:val="20"/>
              </w:rPr>
            </w:pPr>
            <w:r w:rsidRPr="31B19EA9">
              <w:rPr>
                <w:rFonts w:ascii="Arial" w:hAnsi="Arial" w:cs="Arial"/>
                <w:sz w:val="20"/>
                <w:szCs w:val="20"/>
              </w:rPr>
              <w:t>$1</w:t>
            </w:r>
            <w:r w:rsidRPr="31B19EA9" w:rsidR="2ABD6721">
              <w:rPr>
                <w:rFonts w:ascii="Arial" w:hAnsi="Arial" w:cs="Arial"/>
                <w:sz w:val="20"/>
                <w:szCs w:val="20"/>
              </w:rPr>
              <w:t>3</w:t>
            </w:r>
            <w:r w:rsidRPr="31B19EA9" w:rsidR="1BE37BAC">
              <w:rPr>
                <w:rFonts w:ascii="Arial" w:hAnsi="Arial" w:cs="Arial"/>
                <w:sz w:val="20"/>
                <w:szCs w:val="20"/>
              </w:rPr>
              <w:t>1</w:t>
            </w:r>
          </w:p>
        </w:tc>
        <w:tc>
          <w:tcPr>
            <w:tcW w:w="1389" w:type="dxa"/>
          </w:tcPr>
          <w:p w:rsidR="7CE11028" w:rsidP="7CE11028" w14:paraId="67F93F85" w14:textId="1024AF79">
            <w:pPr>
              <w:pStyle w:val="BodyTextIndent"/>
              <w:ind w:left="0"/>
              <w:rPr>
                <w:rFonts w:ascii="Arial" w:eastAsia="Arial" w:hAnsi="Arial" w:cs="Arial"/>
                <w:sz w:val="20"/>
                <w:szCs w:val="20"/>
              </w:rPr>
            </w:pPr>
            <w:r w:rsidRPr="31B19EA9">
              <w:rPr>
                <w:rFonts w:ascii="Arial" w:hAnsi="Arial" w:cs="Arial"/>
                <w:sz w:val="20"/>
                <w:szCs w:val="20"/>
              </w:rPr>
              <w:t>$</w:t>
            </w:r>
            <w:r w:rsidRPr="31B19EA9" w:rsidR="6246DDE5">
              <w:rPr>
                <w:rFonts w:ascii="Arial" w:eastAsia="Arial" w:hAnsi="Arial" w:cs="Arial"/>
                <w:sz w:val="20"/>
                <w:szCs w:val="20"/>
              </w:rPr>
              <w:t>1,</w:t>
            </w:r>
            <w:r w:rsidRPr="31B19EA9" w:rsidR="446C3AEB">
              <w:rPr>
                <w:rFonts w:ascii="Arial" w:eastAsia="Arial" w:hAnsi="Arial" w:cs="Arial"/>
                <w:sz w:val="20"/>
                <w:szCs w:val="20"/>
              </w:rPr>
              <w:t>485</w:t>
            </w:r>
            <w:r w:rsidRPr="31B19EA9" w:rsidR="6246DDE5">
              <w:rPr>
                <w:rFonts w:ascii="Arial" w:eastAsia="Arial" w:hAnsi="Arial" w:cs="Arial"/>
                <w:sz w:val="20"/>
                <w:szCs w:val="20"/>
              </w:rPr>
              <w:t>,5</w:t>
            </w:r>
            <w:r w:rsidRPr="31B19EA9" w:rsidR="55EA3A7D">
              <w:rPr>
                <w:rFonts w:ascii="Arial" w:eastAsia="Arial" w:hAnsi="Arial" w:cs="Arial"/>
                <w:sz w:val="20"/>
                <w:szCs w:val="20"/>
              </w:rPr>
              <w:t>4</w:t>
            </w:r>
            <w:r w:rsidRPr="31B19EA9" w:rsidR="6246DDE5">
              <w:rPr>
                <w:rFonts w:ascii="Arial" w:eastAsia="Arial" w:hAnsi="Arial" w:cs="Arial"/>
                <w:sz w:val="20"/>
                <w:szCs w:val="20"/>
              </w:rPr>
              <w:t>0</w:t>
            </w:r>
          </w:p>
          <w:p w:rsidR="7CE11028" w:rsidP="7CE11028" w14:paraId="4CB95D5B" w14:textId="2157A659">
            <w:pPr>
              <w:pStyle w:val="BodyTextIndent"/>
              <w:ind w:left="0"/>
              <w:rPr>
                <w:rFonts w:ascii="Arial" w:hAnsi="Arial" w:cs="Arial"/>
              </w:rPr>
            </w:pPr>
          </w:p>
        </w:tc>
      </w:tr>
      <w:tr w14:paraId="3A518D79" w14:textId="77777777" w:rsidTr="008A1F69">
        <w:tblPrEx>
          <w:tblW w:w="10350" w:type="dxa"/>
          <w:tblInd w:w="-5" w:type="dxa"/>
          <w:tblLook w:val="06A0"/>
        </w:tblPrEx>
        <w:trPr>
          <w:trHeight w:val="456"/>
        </w:trPr>
        <w:tc>
          <w:tcPr>
            <w:tcW w:w="1620" w:type="dxa"/>
          </w:tcPr>
          <w:p w:rsidR="7CE11028" w:rsidP="7CE11028" w14:paraId="53CA8562" w14:textId="01ED4FBE">
            <w:pPr>
              <w:pStyle w:val="BodyTextIndent"/>
              <w:ind w:left="0"/>
              <w:rPr>
                <w:rFonts w:ascii="Arial" w:hAnsi="Arial" w:cs="Arial"/>
                <w:sz w:val="20"/>
                <w:szCs w:val="20"/>
              </w:rPr>
            </w:pPr>
            <w:r w:rsidRPr="7CE11028">
              <w:rPr>
                <w:rFonts w:ascii="Arial" w:hAnsi="Arial" w:cs="Arial"/>
                <w:sz w:val="20"/>
                <w:szCs w:val="20"/>
              </w:rPr>
              <w:t>Assessment of Need to Report</w:t>
            </w:r>
          </w:p>
        </w:tc>
        <w:tc>
          <w:tcPr>
            <w:tcW w:w="900" w:type="dxa"/>
          </w:tcPr>
          <w:p w:rsidR="7CE11028" w:rsidP="7CE11028" w14:paraId="0EE96076" w14:textId="153E4748">
            <w:pPr>
              <w:pStyle w:val="BodyTextIndent"/>
              <w:ind w:left="0"/>
              <w:rPr>
                <w:rFonts w:ascii="Arial" w:hAnsi="Arial" w:cs="Arial"/>
                <w:sz w:val="20"/>
                <w:szCs w:val="20"/>
              </w:rPr>
            </w:pPr>
            <w:r w:rsidRPr="7CE11028">
              <w:rPr>
                <w:rFonts w:ascii="Arial" w:hAnsi="Arial" w:cs="Arial"/>
                <w:sz w:val="20"/>
                <w:szCs w:val="20"/>
              </w:rPr>
              <w:t>2,000</w:t>
            </w:r>
          </w:p>
        </w:tc>
        <w:tc>
          <w:tcPr>
            <w:tcW w:w="1710" w:type="dxa"/>
          </w:tcPr>
          <w:p w:rsidR="7CE11028" w:rsidP="7CE11028" w14:paraId="69E7E332" w14:textId="67464EA0">
            <w:pPr>
              <w:pStyle w:val="BodyTextIndent"/>
              <w:ind w:left="0"/>
              <w:rPr>
                <w:rFonts w:ascii="Arial" w:hAnsi="Arial" w:cs="Arial"/>
                <w:sz w:val="20"/>
                <w:szCs w:val="20"/>
              </w:rPr>
            </w:pPr>
            <w:r w:rsidRPr="7CE11028">
              <w:rPr>
                <w:rFonts w:ascii="Arial" w:hAnsi="Arial" w:cs="Arial"/>
                <w:sz w:val="20"/>
                <w:szCs w:val="20"/>
              </w:rPr>
              <w:t>4</w:t>
            </w:r>
          </w:p>
        </w:tc>
        <w:tc>
          <w:tcPr>
            <w:tcW w:w="1260" w:type="dxa"/>
          </w:tcPr>
          <w:p w:rsidR="7CE11028" w:rsidP="7CE11028" w14:paraId="6B37C7B7" w14:textId="72EF4533">
            <w:pPr>
              <w:pStyle w:val="BodyTextIndent"/>
              <w:ind w:left="0"/>
              <w:rPr>
                <w:rFonts w:ascii="Arial" w:hAnsi="Arial" w:cs="Arial"/>
                <w:sz w:val="20"/>
                <w:szCs w:val="20"/>
              </w:rPr>
            </w:pPr>
            <w:r w:rsidRPr="7CE11028">
              <w:rPr>
                <w:rFonts w:ascii="Arial" w:hAnsi="Arial" w:cs="Arial"/>
                <w:sz w:val="20"/>
                <w:szCs w:val="20"/>
              </w:rPr>
              <w:t>3</w:t>
            </w:r>
          </w:p>
        </w:tc>
        <w:tc>
          <w:tcPr>
            <w:tcW w:w="1350" w:type="dxa"/>
          </w:tcPr>
          <w:p w:rsidR="7CE11028" w:rsidP="7CE11028" w14:paraId="285C30AD" w14:textId="2CAC6C8E">
            <w:pPr>
              <w:pStyle w:val="BodyTextIndent"/>
              <w:ind w:left="0"/>
              <w:rPr>
                <w:rFonts w:ascii="Arial" w:hAnsi="Arial" w:cs="Arial"/>
                <w:sz w:val="20"/>
                <w:szCs w:val="20"/>
              </w:rPr>
            </w:pPr>
            <w:r w:rsidRPr="7CE11028">
              <w:rPr>
                <w:rFonts w:ascii="Arial" w:hAnsi="Arial" w:cs="Arial"/>
                <w:sz w:val="20"/>
                <w:szCs w:val="20"/>
              </w:rPr>
              <w:t>8,000</w:t>
            </w:r>
          </w:p>
        </w:tc>
        <w:tc>
          <w:tcPr>
            <w:tcW w:w="990" w:type="dxa"/>
          </w:tcPr>
          <w:p w:rsidR="7CE11028" w:rsidP="7CE11028" w14:paraId="4B53E181" w14:textId="3216318B">
            <w:pPr>
              <w:pStyle w:val="BodyTextIndent"/>
              <w:ind w:left="0"/>
              <w:rPr>
                <w:rFonts w:ascii="Arial" w:hAnsi="Arial" w:cs="Arial"/>
                <w:sz w:val="20"/>
                <w:szCs w:val="20"/>
              </w:rPr>
            </w:pPr>
            <w:r w:rsidRPr="7CE11028">
              <w:rPr>
                <w:rFonts w:ascii="Arial" w:hAnsi="Arial" w:cs="Arial"/>
                <w:sz w:val="20"/>
                <w:szCs w:val="20"/>
              </w:rPr>
              <w:t>24,000</w:t>
            </w:r>
          </w:p>
        </w:tc>
        <w:tc>
          <w:tcPr>
            <w:tcW w:w="1131" w:type="dxa"/>
          </w:tcPr>
          <w:p w:rsidR="7CE11028" w:rsidP="7CE11028" w14:paraId="4BFAC7E6" w14:textId="6A6C6EE0">
            <w:pPr>
              <w:pStyle w:val="BodyTextIndent"/>
              <w:ind w:left="0"/>
              <w:rPr>
                <w:rFonts w:ascii="Arial" w:hAnsi="Arial" w:cs="Arial"/>
                <w:sz w:val="20"/>
                <w:szCs w:val="20"/>
              </w:rPr>
            </w:pPr>
            <w:r w:rsidRPr="31B19EA9">
              <w:rPr>
                <w:rFonts w:ascii="Arial" w:hAnsi="Arial" w:cs="Arial"/>
                <w:sz w:val="20"/>
                <w:szCs w:val="20"/>
              </w:rPr>
              <w:t>$1</w:t>
            </w:r>
            <w:r w:rsidRPr="31B19EA9" w:rsidR="57E3DCB1">
              <w:rPr>
                <w:rFonts w:ascii="Arial" w:hAnsi="Arial" w:cs="Arial"/>
                <w:sz w:val="20"/>
                <w:szCs w:val="20"/>
              </w:rPr>
              <w:t>3</w:t>
            </w:r>
            <w:r w:rsidRPr="31B19EA9" w:rsidR="79612245">
              <w:rPr>
                <w:rFonts w:ascii="Arial" w:hAnsi="Arial" w:cs="Arial"/>
                <w:sz w:val="20"/>
                <w:szCs w:val="20"/>
              </w:rPr>
              <w:t>1</w:t>
            </w:r>
          </w:p>
        </w:tc>
        <w:tc>
          <w:tcPr>
            <w:tcW w:w="1389" w:type="dxa"/>
          </w:tcPr>
          <w:p w:rsidR="7CE11028" w:rsidP="7CE11028" w14:paraId="2B45771F" w14:textId="5CE670DF">
            <w:pPr>
              <w:pStyle w:val="BodyTextIndent"/>
              <w:ind w:left="0"/>
              <w:rPr>
                <w:rFonts w:ascii="Arial" w:eastAsia="Arial" w:hAnsi="Arial" w:cs="Arial"/>
                <w:sz w:val="20"/>
                <w:szCs w:val="20"/>
              </w:rPr>
            </w:pPr>
            <w:r w:rsidRPr="31B19EA9">
              <w:rPr>
                <w:rFonts w:ascii="Arial" w:hAnsi="Arial" w:cs="Arial"/>
                <w:sz w:val="20"/>
                <w:szCs w:val="20"/>
              </w:rPr>
              <w:t>$</w:t>
            </w:r>
            <w:r w:rsidRPr="31B19EA9" w:rsidR="0E0464FD">
              <w:rPr>
                <w:rFonts w:ascii="Arial" w:eastAsia="Arial" w:hAnsi="Arial" w:cs="Arial"/>
                <w:sz w:val="20"/>
                <w:szCs w:val="20"/>
              </w:rPr>
              <w:t>3,</w:t>
            </w:r>
            <w:r w:rsidRPr="31B19EA9" w:rsidR="24C9BEDD">
              <w:rPr>
                <w:rFonts w:ascii="Arial" w:eastAsia="Arial" w:hAnsi="Arial" w:cs="Arial"/>
                <w:sz w:val="20"/>
                <w:szCs w:val="20"/>
              </w:rPr>
              <w:t>144</w:t>
            </w:r>
            <w:r w:rsidRPr="31B19EA9" w:rsidR="0E0464FD">
              <w:rPr>
                <w:rFonts w:ascii="Arial" w:eastAsia="Arial" w:hAnsi="Arial" w:cs="Arial"/>
                <w:sz w:val="20"/>
                <w:szCs w:val="20"/>
              </w:rPr>
              <w:t>,000</w:t>
            </w:r>
          </w:p>
          <w:p w:rsidR="7CE11028" w:rsidP="7CE11028" w14:paraId="45DED9C9" w14:textId="2157A659">
            <w:pPr>
              <w:pStyle w:val="BodyTextIndent"/>
              <w:ind w:left="0"/>
              <w:rPr>
                <w:rFonts w:ascii="Arial" w:hAnsi="Arial" w:cs="Arial"/>
                <w:sz w:val="20"/>
                <w:szCs w:val="20"/>
              </w:rPr>
            </w:pPr>
          </w:p>
        </w:tc>
      </w:tr>
      <w:tr w14:paraId="3FA34CD9" w14:textId="77777777" w:rsidTr="008A1F69">
        <w:tblPrEx>
          <w:tblW w:w="10350" w:type="dxa"/>
          <w:tblInd w:w="-5" w:type="dxa"/>
          <w:tblLook w:val="06A0"/>
        </w:tblPrEx>
        <w:trPr>
          <w:trHeight w:val="304"/>
        </w:trPr>
        <w:tc>
          <w:tcPr>
            <w:tcW w:w="1620" w:type="dxa"/>
          </w:tcPr>
          <w:p w:rsidR="7CE11028" w:rsidP="7CE11028" w14:paraId="5A7B7D0A" w14:textId="323BDA00">
            <w:pPr>
              <w:pStyle w:val="BodyTextIndent"/>
              <w:ind w:left="0"/>
              <w:rPr>
                <w:rFonts w:ascii="Arial" w:hAnsi="Arial" w:cs="Arial"/>
                <w:b/>
                <w:bCs/>
                <w:sz w:val="20"/>
                <w:szCs w:val="20"/>
              </w:rPr>
            </w:pPr>
            <w:r w:rsidRPr="7CE11028">
              <w:rPr>
                <w:rFonts w:ascii="Arial" w:hAnsi="Arial" w:cs="Arial"/>
                <w:b/>
                <w:bCs/>
                <w:sz w:val="20"/>
                <w:szCs w:val="20"/>
              </w:rPr>
              <w:t>Total</w:t>
            </w:r>
          </w:p>
        </w:tc>
        <w:tc>
          <w:tcPr>
            <w:tcW w:w="900" w:type="dxa"/>
          </w:tcPr>
          <w:p w:rsidR="7CE11028" w:rsidP="7CE11028" w14:paraId="44208EDD" w14:textId="5450C244">
            <w:pPr>
              <w:pStyle w:val="BodyTextIndent"/>
              <w:ind w:left="0"/>
              <w:rPr>
                <w:rFonts w:ascii="Arial" w:hAnsi="Arial" w:cs="Arial"/>
                <w:b/>
                <w:bCs/>
                <w:sz w:val="20"/>
                <w:szCs w:val="20"/>
              </w:rPr>
            </w:pPr>
          </w:p>
        </w:tc>
        <w:tc>
          <w:tcPr>
            <w:tcW w:w="1710" w:type="dxa"/>
          </w:tcPr>
          <w:p w:rsidR="7CE11028" w:rsidP="7CE11028" w14:paraId="157270CE" w14:textId="5450C244">
            <w:pPr>
              <w:pStyle w:val="BodyTextIndent"/>
              <w:ind w:left="0"/>
              <w:rPr>
                <w:rFonts w:ascii="Arial" w:hAnsi="Arial" w:cs="Arial"/>
                <w:b/>
                <w:bCs/>
                <w:sz w:val="20"/>
                <w:szCs w:val="20"/>
              </w:rPr>
            </w:pPr>
          </w:p>
        </w:tc>
        <w:tc>
          <w:tcPr>
            <w:tcW w:w="1260" w:type="dxa"/>
          </w:tcPr>
          <w:p w:rsidR="7CE11028" w:rsidP="7CE11028" w14:paraId="62F47041" w14:textId="5450C244">
            <w:pPr>
              <w:pStyle w:val="BodyTextIndent"/>
              <w:ind w:left="0"/>
              <w:rPr>
                <w:rFonts w:ascii="Arial" w:hAnsi="Arial" w:cs="Arial"/>
                <w:b/>
                <w:bCs/>
                <w:sz w:val="20"/>
                <w:szCs w:val="20"/>
              </w:rPr>
            </w:pPr>
          </w:p>
        </w:tc>
        <w:tc>
          <w:tcPr>
            <w:tcW w:w="1350" w:type="dxa"/>
          </w:tcPr>
          <w:p w:rsidR="7CE11028" w:rsidP="7CE11028" w14:paraId="07A793A5" w14:textId="22F05648">
            <w:pPr>
              <w:pStyle w:val="BodyTextIndent"/>
              <w:ind w:left="0"/>
              <w:rPr>
                <w:rFonts w:ascii="Arial" w:hAnsi="Arial" w:cs="Arial"/>
                <w:b/>
                <w:bCs/>
                <w:sz w:val="20"/>
                <w:szCs w:val="20"/>
              </w:rPr>
            </w:pPr>
            <w:r w:rsidRPr="00301B34">
              <w:rPr>
                <w:rFonts w:ascii="Arial" w:hAnsi="Arial" w:cs="Arial"/>
                <w:b/>
                <w:bCs/>
                <w:sz w:val="20"/>
                <w:szCs w:val="20"/>
              </w:rPr>
              <w:t>11</w:t>
            </w:r>
            <w:r>
              <w:rPr>
                <w:rFonts w:ascii="Arial" w:hAnsi="Arial" w:cs="Arial"/>
                <w:b/>
                <w:bCs/>
                <w:sz w:val="20"/>
                <w:szCs w:val="20"/>
              </w:rPr>
              <w:t>,</w:t>
            </w:r>
            <w:r w:rsidRPr="00301B34">
              <w:rPr>
                <w:rFonts w:ascii="Arial" w:hAnsi="Arial" w:cs="Arial"/>
                <w:b/>
                <w:bCs/>
                <w:sz w:val="20"/>
                <w:szCs w:val="20"/>
              </w:rPr>
              <w:t>783</w:t>
            </w:r>
          </w:p>
        </w:tc>
        <w:tc>
          <w:tcPr>
            <w:tcW w:w="990" w:type="dxa"/>
          </w:tcPr>
          <w:p w:rsidR="7CE11028" w:rsidP="7CE11028" w14:paraId="3800924D" w14:textId="60962BF3">
            <w:pPr>
              <w:pStyle w:val="BodyTextIndent"/>
              <w:ind w:left="0"/>
              <w:rPr>
                <w:rFonts w:ascii="Arial" w:hAnsi="Arial" w:cs="Arial"/>
                <w:b/>
                <w:bCs/>
                <w:sz w:val="20"/>
                <w:szCs w:val="20"/>
              </w:rPr>
            </w:pPr>
            <w:r w:rsidRPr="00301B34">
              <w:rPr>
                <w:rFonts w:ascii="Arial" w:hAnsi="Arial" w:cs="Arial"/>
                <w:b/>
                <w:bCs/>
                <w:sz w:val="20"/>
                <w:szCs w:val="20"/>
              </w:rPr>
              <w:t>35</w:t>
            </w:r>
            <w:r>
              <w:rPr>
                <w:rFonts w:ascii="Arial" w:hAnsi="Arial" w:cs="Arial"/>
                <w:b/>
                <w:bCs/>
                <w:sz w:val="20"/>
                <w:szCs w:val="20"/>
              </w:rPr>
              <w:t>,</w:t>
            </w:r>
            <w:r w:rsidRPr="00301B34">
              <w:rPr>
                <w:rFonts w:ascii="Arial" w:hAnsi="Arial" w:cs="Arial"/>
                <w:b/>
                <w:bCs/>
                <w:sz w:val="20"/>
                <w:szCs w:val="20"/>
              </w:rPr>
              <w:t>340</w:t>
            </w:r>
          </w:p>
        </w:tc>
        <w:tc>
          <w:tcPr>
            <w:tcW w:w="1131" w:type="dxa"/>
          </w:tcPr>
          <w:p w:rsidR="7CE11028" w:rsidP="7CE11028" w14:paraId="675E648A" w14:textId="5450C244">
            <w:pPr>
              <w:pStyle w:val="BodyTextIndent"/>
              <w:ind w:left="0"/>
              <w:rPr>
                <w:rFonts w:ascii="Arial" w:hAnsi="Arial" w:cs="Arial"/>
                <w:b/>
                <w:bCs/>
                <w:sz w:val="20"/>
                <w:szCs w:val="20"/>
              </w:rPr>
            </w:pPr>
          </w:p>
        </w:tc>
        <w:tc>
          <w:tcPr>
            <w:tcW w:w="1389" w:type="dxa"/>
          </w:tcPr>
          <w:p w:rsidR="7CE11028" w:rsidP="31B19EA9" w14:paraId="5640B4C7" w14:textId="0F8511A0">
            <w:pPr>
              <w:pStyle w:val="BodyTextIndent"/>
              <w:ind w:left="0"/>
              <w:rPr>
                <w:rFonts w:ascii="Arial" w:eastAsia="Arial" w:hAnsi="Arial" w:cs="Arial"/>
                <w:b/>
                <w:bCs/>
                <w:sz w:val="20"/>
                <w:szCs w:val="20"/>
              </w:rPr>
            </w:pPr>
            <w:r w:rsidRPr="31B19EA9">
              <w:rPr>
                <w:rFonts w:ascii="Arial" w:hAnsi="Arial" w:cs="Arial"/>
                <w:b/>
                <w:bCs/>
                <w:sz w:val="20"/>
                <w:szCs w:val="20"/>
              </w:rPr>
              <w:t>$</w:t>
            </w:r>
            <w:r w:rsidRPr="31B19EA9" w:rsidR="1C02615A">
              <w:rPr>
                <w:rFonts w:ascii="Arial" w:eastAsia="Arial" w:hAnsi="Arial" w:cs="Arial"/>
                <w:b/>
                <w:bCs/>
                <w:sz w:val="20"/>
                <w:szCs w:val="20"/>
              </w:rPr>
              <w:t>4,</w:t>
            </w:r>
            <w:r w:rsidRPr="31B19EA9" w:rsidR="48F8E967">
              <w:rPr>
                <w:rFonts w:ascii="Arial" w:eastAsia="Arial" w:hAnsi="Arial" w:cs="Arial"/>
                <w:b/>
                <w:bCs/>
                <w:sz w:val="20"/>
                <w:szCs w:val="20"/>
              </w:rPr>
              <w:t>629</w:t>
            </w:r>
            <w:r w:rsidRPr="31B19EA9" w:rsidR="1C02615A">
              <w:rPr>
                <w:rFonts w:ascii="Arial" w:eastAsia="Arial" w:hAnsi="Arial" w:cs="Arial"/>
                <w:b/>
                <w:bCs/>
                <w:sz w:val="20"/>
                <w:szCs w:val="20"/>
              </w:rPr>
              <w:t>,5</w:t>
            </w:r>
            <w:r w:rsidRPr="31B19EA9" w:rsidR="74C81FF1">
              <w:rPr>
                <w:rFonts w:ascii="Arial" w:eastAsia="Arial" w:hAnsi="Arial" w:cs="Arial"/>
                <w:b/>
                <w:bCs/>
                <w:sz w:val="20"/>
                <w:szCs w:val="20"/>
              </w:rPr>
              <w:t>4</w:t>
            </w:r>
            <w:r w:rsidRPr="31B19EA9" w:rsidR="1C02615A">
              <w:rPr>
                <w:rFonts w:ascii="Arial" w:eastAsia="Arial" w:hAnsi="Arial" w:cs="Arial"/>
                <w:b/>
                <w:bCs/>
                <w:sz w:val="20"/>
                <w:szCs w:val="20"/>
              </w:rPr>
              <w:t>0</w:t>
            </w:r>
          </w:p>
        </w:tc>
      </w:tr>
    </w:tbl>
    <w:p w:rsidR="7CE11028" w:rsidP="7CE11028" w14:paraId="3336D043" w14:textId="396F5534">
      <w:pPr>
        <w:pStyle w:val="BodyTextIndent"/>
        <w:tabs>
          <w:tab w:val="left" w:pos="540"/>
          <w:tab w:val="left" w:pos="810"/>
        </w:tabs>
        <w:ind w:left="540" w:hanging="540"/>
        <w:rPr>
          <w:rFonts w:ascii="Arial" w:hAnsi="Arial" w:cs="Arial"/>
        </w:rPr>
      </w:pPr>
    </w:p>
    <w:p w:rsidR="00CF7C3E" w:rsidP="00CF7C3E" w14:paraId="4A071911" w14:textId="701C2937">
      <w:pPr>
        <w:pStyle w:val="BodyTextIndent"/>
        <w:tabs>
          <w:tab w:val="left" w:pos="90"/>
          <w:tab w:val="left" w:pos="810"/>
        </w:tabs>
        <w:ind w:left="0" w:firstLine="360"/>
        <w:rPr>
          <w:rFonts w:ascii="Arial" w:hAnsi="Arial" w:cs="Arial"/>
        </w:rPr>
      </w:pPr>
      <w:r>
        <w:rPr>
          <w:rFonts w:ascii="Arial" w:hAnsi="Arial" w:cs="Arial"/>
        </w:rPr>
        <w:tab/>
        <w:t xml:space="preserve">For purposes of the present information collection request submission, the annualized burden over the next three years is estimated below (taking the average of the two tables above, given that each </w:t>
      </w:r>
      <w:r w:rsidR="00301B34">
        <w:rPr>
          <w:rFonts w:ascii="Arial" w:hAnsi="Arial" w:cs="Arial"/>
        </w:rPr>
        <w:t xml:space="preserve">will </w:t>
      </w:r>
      <w:r>
        <w:rPr>
          <w:rFonts w:ascii="Arial" w:hAnsi="Arial" w:cs="Arial"/>
        </w:rPr>
        <w:t>cover</w:t>
      </w:r>
      <w:r w:rsidR="00301B34">
        <w:rPr>
          <w:rFonts w:ascii="Arial" w:hAnsi="Arial" w:cs="Arial"/>
        </w:rPr>
        <w:t xml:space="preserve"> approximately</w:t>
      </w:r>
      <w:r>
        <w:rPr>
          <w:rFonts w:ascii="Arial" w:hAnsi="Arial" w:cs="Arial"/>
        </w:rPr>
        <w:t xml:space="preserve"> 18 of the following 36 months).</w:t>
      </w:r>
    </w:p>
    <w:p w:rsidR="00CF7C3E" w:rsidP="7CE11028" w14:paraId="3F355E94" w14:textId="77777777">
      <w:pPr>
        <w:pStyle w:val="BodyTextIndent"/>
        <w:tabs>
          <w:tab w:val="left" w:pos="540"/>
          <w:tab w:val="left" w:pos="810"/>
        </w:tabs>
        <w:ind w:left="540" w:hanging="540"/>
        <w:rPr>
          <w:rFonts w:ascii="Arial" w:hAnsi="Arial" w:cs="Arial"/>
        </w:rPr>
      </w:pPr>
    </w:p>
    <w:tbl>
      <w:tblPr>
        <w:tblStyle w:val="TableGrid"/>
        <w:tblW w:w="10324" w:type="dxa"/>
        <w:tblInd w:w="-5" w:type="dxa"/>
        <w:tblLayout w:type="fixed"/>
        <w:tblLook w:val="06A0"/>
      </w:tblPr>
      <w:tblGrid>
        <w:gridCol w:w="1655"/>
        <w:gridCol w:w="903"/>
        <w:gridCol w:w="1672"/>
        <w:gridCol w:w="1260"/>
        <w:gridCol w:w="1350"/>
        <w:gridCol w:w="990"/>
        <w:gridCol w:w="1087"/>
        <w:gridCol w:w="1407"/>
      </w:tblGrid>
      <w:tr w14:paraId="6A8AB701" w14:textId="77777777" w:rsidTr="00500AED">
        <w:tblPrEx>
          <w:tblW w:w="10324" w:type="dxa"/>
          <w:tblInd w:w="-5" w:type="dxa"/>
          <w:tblLayout w:type="fixed"/>
          <w:tblLook w:val="06A0"/>
        </w:tblPrEx>
        <w:trPr>
          <w:trHeight w:val="422"/>
        </w:trPr>
        <w:tc>
          <w:tcPr>
            <w:tcW w:w="10324" w:type="dxa"/>
            <w:gridSpan w:val="8"/>
          </w:tcPr>
          <w:p w:rsidR="00CF7C3E" w:rsidRPr="00A4063D" w:rsidP="00500AED" w14:paraId="0CA6800A" w14:textId="1F31BF10">
            <w:pPr>
              <w:pStyle w:val="BodyTextIndent"/>
              <w:widowControl/>
              <w:jc w:val="center"/>
              <w:rPr>
                <w:rFonts w:ascii="Calibri" w:hAnsi="Calibri" w:cs="Calibri"/>
              </w:rPr>
            </w:pPr>
            <w:r w:rsidRPr="00A4063D">
              <w:rPr>
                <w:rFonts w:ascii="Arial" w:hAnsi="Arial" w:cs="Arial"/>
                <w:b/>
                <w:bCs/>
              </w:rPr>
              <w:tab/>
            </w:r>
            <w:r w:rsidRPr="00A4063D">
              <w:rPr>
                <w:rFonts w:ascii="Calibri" w:hAnsi="Calibri" w:cs="Calibri"/>
              </w:rPr>
              <w:t>Estimated Annual</w:t>
            </w:r>
            <w:r>
              <w:rPr>
                <w:rFonts w:ascii="Calibri" w:hAnsi="Calibri" w:cs="Calibri"/>
              </w:rPr>
              <w:t>ized</w:t>
            </w:r>
            <w:r w:rsidRPr="00A4063D">
              <w:rPr>
                <w:rFonts w:ascii="Calibri" w:hAnsi="Calibri" w:cs="Calibri"/>
              </w:rPr>
              <w:t xml:space="preserve"> </w:t>
            </w:r>
            <w:r>
              <w:rPr>
                <w:rFonts w:ascii="Calibri" w:hAnsi="Calibri" w:cs="Calibri"/>
              </w:rPr>
              <w:t xml:space="preserve">Average </w:t>
            </w:r>
            <w:r w:rsidRPr="00A4063D">
              <w:rPr>
                <w:rFonts w:ascii="Calibri" w:hAnsi="Calibri" w:cs="Calibri"/>
              </w:rPr>
              <w:t xml:space="preserve">Reporting Burden </w:t>
            </w:r>
            <w:r>
              <w:rPr>
                <w:rFonts w:ascii="Calibri" w:hAnsi="Calibri" w:cs="Calibri"/>
              </w:rPr>
              <w:t>Over the Next Three Years</w:t>
            </w:r>
          </w:p>
        </w:tc>
      </w:tr>
      <w:tr w14:paraId="1A09F212" w14:textId="77777777" w:rsidTr="00500AED">
        <w:tblPrEx>
          <w:tblW w:w="10324" w:type="dxa"/>
          <w:tblInd w:w="-5" w:type="dxa"/>
          <w:tblLayout w:type="fixed"/>
          <w:tblLook w:val="06A0"/>
        </w:tblPrEx>
        <w:trPr>
          <w:trHeight w:val="1385"/>
        </w:trPr>
        <w:tc>
          <w:tcPr>
            <w:tcW w:w="1655" w:type="dxa"/>
          </w:tcPr>
          <w:p w:rsidR="00CF7C3E" w:rsidP="00500AED" w14:paraId="669B841E" w14:textId="77777777">
            <w:pPr>
              <w:pStyle w:val="BodyTextIndent"/>
              <w:ind w:left="0"/>
              <w:jc w:val="center"/>
              <w:rPr>
                <w:rFonts w:ascii="Arial" w:hAnsi="Arial" w:cs="Arial"/>
                <w:b/>
                <w:bCs/>
                <w:sz w:val="20"/>
                <w:szCs w:val="20"/>
              </w:rPr>
            </w:pPr>
            <w:r w:rsidRPr="5B01F674">
              <w:rPr>
                <w:rFonts w:ascii="Arial" w:hAnsi="Arial" w:cs="Arial"/>
                <w:b/>
                <w:bCs/>
                <w:sz w:val="20"/>
                <w:szCs w:val="20"/>
              </w:rPr>
              <w:t>Type of Collection</w:t>
            </w:r>
          </w:p>
        </w:tc>
        <w:tc>
          <w:tcPr>
            <w:tcW w:w="903" w:type="dxa"/>
          </w:tcPr>
          <w:p w:rsidR="00CF7C3E" w:rsidP="00500AED" w14:paraId="77285C2B" w14:textId="77777777">
            <w:pPr>
              <w:pStyle w:val="BodyTextIndent"/>
              <w:ind w:left="0"/>
              <w:jc w:val="center"/>
              <w:rPr>
                <w:rFonts w:ascii="Arial" w:hAnsi="Arial" w:cs="Arial"/>
                <w:b/>
                <w:bCs/>
                <w:sz w:val="20"/>
                <w:szCs w:val="20"/>
              </w:rPr>
            </w:pPr>
            <w:r w:rsidRPr="5B01F674">
              <w:rPr>
                <w:rFonts w:ascii="Arial" w:hAnsi="Arial" w:cs="Arial"/>
                <w:b/>
                <w:bCs/>
                <w:sz w:val="20"/>
                <w:szCs w:val="20"/>
              </w:rPr>
              <w:t>No. Of Respondents</w:t>
            </w:r>
          </w:p>
        </w:tc>
        <w:tc>
          <w:tcPr>
            <w:tcW w:w="1672" w:type="dxa"/>
          </w:tcPr>
          <w:p w:rsidR="00CF7C3E" w:rsidP="00500AED" w14:paraId="6264E5B0" w14:textId="77777777">
            <w:pPr>
              <w:pStyle w:val="BodyTextIndent"/>
              <w:ind w:left="0"/>
              <w:jc w:val="center"/>
              <w:rPr>
                <w:rFonts w:ascii="Arial" w:hAnsi="Arial" w:cs="Arial"/>
                <w:b/>
                <w:bCs/>
                <w:sz w:val="20"/>
                <w:szCs w:val="20"/>
              </w:rPr>
            </w:pPr>
            <w:r w:rsidRPr="5B01F674">
              <w:rPr>
                <w:rFonts w:ascii="Arial" w:hAnsi="Arial" w:cs="Arial"/>
                <w:b/>
                <w:bCs/>
                <w:sz w:val="20"/>
                <w:szCs w:val="20"/>
              </w:rPr>
              <w:t>Annual Response</w:t>
            </w:r>
            <w:r>
              <w:rPr>
                <w:rFonts w:ascii="Arial" w:hAnsi="Arial" w:cs="Arial"/>
                <w:b/>
                <w:bCs/>
                <w:sz w:val="20"/>
                <w:szCs w:val="20"/>
              </w:rPr>
              <w:t>s per Respondent</w:t>
            </w:r>
          </w:p>
        </w:tc>
        <w:tc>
          <w:tcPr>
            <w:tcW w:w="1260" w:type="dxa"/>
          </w:tcPr>
          <w:p w:rsidR="00CF7C3E" w:rsidP="00500AED" w14:paraId="53CC8BBE" w14:textId="77777777">
            <w:pPr>
              <w:pStyle w:val="BodyTextIndent"/>
              <w:ind w:left="0"/>
              <w:jc w:val="center"/>
              <w:rPr>
                <w:rFonts w:ascii="Arial" w:hAnsi="Arial" w:cs="Arial"/>
                <w:b/>
                <w:bCs/>
                <w:sz w:val="20"/>
                <w:szCs w:val="20"/>
              </w:rPr>
            </w:pPr>
            <w:r w:rsidRPr="5B01F674">
              <w:rPr>
                <w:rFonts w:ascii="Arial" w:hAnsi="Arial" w:cs="Arial"/>
                <w:b/>
                <w:bCs/>
                <w:sz w:val="20"/>
                <w:szCs w:val="20"/>
              </w:rPr>
              <w:t>Hours per Response</w:t>
            </w:r>
          </w:p>
        </w:tc>
        <w:tc>
          <w:tcPr>
            <w:tcW w:w="1350" w:type="dxa"/>
          </w:tcPr>
          <w:p w:rsidR="00CF7C3E" w:rsidRPr="5B01F674" w:rsidP="00500AED" w14:paraId="6919ED0F" w14:textId="77777777">
            <w:pPr>
              <w:pStyle w:val="BodyTextIndent"/>
              <w:ind w:left="0"/>
              <w:jc w:val="center"/>
              <w:rPr>
                <w:rFonts w:ascii="Arial" w:hAnsi="Arial" w:cs="Arial"/>
                <w:b/>
                <w:bCs/>
                <w:sz w:val="20"/>
                <w:szCs w:val="20"/>
              </w:rPr>
            </w:pPr>
            <w:r>
              <w:rPr>
                <w:rFonts w:ascii="Arial" w:hAnsi="Arial" w:cs="Arial"/>
                <w:b/>
                <w:bCs/>
                <w:sz w:val="20"/>
                <w:szCs w:val="20"/>
              </w:rPr>
              <w:t>Total Annual Responses</w:t>
            </w:r>
          </w:p>
        </w:tc>
        <w:tc>
          <w:tcPr>
            <w:tcW w:w="990" w:type="dxa"/>
          </w:tcPr>
          <w:p w:rsidR="00CF7C3E" w:rsidP="00500AED" w14:paraId="22A84E04" w14:textId="77777777">
            <w:pPr>
              <w:pStyle w:val="BodyTextIndent"/>
              <w:ind w:left="0"/>
              <w:jc w:val="center"/>
              <w:rPr>
                <w:rFonts w:ascii="Arial" w:hAnsi="Arial" w:cs="Arial"/>
                <w:b/>
                <w:bCs/>
                <w:sz w:val="20"/>
                <w:szCs w:val="20"/>
              </w:rPr>
            </w:pPr>
            <w:r w:rsidRPr="5B01F674">
              <w:rPr>
                <w:rFonts w:ascii="Arial" w:hAnsi="Arial" w:cs="Arial"/>
                <w:b/>
                <w:bCs/>
                <w:sz w:val="20"/>
                <w:szCs w:val="20"/>
              </w:rPr>
              <w:t>Total Annual Hours</w:t>
            </w:r>
          </w:p>
        </w:tc>
        <w:tc>
          <w:tcPr>
            <w:tcW w:w="1087" w:type="dxa"/>
          </w:tcPr>
          <w:p w:rsidR="00CF7C3E" w:rsidP="00500AED" w14:paraId="2DC5A2B5" w14:textId="77777777">
            <w:pPr>
              <w:pStyle w:val="BodyTextIndent"/>
              <w:ind w:left="0"/>
              <w:jc w:val="center"/>
              <w:rPr>
                <w:rFonts w:ascii="Arial" w:hAnsi="Arial" w:cs="Arial"/>
                <w:b/>
                <w:bCs/>
                <w:sz w:val="20"/>
                <w:szCs w:val="20"/>
              </w:rPr>
            </w:pPr>
            <w:r w:rsidRPr="5B01F674">
              <w:rPr>
                <w:rFonts w:ascii="Arial" w:hAnsi="Arial" w:cs="Arial"/>
                <w:b/>
                <w:bCs/>
                <w:sz w:val="20"/>
                <w:szCs w:val="20"/>
              </w:rPr>
              <w:t>Average Hourly Wage Rate</w:t>
            </w:r>
          </w:p>
        </w:tc>
        <w:tc>
          <w:tcPr>
            <w:tcW w:w="1407" w:type="dxa"/>
          </w:tcPr>
          <w:p w:rsidR="00CF7C3E" w:rsidP="00500AED" w14:paraId="11FFB686" w14:textId="77777777">
            <w:pPr>
              <w:pStyle w:val="BodyTextIndent"/>
              <w:ind w:left="0"/>
              <w:jc w:val="center"/>
              <w:rPr>
                <w:rFonts w:ascii="Arial" w:hAnsi="Arial" w:cs="Arial"/>
                <w:b/>
                <w:bCs/>
                <w:sz w:val="20"/>
                <w:szCs w:val="20"/>
              </w:rPr>
            </w:pPr>
            <w:r w:rsidRPr="5B01F674">
              <w:rPr>
                <w:rFonts w:ascii="Arial" w:hAnsi="Arial" w:cs="Arial"/>
                <w:b/>
                <w:bCs/>
                <w:sz w:val="20"/>
                <w:szCs w:val="20"/>
              </w:rPr>
              <w:t xml:space="preserve">Total Annual Respondent </w:t>
            </w:r>
            <w:r>
              <w:rPr>
                <w:rFonts w:ascii="Arial" w:hAnsi="Arial" w:cs="Arial"/>
                <w:b/>
                <w:bCs/>
                <w:sz w:val="20"/>
                <w:szCs w:val="20"/>
              </w:rPr>
              <w:t xml:space="preserve">Labor </w:t>
            </w:r>
            <w:r w:rsidRPr="5B01F674">
              <w:rPr>
                <w:rFonts w:ascii="Arial" w:hAnsi="Arial" w:cs="Arial"/>
                <w:b/>
                <w:bCs/>
                <w:sz w:val="20"/>
                <w:szCs w:val="20"/>
              </w:rPr>
              <w:t xml:space="preserve">Cost </w:t>
            </w:r>
          </w:p>
        </w:tc>
      </w:tr>
      <w:tr w14:paraId="08CEF139" w14:textId="77777777" w:rsidTr="00500AED">
        <w:tblPrEx>
          <w:tblW w:w="10324" w:type="dxa"/>
          <w:tblInd w:w="-5" w:type="dxa"/>
          <w:tblLayout w:type="fixed"/>
          <w:tblLook w:val="06A0"/>
        </w:tblPrEx>
        <w:trPr>
          <w:trHeight w:val="517"/>
        </w:trPr>
        <w:tc>
          <w:tcPr>
            <w:tcW w:w="1655" w:type="dxa"/>
          </w:tcPr>
          <w:p w:rsidR="00CF7C3E" w:rsidP="00500AED" w14:paraId="0A9869A5" w14:textId="77777777">
            <w:pPr>
              <w:pStyle w:val="BodyTextIndent"/>
              <w:ind w:left="0"/>
              <w:rPr>
                <w:rFonts w:ascii="Arial" w:hAnsi="Arial" w:cs="Arial"/>
                <w:sz w:val="20"/>
                <w:szCs w:val="20"/>
              </w:rPr>
            </w:pPr>
            <w:r w:rsidRPr="5B01F674">
              <w:rPr>
                <w:rFonts w:ascii="Arial" w:hAnsi="Arial" w:cs="Arial"/>
                <w:sz w:val="20"/>
                <w:szCs w:val="20"/>
              </w:rPr>
              <w:t>Electronic Data Submission</w:t>
            </w:r>
          </w:p>
        </w:tc>
        <w:tc>
          <w:tcPr>
            <w:tcW w:w="903" w:type="dxa"/>
          </w:tcPr>
          <w:p w:rsidR="00CF7C3E" w:rsidP="00500AED" w14:paraId="14198EE6" w14:textId="4A9E4FC6">
            <w:pPr>
              <w:pStyle w:val="BodyTextIndent"/>
              <w:ind w:left="0"/>
              <w:rPr>
                <w:rFonts w:ascii="Arial" w:hAnsi="Arial" w:cs="Arial"/>
                <w:sz w:val="20"/>
                <w:szCs w:val="20"/>
              </w:rPr>
            </w:pPr>
            <w:r>
              <w:rPr>
                <w:rFonts w:ascii="Arial" w:hAnsi="Arial" w:cs="Arial"/>
                <w:sz w:val="20"/>
                <w:szCs w:val="20"/>
              </w:rPr>
              <w:t>28</w:t>
            </w:r>
          </w:p>
        </w:tc>
        <w:tc>
          <w:tcPr>
            <w:tcW w:w="1672" w:type="dxa"/>
          </w:tcPr>
          <w:p w:rsidR="00CF7C3E" w:rsidP="00500AED" w14:paraId="338BCA9F" w14:textId="77777777">
            <w:pPr>
              <w:pStyle w:val="BodyTextIndent"/>
              <w:ind w:left="0"/>
              <w:rPr>
                <w:rFonts w:ascii="Arial" w:hAnsi="Arial" w:cs="Arial"/>
                <w:sz w:val="20"/>
                <w:szCs w:val="20"/>
              </w:rPr>
            </w:pPr>
            <w:r w:rsidRPr="5B01F674">
              <w:rPr>
                <w:rFonts w:ascii="Arial" w:hAnsi="Arial" w:cs="Arial"/>
                <w:sz w:val="20"/>
                <w:szCs w:val="20"/>
              </w:rPr>
              <w:t>252</w:t>
            </w:r>
          </w:p>
        </w:tc>
        <w:tc>
          <w:tcPr>
            <w:tcW w:w="1260" w:type="dxa"/>
          </w:tcPr>
          <w:p w:rsidR="00CF7C3E" w:rsidP="00500AED" w14:paraId="14E91107" w14:textId="77777777">
            <w:pPr>
              <w:pStyle w:val="BodyTextIndent"/>
              <w:ind w:left="0"/>
              <w:rPr>
                <w:rFonts w:ascii="Arial" w:hAnsi="Arial" w:cs="Arial"/>
                <w:sz w:val="20"/>
                <w:szCs w:val="20"/>
              </w:rPr>
            </w:pPr>
            <w:r w:rsidRPr="5B01F674">
              <w:rPr>
                <w:rFonts w:ascii="Arial" w:hAnsi="Arial" w:cs="Arial"/>
                <w:sz w:val="20"/>
                <w:szCs w:val="20"/>
              </w:rPr>
              <w:t>3</w:t>
            </w:r>
          </w:p>
        </w:tc>
        <w:tc>
          <w:tcPr>
            <w:tcW w:w="1350" w:type="dxa"/>
          </w:tcPr>
          <w:p w:rsidR="00CF7C3E" w:rsidRPr="5B01F674" w:rsidP="00500AED" w14:paraId="4C3EF629" w14:textId="0FE4637C">
            <w:pPr>
              <w:pStyle w:val="BodyTextIndent"/>
              <w:ind w:left="0"/>
              <w:rPr>
                <w:rFonts w:ascii="Arial" w:hAnsi="Arial" w:cs="Arial"/>
                <w:sz w:val="20"/>
                <w:szCs w:val="20"/>
              </w:rPr>
            </w:pPr>
            <w:r>
              <w:rPr>
                <w:rFonts w:ascii="Arial" w:hAnsi="Arial" w:cs="Arial"/>
                <w:sz w:val="20"/>
                <w:szCs w:val="20"/>
              </w:rPr>
              <w:t>7</w:t>
            </w:r>
            <w:r>
              <w:rPr>
                <w:rFonts w:ascii="Arial" w:hAnsi="Arial" w:cs="Arial"/>
                <w:sz w:val="20"/>
                <w:szCs w:val="20"/>
              </w:rPr>
              <w:t>,</w:t>
            </w:r>
            <w:r>
              <w:rPr>
                <w:rFonts w:ascii="Arial" w:hAnsi="Arial" w:cs="Arial"/>
                <w:sz w:val="20"/>
                <w:szCs w:val="20"/>
              </w:rPr>
              <w:t>056</w:t>
            </w:r>
          </w:p>
        </w:tc>
        <w:tc>
          <w:tcPr>
            <w:tcW w:w="990" w:type="dxa"/>
          </w:tcPr>
          <w:p w:rsidR="00CF7C3E" w:rsidP="00500AED" w14:paraId="26765AB6" w14:textId="6836C91F">
            <w:pPr>
              <w:pStyle w:val="BodyTextIndent"/>
              <w:ind w:left="0"/>
              <w:rPr>
                <w:rFonts w:ascii="Arial" w:hAnsi="Arial" w:cs="Arial"/>
                <w:sz w:val="20"/>
                <w:szCs w:val="20"/>
              </w:rPr>
            </w:pPr>
            <w:r>
              <w:rPr>
                <w:rFonts w:ascii="Arial" w:hAnsi="Arial" w:cs="Arial"/>
                <w:sz w:val="20"/>
                <w:szCs w:val="20"/>
              </w:rPr>
              <w:t>21,168</w:t>
            </w:r>
          </w:p>
        </w:tc>
        <w:tc>
          <w:tcPr>
            <w:tcW w:w="1087" w:type="dxa"/>
          </w:tcPr>
          <w:p w:rsidR="00CF7C3E" w:rsidP="00500AED" w14:paraId="2582CD76" w14:textId="77777777">
            <w:pPr>
              <w:pStyle w:val="BodyTextIndent"/>
              <w:ind w:left="0"/>
              <w:rPr>
                <w:rFonts w:ascii="Arial" w:hAnsi="Arial" w:cs="Arial"/>
                <w:sz w:val="20"/>
                <w:szCs w:val="20"/>
              </w:rPr>
            </w:pPr>
            <w:r w:rsidRPr="31B19EA9">
              <w:rPr>
                <w:rFonts w:ascii="Arial" w:hAnsi="Arial" w:cs="Arial"/>
                <w:sz w:val="20"/>
                <w:szCs w:val="20"/>
              </w:rPr>
              <w:t>$131</w:t>
            </w:r>
          </w:p>
        </w:tc>
        <w:tc>
          <w:tcPr>
            <w:tcW w:w="1407" w:type="dxa"/>
          </w:tcPr>
          <w:p w:rsidR="00CF7C3E" w:rsidP="00500AED" w14:paraId="2610FD70" w14:textId="0D020616">
            <w:pPr>
              <w:pStyle w:val="BodyTextIndent"/>
              <w:ind w:left="0"/>
              <w:rPr>
                <w:rFonts w:ascii="Arial" w:eastAsia="Arial" w:hAnsi="Arial" w:cs="Arial"/>
                <w:color w:val="881798"/>
                <w:sz w:val="20"/>
                <w:szCs w:val="20"/>
              </w:rPr>
            </w:pPr>
            <w:r w:rsidRPr="31B19EA9">
              <w:rPr>
                <w:rFonts w:ascii="Arial" w:hAnsi="Arial" w:cs="Arial"/>
                <w:sz w:val="20"/>
                <w:szCs w:val="20"/>
              </w:rPr>
              <w:t>$</w:t>
            </w:r>
            <w:r w:rsidR="00301B34">
              <w:rPr>
                <w:rFonts w:ascii="Arial" w:hAnsi="Arial" w:cs="Arial"/>
                <w:sz w:val="20"/>
                <w:szCs w:val="20"/>
              </w:rPr>
              <w:t>2</w:t>
            </w:r>
            <w:r w:rsidRPr="0077484F">
              <w:rPr>
                <w:rFonts w:ascii="Arial" w:hAnsi="Arial" w:cs="Arial"/>
                <w:sz w:val="20"/>
                <w:szCs w:val="20"/>
              </w:rPr>
              <w:t>,</w:t>
            </w:r>
            <w:r w:rsidR="00301B34">
              <w:rPr>
                <w:rFonts w:ascii="Arial" w:hAnsi="Arial" w:cs="Arial"/>
                <w:sz w:val="20"/>
                <w:szCs w:val="20"/>
              </w:rPr>
              <w:t>773</w:t>
            </w:r>
            <w:r w:rsidRPr="0077484F">
              <w:rPr>
                <w:rFonts w:ascii="Arial" w:hAnsi="Arial" w:cs="Arial"/>
                <w:sz w:val="20"/>
                <w:szCs w:val="20"/>
              </w:rPr>
              <w:t>,</w:t>
            </w:r>
            <w:r w:rsidR="00301B34">
              <w:rPr>
                <w:rFonts w:ascii="Arial" w:hAnsi="Arial" w:cs="Arial"/>
                <w:sz w:val="20"/>
                <w:szCs w:val="20"/>
              </w:rPr>
              <w:t>008</w:t>
            </w:r>
          </w:p>
          <w:p w:rsidR="00CF7C3E" w:rsidP="00500AED" w14:paraId="74D775CB" w14:textId="77777777">
            <w:pPr>
              <w:pStyle w:val="BodyTextIndent"/>
              <w:ind w:left="0"/>
              <w:rPr>
                <w:rFonts w:ascii="Arial" w:hAnsi="Arial" w:cs="Arial"/>
              </w:rPr>
            </w:pPr>
          </w:p>
        </w:tc>
      </w:tr>
      <w:tr w14:paraId="0AC4CC3A" w14:textId="77777777" w:rsidTr="00500AED">
        <w:tblPrEx>
          <w:tblW w:w="10324" w:type="dxa"/>
          <w:tblInd w:w="-5" w:type="dxa"/>
          <w:tblLayout w:type="fixed"/>
          <w:tblLook w:val="06A0"/>
        </w:tblPrEx>
        <w:trPr>
          <w:trHeight w:val="456"/>
        </w:trPr>
        <w:tc>
          <w:tcPr>
            <w:tcW w:w="1655" w:type="dxa"/>
          </w:tcPr>
          <w:p w:rsidR="00CF7C3E" w:rsidP="00500AED" w14:paraId="0608D095" w14:textId="77777777">
            <w:pPr>
              <w:pStyle w:val="BodyTextIndent"/>
              <w:ind w:left="0"/>
              <w:rPr>
                <w:rFonts w:ascii="Arial" w:hAnsi="Arial" w:cs="Arial"/>
                <w:sz w:val="20"/>
                <w:szCs w:val="20"/>
              </w:rPr>
            </w:pPr>
            <w:r w:rsidRPr="5B01F674">
              <w:rPr>
                <w:rFonts w:ascii="Arial" w:hAnsi="Arial" w:cs="Arial"/>
                <w:sz w:val="20"/>
                <w:szCs w:val="20"/>
              </w:rPr>
              <w:t>Assessment of Need to Report</w:t>
            </w:r>
          </w:p>
        </w:tc>
        <w:tc>
          <w:tcPr>
            <w:tcW w:w="903" w:type="dxa"/>
          </w:tcPr>
          <w:p w:rsidR="00CF7C3E" w:rsidP="00500AED" w14:paraId="1B369270" w14:textId="77777777">
            <w:pPr>
              <w:pStyle w:val="BodyTextIndent"/>
              <w:ind w:left="0"/>
              <w:rPr>
                <w:rFonts w:ascii="Arial" w:hAnsi="Arial" w:cs="Arial"/>
                <w:sz w:val="20"/>
                <w:szCs w:val="20"/>
              </w:rPr>
            </w:pPr>
            <w:r w:rsidRPr="5B01F674">
              <w:rPr>
                <w:rFonts w:ascii="Arial" w:hAnsi="Arial" w:cs="Arial"/>
                <w:sz w:val="20"/>
                <w:szCs w:val="20"/>
              </w:rPr>
              <w:t>2,000</w:t>
            </w:r>
          </w:p>
        </w:tc>
        <w:tc>
          <w:tcPr>
            <w:tcW w:w="1672" w:type="dxa"/>
          </w:tcPr>
          <w:p w:rsidR="00CF7C3E" w:rsidP="00500AED" w14:paraId="179C8FE8" w14:textId="77777777">
            <w:pPr>
              <w:pStyle w:val="BodyTextIndent"/>
              <w:ind w:left="0"/>
              <w:rPr>
                <w:rFonts w:ascii="Arial" w:hAnsi="Arial" w:cs="Arial"/>
                <w:sz w:val="20"/>
                <w:szCs w:val="20"/>
              </w:rPr>
            </w:pPr>
            <w:r w:rsidRPr="5B01F674">
              <w:rPr>
                <w:rFonts w:ascii="Arial" w:hAnsi="Arial" w:cs="Arial"/>
                <w:sz w:val="20"/>
                <w:szCs w:val="20"/>
              </w:rPr>
              <w:t>4</w:t>
            </w:r>
          </w:p>
        </w:tc>
        <w:tc>
          <w:tcPr>
            <w:tcW w:w="1260" w:type="dxa"/>
          </w:tcPr>
          <w:p w:rsidR="00CF7C3E" w:rsidP="00500AED" w14:paraId="6C497A1D" w14:textId="77777777">
            <w:pPr>
              <w:pStyle w:val="BodyTextIndent"/>
              <w:ind w:left="0"/>
              <w:rPr>
                <w:rFonts w:ascii="Arial" w:hAnsi="Arial" w:cs="Arial"/>
                <w:sz w:val="20"/>
                <w:szCs w:val="20"/>
              </w:rPr>
            </w:pPr>
            <w:r w:rsidRPr="5B01F674">
              <w:rPr>
                <w:rFonts w:ascii="Arial" w:hAnsi="Arial" w:cs="Arial"/>
                <w:sz w:val="20"/>
                <w:szCs w:val="20"/>
              </w:rPr>
              <w:t>3</w:t>
            </w:r>
          </w:p>
        </w:tc>
        <w:tc>
          <w:tcPr>
            <w:tcW w:w="1350" w:type="dxa"/>
          </w:tcPr>
          <w:p w:rsidR="00CF7C3E" w:rsidRPr="5B01F674" w:rsidP="00500AED" w14:paraId="59DEABA3" w14:textId="77777777">
            <w:pPr>
              <w:pStyle w:val="BodyTextIndent"/>
              <w:ind w:left="0"/>
              <w:rPr>
                <w:rFonts w:ascii="Arial" w:hAnsi="Arial" w:cs="Arial"/>
                <w:sz w:val="20"/>
                <w:szCs w:val="20"/>
              </w:rPr>
            </w:pPr>
            <w:r>
              <w:rPr>
                <w:rFonts w:ascii="Arial" w:hAnsi="Arial" w:cs="Arial"/>
                <w:sz w:val="20"/>
                <w:szCs w:val="20"/>
              </w:rPr>
              <w:t>8,000</w:t>
            </w:r>
          </w:p>
        </w:tc>
        <w:tc>
          <w:tcPr>
            <w:tcW w:w="990" w:type="dxa"/>
          </w:tcPr>
          <w:p w:rsidR="00CF7C3E" w:rsidP="00500AED" w14:paraId="4E6B64DB" w14:textId="77777777">
            <w:pPr>
              <w:pStyle w:val="BodyTextIndent"/>
              <w:ind w:left="0"/>
              <w:rPr>
                <w:rFonts w:ascii="Arial" w:hAnsi="Arial" w:cs="Arial"/>
                <w:sz w:val="20"/>
                <w:szCs w:val="20"/>
              </w:rPr>
            </w:pPr>
            <w:r w:rsidRPr="5B01F674">
              <w:rPr>
                <w:rFonts w:ascii="Arial" w:hAnsi="Arial" w:cs="Arial"/>
                <w:sz w:val="20"/>
                <w:szCs w:val="20"/>
              </w:rPr>
              <w:t>24,000</w:t>
            </w:r>
          </w:p>
        </w:tc>
        <w:tc>
          <w:tcPr>
            <w:tcW w:w="1087" w:type="dxa"/>
          </w:tcPr>
          <w:p w:rsidR="00CF7C3E" w:rsidP="00500AED" w14:paraId="0908FAD5" w14:textId="77777777">
            <w:pPr>
              <w:pStyle w:val="BodyTextIndent"/>
              <w:ind w:left="0"/>
              <w:rPr>
                <w:rFonts w:ascii="Arial" w:hAnsi="Arial" w:cs="Arial"/>
                <w:sz w:val="20"/>
                <w:szCs w:val="20"/>
              </w:rPr>
            </w:pPr>
            <w:r w:rsidRPr="31B19EA9">
              <w:rPr>
                <w:rFonts w:ascii="Arial" w:hAnsi="Arial" w:cs="Arial"/>
                <w:sz w:val="20"/>
                <w:szCs w:val="20"/>
              </w:rPr>
              <w:t>$131</w:t>
            </w:r>
          </w:p>
        </w:tc>
        <w:tc>
          <w:tcPr>
            <w:tcW w:w="1407" w:type="dxa"/>
          </w:tcPr>
          <w:p w:rsidR="00CF7C3E" w:rsidP="00500AED" w14:paraId="388B659E" w14:textId="77777777">
            <w:pPr>
              <w:pStyle w:val="BodyTextIndent"/>
              <w:ind w:left="0"/>
              <w:rPr>
                <w:rFonts w:ascii="Arial" w:hAnsi="Arial" w:cs="Arial"/>
                <w:sz w:val="20"/>
                <w:szCs w:val="20"/>
              </w:rPr>
            </w:pPr>
            <w:r w:rsidRPr="31B19EA9">
              <w:rPr>
                <w:rFonts w:ascii="Arial" w:hAnsi="Arial" w:cs="Arial"/>
                <w:sz w:val="20"/>
                <w:szCs w:val="20"/>
              </w:rPr>
              <w:t>$3,144,000</w:t>
            </w:r>
          </w:p>
          <w:p w:rsidR="00CF7C3E" w:rsidP="00500AED" w14:paraId="56C626A1" w14:textId="77777777">
            <w:pPr>
              <w:pStyle w:val="BodyTextIndent"/>
              <w:ind w:left="0"/>
              <w:rPr>
                <w:rFonts w:ascii="Arial" w:hAnsi="Arial" w:cs="Arial"/>
                <w:sz w:val="20"/>
                <w:szCs w:val="20"/>
              </w:rPr>
            </w:pPr>
          </w:p>
        </w:tc>
      </w:tr>
      <w:tr w14:paraId="7759FF1C" w14:textId="77777777" w:rsidTr="00500AED">
        <w:tblPrEx>
          <w:tblW w:w="10324" w:type="dxa"/>
          <w:tblInd w:w="-5" w:type="dxa"/>
          <w:tblLayout w:type="fixed"/>
          <w:tblLook w:val="06A0"/>
        </w:tblPrEx>
        <w:trPr>
          <w:trHeight w:val="304"/>
        </w:trPr>
        <w:tc>
          <w:tcPr>
            <w:tcW w:w="1655" w:type="dxa"/>
          </w:tcPr>
          <w:p w:rsidR="00CF7C3E" w:rsidP="00500AED" w14:paraId="3ADB8977" w14:textId="77777777">
            <w:pPr>
              <w:pStyle w:val="BodyTextIndent"/>
              <w:ind w:left="0"/>
              <w:rPr>
                <w:rFonts w:ascii="Arial" w:hAnsi="Arial" w:cs="Arial"/>
                <w:b/>
                <w:bCs/>
                <w:sz w:val="20"/>
                <w:szCs w:val="20"/>
              </w:rPr>
            </w:pPr>
            <w:r w:rsidRPr="5B01F674">
              <w:rPr>
                <w:rFonts w:ascii="Arial" w:hAnsi="Arial" w:cs="Arial"/>
                <w:b/>
                <w:bCs/>
                <w:sz w:val="20"/>
                <w:szCs w:val="20"/>
              </w:rPr>
              <w:t>Total</w:t>
            </w:r>
          </w:p>
        </w:tc>
        <w:tc>
          <w:tcPr>
            <w:tcW w:w="903" w:type="dxa"/>
          </w:tcPr>
          <w:p w:rsidR="00CF7C3E" w:rsidP="00500AED" w14:paraId="13355D25" w14:textId="77777777">
            <w:pPr>
              <w:pStyle w:val="BodyTextIndent"/>
              <w:ind w:left="0"/>
              <w:rPr>
                <w:rFonts w:ascii="Arial" w:hAnsi="Arial" w:cs="Arial"/>
                <w:b/>
                <w:bCs/>
                <w:sz w:val="20"/>
                <w:szCs w:val="20"/>
              </w:rPr>
            </w:pPr>
          </w:p>
        </w:tc>
        <w:tc>
          <w:tcPr>
            <w:tcW w:w="1672" w:type="dxa"/>
          </w:tcPr>
          <w:p w:rsidR="00CF7C3E" w:rsidP="00500AED" w14:paraId="01430FCA" w14:textId="77777777">
            <w:pPr>
              <w:pStyle w:val="BodyTextIndent"/>
              <w:ind w:left="0"/>
              <w:rPr>
                <w:rFonts w:ascii="Arial" w:hAnsi="Arial" w:cs="Arial"/>
                <w:b/>
                <w:bCs/>
                <w:sz w:val="20"/>
                <w:szCs w:val="20"/>
              </w:rPr>
            </w:pPr>
          </w:p>
        </w:tc>
        <w:tc>
          <w:tcPr>
            <w:tcW w:w="1260" w:type="dxa"/>
          </w:tcPr>
          <w:p w:rsidR="00CF7C3E" w:rsidP="00500AED" w14:paraId="04C16678" w14:textId="77777777">
            <w:pPr>
              <w:pStyle w:val="BodyTextIndent"/>
              <w:ind w:left="0"/>
              <w:rPr>
                <w:rFonts w:ascii="Arial" w:hAnsi="Arial" w:cs="Arial"/>
                <w:b/>
                <w:bCs/>
                <w:sz w:val="20"/>
                <w:szCs w:val="20"/>
              </w:rPr>
            </w:pPr>
          </w:p>
        </w:tc>
        <w:tc>
          <w:tcPr>
            <w:tcW w:w="1350" w:type="dxa"/>
          </w:tcPr>
          <w:p w:rsidR="00CF7C3E" w:rsidRPr="5B01F674" w:rsidP="00500AED" w14:paraId="0A84B1E9" w14:textId="4EE28F88">
            <w:pPr>
              <w:pStyle w:val="BodyTextIndent"/>
              <w:ind w:left="0"/>
              <w:rPr>
                <w:rFonts w:ascii="Arial" w:hAnsi="Arial" w:cs="Arial"/>
                <w:b/>
                <w:bCs/>
                <w:sz w:val="20"/>
                <w:szCs w:val="20"/>
              </w:rPr>
            </w:pPr>
            <w:r w:rsidRPr="00301B34">
              <w:rPr>
                <w:rFonts w:ascii="Arial" w:hAnsi="Arial" w:cs="Arial"/>
                <w:b/>
                <w:bCs/>
                <w:sz w:val="20"/>
                <w:szCs w:val="20"/>
              </w:rPr>
              <w:t>15</w:t>
            </w:r>
            <w:r>
              <w:rPr>
                <w:rFonts w:ascii="Arial" w:hAnsi="Arial" w:cs="Arial"/>
                <w:b/>
                <w:bCs/>
                <w:sz w:val="20"/>
                <w:szCs w:val="20"/>
              </w:rPr>
              <w:t>,</w:t>
            </w:r>
            <w:r w:rsidRPr="00301B34">
              <w:rPr>
                <w:rFonts w:ascii="Arial" w:hAnsi="Arial" w:cs="Arial"/>
                <w:b/>
                <w:bCs/>
                <w:sz w:val="20"/>
                <w:szCs w:val="20"/>
              </w:rPr>
              <w:t>056</w:t>
            </w:r>
          </w:p>
        </w:tc>
        <w:tc>
          <w:tcPr>
            <w:tcW w:w="990" w:type="dxa"/>
          </w:tcPr>
          <w:p w:rsidR="00CF7C3E" w:rsidP="00500AED" w14:paraId="1FA9EBFB" w14:textId="13096548">
            <w:pPr>
              <w:pStyle w:val="BodyTextIndent"/>
              <w:ind w:left="0"/>
              <w:rPr>
                <w:rFonts w:ascii="Arial" w:hAnsi="Arial" w:cs="Arial"/>
                <w:b/>
                <w:bCs/>
                <w:sz w:val="20"/>
                <w:szCs w:val="20"/>
              </w:rPr>
            </w:pPr>
            <w:r w:rsidRPr="00301B34">
              <w:rPr>
                <w:rFonts w:ascii="Arial" w:hAnsi="Arial" w:cs="Arial"/>
                <w:b/>
                <w:bCs/>
                <w:sz w:val="20"/>
                <w:szCs w:val="20"/>
              </w:rPr>
              <w:t>45</w:t>
            </w:r>
            <w:r>
              <w:rPr>
                <w:rFonts w:ascii="Arial" w:hAnsi="Arial" w:cs="Arial"/>
                <w:b/>
                <w:bCs/>
                <w:sz w:val="20"/>
                <w:szCs w:val="20"/>
              </w:rPr>
              <w:t>,</w:t>
            </w:r>
            <w:r w:rsidRPr="00301B34">
              <w:rPr>
                <w:rFonts w:ascii="Arial" w:hAnsi="Arial" w:cs="Arial"/>
                <w:b/>
                <w:bCs/>
                <w:sz w:val="20"/>
                <w:szCs w:val="20"/>
              </w:rPr>
              <w:t>168</w:t>
            </w:r>
          </w:p>
        </w:tc>
        <w:tc>
          <w:tcPr>
            <w:tcW w:w="1087" w:type="dxa"/>
          </w:tcPr>
          <w:p w:rsidR="00CF7C3E" w:rsidP="00500AED" w14:paraId="54CEB675" w14:textId="77777777">
            <w:pPr>
              <w:pStyle w:val="BodyTextIndent"/>
              <w:ind w:left="0"/>
              <w:rPr>
                <w:rFonts w:ascii="Arial" w:hAnsi="Arial" w:cs="Arial"/>
                <w:b/>
                <w:bCs/>
                <w:sz w:val="20"/>
                <w:szCs w:val="20"/>
              </w:rPr>
            </w:pPr>
          </w:p>
        </w:tc>
        <w:tc>
          <w:tcPr>
            <w:tcW w:w="1407" w:type="dxa"/>
          </w:tcPr>
          <w:p w:rsidR="00CF7C3E" w:rsidP="00500AED" w14:paraId="193A945A" w14:textId="04504731">
            <w:pPr>
              <w:pStyle w:val="BodyTextIndent"/>
              <w:ind w:left="0"/>
              <w:rPr>
                <w:rFonts w:ascii="Arial" w:hAnsi="Arial" w:cs="Arial"/>
                <w:b/>
                <w:bCs/>
                <w:sz w:val="20"/>
                <w:szCs w:val="20"/>
              </w:rPr>
            </w:pPr>
            <w:r w:rsidRPr="31B19EA9">
              <w:rPr>
                <w:rFonts w:ascii="Arial" w:hAnsi="Arial" w:cs="Arial"/>
                <w:b/>
                <w:bCs/>
                <w:sz w:val="20"/>
                <w:szCs w:val="20"/>
              </w:rPr>
              <w:t>$</w:t>
            </w:r>
            <w:r w:rsidR="00301B34">
              <w:rPr>
                <w:rFonts w:ascii="Arial" w:hAnsi="Arial" w:cs="Arial"/>
                <w:b/>
                <w:bCs/>
                <w:sz w:val="20"/>
                <w:szCs w:val="20"/>
              </w:rPr>
              <w:t>5</w:t>
            </w:r>
            <w:r w:rsidRPr="31B19EA9">
              <w:rPr>
                <w:rFonts w:ascii="Arial" w:hAnsi="Arial" w:cs="Arial"/>
                <w:b/>
                <w:bCs/>
                <w:sz w:val="20"/>
                <w:szCs w:val="20"/>
              </w:rPr>
              <w:t>,</w:t>
            </w:r>
            <w:r w:rsidR="00301B34">
              <w:rPr>
                <w:rFonts w:ascii="Arial" w:hAnsi="Arial" w:cs="Arial"/>
                <w:b/>
                <w:bCs/>
                <w:sz w:val="20"/>
                <w:szCs w:val="20"/>
              </w:rPr>
              <w:t>917</w:t>
            </w:r>
            <w:r w:rsidRPr="31B19EA9">
              <w:rPr>
                <w:rFonts w:ascii="Arial" w:hAnsi="Arial" w:cs="Arial"/>
                <w:b/>
                <w:bCs/>
                <w:sz w:val="20"/>
                <w:szCs w:val="20"/>
              </w:rPr>
              <w:t>,</w:t>
            </w:r>
            <w:r w:rsidR="00301B34">
              <w:rPr>
                <w:rFonts w:ascii="Arial" w:hAnsi="Arial" w:cs="Arial"/>
                <w:b/>
                <w:bCs/>
                <w:sz w:val="20"/>
                <w:szCs w:val="20"/>
              </w:rPr>
              <w:t>008</w:t>
            </w:r>
          </w:p>
        </w:tc>
      </w:tr>
    </w:tbl>
    <w:p w:rsidR="00CF7C3E" w:rsidP="7CE11028" w14:paraId="7B83DC47" w14:textId="77777777">
      <w:pPr>
        <w:pStyle w:val="BodyTextIndent"/>
        <w:tabs>
          <w:tab w:val="left" w:pos="540"/>
          <w:tab w:val="left" w:pos="810"/>
        </w:tabs>
        <w:ind w:left="540" w:hanging="540"/>
        <w:rPr>
          <w:rFonts w:ascii="Arial" w:hAnsi="Arial" w:cs="Arial"/>
        </w:rPr>
      </w:pPr>
    </w:p>
    <w:p w:rsidR="00F8418A" w:rsidP="00F8418A" w14:paraId="4E21DE37" w14:textId="77777777">
      <w:pPr>
        <w:pStyle w:val="BodyTextIndent"/>
        <w:numPr>
          <w:ilvl w:val="0"/>
          <w:numId w:val="11"/>
        </w:numPr>
        <w:tabs>
          <w:tab w:val="clear" w:pos="0"/>
          <w:tab w:val="clear" w:pos="360"/>
          <w:tab w:val="left" w:pos="540"/>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ind w:left="540" w:hanging="540"/>
        <w:rPr>
          <w:rFonts w:ascii="Arial" w:hAnsi="Arial" w:cs="Arial"/>
          <w:b/>
          <w:bCs/>
          <w:sz w:val="22"/>
          <w:szCs w:val="22"/>
        </w:rPr>
      </w:pPr>
      <w:r>
        <w:rPr>
          <w:rFonts w:ascii="Arial" w:hAnsi="Arial" w:cs="Arial"/>
          <w:b/>
          <w:bCs/>
          <w:sz w:val="22"/>
          <w:szCs w:val="22"/>
        </w:rPr>
        <w:t>Annual Cost to Respondents.</w:t>
      </w:r>
    </w:p>
    <w:p w:rsidR="003A3552" w:rsidP="004837A6" w14:paraId="219DA2F9" w14:textId="77777777">
      <w:pPr>
        <w:spacing w:line="259" w:lineRule="auto"/>
        <w:rPr>
          <w:rFonts w:ascii="Arial" w:hAnsi="Arial" w:cs="Arial"/>
          <w:sz w:val="22"/>
          <w:szCs w:val="22"/>
        </w:rPr>
      </w:pPr>
    </w:p>
    <w:p w:rsidR="00B80A16" w:rsidP="004837A6" w14:paraId="70D35E8A" w14:textId="6D7AF889">
      <w:pPr>
        <w:spacing w:line="259" w:lineRule="auto"/>
        <w:rPr>
          <w:rFonts w:ascii="Arial" w:hAnsi="Arial" w:cs="Arial"/>
          <w:sz w:val="22"/>
          <w:szCs w:val="22"/>
        </w:rPr>
      </w:pPr>
      <w:r w:rsidRPr="31B19EA9">
        <w:rPr>
          <w:rFonts w:ascii="Arial" w:hAnsi="Arial" w:cs="Arial"/>
          <w:sz w:val="22"/>
          <w:szCs w:val="22"/>
        </w:rPr>
        <w:t>In addition to the reporting costs outlined above, each covered reporter must also obtain and maintain a Legal Entity Identifier, which typically costs $6</w:t>
      </w:r>
      <w:r w:rsidRPr="31B19EA9" w:rsidR="71BB97E1">
        <w:rPr>
          <w:rFonts w:ascii="Arial" w:hAnsi="Arial" w:cs="Arial"/>
          <w:sz w:val="22"/>
          <w:szCs w:val="22"/>
        </w:rPr>
        <w:t>0</w:t>
      </w:r>
      <w:r w:rsidRPr="31B19EA9" w:rsidR="47ECD054">
        <w:rPr>
          <w:rFonts w:ascii="Arial" w:hAnsi="Arial" w:cs="Arial"/>
          <w:sz w:val="22"/>
          <w:szCs w:val="22"/>
        </w:rPr>
        <w:t xml:space="preserve"> to initially obtain</w:t>
      </w:r>
      <w:r w:rsidRPr="31B19EA9">
        <w:rPr>
          <w:rFonts w:ascii="Arial" w:hAnsi="Arial" w:cs="Arial"/>
          <w:sz w:val="22"/>
          <w:szCs w:val="22"/>
        </w:rPr>
        <w:t>, and then $</w:t>
      </w:r>
      <w:r w:rsidRPr="31B19EA9" w:rsidR="0768032B">
        <w:rPr>
          <w:rFonts w:ascii="Arial" w:hAnsi="Arial" w:cs="Arial"/>
          <w:sz w:val="22"/>
          <w:szCs w:val="22"/>
        </w:rPr>
        <w:t>4</w:t>
      </w:r>
      <w:r w:rsidRPr="31B19EA9">
        <w:rPr>
          <w:rFonts w:ascii="Arial" w:hAnsi="Arial" w:cs="Arial"/>
          <w:sz w:val="22"/>
          <w:szCs w:val="22"/>
        </w:rPr>
        <w:t xml:space="preserve">0 </w:t>
      </w:r>
      <w:r w:rsidRPr="31B19EA9">
        <w:rPr>
          <w:rFonts w:ascii="Arial" w:hAnsi="Arial" w:cs="Arial"/>
          <w:sz w:val="22"/>
          <w:szCs w:val="22"/>
        </w:rPr>
        <w:t>annually</w:t>
      </w:r>
      <w:r w:rsidRPr="31B19EA9" w:rsidR="36BBA012">
        <w:rPr>
          <w:rFonts w:ascii="Arial" w:hAnsi="Arial" w:cs="Arial"/>
          <w:sz w:val="22"/>
          <w:szCs w:val="22"/>
        </w:rPr>
        <w:t xml:space="preserve"> to maintain</w:t>
      </w:r>
      <w:r w:rsidRPr="31B19EA9">
        <w:rPr>
          <w:rFonts w:ascii="Arial" w:hAnsi="Arial" w:cs="Arial"/>
          <w:sz w:val="22"/>
          <w:szCs w:val="22"/>
        </w:rPr>
        <w:t>. Using these assumptions, the Office estimates the recurring operational costs for the submissions under this collection to be $</w:t>
      </w:r>
      <w:r w:rsidRPr="31B19EA9" w:rsidR="5787B830">
        <w:rPr>
          <w:rFonts w:ascii="Arial" w:hAnsi="Arial" w:cs="Arial"/>
          <w:sz w:val="22"/>
          <w:szCs w:val="22"/>
        </w:rPr>
        <w:t>99</w:t>
      </w:r>
      <w:r w:rsidRPr="31B19EA9" w:rsidR="6620026D">
        <w:rPr>
          <w:rFonts w:ascii="Arial" w:hAnsi="Arial" w:cs="Arial"/>
          <w:sz w:val="22"/>
          <w:szCs w:val="22"/>
        </w:rPr>
        <w:t>,</w:t>
      </w:r>
      <w:r w:rsidRPr="31B19EA9" w:rsidR="2FD14065">
        <w:rPr>
          <w:rFonts w:ascii="Arial" w:hAnsi="Arial" w:cs="Arial"/>
          <w:sz w:val="22"/>
          <w:szCs w:val="22"/>
        </w:rPr>
        <w:t>076</w:t>
      </w:r>
      <w:r w:rsidRPr="31B19EA9">
        <w:rPr>
          <w:rFonts w:ascii="Arial" w:hAnsi="Arial" w:cs="Arial"/>
          <w:sz w:val="22"/>
          <w:szCs w:val="22"/>
        </w:rPr>
        <w:t xml:space="preserve"> annually for each covered reporter and the total estimated annual costs for </w:t>
      </w:r>
      <w:r w:rsidRPr="31B19EA9" w:rsidR="225D831C">
        <w:rPr>
          <w:rFonts w:ascii="Arial" w:hAnsi="Arial" w:cs="Arial"/>
          <w:sz w:val="22"/>
          <w:szCs w:val="22"/>
        </w:rPr>
        <w:t>the</w:t>
      </w:r>
      <w:r w:rsidRPr="31B19EA9">
        <w:rPr>
          <w:rFonts w:ascii="Arial" w:hAnsi="Arial" w:cs="Arial"/>
          <w:sz w:val="22"/>
          <w:szCs w:val="22"/>
        </w:rPr>
        <w:t xml:space="preserve"> </w:t>
      </w:r>
      <w:r w:rsidRPr="31B19EA9" w:rsidR="12FB012D">
        <w:rPr>
          <w:rFonts w:ascii="Arial" w:hAnsi="Arial" w:cs="Arial"/>
          <w:sz w:val="22"/>
          <w:szCs w:val="22"/>
        </w:rPr>
        <w:t>40</w:t>
      </w:r>
      <w:r w:rsidRPr="31B19EA9">
        <w:rPr>
          <w:rFonts w:ascii="Arial" w:hAnsi="Arial" w:cs="Arial"/>
          <w:sz w:val="22"/>
          <w:szCs w:val="22"/>
        </w:rPr>
        <w:t xml:space="preserve"> expected covered reporters is $</w:t>
      </w:r>
      <w:r w:rsidRPr="31B19EA9" w:rsidR="79D72FFC">
        <w:rPr>
          <w:rFonts w:ascii="Arial" w:hAnsi="Arial" w:cs="Arial"/>
          <w:sz w:val="22"/>
          <w:szCs w:val="22"/>
        </w:rPr>
        <w:t>3,96</w:t>
      </w:r>
      <w:r w:rsidRPr="31B19EA9" w:rsidR="4EDDC29A">
        <w:rPr>
          <w:rFonts w:ascii="Arial" w:hAnsi="Arial" w:cs="Arial"/>
          <w:sz w:val="22"/>
          <w:szCs w:val="22"/>
        </w:rPr>
        <w:t>3</w:t>
      </w:r>
      <w:r w:rsidRPr="31B19EA9" w:rsidR="79D72FFC">
        <w:rPr>
          <w:rFonts w:ascii="Arial" w:hAnsi="Arial" w:cs="Arial"/>
          <w:sz w:val="22"/>
          <w:szCs w:val="22"/>
        </w:rPr>
        <w:t>,</w:t>
      </w:r>
      <w:r w:rsidRPr="31B19EA9" w:rsidR="1FD74D48">
        <w:rPr>
          <w:rFonts w:ascii="Arial" w:hAnsi="Arial" w:cs="Arial"/>
          <w:sz w:val="22"/>
          <w:szCs w:val="22"/>
        </w:rPr>
        <w:t>0</w:t>
      </w:r>
      <w:r w:rsidRPr="31B19EA9" w:rsidR="79D72FFC">
        <w:rPr>
          <w:rFonts w:ascii="Arial" w:hAnsi="Arial" w:cs="Arial"/>
          <w:sz w:val="22"/>
          <w:szCs w:val="22"/>
        </w:rPr>
        <w:t>40</w:t>
      </w:r>
      <w:r w:rsidRPr="31B19EA9" w:rsidR="2E7F4FDC">
        <w:rPr>
          <w:rFonts w:ascii="Arial" w:hAnsi="Arial" w:cs="Arial"/>
          <w:sz w:val="22"/>
          <w:szCs w:val="22"/>
        </w:rPr>
        <w:t xml:space="preserve"> prior to </w:t>
      </w:r>
      <w:r w:rsidRPr="31B19EA9" w:rsidR="4A10734A">
        <w:rPr>
          <w:rFonts w:ascii="Arial" w:hAnsi="Arial" w:cs="Arial"/>
          <w:sz w:val="22"/>
          <w:szCs w:val="22"/>
        </w:rPr>
        <w:t>after the implementation of the SEC Clearing Rule</w:t>
      </w:r>
      <w:r w:rsidRPr="31B19EA9" w:rsidR="2E7F4FDC">
        <w:rPr>
          <w:rFonts w:ascii="Arial" w:hAnsi="Arial" w:cs="Arial"/>
          <w:sz w:val="22"/>
          <w:szCs w:val="22"/>
        </w:rPr>
        <w:t xml:space="preserve"> and is $1,</w:t>
      </w:r>
      <w:r w:rsidRPr="31B19EA9" w:rsidR="4111CA3A">
        <w:rPr>
          <w:rFonts w:ascii="Arial" w:hAnsi="Arial" w:cs="Arial"/>
          <w:sz w:val="22"/>
          <w:szCs w:val="22"/>
        </w:rPr>
        <w:t>486</w:t>
      </w:r>
      <w:r w:rsidRPr="31B19EA9" w:rsidR="2E7F4FDC">
        <w:rPr>
          <w:rFonts w:ascii="Arial" w:hAnsi="Arial" w:cs="Arial"/>
          <w:sz w:val="22"/>
          <w:szCs w:val="22"/>
        </w:rPr>
        <w:t>,</w:t>
      </w:r>
      <w:r w:rsidRPr="31B19EA9" w:rsidR="713F7600">
        <w:rPr>
          <w:rFonts w:ascii="Arial" w:hAnsi="Arial" w:cs="Arial"/>
          <w:sz w:val="22"/>
          <w:szCs w:val="22"/>
        </w:rPr>
        <w:t>14</w:t>
      </w:r>
      <w:r w:rsidRPr="31B19EA9" w:rsidR="2E7F4FDC">
        <w:rPr>
          <w:rFonts w:ascii="Arial" w:hAnsi="Arial" w:cs="Arial"/>
          <w:sz w:val="22"/>
          <w:szCs w:val="22"/>
        </w:rPr>
        <w:t xml:space="preserve">0 for the 15 reporters expected following </w:t>
      </w:r>
      <w:r w:rsidRPr="31B19EA9" w:rsidR="319A28BE">
        <w:rPr>
          <w:rFonts w:ascii="Arial" w:hAnsi="Arial" w:cs="Arial"/>
          <w:sz w:val="22"/>
          <w:szCs w:val="22"/>
        </w:rPr>
        <w:t xml:space="preserve">implementation of the </w:t>
      </w:r>
      <w:r w:rsidRPr="31B19EA9" w:rsidR="7B34EA2F">
        <w:rPr>
          <w:rFonts w:ascii="Arial" w:hAnsi="Arial" w:cs="Arial"/>
          <w:sz w:val="22"/>
          <w:szCs w:val="22"/>
        </w:rPr>
        <w:t>Rule</w:t>
      </w:r>
      <w:r w:rsidRPr="31B19EA9">
        <w:rPr>
          <w:rFonts w:ascii="Arial" w:hAnsi="Arial" w:cs="Arial"/>
          <w:sz w:val="22"/>
          <w:szCs w:val="22"/>
        </w:rPr>
        <w:t>.</w:t>
      </w:r>
    </w:p>
    <w:p w:rsidR="003A3552" w:rsidRPr="004837A6" w:rsidP="004837A6" w14:paraId="5D171160" w14:textId="77777777">
      <w:pPr>
        <w:spacing w:line="259" w:lineRule="auto"/>
        <w:rPr>
          <w:rFonts w:ascii="Arial" w:hAnsi="Arial" w:cs="Arial"/>
          <w:sz w:val="22"/>
          <w:szCs w:val="22"/>
        </w:rPr>
      </w:pPr>
    </w:p>
    <w:p w:rsidR="00B80A16" w:rsidRPr="004837A6" w:rsidP="004837A6" w14:paraId="1F7F75DD" w14:textId="38C9A6CD">
      <w:pPr>
        <w:spacing w:line="259" w:lineRule="auto"/>
        <w:rPr>
          <w:rFonts w:ascii="Arial" w:hAnsi="Arial" w:cs="Arial"/>
          <w:sz w:val="22"/>
          <w:szCs w:val="22"/>
        </w:rPr>
      </w:pPr>
      <w:r w:rsidRPr="31B19EA9">
        <w:rPr>
          <w:rFonts w:ascii="Arial" w:hAnsi="Arial" w:cs="Arial"/>
          <w:sz w:val="22"/>
          <w:szCs w:val="22"/>
        </w:rPr>
        <w:t>The Office also estimates that approximately 2,000 financial firms would need to determine whether they are covered reporters on a quarterly basis. The Office estimates this would take 3 hours per quarter. The total estimated annual cost for these 2,000 financial firms is $3,</w:t>
      </w:r>
      <w:r w:rsidRPr="31B19EA9" w:rsidR="52D1454B">
        <w:rPr>
          <w:rFonts w:ascii="Arial" w:hAnsi="Arial" w:cs="Arial"/>
          <w:sz w:val="22"/>
          <w:szCs w:val="22"/>
        </w:rPr>
        <w:t>144</w:t>
      </w:r>
      <w:r w:rsidRPr="31B19EA9" w:rsidR="337723B6">
        <w:rPr>
          <w:rFonts w:ascii="Arial" w:hAnsi="Arial" w:cs="Arial"/>
          <w:sz w:val="22"/>
          <w:szCs w:val="22"/>
        </w:rPr>
        <w:t>,000</w:t>
      </w:r>
      <w:r w:rsidRPr="31B19EA9">
        <w:rPr>
          <w:rFonts w:ascii="Arial" w:hAnsi="Arial" w:cs="Arial"/>
          <w:sz w:val="22"/>
          <w:szCs w:val="22"/>
        </w:rPr>
        <w:t>. Combining the costs of the 40 covered reporters and the 2,000 financial firms, the total recurring annual cost of the data collection is estimated at $</w:t>
      </w:r>
      <w:r w:rsidRPr="31B19EA9" w:rsidR="3A8CDEDB">
        <w:rPr>
          <w:rFonts w:ascii="Arial" w:hAnsi="Arial" w:cs="Arial"/>
          <w:sz w:val="22"/>
          <w:szCs w:val="22"/>
        </w:rPr>
        <w:t>7,</w:t>
      </w:r>
      <w:r w:rsidRPr="31B19EA9" w:rsidR="4ED7A1A9">
        <w:rPr>
          <w:rFonts w:ascii="Arial" w:hAnsi="Arial" w:cs="Arial"/>
          <w:sz w:val="22"/>
          <w:szCs w:val="22"/>
        </w:rPr>
        <w:t>107</w:t>
      </w:r>
      <w:r w:rsidRPr="31B19EA9" w:rsidR="3A8CDEDB">
        <w:rPr>
          <w:rFonts w:ascii="Arial" w:hAnsi="Arial" w:cs="Arial"/>
          <w:sz w:val="22"/>
          <w:szCs w:val="22"/>
        </w:rPr>
        <w:t>,</w:t>
      </w:r>
      <w:r w:rsidRPr="31B19EA9" w:rsidR="5501C20A">
        <w:rPr>
          <w:rFonts w:ascii="Arial" w:hAnsi="Arial" w:cs="Arial"/>
          <w:sz w:val="22"/>
          <w:szCs w:val="22"/>
        </w:rPr>
        <w:t>04</w:t>
      </w:r>
      <w:r w:rsidRPr="31B19EA9" w:rsidR="3A8CDEDB">
        <w:rPr>
          <w:rFonts w:ascii="Arial" w:hAnsi="Arial" w:cs="Arial"/>
          <w:sz w:val="22"/>
          <w:szCs w:val="22"/>
        </w:rPr>
        <w:t>0</w:t>
      </w:r>
      <w:r w:rsidRPr="31B19EA9" w:rsidR="358A41B3">
        <w:rPr>
          <w:rFonts w:ascii="Arial" w:hAnsi="Arial" w:cs="Arial"/>
          <w:sz w:val="22"/>
          <w:szCs w:val="22"/>
        </w:rPr>
        <w:t xml:space="preserve"> prior to </w:t>
      </w:r>
      <w:r w:rsidRPr="31B19EA9" w:rsidR="70EADEC4">
        <w:rPr>
          <w:rFonts w:ascii="Arial" w:hAnsi="Arial" w:cs="Arial"/>
          <w:sz w:val="22"/>
          <w:szCs w:val="22"/>
        </w:rPr>
        <w:t>after the implementation of the SEC Clearing Rule</w:t>
      </w:r>
      <w:r w:rsidRPr="31B19EA9" w:rsidR="358A41B3">
        <w:rPr>
          <w:rFonts w:ascii="Arial" w:hAnsi="Arial" w:cs="Arial"/>
          <w:sz w:val="22"/>
          <w:szCs w:val="22"/>
        </w:rPr>
        <w:t xml:space="preserve"> and is </w:t>
      </w:r>
      <w:r w:rsidRPr="31B19EA9" w:rsidR="25943836">
        <w:rPr>
          <w:rFonts w:ascii="Arial" w:hAnsi="Arial" w:cs="Arial"/>
          <w:sz w:val="22"/>
          <w:szCs w:val="22"/>
        </w:rPr>
        <w:t>$4,</w:t>
      </w:r>
      <w:r w:rsidRPr="31B19EA9" w:rsidR="348F9E6D">
        <w:rPr>
          <w:rFonts w:ascii="Arial" w:hAnsi="Arial" w:cs="Arial"/>
          <w:sz w:val="22"/>
          <w:szCs w:val="22"/>
        </w:rPr>
        <w:t>631</w:t>
      </w:r>
      <w:r w:rsidRPr="31B19EA9" w:rsidR="25943836">
        <w:rPr>
          <w:rFonts w:ascii="Arial" w:hAnsi="Arial" w:cs="Arial"/>
          <w:sz w:val="22"/>
          <w:szCs w:val="22"/>
        </w:rPr>
        <w:t>,</w:t>
      </w:r>
      <w:r w:rsidRPr="31B19EA9" w:rsidR="04C7FF0E">
        <w:rPr>
          <w:rFonts w:ascii="Arial" w:hAnsi="Arial" w:cs="Arial"/>
          <w:sz w:val="22"/>
          <w:szCs w:val="22"/>
        </w:rPr>
        <w:t>14</w:t>
      </w:r>
      <w:r w:rsidRPr="31B19EA9" w:rsidR="25943836">
        <w:rPr>
          <w:rFonts w:ascii="Arial" w:hAnsi="Arial" w:cs="Arial"/>
          <w:sz w:val="22"/>
          <w:szCs w:val="22"/>
        </w:rPr>
        <w:t>0 following implementation of the rule</w:t>
      </w:r>
      <w:r w:rsidRPr="31B19EA9">
        <w:rPr>
          <w:rFonts w:ascii="Arial" w:hAnsi="Arial" w:cs="Arial"/>
          <w:sz w:val="22"/>
          <w:szCs w:val="22"/>
        </w:rPr>
        <w:t xml:space="preserve">. </w:t>
      </w:r>
    </w:p>
    <w:p w:rsidR="00E14F49" w:rsidP="008A1F69" w14:paraId="3470B5E0" w14:textId="77777777">
      <w:pPr>
        <w:spacing w:line="259" w:lineRule="auto"/>
        <w:rPr>
          <w:rFonts w:ascii="Arial" w:hAnsi="Arial" w:cs="Arial"/>
          <w:sz w:val="22"/>
          <w:szCs w:val="22"/>
        </w:rPr>
      </w:pPr>
    </w:p>
    <w:p w:rsidR="0077484F" w:rsidP="008A1F69" w14:paraId="693F84C8" w14:textId="587412BB">
      <w:pPr>
        <w:spacing w:line="259" w:lineRule="auto"/>
        <w:rPr>
          <w:rFonts w:ascii="Arial" w:hAnsi="Arial" w:cs="Arial"/>
          <w:sz w:val="22"/>
          <w:szCs w:val="22"/>
        </w:rPr>
      </w:pPr>
      <w:r w:rsidRPr="31B19EA9">
        <w:rPr>
          <w:rFonts w:ascii="Arial" w:hAnsi="Arial" w:cs="Arial"/>
          <w:sz w:val="22"/>
          <w:szCs w:val="22"/>
        </w:rPr>
        <w:t xml:space="preserve">Finally, the </w:t>
      </w:r>
      <w:r w:rsidRPr="31B19EA9" w:rsidR="47DEDBA6">
        <w:rPr>
          <w:rFonts w:ascii="Arial" w:hAnsi="Arial" w:cs="Arial"/>
          <w:sz w:val="22"/>
          <w:szCs w:val="22"/>
        </w:rPr>
        <w:t>OFR</w:t>
      </w:r>
      <w:r w:rsidRPr="31B19EA9">
        <w:rPr>
          <w:rFonts w:ascii="Arial" w:hAnsi="Arial" w:cs="Arial"/>
          <w:sz w:val="22"/>
          <w:szCs w:val="22"/>
        </w:rPr>
        <w:t xml:space="preserve"> anticipates covered reporters will experience one-time initial start-up costs to account for data management systems and software, operations, </w:t>
      </w:r>
      <w:r w:rsidRPr="31B19EA9" w:rsidR="08FEB687">
        <w:rPr>
          <w:rFonts w:ascii="Arial" w:hAnsi="Arial" w:cs="Arial"/>
          <w:sz w:val="22"/>
          <w:szCs w:val="22"/>
        </w:rPr>
        <w:t xml:space="preserve">and </w:t>
      </w:r>
      <w:r w:rsidRPr="31B19EA9">
        <w:rPr>
          <w:rFonts w:ascii="Arial" w:hAnsi="Arial" w:cs="Arial"/>
          <w:sz w:val="22"/>
          <w:szCs w:val="22"/>
        </w:rPr>
        <w:t xml:space="preserve">alignment of reporting schedules for ease of data transmission. The estimate of these initial costs is </w:t>
      </w:r>
      <w:r w:rsidR="0037501D">
        <w:rPr>
          <w:rFonts w:ascii="Arial" w:hAnsi="Arial" w:cs="Arial"/>
          <w:sz w:val="22"/>
          <w:szCs w:val="22"/>
        </w:rPr>
        <w:t>$65,</w:t>
      </w:r>
      <w:r w:rsidRPr="31B19EA9">
        <w:rPr>
          <w:rFonts w:ascii="Arial" w:hAnsi="Arial" w:cs="Arial"/>
          <w:sz w:val="22"/>
          <w:szCs w:val="22"/>
        </w:rPr>
        <w:t>500 per covered reporte</w:t>
      </w:r>
      <w:r w:rsidRPr="31B19EA9" w:rsidR="063AF95E">
        <w:rPr>
          <w:rFonts w:ascii="Arial" w:hAnsi="Arial" w:cs="Arial"/>
          <w:sz w:val="22"/>
          <w:szCs w:val="22"/>
        </w:rPr>
        <w:t>r</w:t>
      </w:r>
      <w:r w:rsidRPr="31B19EA9" w:rsidR="69ED169E">
        <w:rPr>
          <w:rFonts w:ascii="Arial" w:hAnsi="Arial" w:cs="Arial"/>
          <w:sz w:val="22"/>
          <w:szCs w:val="22"/>
        </w:rPr>
        <w:t>.</w:t>
      </w:r>
      <w:r w:rsidRPr="31B19EA9">
        <w:rPr>
          <w:rFonts w:ascii="Arial" w:hAnsi="Arial" w:cs="Arial"/>
          <w:sz w:val="22"/>
          <w:szCs w:val="22"/>
        </w:rPr>
        <w:t xml:space="preserve"> Because the </w:t>
      </w:r>
      <w:r w:rsidRPr="31B19EA9" w:rsidR="47DEDBA6">
        <w:rPr>
          <w:rFonts w:ascii="Arial" w:hAnsi="Arial" w:cs="Arial"/>
          <w:sz w:val="22"/>
          <w:szCs w:val="22"/>
        </w:rPr>
        <w:t>OFR</w:t>
      </w:r>
      <w:r w:rsidRPr="31B19EA9">
        <w:rPr>
          <w:rFonts w:ascii="Arial" w:hAnsi="Arial" w:cs="Arial"/>
          <w:sz w:val="22"/>
          <w:szCs w:val="22"/>
        </w:rPr>
        <w:t xml:space="preserve"> anticipates 40 covered reporters</w:t>
      </w:r>
      <w:r w:rsidR="000F7F9A">
        <w:rPr>
          <w:rFonts w:ascii="Arial" w:hAnsi="Arial" w:cs="Arial"/>
          <w:sz w:val="22"/>
          <w:szCs w:val="22"/>
        </w:rPr>
        <w:t>,</w:t>
      </w:r>
      <w:r w:rsidRPr="31B19EA9">
        <w:rPr>
          <w:rFonts w:ascii="Arial" w:hAnsi="Arial" w:cs="Arial"/>
          <w:sz w:val="22"/>
          <w:szCs w:val="22"/>
        </w:rPr>
        <w:t xml:space="preserve"> the estimated </w:t>
      </w:r>
      <w:r w:rsidR="00AC026E">
        <w:rPr>
          <w:rFonts w:ascii="Arial" w:hAnsi="Arial" w:cs="Arial"/>
          <w:sz w:val="22"/>
          <w:szCs w:val="22"/>
        </w:rPr>
        <w:t xml:space="preserve">aggregate </w:t>
      </w:r>
      <w:r w:rsidRPr="31B19EA9">
        <w:rPr>
          <w:rFonts w:ascii="Arial" w:hAnsi="Arial" w:cs="Arial"/>
          <w:sz w:val="22"/>
          <w:szCs w:val="22"/>
        </w:rPr>
        <w:t>initial start-up cost of required reporting is $2,</w:t>
      </w:r>
      <w:r w:rsidRPr="31B19EA9" w:rsidR="58B81D28">
        <w:rPr>
          <w:rFonts w:ascii="Arial" w:hAnsi="Arial" w:cs="Arial"/>
          <w:sz w:val="22"/>
          <w:szCs w:val="22"/>
        </w:rPr>
        <w:t>62</w:t>
      </w:r>
      <w:r w:rsidRPr="31B19EA9" w:rsidR="721597BB">
        <w:rPr>
          <w:rFonts w:ascii="Arial" w:hAnsi="Arial" w:cs="Arial"/>
          <w:sz w:val="22"/>
          <w:szCs w:val="22"/>
        </w:rPr>
        <w:t>0</w:t>
      </w:r>
      <w:r w:rsidRPr="31B19EA9">
        <w:rPr>
          <w:rFonts w:ascii="Arial" w:hAnsi="Arial" w:cs="Arial"/>
          <w:sz w:val="22"/>
          <w:szCs w:val="22"/>
        </w:rPr>
        <w:t>,</w:t>
      </w:r>
      <w:r w:rsidRPr="31B19EA9" w:rsidR="3CE9F068">
        <w:rPr>
          <w:rFonts w:ascii="Arial" w:hAnsi="Arial" w:cs="Arial"/>
          <w:sz w:val="22"/>
          <w:szCs w:val="22"/>
        </w:rPr>
        <w:t>0</w:t>
      </w:r>
      <w:r w:rsidRPr="31B19EA9">
        <w:rPr>
          <w:rFonts w:ascii="Arial" w:hAnsi="Arial" w:cs="Arial"/>
          <w:sz w:val="22"/>
          <w:szCs w:val="22"/>
        </w:rPr>
        <w:t>00.</w:t>
      </w:r>
    </w:p>
    <w:p w:rsidR="00301B34" w:rsidP="008A1F69" w14:paraId="4D2D6736" w14:textId="77777777">
      <w:pPr>
        <w:spacing w:line="259" w:lineRule="auto"/>
        <w:rPr>
          <w:rFonts w:ascii="Arial" w:hAnsi="Arial" w:cs="Arial"/>
          <w:sz w:val="22"/>
          <w:szCs w:val="22"/>
        </w:rPr>
      </w:pPr>
    </w:p>
    <w:p w:rsidR="00F8418A" w:rsidP="003A3552" w14:paraId="5B68A290" w14:textId="144FA48B">
      <w:pPr>
        <w:pStyle w:val="BodyTextIndent"/>
        <w:numPr>
          <w:ilvl w:val="0"/>
          <w:numId w:val="11"/>
        </w:numPr>
        <w:tabs>
          <w:tab w:val="clear" w:pos="0"/>
          <w:tab w:val="clear" w:pos="360"/>
          <w:tab w:val="left" w:pos="540"/>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ind w:left="540" w:hanging="540"/>
        <w:rPr>
          <w:rFonts w:ascii="Arial" w:hAnsi="Arial" w:cs="Arial"/>
          <w:b/>
          <w:bCs/>
          <w:sz w:val="22"/>
          <w:szCs w:val="22"/>
        </w:rPr>
      </w:pPr>
      <w:r w:rsidRPr="5B01F674">
        <w:rPr>
          <w:rFonts w:ascii="Arial" w:hAnsi="Arial" w:cs="Arial"/>
          <w:b/>
          <w:bCs/>
          <w:sz w:val="22"/>
          <w:szCs w:val="22"/>
        </w:rPr>
        <w:t>Cost to the Federal Government.</w:t>
      </w:r>
    </w:p>
    <w:p w:rsidR="003A3552" w:rsidRPr="003A3552" w:rsidP="003A3552" w14:paraId="7451040F" w14:textId="77777777">
      <w:pPr>
        <w:pStyle w:val="BodyTextIndent"/>
        <w:tabs>
          <w:tab w:val="clear" w:pos="0"/>
          <w:tab w:val="clear" w:pos="361"/>
          <w:tab w:val="left" w:pos="540"/>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ind w:left="540"/>
        <w:rPr>
          <w:rFonts w:ascii="Arial" w:hAnsi="Arial" w:cs="Arial"/>
          <w:b/>
          <w:bCs/>
          <w:sz w:val="22"/>
          <w:szCs w:val="22"/>
        </w:rPr>
      </w:pPr>
    </w:p>
    <w:p w:rsidR="00B7751A" w:rsidP="003A3552" w14:paraId="7226CB37" w14:textId="00DF3D51">
      <w:pPr>
        <w:spacing w:line="259" w:lineRule="auto"/>
        <w:rPr>
          <w:rFonts w:ascii="Arial" w:hAnsi="Arial" w:cs="Arial"/>
          <w:sz w:val="22"/>
          <w:szCs w:val="22"/>
        </w:rPr>
      </w:pPr>
      <w:r w:rsidRPr="5B01F674">
        <w:rPr>
          <w:rFonts w:ascii="Arial" w:hAnsi="Arial" w:cs="Arial"/>
          <w:sz w:val="22"/>
          <w:szCs w:val="22"/>
        </w:rPr>
        <w:t xml:space="preserve">The </w:t>
      </w:r>
      <w:r w:rsidR="000E1054">
        <w:rPr>
          <w:rFonts w:ascii="Arial" w:hAnsi="Arial" w:cs="Arial"/>
          <w:sz w:val="22"/>
          <w:szCs w:val="22"/>
        </w:rPr>
        <w:t>OFR</w:t>
      </w:r>
      <w:r w:rsidRPr="5B01F674">
        <w:rPr>
          <w:rFonts w:ascii="Arial" w:hAnsi="Arial" w:cs="Arial"/>
          <w:sz w:val="22"/>
          <w:szCs w:val="22"/>
        </w:rPr>
        <w:t xml:space="preserve"> estimates the total startup cost to the Federal government is $994,000</w:t>
      </w:r>
      <w:r w:rsidR="00000D17">
        <w:rPr>
          <w:rFonts w:ascii="Arial" w:hAnsi="Arial" w:cs="Arial"/>
          <w:sz w:val="22"/>
          <w:szCs w:val="22"/>
        </w:rPr>
        <w:t xml:space="preserve">, with an </w:t>
      </w:r>
      <w:r w:rsidRPr="5B01F674">
        <w:rPr>
          <w:rFonts w:ascii="Arial" w:hAnsi="Arial" w:cs="Arial"/>
          <w:sz w:val="22"/>
          <w:szCs w:val="22"/>
        </w:rPr>
        <w:t xml:space="preserve">annual recurring cost </w:t>
      </w:r>
      <w:r w:rsidR="00000D17">
        <w:rPr>
          <w:rFonts w:ascii="Arial" w:hAnsi="Arial" w:cs="Arial"/>
          <w:sz w:val="22"/>
          <w:szCs w:val="22"/>
        </w:rPr>
        <w:t>of</w:t>
      </w:r>
      <w:r w:rsidRPr="5B01F674">
        <w:rPr>
          <w:rFonts w:ascii="Arial" w:hAnsi="Arial" w:cs="Arial"/>
          <w:sz w:val="22"/>
          <w:szCs w:val="22"/>
        </w:rPr>
        <w:t xml:space="preserve"> $460,000</w:t>
      </w:r>
      <w:r w:rsidRPr="5B01F674" w:rsidR="466BBB54">
        <w:rPr>
          <w:rFonts w:ascii="Arial" w:hAnsi="Arial" w:cs="Arial"/>
          <w:sz w:val="22"/>
          <w:szCs w:val="22"/>
        </w:rPr>
        <w:t xml:space="preserve">. This </w:t>
      </w:r>
      <w:r w:rsidR="00FB50CD">
        <w:rPr>
          <w:rFonts w:ascii="Arial" w:hAnsi="Arial" w:cs="Arial"/>
          <w:sz w:val="22"/>
          <w:szCs w:val="22"/>
        </w:rPr>
        <w:t>estimate covers</w:t>
      </w:r>
      <w:r w:rsidRPr="5B01F674" w:rsidR="466BBB54">
        <w:rPr>
          <w:rFonts w:ascii="Arial" w:hAnsi="Arial" w:cs="Arial"/>
          <w:sz w:val="22"/>
          <w:szCs w:val="22"/>
        </w:rPr>
        <w:t xml:space="preserve"> </w:t>
      </w:r>
      <w:r w:rsidR="00000D17">
        <w:rPr>
          <w:rFonts w:ascii="Arial" w:hAnsi="Arial" w:cs="Arial"/>
          <w:sz w:val="22"/>
          <w:szCs w:val="22"/>
        </w:rPr>
        <w:t xml:space="preserve">both labor and nonlabor costs. </w:t>
      </w:r>
      <w:r w:rsidR="00CC744C">
        <w:rPr>
          <w:rFonts w:ascii="Arial" w:hAnsi="Arial" w:cs="Arial"/>
          <w:sz w:val="22"/>
          <w:szCs w:val="22"/>
        </w:rPr>
        <w:t>Over the initial three-year approval for this Information Collection Request, the annualized total is estimated to be $</w:t>
      </w:r>
      <w:r w:rsidR="007E14D2">
        <w:rPr>
          <w:rFonts w:ascii="Arial" w:hAnsi="Arial" w:cs="Arial"/>
          <w:sz w:val="22"/>
          <w:szCs w:val="22"/>
        </w:rPr>
        <w:t>964,</w:t>
      </w:r>
      <w:r w:rsidR="00A60E5C">
        <w:rPr>
          <w:rFonts w:ascii="Arial" w:hAnsi="Arial" w:cs="Arial"/>
          <w:sz w:val="22"/>
          <w:szCs w:val="22"/>
        </w:rPr>
        <w:t>667</w:t>
      </w:r>
      <w:r w:rsidR="00CC744C">
        <w:rPr>
          <w:rFonts w:ascii="Arial" w:hAnsi="Arial" w:cs="Arial"/>
          <w:sz w:val="22"/>
          <w:szCs w:val="22"/>
        </w:rPr>
        <w:t xml:space="preserve"> ($</w:t>
      </w:r>
      <w:r w:rsidR="007C4322">
        <w:rPr>
          <w:rFonts w:ascii="Arial" w:hAnsi="Arial" w:cs="Arial"/>
          <w:sz w:val="22"/>
          <w:szCs w:val="22"/>
        </w:rPr>
        <w:t>1,244,000</w:t>
      </w:r>
      <w:r w:rsidR="00CC744C">
        <w:rPr>
          <w:rFonts w:ascii="Arial" w:hAnsi="Arial" w:cs="Arial"/>
          <w:sz w:val="22"/>
          <w:szCs w:val="22"/>
        </w:rPr>
        <w:t xml:space="preserve"> / 3 + $</w:t>
      </w:r>
      <w:r w:rsidR="008837E4">
        <w:rPr>
          <w:rFonts w:ascii="Arial" w:hAnsi="Arial" w:cs="Arial"/>
          <w:sz w:val="22"/>
          <w:szCs w:val="22"/>
        </w:rPr>
        <w:t>550,000</w:t>
      </w:r>
      <w:r w:rsidR="00CC744C">
        <w:rPr>
          <w:rFonts w:ascii="Arial" w:hAnsi="Arial" w:cs="Arial"/>
          <w:sz w:val="22"/>
          <w:szCs w:val="22"/>
        </w:rPr>
        <w:t>).</w:t>
      </w:r>
    </w:p>
    <w:p w:rsidR="003A3552" w:rsidP="003A3552" w14:paraId="4F77E36C" w14:textId="77777777">
      <w:pPr>
        <w:spacing w:line="259" w:lineRule="auto"/>
        <w:rPr>
          <w:rFonts w:ascii="Arial" w:hAnsi="Arial" w:cs="Arial"/>
          <w:sz w:val="22"/>
          <w:szCs w:val="22"/>
        </w:rPr>
      </w:pPr>
    </w:p>
    <w:p w:rsidR="00662465" w:rsidP="003A3552" w14:paraId="422ED4A1" w14:textId="0F3FF723">
      <w:pPr>
        <w:spacing w:line="259" w:lineRule="auto"/>
        <w:rPr>
          <w:rFonts w:ascii="Arial" w:hAnsi="Arial" w:cs="Arial"/>
          <w:sz w:val="22"/>
          <w:szCs w:val="22"/>
        </w:rPr>
      </w:pPr>
      <w:r>
        <w:rPr>
          <w:rFonts w:ascii="Arial" w:hAnsi="Arial" w:cs="Arial"/>
          <w:sz w:val="22"/>
          <w:szCs w:val="22"/>
        </w:rPr>
        <w:t xml:space="preserve">Beginning in July 2027, after the implementation of the SEC Clearing Rule and the </w:t>
      </w:r>
      <w:r w:rsidR="00F870F8">
        <w:rPr>
          <w:rFonts w:ascii="Arial" w:hAnsi="Arial" w:cs="Arial"/>
          <w:sz w:val="22"/>
          <w:szCs w:val="22"/>
        </w:rPr>
        <w:t xml:space="preserve">migration </w:t>
      </w:r>
      <w:r w:rsidR="00253C5B">
        <w:rPr>
          <w:rFonts w:ascii="Arial" w:hAnsi="Arial" w:cs="Arial"/>
          <w:sz w:val="22"/>
          <w:szCs w:val="22"/>
        </w:rPr>
        <w:t xml:space="preserve">of certain NCCBR transactions to central clearing described above, </w:t>
      </w:r>
      <w:r>
        <w:rPr>
          <w:rFonts w:ascii="Arial" w:hAnsi="Arial" w:cs="Arial"/>
          <w:sz w:val="22"/>
          <w:szCs w:val="22"/>
        </w:rPr>
        <w:t xml:space="preserve">the OFR </w:t>
      </w:r>
      <w:r w:rsidR="009F4F2F">
        <w:rPr>
          <w:rFonts w:ascii="Arial" w:hAnsi="Arial" w:cs="Arial"/>
          <w:sz w:val="22"/>
          <w:szCs w:val="22"/>
        </w:rPr>
        <w:t xml:space="preserve">anticipates that the number of covered reporters will decrease and </w:t>
      </w:r>
      <w:r>
        <w:rPr>
          <w:rFonts w:ascii="Arial" w:hAnsi="Arial" w:cs="Arial"/>
          <w:sz w:val="22"/>
          <w:szCs w:val="22"/>
        </w:rPr>
        <w:t>estimates the annual recurring cost of both labor and nonlabor costs will reduce to $430,000.  This estimate is exclusive of any remaining annualized startup costs.</w:t>
      </w:r>
    </w:p>
    <w:p w:rsidR="003A3552" w:rsidRPr="0061653B" w:rsidP="003A3552" w14:paraId="5ACE3463" w14:textId="77777777">
      <w:pPr>
        <w:spacing w:line="259" w:lineRule="auto"/>
        <w:rPr>
          <w:rFonts w:ascii="Arial" w:hAnsi="Arial" w:cs="Arial"/>
          <w:sz w:val="22"/>
          <w:szCs w:val="22"/>
        </w:rPr>
      </w:pPr>
    </w:p>
    <w:p w:rsidR="00F8418A" w:rsidRPr="00C63CAB" w:rsidP="00C63CAB" w14:paraId="065A3C3D" w14:textId="31981E41">
      <w:pPr>
        <w:pStyle w:val="ListParagraph"/>
        <w:numPr>
          <w:ilvl w:val="0"/>
          <w:numId w:val="11"/>
        </w:numPr>
        <w:tabs>
          <w:tab w:val="left" w:pos="540"/>
        </w:tabs>
        <w:spacing w:before="120" w:after="120"/>
        <w:rPr>
          <w:rFonts w:ascii="Arial" w:hAnsi="Arial" w:cs="Arial"/>
          <w:b/>
          <w:bCs/>
          <w:sz w:val="22"/>
          <w:szCs w:val="22"/>
        </w:rPr>
      </w:pPr>
      <w:r w:rsidRPr="00C63CAB">
        <w:rPr>
          <w:rFonts w:ascii="Arial" w:hAnsi="Arial" w:cs="Arial"/>
          <w:b/>
          <w:bCs/>
          <w:sz w:val="22"/>
          <w:szCs w:val="22"/>
        </w:rPr>
        <w:t>Reason for Change.</w:t>
      </w:r>
    </w:p>
    <w:p w:rsidR="00EC10FF" w:rsidP="003A3552" w14:paraId="0FA82970" w14:textId="77777777">
      <w:pPr>
        <w:spacing w:line="259" w:lineRule="auto"/>
        <w:rPr>
          <w:rFonts w:ascii="Arial" w:hAnsi="Arial" w:cs="Arial"/>
          <w:sz w:val="22"/>
          <w:szCs w:val="22"/>
        </w:rPr>
      </w:pPr>
      <w:r w:rsidRPr="003A3552">
        <w:rPr>
          <w:rFonts w:ascii="Arial" w:hAnsi="Arial" w:cs="Arial"/>
          <w:sz w:val="22"/>
          <w:szCs w:val="22"/>
        </w:rPr>
        <w:t>This is a new information request.</w:t>
      </w:r>
    </w:p>
    <w:p w:rsidR="003A3552" w:rsidRPr="002769EA" w:rsidP="003A3552" w14:paraId="32584C93" w14:textId="77777777">
      <w:pPr>
        <w:spacing w:line="259" w:lineRule="auto"/>
        <w:rPr>
          <w:rFonts w:ascii="Arial" w:hAnsi="Arial" w:cs="Arial"/>
          <w:color w:val="000000"/>
          <w:sz w:val="22"/>
          <w:szCs w:val="22"/>
        </w:rPr>
      </w:pPr>
    </w:p>
    <w:p w:rsidR="00F8418A" w:rsidP="00C63CAB" w14:paraId="414A589F" w14:textId="77777777">
      <w:pPr>
        <w:numPr>
          <w:ilvl w:val="0"/>
          <w:numId w:val="11"/>
        </w:numPr>
        <w:tabs>
          <w:tab w:val="left" w:pos="540"/>
        </w:tabs>
        <w:spacing w:before="120" w:after="120"/>
        <w:ind w:left="540" w:hanging="540"/>
        <w:rPr>
          <w:rFonts w:ascii="Arial" w:hAnsi="Arial" w:cs="Arial"/>
          <w:b/>
          <w:bCs/>
          <w:sz w:val="22"/>
          <w:szCs w:val="22"/>
        </w:rPr>
      </w:pPr>
      <w:r w:rsidRPr="5B01F674">
        <w:rPr>
          <w:rFonts w:ascii="Arial" w:hAnsi="Arial" w:cs="Arial"/>
          <w:b/>
          <w:bCs/>
          <w:sz w:val="22"/>
          <w:szCs w:val="22"/>
        </w:rPr>
        <w:t xml:space="preserve">Tabulation of Results, Schedule, Analysis Plans.  </w:t>
      </w:r>
    </w:p>
    <w:p w:rsidR="008F044D" w:rsidRPr="003A3552" w:rsidP="003A3552" w14:paraId="4E2C3A4E" w14:textId="192CAA8B">
      <w:pPr>
        <w:spacing w:line="259" w:lineRule="auto"/>
        <w:rPr>
          <w:rFonts w:ascii="Arial" w:hAnsi="Arial" w:cs="Arial"/>
          <w:sz w:val="22"/>
          <w:szCs w:val="22"/>
        </w:rPr>
      </w:pPr>
      <w:r w:rsidRPr="003A3552">
        <w:rPr>
          <w:rFonts w:ascii="Arial" w:hAnsi="Arial" w:cs="Arial"/>
          <w:sz w:val="22"/>
          <w:szCs w:val="22"/>
        </w:rPr>
        <w:t xml:space="preserve">This collection will be used by the </w:t>
      </w:r>
      <w:r w:rsidRPr="003A3552" w:rsidR="009E2F6A">
        <w:rPr>
          <w:rFonts w:ascii="Arial" w:hAnsi="Arial" w:cs="Arial"/>
          <w:sz w:val="22"/>
          <w:szCs w:val="22"/>
        </w:rPr>
        <w:t>OFR</w:t>
      </w:r>
      <w:r w:rsidRPr="003A3552">
        <w:rPr>
          <w:rFonts w:ascii="Arial" w:hAnsi="Arial" w:cs="Arial"/>
          <w:sz w:val="22"/>
          <w:szCs w:val="22"/>
        </w:rPr>
        <w:t xml:space="preserve"> to improve the </w:t>
      </w:r>
      <w:r w:rsidRPr="003A3552" w:rsidR="551F383B">
        <w:rPr>
          <w:rFonts w:ascii="Arial" w:hAnsi="Arial" w:cs="Arial"/>
          <w:sz w:val="22"/>
          <w:szCs w:val="22"/>
        </w:rPr>
        <w:t>Council</w:t>
      </w:r>
      <w:r w:rsidRPr="003A3552" w:rsidR="009E2F6A">
        <w:rPr>
          <w:rFonts w:ascii="Arial" w:hAnsi="Arial" w:cs="Arial"/>
          <w:sz w:val="22"/>
          <w:szCs w:val="22"/>
        </w:rPr>
        <w:t>’s</w:t>
      </w:r>
      <w:r w:rsidRPr="003A3552">
        <w:rPr>
          <w:rFonts w:ascii="Arial" w:hAnsi="Arial" w:cs="Arial"/>
          <w:sz w:val="22"/>
          <w:szCs w:val="22"/>
        </w:rPr>
        <w:t xml:space="preserve"> and member agencies' monitoring of the U.S. repo market and in identifying and assessing potential financial stability risks. The additional daily transaction data this collection will provide will facilitate identification of potential repo market vulnerabilities and will help identify shifting repo market trends that could be destabilizing or indicate stresses elsewhere in the financial system. Such trends might be reflected in the volume and price of funding in the repo market at different tenors, differentiated by the type and credit quality of participants and the quality of underlying collateral. Further, analyzing the collateral data from this collection together with other data available to the </w:t>
      </w:r>
      <w:r w:rsidRPr="003A3552" w:rsidR="009E2F6A">
        <w:rPr>
          <w:rFonts w:ascii="Arial" w:hAnsi="Arial" w:cs="Arial"/>
          <w:sz w:val="22"/>
          <w:szCs w:val="22"/>
        </w:rPr>
        <w:t>OFR</w:t>
      </w:r>
      <w:r w:rsidRPr="003A3552">
        <w:rPr>
          <w:rFonts w:ascii="Arial" w:hAnsi="Arial" w:cs="Arial"/>
          <w:sz w:val="22"/>
          <w:szCs w:val="22"/>
        </w:rPr>
        <w:t>, the Council, and member agencies will enable a clearer understanding of collateral flows in securities markets and potential financial stability risks.</w:t>
      </w:r>
    </w:p>
    <w:p w:rsidR="008F044D" w:rsidP="003A3552" w14:paraId="11C59FED" w14:textId="351104E5">
      <w:pPr>
        <w:spacing w:line="259" w:lineRule="auto"/>
        <w:rPr>
          <w:rFonts w:ascii="Arial" w:hAnsi="Arial" w:cs="Arial"/>
          <w:sz w:val="22"/>
          <w:szCs w:val="22"/>
        </w:rPr>
      </w:pPr>
      <w:r w:rsidRPr="003A3552">
        <w:rPr>
          <w:rFonts w:ascii="Arial" w:hAnsi="Arial" w:cs="Arial"/>
          <w:sz w:val="22"/>
          <w:szCs w:val="22"/>
        </w:rPr>
        <w:t xml:space="preserve">The </w:t>
      </w:r>
      <w:r w:rsidRPr="003A3552" w:rsidR="006D62A8">
        <w:rPr>
          <w:rFonts w:ascii="Arial" w:hAnsi="Arial" w:cs="Arial"/>
          <w:sz w:val="22"/>
          <w:szCs w:val="22"/>
        </w:rPr>
        <w:t>OFR</w:t>
      </w:r>
      <w:r w:rsidRPr="003A3552">
        <w:rPr>
          <w:rFonts w:ascii="Arial" w:hAnsi="Arial" w:cs="Arial"/>
          <w:sz w:val="22"/>
          <w:szCs w:val="22"/>
        </w:rPr>
        <w:t xml:space="preserve"> expects, consistent with the Dodd-Frank Act, to share data and information with the </w:t>
      </w:r>
      <w:r w:rsidRPr="003A3552">
        <w:rPr>
          <w:rFonts w:ascii="Arial" w:hAnsi="Arial" w:cs="Arial"/>
          <w:sz w:val="22"/>
          <w:szCs w:val="22"/>
        </w:rPr>
        <w:t xml:space="preserve">Council and member agencies, and such data and information must be maintained with at least the same level of security as used by the </w:t>
      </w:r>
      <w:r w:rsidRPr="003A3552" w:rsidR="006D62A8">
        <w:rPr>
          <w:rFonts w:ascii="Arial" w:hAnsi="Arial" w:cs="Arial"/>
          <w:sz w:val="22"/>
          <w:szCs w:val="22"/>
        </w:rPr>
        <w:t>OFR</w:t>
      </w:r>
      <w:r w:rsidRPr="003A3552">
        <w:rPr>
          <w:rFonts w:ascii="Arial" w:hAnsi="Arial" w:cs="Arial"/>
          <w:sz w:val="22"/>
          <w:szCs w:val="22"/>
        </w:rPr>
        <w:t xml:space="preserve"> and may not be shared with any individual or entity without the permission of the Council. Consistent with this authority, the </w:t>
      </w:r>
      <w:r w:rsidRPr="003A3552" w:rsidR="000E1054">
        <w:rPr>
          <w:rFonts w:ascii="Arial" w:hAnsi="Arial" w:cs="Arial"/>
          <w:sz w:val="22"/>
          <w:szCs w:val="22"/>
        </w:rPr>
        <w:t>OFR</w:t>
      </w:r>
      <w:r w:rsidRPr="003A3552">
        <w:rPr>
          <w:rFonts w:ascii="Arial" w:hAnsi="Arial" w:cs="Arial"/>
          <w:sz w:val="22"/>
          <w:szCs w:val="22"/>
        </w:rPr>
        <w:t xml:space="preserve"> will also make data collected and maintained under this collection available to the Council and member agencies, as necessary to support their financial-stability regulatory responsibilities. The sharing of any data from this collection will be subject to the confidentiality and security requirements of applicable laws, including the Dodd-Frank Act. Pursuant to the Dodd-Frank Act, the submission of any non-publicly available data to the </w:t>
      </w:r>
      <w:r w:rsidRPr="003A3552" w:rsidR="000E1054">
        <w:rPr>
          <w:rFonts w:ascii="Arial" w:hAnsi="Arial" w:cs="Arial"/>
          <w:sz w:val="22"/>
          <w:szCs w:val="22"/>
        </w:rPr>
        <w:t>OFR</w:t>
      </w:r>
      <w:r w:rsidRPr="003A3552">
        <w:rPr>
          <w:rFonts w:ascii="Arial" w:hAnsi="Arial" w:cs="Arial"/>
          <w:sz w:val="22"/>
          <w:szCs w:val="22"/>
        </w:rPr>
        <w:t xml:space="preserve"> under this collection will not constitute a waiver of, or otherwise affect, any privilege arising under federal or state law to which the data or information is otherwise subject.</w:t>
      </w:r>
    </w:p>
    <w:p w:rsidR="003A3552" w:rsidRPr="003A3552" w:rsidP="003A3552" w14:paraId="598B773E" w14:textId="77777777">
      <w:pPr>
        <w:spacing w:line="259" w:lineRule="auto"/>
        <w:rPr>
          <w:rFonts w:ascii="Arial" w:hAnsi="Arial" w:cs="Arial"/>
          <w:sz w:val="22"/>
          <w:szCs w:val="22"/>
        </w:rPr>
      </w:pPr>
    </w:p>
    <w:p w:rsidR="008F044D" w:rsidP="003A3552" w14:paraId="6594F58D" w14:textId="30AC558C">
      <w:pPr>
        <w:spacing w:line="259" w:lineRule="auto"/>
        <w:rPr>
          <w:rFonts w:ascii="Arial" w:hAnsi="Arial" w:cs="Arial"/>
          <w:sz w:val="22"/>
          <w:szCs w:val="22"/>
        </w:rPr>
      </w:pPr>
      <w:r w:rsidRPr="003A3552">
        <w:rPr>
          <w:rFonts w:ascii="Arial" w:hAnsi="Arial" w:cs="Arial"/>
          <w:sz w:val="22"/>
          <w:szCs w:val="22"/>
        </w:rPr>
        <w:t>Aggregate or summary data from this collection might be provided to the public as described above to increase market transparency and facilitate research on the financial system, to the extent that intellectual property rights are not violated, business confidential information is properly protected, and the sharing of such information poses no significant threats to the U.S. financial system. The potential sharing of aggregate or summary data collected under this collection would help fulfill a recommendation of the Council to make appropriately aggregated securities financing data available to the public.</w:t>
      </w:r>
    </w:p>
    <w:p w:rsidR="003A3552" w:rsidRPr="003A3552" w:rsidP="003A3552" w14:paraId="4DC47752" w14:textId="77777777">
      <w:pPr>
        <w:spacing w:line="259" w:lineRule="auto"/>
        <w:rPr>
          <w:rFonts w:ascii="Arial" w:hAnsi="Arial" w:cs="Arial"/>
          <w:sz w:val="22"/>
          <w:szCs w:val="22"/>
        </w:rPr>
      </w:pPr>
    </w:p>
    <w:p w:rsidR="00EC10FF" w:rsidP="003A3552" w14:paraId="1E9D13BE" w14:textId="052271BD">
      <w:pPr>
        <w:spacing w:line="259" w:lineRule="auto"/>
        <w:rPr>
          <w:rFonts w:ascii="Arial" w:hAnsi="Arial" w:cs="Arial"/>
          <w:sz w:val="22"/>
          <w:szCs w:val="22"/>
        </w:rPr>
      </w:pPr>
      <w:r w:rsidRPr="003A3552">
        <w:rPr>
          <w:rFonts w:ascii="Arial" w:hAnsi="Arial" w:cs="Arial"/>
          <w:sz w:val="22"/>
          <w:szCs w:val="22"/>
        </w:rPr>
        <w:t xml:space="preserve">The </w:t>
      </w:r>
      <w:r w:rsidRPr="003A3552" w:rsidR="000E1054">
        <w:rPr>
          <w:rFonts w:ascii="Arial" w:hAnsi="Arial" w:cs="Arial"/>
          <w:sz w:val="22"/>
          <w:szCs w:val="22"/>
        </w:rPr>
        <w:t>OFR</w:t>
      </w:r>
      <w:r w:rsidRPr="003A3552">
        <w:rPr>
          <w:rFonts w:ascii="Arial" w:hAnsi="Arial" w:cs="Arial"/>
          <w:sz w:val="22"/>
          <w:szCs w:val="22"/>
        </w:rPr>
        <w:t xml:space="preserve"> may also use the data to sponsor and conduct additional research. This research may include the use of these data to help fulfill the duties and purposes under the Dodd-Frank Act relating to the responsibility of the </w:t>
      </w:r>
      <w:r w:rsidRPr="003A3552" w:rsidR="000E1054">
        <w:rPr>
          <w:rFonts w:ascii="Arial" w:hAnsi="Arial" w:cs="Arial"/>
          <w:sz w:val="22"/>
          <w:szCs w:val="22"/>
        </w:rPr>
        <w:t>OFR</w:t>
      </w:r>
      <w:r w:rsidRPr="003A3552">
        <w:rPr>
          <w:rFonts w:ascii="Arial" w:hAnsi="Arial" w:cs="Arial"/>
          <w:sz w:val="22"/>
          <w:szCs w:val="22"/>
        </w:rPr>
        <w:t xml:space="preserve">'s Research and Analysis Center to develop and maintain independent analytical capabilities to support the Council and relating to the programmatic functions of the </w:t>
      </w:r>
      <w:r w:rsidRPr="003A3552" w:rsidR="000E1054">
        <w:rPr>
          <w:rFonts w:ascii="Arial" w:hAnsi="Arial" w:cs="Arial"/>
          <w:sz w:val="22"/>
          <w:szCs w:val="22"/>
        </w:rPr>
        <w:t>OFR</w:t>
      </w:r>
      <w:r w:rsidRPr="003A3552">
        <w:rPr>
          <w:rFonts w:ascii="Arial" w:hAnsi="Arial" w:cs="Arial"/>
          <w:sz w:val="22"/>
          <w:szCs w:val="22"/>
        </w:rPr>
        <w:t xml:space="preserve">'s Data Center. For example, access to data on non-centrally cleared bilateral repos will allow the </w:t>
      </w:r>
      <w:r w:rsidRPr="003A3552" w:rsidR="000E1054">
        <w:rPr>
          <w:rFonts w:ascii="Arial" w:hAnsi="Arial" w:cs="Arial"/>
          <w:sz w:val="22"/>
          <w:szCs w:val="22"/>
        </w:rPr>
        <w:t>OFR</w:t>
      </w:r>
      <w:r w:rsidRPr="003A3552">
        <w:rPr>
          <w:rFonts w:ascii="Arial" w:hAnsi="Arial" w:cs="Arial"/>
          <w:sz w:val="22"/>
          <w:szCs w:val="22"/>
        </w:rPr>
        <w:t xml:space="preserve"> to conduct research related to the Council's analysis of potential risks arising from securities financing activities and nonbank financial institutions</w:t>
      </w:r>
      <w:r w:rsidR="003A3552">
        <w:rPr>
          <w:rFonts w:ascii="Arial" w:hAnsi="Arial" w:cs="Arial"/>
          <w:sz w:val="22"/>
          <w:szCs w:val="22"/>
        </w:rPr>
        <w:t>.</w:t>
      </w:r>
    </w:p>
    <w:p w:rsidR="003A3552" w:rsidRPr="003A3552" w:rsidP="003A3552" w14:paraId="54F03067" w14:textId="77777777">
      <w:pPr>
        <w:spacing w:line="259" w:lineRule="auto"/>
        <w:rPr>
          <w:rFonts w:ascii="Arial" w:hAnsi="Arial" w:cs="Arial"/>
          <w:sz w:val="22"/>
          <w:szCs w:val="22"/>
        </w:rPr>
      </w:pPr>
    </w:p>
    <w:p w:rsidR="00F8418A" w:rsidP="00C63CAB" w14:paraId="0B0B1A9F" w14:textId="77777777">
      <w:pPr>
        <w:numPr>
          <w:ilvl w:val="0"/>
          <w:numId w:val="11"/>
        </w:numPr>
        <w:tabs>
          <w:tab w:val="left" w:pos="540"/>
        </w:tabs>
        <w:spacing w:before="120" w:after="120"/>
        <w:ind w:left="540" w:hanging="450"/>
        <w:jc w:val="both"/>
        <w:rPr>
          <w:rFonts w:ascii="Arial" w:hAnsi="Arial" w:cs="Arial"/>
          <w:b/>
          <w:bCs/>
          <w:sz w:val="22"/>
          <w:szCs w:val="22"/>
        </w:rPr>
      </w:pPr>
      <w:r w:rsidRPr="5B01F674">
        <w:rPr>
          <w:rFonts w:ascii="Arial" w:hAnsi="Arial" w:cs="Arial"/>
          <w:b/>
          <w:bCs/>
          <w:sz w:val="22"/>
          <w:szCs w:val="22"/>
        </w:rPr>
        <w:t>Display of OMB Approval Date.</w:t>
      </w:r>
    </w:p>
    <w:p w:rsidR="00D21B9C" w:rsidP="003A3552" w14:paraId="49663ED0" w14:textId="0D01FBD0">
      <w:pPr>
        <w:rPr>
          <w:rFonts w:ascii="Arial" w:hAnsi="Arial" w:cs="Arial"/>
          <w:color w:val="000000"/>
          <w:sz w:val="22"/>
          <w:szCs w:val="22"/>
        </w:rPr>
      </w:pPr>
      <w:r>
        <w:rPr>
          <w:rFonts w:ascii="Arial" w:hAnsi="Arial" w:cs="Arial"/>
          <w:color w:val="000000"/>
          <w:sz w:val="22"/>
          <w:szCs w:val="22"/>
        </w:rPr>
        <w:t xml:space="preserve">The </w:t>
      </w:r>
      <w:r w:rsidR="000E1054">
        <w:rPr>
          <w:rFonts w:ascii="Arial" w:hAnsi="Arial" w:cs="Arial"/>
          <w:color w:val="000000"/>
          <w:sz w:val="22"/>
          <w:szCs w:val="22"/>
        </w:rPr>
        <w:t>OFR</w:t>
      </w:r>
      <w:r>
        <w:rPr>
          <w:rFonts w:ascii="Arial" w:hAnsi="Arial" w:cs="Arial"/>
          <w:color w:val="000000"/>
          <w:sz w:val="22"/>
          <w:szCs w:val="22"/>
        </w:rPr>
        <w:t xml:space="preserve"> will display the expiration date for OMB approval of this information collection request. </w:t>
      </w:r>
    </w:p>
    <w:p w:rsidR="003A3552" w:rsidRPr="00D21B9C" w:rsidP="003A3552" w14:paraId="34C06867" w14:textId="77777777">
      <w:pPr>
        <w:rPr>
          <w:rFonts w:ascii="Arial" w:hAnsi="Arial" w:cs="Arial"/>
          <w:color w:val="000000"/>
          <w:sz w:val="22"/>
          <w:szCs w:val="22"/>
        </w:rPr>
      </w:pPr>
    </w:p>
    <w:p w:rsidR="00F8418A" w:rsidP="00C63CAB" w14:paraId="63C7AA5C" w14:textId="77777777">
      <w:pPr>
        <w:numPr>
          <w:ilvl w:val="0"/>
          <w:numId w:val="11"/>
        </w:numPr>
        <w:tabs>
          <w:tab w:val="left" w:pos="540"/>
        </w:tabs>
        <w:spacing w:before="120" w:after="120"/>
        <w:ind w:left="540" w:hanging="540"/>
        <w:rPr>
          <w:rFonts w:ascii="Arial" w:hAnsi="Arial" w:cs="Arial"/>
          <w:b/>
          <w:bCs/>
          <w:sz w:val="22"/>
          <w:szCs w:val="22"/>
        </w:rPr>
      </w:pPr>
      <w:r w:rsidRPr="5B01F674">
        <w:rPr>
          <w:rFonts w:ascii="Arial" w:hAnsi="Arial" w:cs="Arial"/>
          <w:b/>
          <w:bCs/>
          <w:sz w:val="22"/>
          <w:szCs w:val="22"/>
        </w:rPr>
        <w:t>Exceptions to Certification for Paperwork Reduction Act Submission.</w:t>
      </w:r>
    </w:p>
    <w:p w:rsidR="00850CCA" w:rsidRPr="006D3CDA" w:rsidP="003A3552" w14:paraId="08036A8F" w14:textId="40D2BD84">
      <w:pPr>
        <w:rPr>
          <w:rFonts w:ascii="Arial" w:hAnsi="Arial" w:cs="Arial"/>
          <w:color w:val="000000"/>
          <w:sz w:val="22"/>
          <w:szCs w:val="22"/>
        </w:rPr>
      </w:pPr>
      <w:r w:rsidRPr="002769EA">
        <w:rPr>
          <w:rFonts w:ascii="Arial" w:hAnsi="Arial" w:cs="Arial"/>
          <w:color w:val="000000"/>
          <w:sz w:val="22"/>
          <w:szCs w:val="22"/>
        </w:rPr>
        <w:t>Th</w:t>
      </w:r>
      <w:r w:rsidRPr="002769EA" w:rsidR="00D21B9C">
        <w:rPr>
          <w:rFonts w:ascii="Arial" w:hAnsi="Arial" w:cs="Arial"/>
          <w:color w:val="000000"/>
          <w:sz w:val="22"/>
          <w:szCs w:val="22"/>
        </w:rPr>
        <w:t xml:space="preserve">e </w:t>
      </w:r>
      <w:r w:rsidR="000E1054">
        <w:rPr>
          <w:rFonts w:ascii="Arial" w:hAnsi="Arial" w:cs="Arial"/>
          <w:color w:val="000000"/>
          <w:sz w:val="22"/>
          <w:szCs w:val="22"/>
        </w:rPr>
        <w:t>OFR</w:t>
      </w:r>
      <w:r w:rsidRPr="002769EA" w:rsidR="00D21B9C">
        <w:rPr>
          <w:rFonts w:ascii="Arial" w:hAnsi="Arial" w:cs="Arial"/>
          <w:color w:val="000000"/>
          <w:sz w:val="22"/>
          <w:szCs w:val="22"/>
        </w:rPr>
        <w:t xml:space="preserve"> does not request an exception to the certification </w:t>
      </w:r>
      <w:r w:rsidR="00C63CAB">
        <w:rPr>
          <w:rFonts w:ascii="Arial" w:hAnsi="Arial" w:cs="Arial"/>
          <w:color w:val="000000"/>
          <w:sz w:val="22"/>
          <w:szCs w:val="22"/>
        </w:rPr>
        <w:t xml:space="preserve">statement for </w:t>
      </w:r>
      <w:r w:rsidRPr="002769EA" w:rsidR="00D21B9C">
        <w:rPr>
          <w:rFonts w:ascii="Arial" w:hAnsi="Arial" w:cs="Arial"/>
          <w:color w:val="000000"/>
          <w:sz w:val="22"/>
          <w:szCs w:val="22"/>
        </w:rPr>
        <w:t>this information collection request.</w:t>
      </w:r>
    </w:p>
    <w:sectPr w:rsidSect="00033E64">
      <w:footerReference w:type="default" r:id="rId10"/>
      <w:type w:val="continuous"/>
      <w:pgSz w:w="12240" w:h="15840"/>
      <w:pgMar w:top="1440" w:right="1440" w:bottom="1170" w:left="1440" w:header="1080" w:footer="662"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0AA3" w:rsidRPr="00427A81" w:rsidP="005B73E0" w14:paraId="0C3A780B" w14:textId="5ABADDBE">
    <w:pPr>
      <w:tabs>
        <w:tab w:val="right" w:pos="9360"/>
      </w:tabs>
      <w:jc w:val="center"/>
      <w:rPr>
        <w:rFonts w:ascii="Arial Narrow" w:hAnsi="Arial Narrow" w:cs="Arial"/>
        <w:sz w:val="20"/>
        <w:szCs w:val="20"/>
      </w:rPr>
    </w:pPr>
    <w:r>
      <w:rPr>
        <w:rFonts w:ascii="Arial Narrow" w:hAnsi="Arial Narrow" w:cs="Arial"/>
        <w:sz w:val="20"/>
        <w:szCs w:val="20"/>
      </w:rPr>
      <w:t xml:space="preserve">March 28, 2024                                                               </w:t>
    </w:r>
    <w:r w:rsidRPr="00427A81" w:rsidR="004C4A16">
      <w:rPr>
        <w:rFonts w:ascii="Arial Narrow" w:hAnsi="Arial Narrow" w:cs="Arial"/>
        <w:sz w:val="20"/>
        <w:szCs w:val="20"/>
      </w:rPr>
      <w:tab/>
    </w:r>
    <w:r w:rsidRPr="00427A81" w:rsidR="004C4A16">
      <w:rPr>
        <w:rFonts w:ascii="Arial Narrow" w:hAnsi="Arial Narrow" w:cs="Arial"/>
        <w:color w:val="2B579A"/>
        <w:sz w:val="20"/>
        <w:szCs w:val="20"/>
        <w:shd w:val="clear" w:color="auto" w:fill="E6E6E6"/>
      </w:rPr>
      <w:fldChar w:fldCharType="begin"/>
    </w:r>
    <w:r w:rsidRPr="00427A81" w:rsidR="004C4A16">
      <w:rPr>
        <w:rFonts w:ascii="Arial Narrow" w:hAnsi="Arial Narrow" w:cs="Arial"/>
        <w:sz w:val="20"/>
        <w:szCs w:val="20"/>
      </w:rPr>
      <w:instrText xml:space="preserve">PAGE </w:instrText>
    </w:r>
    <w:r w:rsidRPr="00427A81" w:rsidR="004C4A16">
      <w:rPr>
        <w:rFonts w:ascii="Arial Narrow" w:hAnsi="Arial Narrow" w:cs="Arial"/>
        <w:color w:val="2B579A"/>
        <w:sz w:val="20"/>
        <w:szCs w:val="20"/>
        <w:shd w:val="clear" w:color="auto" w:fill="E6E6E6"/>
      </w:rPr>
      <w:fldChar w:fldCharType="separate"/>
    </w:r>
    <w:r w:rsidR="008604D2">
      <w:rPr>
        <w:rFonts w:ascii="Arial Narrow" w:hAnsi="Arial Narrow" w:cs="Arial"/>
        <w:noProof/>
        <w:sz w:val="20"/>
        <w:szCs w:val="20"/>
      </w:rPr>
      <w:t>10</w:t>
    </w:r>
    <w:r w:rsidRPr="00427A81" w:rsidR="004C4A16">
      <w:rPr>
        <w:rFonts w:ascii="Arial Narrow" w:hAnsi="Arial Narrow" w:cs="Arial"/>
        <w:color w:val="2B579A"/>
        <w:sz w:val="20"/>
        <w:szCs w:val="20"/>
        <w:shd w:val="clear" w:color="auto" w:fill="E6E6E6"/>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3C7E3050"/>
    <w:lvl w:ilvl="0">
      <w:start w:val="0"/>
      <w:numFmt w:val="decimal"/>
      <w:lvlText w:val="*"/>
      <w:lvlJc w:val="left"/>
    </w:lvl>
  </w:abstractNum>
  <w:abstractNum w:abstractNumId="1">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4">
    <w:nsid w:val="0000000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5">
    <w:nsid w:val="00000005"/>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6">
    <w:nsid w:val="00000006"/>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7">
    <w:nsid w:val="00000007"/>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8">
    <w:nsid w:val="00000008"/>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9">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0">
    <w:nsid w:val="0000000A"/>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1">
    <w:nsid w:val="0000000B"/>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2">
    <w:nsid w:val="0000000C"/>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3">
    <w:nsid w:val="0000000D"/>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4">
    <w:nsid w:val="0000000E"/>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5">
    <w:nsid w:val="0000000F"/>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6">
    <w:nsid w:val="00000010"/>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7">
    <w:nsid w:val="00C94FAB"/>
    <w:multiLevelType w:val="hybridMultilevel"/>
    <w:tmpl w:val="CE10D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41E1FC7"/>
    <w:multiLevelType w:val="hybridMultilevel"/>
    <w:tmpl w:val="34A88332"/>
    <w:lvl w:ilvl="0">
      <w:start w:val="6"/>
      <w:numFmt w:val="decimal"/>
      <w:lvlText w:val="%1."/>
      <w:lvlJc w:val="left"/>
      <w:pPr>
        <w:tabs>
          <w:tab w:val="num" w:pos="720"/>
        </w:tabs>
        <w:ind w:left="720" w:hanging="360"/>
      </w:pPr>
      <w:rPr>
        <w:rFonts w:ascii="Tahoma" w:hAnsi="Tahoma" w:cs="Tahoma"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05856836"/>
    <w:multiLevelType w:val="hybridMultilevel"/>
    <w:tmpl w:val="0818EBC0"/>
    <w:lvl w:ilvl="0">
      <w:start w:val="14"/>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064E08AB"/>
    <w:multiLevelType w:val="hybridMultilevel"/>
    <w:tmpl w:val="54A4B322"/>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21">
    <w:nsid w:val="0E311DA6"/>
    <w:multiLevelType w:val="hybridMultilevel"/>
    <w:tmpl w:val="4B520FF2"/>
    <w:lvl w:ilvl="0">
      <w:start w:val="1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10122E19"/>
    <w:multiLevelType w:val="hybridMultilevel"/>
    <w:tmpl w:val="BC7098B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1195410D"/>
    <w:multiLevelType w:val="hybridMultilevel"/>
    <w:tmpl w:val="A49C7A84"/>
    <w:lvl w:ilvl="0">
      <w:start w:val="1"/>
      <w:numFmt w:val="bullet"/>
      <w:lvlText w:val=""/>
      <w:lvlJc w:val="left"/>
      <w:pPr>
        <w:tabs>
          <w:tab w:val="num" w:pos="864"/>
        </w:tabs>
        <w:ind w:left="864"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4">
    <w:nsid w:val="1B815FB6"/>
    <w:multiLevelType w:val="hybridMultilevel"/>
    <w:tmpl w:val="2D14AC46"/>
    <w:lvl w:ilvl="0">
      <w:start w:val="1"/>
      <w:numFmt w:val="decimal"/>
      <w:lvlText w:val="%1."/>
      <w:lvlJc w:val="left"/>
      <w:pPr>
        <w:tabs>
          <w:tab w:val="num" w:pos="1081"/>
        </w:tabs>
        <w:ind w:left="1081" w:hanging="360"/>
      </w:pPr>
    </w:lvl>
    <w:lvl w:ilvl="1">
      <w:start w:val="1"/>
      <w:numFmt w:val="lowerLetter"/>
      <w:lvlText w:val="%2."/>
      <w:lvlJc w:val="left"/>
      <w:pPr>
        <w:tabs>
          <w:tab w:val="num" w:pos="1801"/>
        </w:tabs>
        <w:ind w:left="1801" w:hanging="360"/>
      </w:pPr>
    </w:lvl>
    <w:lvl w:ilvl="2">
      <w:start w:val="1"/>
      <w:numFmt w:val="lowerRoman"/>
      <w:lvlText w:val="%3."/>
      <w:lvlJc w:val="right"/>
      <w:pPr>
        <w:tabs>
          <w:tab w:val="num" w:pos="2521"/>
        </w:tabs>
        <w:ind w:left="2521" w:hanging="180"/>
      </w:pPr>
    </w:lvl>
    <w:lvl w:ilvl="3">
      <w:start w:val="1"/>
      <w:numFmt w:val="decimal"/>
      <w:lvlText w:val="%4."/>
      <w:lvlJc w:val="left"/>
      <w:pPr>
        <w:tabs>
          <w:tab w:val="num" w:pos="3241"/>
        </w:tabs>
        <w:ind w:left="3241" w:hanging="360"/>
      </w:pPr>
    </w:lvl>
    <w:lvl w:ilvl="4">
      <w:start w:val="1"/>
      <w:numFmt w:val="lowerLetter"/>
      <w:lvlText w:val="%5."/>
      <w:lvlJc w:val="left"/>
      <w:pPr>
        <w:tabs>
          <w:tab w:val="num" w:pos="3961"/>
        </w:tabs>
        <w:ind w:left="3961" w:hanging="360"/>
      </w:pPr>
    </w:lvl>
    <w:lvl w:ilvl="5">
      <w:start w:val="1"/>
      <w:numFmt w:val="lowerRoman"/>
      <w:lvlText w:val="%6."/>
      <w:lvlJc w:val="right"/>
      <w:pPr>
        <w:tabs>
          <w:tab w:val="num" w:pos="4681"/>
        </w:tabs>
        <w:ind w:left="4681" w:hanging="180"/>
      </w:pPr>
    </w:lvl>
    <w:lvl w:ilvl="6">
      <w:start w:val="1"/>
      <w:numFmt w:val="decimal"/>
      <w:lvlText w:val="%7."/>
      <w:lvlJc w:val="left"/>
      <w:pPr>
        <w:tabs>
          <w:tab w:val="num" w:pos="5401"/>
        </w:tabs>
        <w:ind w:left="5401" w:hanging="360"/>
      </w:pPr>
    </w:lvl>
    <w:lvl w:ilvl="7">
      <w:start w:val="1"/>
      <w:numFmt w:val="lowerLetter"/>
      <w:lvlText w:val="%8."/>
      <w:lvlJc w:val="left"/>
      <w:pPr>
        <w:tabs>
          <w:tab w:val="num" w:pos="6121"/>
        </w:tabs>
        <w:ind w:left="6121" w:hanging="360"/>
      </w:pPr>
    </w:lvl>
    <w:lvl w:ilvl="8">
      <w:start w:val="1"/>
      <w:numFmt w:val="lowerRoman"/>
      <w:lvlText w:val="%9."/>
      <w:lvlJc w:val="right"/>
      <w:pPr>
        <w:tabs>
          <w:tab w:val="num" w:pos="6841"/>
        </w:tabs>
        <w:ind w:left="6841" w:hanging="180"/>
      </w:pPr>
    </w:lvl>
  </w:abstractNum>
  <w:abstractNum w:abstractNumId="25">
    <w:nsid w:val="27E119F4"/>
    <w:multiLevelType w:val="multilevel"/>
    <w:tmpl w:val="0ECCEE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2F5A5BE0"/>
    <w:multiLevelType w:val="hybridMultilevel"/>
    <w:tmpl w:val="F6F6D258"/>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7">
    <w:nsid w:val="314F726D"/>
    <w:multiLevelType w:val="hybridMultilevel"/>
    <w:tmpl w:val="54000368"/>
    <w:lvl w:ilvl="0">
      <w:start w:val="1"/>
      <w:numFmt w:val="upperLetter"/>
      <w:lvlText w:val="%1."/>
      <w:lvlJc w:val="left"/>
      <w:pPr>
        <w:tabs>
          <w:tab w:val="num" w:pos="720"/>
        </w:tabs>
        <w:ind w:left="720" w:hanging="360"/>
      </w:pPr>
      <w:rPr>
        <w:rFonts w:hint="default"/>
      </w:rPr>
    </w:lvl>
    <w:lvl w:ilvl="1">
      <w:start w:val="7"/>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33307E33"/>
    <w:multiLevelType w:val="hybridMultilevel"/>
    <w:tmpl w:val="77463774"/>
    <w:lvl w:ilvl="0">
      <w:start w:val="9"/>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3A2E2407"/>
    <w:multiLevelType w:val="hybridMultilevel"/>
    <w:tmpl w:val="48F67F58"/>
    <w:lvl w:ilvl="0">
      <w:start w:val="1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3B96265A"/>
    <w:multiLevelType w:val="hybridMultilevel"/>
    <w:tmpl w:val="085C2160"/>
    <w:lvl w:ilvl="0">
      <w:start w:val="5"/>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1">
    <w:nsid w:val="3DB2103A"/>
    <w:multiLevelType w:val="hybridMultilevel"/>
    <w:tmpl w:val="C01EDB16"/>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3DCC707B"/>
    <w:multiLevelType w:val="hybridMultilevel"/>
    <w:tmpl w:val="C77683BC"/>
    <w:lvl w:ilvl="0">
      <w:start w:val="1"/>
      <w:numFmt w:val="decimal"/>
      <w:lvlText w:val="%1."/>
      <w:lvlJc w:val="left"/>
      <w:pPr>
        <w:tabs>
          <w:tab w:val="num" w:pos="1081"/>
        </w:tabs>
        <w:ind w:left="1081" w:hanging="360"/>
      </w:pPr>
    </w:lvl>
    <w:lvl w:ilvl="1">
      <w:start w:val="1"/>
      <w:numFmt w:val="lowerLetter"/>
      <w:lvlText w:val="%2."/>
      <w:lvlJc w:val="left"/>
      <w:pPr>
        <w:tabs>
          <w:tab w:val="num" w:pos="1801"/>
        </w:tabs>
        <w:ind w:left="1801" w:hanging="360"/>
      </w:pPr>
    </w:lvl>
    <w:lvl w:ilvl="2">
      <w:start w:val="1"/>
      <w:numFmt w:val="lowerRoman"/>
      <w:lvlText w:val="%3."/>
      <w:lvlJc w:val="right"/>
      <w:pPr>
        <w:tabs>
          <w:tab w:val="num" w:pos="2521"/>
        </w:tabs>
        <w:ind w:left="2521" w:hanging="180"/>
      </w:pPr>
    </w:lvl>
    <w:lvl w:ilvl="3">
      <w:start w:val="1"/>
      <w:numFmt w:val="decimal"/>
      <w:lvlText w:val="%4."/>
      <w:lvlJc w:val="left"/>
      <w:pPr>
        <w:tabs>
          <w:tab w:val="num" w:pos="3241"/>
        </w:tabs>
        <w:ind w:left="3241" w:hanging="360"/>
      </w:pPr>
    </w:lvl>
    <w:lvl w:ilvl="4">
      <w:start w:val="1"/>
      <w:numFmt w:val="lowerLetter"/>
      <w:lvlText w:val="%5."/>
      <w:lvlJc w:val="left"/>
      <w:pPr>
        <w:tabs>
          <w:tab w:val="num" w:pos="3961"/>
        </w:tabs>
        <w:ind w:left="3961" w:hanging="360"/>
      </w:pPr>
    </w:lvl>
    <w:lvl w:ilvl="5">
      <w:start w:val="1"/>
      <w:numFmt w:val="lowerRoman"/>
      <w:lvlText w:val="%6."/>
      <w:lvlJc w:val="right"/>
      <w:pPr>
        <w:tabs>
          <w:tab w:val="num" w:pos="4681"/>
        </w:tabs>
        <w:ind w:left="4681" w:hanging="180"/>
      </w:pPr>
    </w:lvl>
    <w:lvl w:ilvl="6">
      <w:start w:val="1"/>
      <w:numFmt w:val="decimal"/>
      <w:lvlText w:val="%7."/>
      <w:lvlJc w:val="left"/>
      <w:pPr>
        <w:tabs>
          <w:tab w:val="num" w:pos="5401"/>
        </w:tabs>
        <w:ind w:left="5401" w:hanging="360"/>
      </w:pPr>
    </w:lvl>
    <w:lvl w:ilvl="7">
      <w:start w:val="1"/>
      <w:numFmt w:val="lowerLetter"/>
      <w:lvlText w:val="%8."/>
      <w:lvlJc w:val="left"/>
      <w:pPr>
        <w:tabs>
          <w:tab w:val="num" w:pos="6121"/>
        </w:tabs>
        <w:ind w:left="6121" w:hanging="360"/>
      </w:pPr>
    </w:lvl>
    <w:lvl w:ilvl="8">
      <w:start w:val="1"/>
      <w:numFmt w:val="lowerRoman"/>
      <w:lvlText w:val="%9."/>
      <w:lvlJc w:val="right"/>
      <w:pPr>
        <w:tabs>
          <w:tab w:val="num" w:pos="6841"/>
        </w:tabs>
        <w:ind w:left="6841" w:hanging="180"/>
      </w:pPr>
    </w:lvl>
  </w:abstractNum>
  <w:abstractNum w:abstractNumId="33">
    <w:nsid w:val="3EA32344"/>
    <w:multiLevelType w:val="hybridMultilevel"/>
    <w:tmpl w:val="2E3061DC"/>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nsid w:val="42C70789"/>
    <w:multiLevelType w:val="hybridMultilevel"/>
    <w:tmpl w:val="9B266760"/>
    <w:lvl w:ilvl="0">
      <w:start w:val="1"/>
      <w:numFmt w:val="bullet"/>
      <w:lvlText w:val=""/>
      <w:lvlJc w:val="left"/>
      <w:pPr>
        <w:tabs>
          <w:tab w:val="num" w:pos="864"/>
        </w:tabs>
        <w:ind w:left="864"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5">
    <w:nsid w:val="4AA2732C"/>
    <w:multiLevelType w:val="hybridMultilevel"/>
    <w:tmpl w:val="931AFAF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4BC17C63"/>
    <w:multiLevelType w:val="hybridMultilevel"/>
    <w:tmpl w:val="8C4CAF50"/>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51666997"/>
    <w:multiLevelType w:val="hybridMultilevel"/>
    <w:tmpl w:val="3FCA76C2"/>
    <w:lvl w:ilvl="0">
      <w:start w:val="1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nsid w:val="516C53D3"/>
    <w:multiLevelType w:val="hybridMultilevel"/>
    <w:tmpl w:val="F84032A0"/>
    <w:lvl w:ilvl="0">
      <w:start w:val="1"/>
      <w:numFmt w:val="bullet"/>
      <w:lvlText w:val=""/>
      <w:lvlJc w:val="left"/>
      <w:pPr>
        <w:tabs>
          <w:tab w:val="num" w:pos="432"/>
        </w:tabs>
        <w:ind w:left="432" w:hanging="144"/>
      </w:pPr>
      <w:rPr>
        <w:rFonts w:ascii="Symbol" w:hAnsi="Symbol" w:cs="Symbol" w:hint="default"/>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cs="Wingdings" w:hint="default"/>
      </w:rPr>
    </w:lvl>
    <w:lvl w:ilvl="3">
      <w:start w:val="1"/>
      <w:numFmt w:val="bullet"/>
      <w:lvlText w:val=""/>
      <w:lvlJc w:val="left"/>
      <w:pPr>
        <w:tabs>
          <w:tab w:val="num" w:pos="3168"/>
        </w:tabs>
        <w:ind w:left="3168" w:hanging="360"/>
      </w:pPr>
      <w:rPr>
        <w:rFonts w:ascii="Symbol" w:hAnsi="Symbol" w:cs="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cs="Wingdings" w:hint="default"/>
      </w:rPr>
    </w:lvl>
    <w:lvl w:ilvl="6">
      <w:start w:val="1"/>
      <w:numFmt w:val="bullet"/>
      <w:lvlText w:val=""/>
      <w:lvlJc w:val="left"/>
      <w:pPr>
        <w:tabs>
          <w:tab w:val="num" w:pos="5328"/>
        </w:tabs>
        <w:ind w:left="5328" w:hanging="360"/>
      </w:pPr>
      <w:rPr>
        <w:rFonts w:ascii="Symbol" w:hAnsi="Symbol" w:cs="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cs="Wingdings" w:hint="default"/>
      </w:rPr>
    </w:lvl>
  </w:abstractNum>
  <w:abstractNum w:abstractNumId="39">
    <w:nsid w:val="51D362AF"/>
    <w:multiLevelType w:val="hybridMultilevel"/>
    <w:tmpl w:val="502ACA7C"/>
    <w:lvl w:ilvl="0">
      <w:start w:val="1"/>
      <w:numFmt w:val="bullet"/>
      <w:lvlText w:val=""/>
      <w:lvlJc w:val="left"/>
      <w:pPr>
        <w:tabs>
          <w:tab w:val="num" w:pos="144"/>
        </w:tabs>
        <w:ind w:left="144" w:hanging="144"/>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0">
    <w:nsid w:val="59141E62"/>
    <w:multiLevelType w:val="hybridMultilevel"/>
    <w:tmpl w:val="8E98D726"/>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nsid w:val="5BFD38FD"/>
    <w:multiLevelType w:val="hybridMultilevel"/>
    <w:tmpl w:val="E4E6F2E2"/>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nsid w:val="5F0E6E2A"/>
    <w:multiLevelType w:val="hybridMultilevel"/>
    <w:tmpl w:val="F86AA00C"/>
    <w:lvl w:ilvl="0">
      <w:start w:val="1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656C318D"/>
    <w:multiLevelType w:val="multilevel"/>
    <w:tmpl w:val="456EFA4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6FED18F7"/>
    <w:multiLevelType w:val="hybridMultilevel"/>
    <w:tmpl w:val="BF5CD562"/>
    <w:lvl w:ilvl="0">
      <w:start w:val="1"/>
      <w:numFmt w:val="bullet"/>
      <w:lvlText w:val=""/>
      <w:lvlJc w:val="left"/>
      <w:pPr>
        <w:tabs>
          <w:tab w:val="num" w:pos="144"/>
        </w:tabs>
        <w:ind w:left="144" w:hanging="144"/>
      </w:pPr>
      <w:rPr>
        <w:rFonts w:ascii="Symbol" w:hAnsi="Symbol" w:cs="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nsid w:val="7CD42F58"/>
    <w:multiLevelType w:val="hybridMultilevel"/>
    <w:tmpl w:val="E00011C6"/>
    <w:lvl w:ilvl="0">
      <w:start w:val="1"/>
      <w:numFmt w:val="bullet"/>
      <w:lvlText w:val=""/>
      <w:lvlJc w:val="left"/>
      <w:pPr>
        <w:tabs>
          <w:tab w:val="num" w:pos="865"/>
        </w:tabs>
        <w:ind w:left="865" w:hanging="144"/>
      </w:pPr>
      <w:rPr>
        <w:rFonts w:ascii="Symbol" w:hAnsi="Symbol" w:cs="Symbol" w:hint="default"/>
      </w:rPr>
    </w:lvl>
    <w:lvl w:ilvl="1">
      <w:start w:val="1"/>
      <w:numFmt w:val="lowerLetter"/>
      <w:lvlText w:val="%2."/>
      <w:lvlJc w:val="left"/>
      <w:pPr>
        <w:tabs>
          <w:tab w:val="num" w:pos="1801"/>
        </w:tabs>
        <w:ind w:left="1801" w:hanging="360"/>
      </w:pPr>
    </w:lvl>
    <w:lvl w:ilvl="2">
      <w:start w:val="1"/>
      <w:numFmt w:val="lowerRoman"/>
      <w:lvlText w:val="%3."/>
      <w:lvlJc w:val="right"/>
      <w:pPr>
        <w:tabs>
          <w:tab w:val="num" w:pos="2521"/>
        </w:tabs>
        <w:ind w:left="2521" w:hanging="180"/>
      </w:pPr>
    </w:lvl>
    <w:lvl w:ilvl="3">
      <w:start w:val="1"/>
      <w:numFmt w:val="decimal"/>
      <w:lvlText w:val="%4."/>
      <w:lvlJc w:val="left"/>
      <w:pPr>
        <w:tabs>
          <w:tab w:val="num" w:pos="3241"/>
        </w:tabs>
        <w:ind w:left="3241" w:hanging="360"/>
      </w:pPr>
    </w:lvl>
    <w:lvl w:ilvl="4">
      <w:start w:val="1"/>
      <w:numFmt w:val="lowerLetter"/>
      <w:lvlText w:val="%5."/>
      <w:lvlJc w:val="left"/>
      <w:pPr>
        <w:tabs>
          <w:tab w:val="num" w:pos="3961"/>
        </w:tabs>
        <w:ind w:left="3961" w:hanging="360"/>
      </w:pPr>
    </w:lvl>
    <w:lvl w:ilvl="5">
      <w:start w:val="1"/>
      <w:numFmt w:val="lowerRoman"/>
      <w:lvlText w:val="%6."/>
      <w:lvlJc w:val="right"/>
      <w:pPr>
        <w:tabs>
          <w:tab w:val="num" w:pos="4681"/>
        </w:tabs>
        <w:ind w:left="4681" w:hanging="180"/>
      </w:pPr>
    </w:lvl>
    <w:lvl w:ilvl="6">
      <w:start w:val="1"/>
      <w:numFmt w:val="decimal"/>
      <w:lvlText w:val="%7."/>
      <w:lvlJc w:val="left"/>
      <w:pPr>
        <w:tabs>
          <w:tab w:val="num" w:pos="5401"/>
        </w:tabs>
        <w:ind w:left="5401" w:hanging="360"/>
      </w:pPr>
    </w:lvl>
    <w:lvl w:ilvl="7">
      <w:start w:val="1"/>
      <w:numFmt w:val="lowerLetter"/>
      <w:lvlText w:val="%8."/>
      <w:lvlJc w:val="left"/>
      <w:pPr>
        <w:tabs>
          <w:tab w:val="num" w:pos="6121"/>
        </w:tabs>
        <w:ind w:left="6121" w:hanging="360"/>
      </w:pPr>
    </w:lvl>
    <w:lvl w:ilvl="8">
      <w:start w:val="1"/>
      <w:numFmt w:val="lowerRoman"/>
      <w:lvlText w:val="%9."/>
      <w:lvlJc w:val="right"/>
      <w:pPr>
        <w:tabs>
          <w:tab w:val="num" w:pos="6841"/>
        </w:tabs>
        <w:ind w:left="6841" w:hanging="180"/>
      </w:pPr>
    </w:lvl>
  </w:abstractNum>
  <w:abstractNum w:abstractNumId="46">
    <w:nsid w:val="7D126703"/>
    <w:multiLevelType w:val="hybridMultilevel"/>
    <w:tmpl w:val="6F5C8E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7E3519A8"/>
    <w:multiLevelType w:val="hybridMultilevel"/>
    <w:tmpl w:val="990ABEF0"/>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345904516">
    <w:abstractNumId w:val="42"/>
  </w:num>
  <w:num w:numId="2" w16cid:durableId="670451841">
    <w:abstractNumId w:val="9"/>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926184105">
    <w:abstractNumId w:val="0"/>
    <w:lvlOverride w:ilvl="0">
      <w:lvl w:ilvl="0">
        <w:start w:val="0"/>
        <w:numFmt w:val="bullet"/>
        <w:lvlText w:val="·"/>
        <w:legacy w:legacy="1" w:legacySpace="0" w:legacyIndent="361"/>
        <w:lvlJc w:val="left"/>
        <w:pPr>
          <w:ind w:left="361" w:hanging="361"/>
        </w:pPr>
        <w:rPr>
          <w:rFonts w:ascii="Times New Roman" w:hAnsi="Times New Roman" w:cs="Times New Roman" w:hint="default"/>
        </w:rPr>
      </w:lvl>
    </w:lvlOverride>
  </w:num>
  <w:num w:numId="4" w16cid:durableId="614606451">
    <w:abstractNumId w:val="0"/>
    <w:lvlOverride w:ilvl="0">
      <w:lvl w:ilvl="0">
        <w:start w:val="0"/>
        <w:numFmt w:val="bullet"/>
        <w:lvlText w:val="­"/>
        <w:legacy w:legacy="1" w:legacySpace="0" w:legacyIndent="361"/>
        <w:lvlJc w:val="left"/>
        <w:pPr>
          <w:ind w:left="722" w:hanging="361"/>
        </w:pPr>
        <w:rPr>
          <w:rFonts w:ascii="Times New Roman" w:hAnsi="Times New Roman" w:cs="Times New Roman" w:hint="default"/>
        </w:rPr>
      </w:lvl>
    </w:lvlOverride>
  </w:num>
  <w:num w:numId="5" w16cid:durableId="1782990971">
    <w:abstractNumId w:val="0"/>
    <w:lvlOverride w:ilvl="0">
      <w:lvl w:ilvl="0">
        <w:start w:val="0"/>
        <w:numFmt w:val="bullet"/>
        <w:lvlText w:val="·"/>
        <w:legacy w:legacy="1" w:legacySpace="0" w:legacyIndent="186"/>
        <w:lvlJc w:val="left"/>
        <w:pPr>
          <w:ind w:left="474" w:hanging="186"/>
        </w:pPr>
        <w:rPr>
          <w:rFonts w:ascii="Times New Roman" w:hAnsi="Times New Roman" w:cs="Times New Roman" w:hint="default"/>
        </w:rPr>
      </w:lvl>
    </w:lvlOverride>
  </w:num>
  <w:num w:numId="6" w16cid:durableId="1956058882">
    <w:abstractNumId w:val="32"/>
  </w:num>
  <w:num w:numId="7" w16cid:durableId="1378431105">
    <w:abstractNumId w:val="24"/>
  </w:num>
  <w:num w:numId="8" w16cid:durableId="1266503903">
    <w:abstractNumId w:val="36"/>
  </w:num>
  <w:num w:numId="9" w16cid:durableId="1451822748">
    <w:abstractNumId w:val="35"/>
  </w:num>
  <w:num w:numId="10" w16cid:durableId="733742076">
    <w:abstractNumId w:val="26"/>
  </w:num>
  <w:num w:numId="11" w16cid:durableId="840974828">
    <w:abstractNumId w:val="17"/>
  </w:num>
  <w:num w:numId="12" w16cid:durableId="368997297">
    <w:abstractNumId w:val="22"/>
  </w:num>
  <w:num w:numId="13" w16cid:durableId="1563757770">
    <w:abstractNumId w:val="45"/>
  </w:num>
  <w:num w:numId="14" w16cid:durableId="1053189841">
    <w:abstractNumId w:val="44"/>
  </w:num>
  <w:num w:numId="15" w16cid:durableId="1405833123">
    <w:abstractNumId w:val="34"/>
  </w:num>
  <w:num w:numId="16" w16cid:durableId="350765135">
    <w:abstractNumId w:val="23"/>
  </w:num>
  <w:num w:numId="17" w16cid:durableId="2056272487">
    <w:abstractNumId w:val="39"/>
  </w:num>
  <w:num w:numId="18" w16cid:durableId="890920045">
    <w:abstractNumId w:val="25"/>
  </w:num>
  <w:num w:numId="19" w16cid:durableId="695010941">
    <w:abstractNumId w:val="43"/>
  </w:num>
  <w:num w:numId="20" w16cid:durableId="1236013454">
    <w:abstractNumId w:val="38"/>
  </w:num>
  <w:num w:numId="21" w16cid:durableId="1816602856">
    <w:abstractNumId w:val="27"/>
  </w:num>
  <w:num w:numId="22" w16cid:durableId="2082754021">
    <w:abstractNumId w:val="47"/>
  </w:num>
  <w:num w:numId="23" w16cid:durableId="337315268">
    <w:abstractNumId w:val="30"/>
  </w:num>
  <w:num w:numId="24" w16cid:durableId="743533931">
    <w:abstractNumId w:val="18"/>
  </w:num>
  <w:num w:numId="25" w16cid:durableId="1264731287">
    <w:abstractNumId w:val="41"/>
  </w:num>
  <w:num w:numId="26" w16cid:durableId="1198809608">
    <w:abstractNumId w:val="31"/>
  </w:num>
  <w:num w:numId="27" w16cid:durableId="1714384005">
    <w:abstractNumId w:val="28"/>
  </w:num>
  <w:num w:numId="28" w16cid:durableId="1771510984">
    <w:abstractNumId w:val="40"/>
  </w:num>
  <w:num w:numId="29" w16cid:durableId="473568458">
    <w:abstractNumId w:val="37"/>
  </w:num>
  <w:num w:numId="30" w16cid:durableId="97801165">
    <w:abstractNumId w:val="29"/>
  </w:num>
  <w:num w:numId="31" w16cid:durableId="1611205574">
    <w:abstractNumId w:val="21"/>
  </w:num>
  <w:num w:numId="32" w16cid:durableId="79719933">
    <w:abstractNumId w:val="19"/>
  </w:num>
  <w:num w:numId="33" w16cid:durableId="1497070616">
    <w:abstractNumId w:val="33"/>
  </w:num>
  <w:num w:numId="34" w16cid:durableId="245267437">
    <w:abstractNumId w:val="46"/>
  </w:num>
  <w:num w:numId="35" w16cid:durableId="31530155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B59"/>
    <w:rsid w:val="00000263"/>
    <w:rsid w:val="000003C6"/>
    <w:rsid w:val="00000D17"/>
    <w:rsid w:val="00013223"/>
    <w:rsid w:val="00015BDD"/>
    <w:rsid w:val="00020D6F"/>
    <w:rsid w:val="0002431E"/>
    <w:rsid w:val="0002539E"/>
    <w:rsid w:val="00026170"/>
    <w:rsid w:val="00032024"/>
    <w:rsid w:val="00033E64"/>
    <w:rsid w:val="000356B0"/>
    <w:rsid w:val="00043751"/>
    <w:rsid w:val="00043E53"/>
    <w:rsid w:val="00046555"/>
    <w:rsid w:val="00052C24"/>
    <w:rsid w:val="0005728F"/>
    <w:rsid w:val="00060279"/>
    <w:rsid w:val="00063823"/>
    <w:rsid w:val="00064E0F"/>
    <w:rsid w:val="00067AA0"/>
    <w:rsid w:val="00067CED"/>
    <w:rsid w:val="00074163"/>
    <w:rsid w:val="00076BA1"/>
    <w:rsid w:val="00084961"/>
    <w:rsid w:val="00086203"/>
    <w:rsid w:val="000B1315"/>
    <w:rsid w:val="000B1FB1"/>
    <w:rsid w:val="000C4EFF"/>
    <w:rsid w:val="000D0E2D"/>
    <w:rsid w:val="000E0D6C"/>
    <w:rsid w:val="000E1054"/>
    <w:rsid w:val="000E1C16"/>
    <w:rsid w:val="000E1E2B"/>
    <w:rsid w:val="000F0409"/>
    <w:rsid w:val="000F2E79"/>
    <w:rsid w:val="000F4DC6"/>
    <w:rsid w:val="000F5E3C"/>
    <w:rsid w:val="000F7D65"/>
    <w:rsid w:val="000F7F9A"/>
    <w:rsid w:val="00107619"/>
    <w:rsid w:val="0010773C"/>
    <w:rsid w:val="001216D6"/>
    <w:rsid w:val="00131B89"/>
    <w:rsid w:val="001322F6"/>
    <w:rsid w:val="001361DA"/>
    <w:rsid w:val="00137046"/>
    <w:rsid w:val="001425AD"/>
    <w:rsid w:val="00145E6F"/>
    <w:rsid w:val="001461EC"/>
    <w:rsid w:val="00152233"/>
    <w:rsid w:val="00156092"/>
    <w:rsid w:val="001568C5"/>
    <w:rsid w:val="00160CFE"/>
    <w:rsid w:val="00194423"/>
    <w:rsid w:val="00195580"/>
    <w:rsid w:val="00197C2C"/>
    <w:rsid w:val="00197F9A"/>
    <w:rsid w:val="001A0DFD"/>
    <w:rsid w:val="001A24B0"/>
    <w:rsid w:val="001A542F"/>
    <w:rsid w:val="001B21B9"/>
    <w:rsid w:val="001C0C09"/>
    <w:rsid w:val="001C174B"/>
    <w:rsid w:val="001E2556"/>
    <w:rsid w:val="001E3643"/>
    <w:rsid w:val="001F3AB3"/>
    <w:rsid w:val="00200A74"/>
    <w:rsid w:val="0022042A"/>
    <w:rsid w:val="002237FA"/>
    <w:rsid w:val="00226A38"/>
    <w:rsid w:val="00234D08"/>
    <w:rsid w:val="00236A7A"/>
    <w:rsid w:val="00246BD9"/>
    <w:rsid w:val="00250FFD"/>
    <w:rsid w:val="00253C5B"/>
    <w:rsid w:val="00260444"/>
    <w:rsid w:val="002617F0"/>
    <w:rsid w:val="00261852"/>
    <w:rsid w:val="0026304D"/>
    <w:rsid w:val="00274E8F"/>
    <w:rsid w:val="002756D4"/>
    <w:rsid w:val="002769EA"/>
    <w:rsid w:val="002769EE"/>
    <w:rsid w:val="00276BBE"/>
    <w:rsid w:val="002776CD"/>
    <w:rsid w:val="002A1D50"/>
    <w:rsid w:val="002A344E"/>
    <w:rsid w:val="002A700A"/>
    <w:rsid w:val="002B6A8D"/>
    <w:rsid w:val="002C7EA3"/>
    <w:rsid w:val="002D277C"/>
    <w:rsid w:val="002D44EF"/>
    <w:rsid w:val="002D6743"/>
    <w:rsid w:val="002D7EC6"/>
    <w:rsid w:val="002F22BD"/>
    <w:rsid w:val="00301B34"/>
    <w:rsid w:val="003114F2"/>
    <w:rsid w:val="00315E5B"/>
    <w:rsid w:val="0032621D"/>
    <w:rsid w:val="003270AF"/>
    <w:rsid w:val="00337B4D"/>
    <w:rsid w:val="00343469"/>
    <w:rsid w:val="00346A05"/>
    <w:rsid w:val="00354D69"/>
    <w:rsid w:val="00354EDA"/>
    <w:rsid w:val="003617D7"/>
    <w:rsid w:val="0037501D"/>
    <w:rsid w:val="003767C1"/>
    <w:rsid w:val="00382826"/>
    <w:rsid w:val="00383963"/>
    <w:rsid w:val="00391BAA"/>
    <w:rsid w:val="00392879"/>
    <w:rsid w:val="003A09DC"/>
    <w:rsid w:val="003A3552"/>
    <w:rsid w:val="003A5DE5"/>
    <w:rsid w:val="003B6EEE"/>
    <w:rsid w:val="003D1ABD"/>
    <w:rsid w:val="003D70FC"/>
    <w:rsid w:val="003E743E"/>
    <w:rsid w:val="003E76B1"/>
    <w:rsid w:val="003F219F"/>
    <w:rsid w:val="003F6D67"/>
    <w:rsid w:val="00402885"/>
    <w:rsid w:val="004045C3"/>
    <w:rsid w:val="00404DD9"/>
    <w:rsid w:val="00422157"/>
    <w:rsid w:val="00422A96"/>
    <w:rsid w:val="00427A81"/>
    <w:rsid w:val="00432C2B"/>
    <w:rsid w:val="00432F74"/>
    <w:rsid w:val="00443570"/>
    <w:rsid w:val="00447655"/>
    <w:rsid w:val="00460213"/>
    <w:rsid w:val="00465967"/>
    <w:rsid w:val="00466B49"/>
    <w:rsid w:val="004722D3"/>
    <w:rsid w:val="004821B9"/>
    <w:rsid w:val="00482DD0"/>
    <w:rsid w:val="004837A6"/>
    <w:rsid w:val="00490E2E"/>
    <w:rsid w:val="004A213E"/>
    <w:rsid w:val="004A5025"/>
    <w:rsid w:val="004B6CBA"/>
    <w:rsid w:val="004C4734"/>
    <w:rsid w:val="004C4A16"/>
    <w:rsid w:val="004C68D1"/>
    <w:rsid w:val="004D39A0"/>
    <w:rsid w:val="004D5A38"/>
    <w:rsid w:val="004E193F"/>
    <w:rsid w:val="004F646F"/>
    <w:rsid w:val="00500AED"/>
    <w:rsid w:val="00501811"/>
    <w:rsid w:val="00504B59"/>
    <w:rsid w:val="00507C7B"/>
    <w:rsid w:val="00511F83"/>
    <w:rsid w:val="00513744"/>
    <w:rsid w:val="00515584"/>
    <w:rsid w:val="005174A1"/>
    <w:rsid w:val="00517754"/>
    <w:rsid w:val="005379F6"/>
    <w:rsid w:val="00541D09"/>
    <w:rsid w:val="005464B6"/>
    <w:rsid w:val="0055137F"/>
    <w:rsid w:val="00554DCB"/>
    <w:rsid w:val="005558DB"/>
    <w:rsid w:val="005615D6"/>
    <w:rsid w:val="00561B09"/>
    <w:rsid w:val="0056407D"/>
    <w:rsid w:val="00565B3C"/>
    <w:rsid w:val="005712B4"/>
    <w:rsid w:val="005769BE"/>
    <w:rsid w:val="0058231C"/>
    <w:rsid w:val="005829ED"/>
    <w:rsid w:val="00585CCA"/>
    <w:rsid w:val="00595440"/>
    <w:rsid w:val="00596E53"/>
    <w:rsid w:val="00597633"/>
    <w:rsid w:val="005979B4"/>
    <w:rsid w:val="005B1F9C"/>
    <w:rsid w:val="005B5531"/>
    <w:rsid w:val="005B73E0"/>
    <w:rsid w:val="005C1133"/>
    <w:rsid w:val="005F319C"/>
    <w:rsid w:val="005F7A2F"/>
    <w:rsid w:val="0060195A"/>
    <w:rsid w:val="00604E24"/>
    <w:rsid w:val="00613291"/>
    <w:rsid w:val="0061367B"/>
    <w:rsid w:val="0061653B"/>
    <w:rsid w:val="00624869"/>
    <w:rsid w:val="006445A9"/>
    <w:rsid w:val="00650741"/>
    <w:rsid w:val="00662465"/>
    <w:rsid w:val="0067409D"/>
    <w:rsid w:val="006800A0"/>
    <w:rsid w:val="006B3A60"/>
    <w:rsid w:val="006B455B"/>
    <w:rsid w:val="006C1D4A"/>
    <w:rsid w:val="006D1790"/>
    <w:rsid w:val="006D3CDA"/>
    <w:rsid w:val="006D62A8"/>
    <w:rsid w:val="006E1A4A"/>
    <w:rsid w:val="006E4DFA"/>
    <w:rsid w:val="007015A7"/>
    <w:rsid w:val="00723757"/>
    <w:rsid w:val="00735054"/>
    <w:rsid w:val="0073708A"/>
    <w:rsid w:val="0074091C"/>
    <w:rsid w:val="00772076"/>
    <w:rsid w:val="0077484F"/>
    <w:rsid w:val="00774E2E"/>
    <w:rsid w:val="0078654C"/>
    <w:rsid w:val="00787EFB"/>
    <w:rsid w:val="00793B35"/>
    <w:rsid w:val="007B4A88"/>
    <w:rsid w:val="007B6186"/>
    <w:rsid w:val="007C4322"/>
    <w:rsid w:val="007D76E6"/>
    <w:rsid w:val="007D795F"/>
    <w:rsid w:val="007E14D2"/>
    <w:rsid w:val="007E4DD1"/>
    <w:rsid w:val="007E6564"/>
    <w:rsid w:val="007E7845"/>
    <w:rsid w:val="007F5062"/>
    <w:rsid w:val="007F5C50"/>
    <w:rsid w:val="007F7FD8"/>
    <w:rsid w:val="008058BD"/>
    <w:rsid w:val="008112BA"/>
    <w:rsid w:val="00814F52"/>
    <w:rsid w:val="008204A3"/>
    <w:rsid w:val="00821CB4"/>
    <w:rsid w:val="008273F8"/>
    <w:rsid w:val="00840F39"/>
    <w:rsid w:val="00850CCA"/>
    <w:rsid w:val="008604D2"/>
    <w:rsid w:val="00862A24"/>
    <w:rsid w:val="00875936"/>
    <w:rsid w:val="008837E4"/>
    <w:rsid w:val="008871D2"/>
    <w:rsid w:val="00890057"/>
    <w:rsid w:val="00897CE0"/>
    <w:rsid w:val="008A1F69"/>
    <w:rsid w:val="008A2CE2"/>
    <w:rsid w:val="008B1EF9"/>
    <w:rsid w:val="008B2F13"/>
    <w:rsid w:val="008C04C2"/>
    <w:rsid w:val="008C325F"/>
    <w:rsid w:val="008C3A96"/>
    <w:rsid w:val="008C4EE6"/>
    <w:rsid w:val="008C65F9"/>
    <w:rsid w:val="008D3A52"/>
    <w:rsid w:val="008F044D"/>
    <w:rsid w:val="008F27F5"/>
    <w:rsid w:val="008F4145"/>
    <w:rsid w:val="00903909"/>
    <w:rsid w:val="00907757"/>
    <w:rsid w:val="00910EDE"/>
    <w:rsid w:val="00917427"/>
    <w:rsid w:val="009238D9"/>
    <w:rsid w:val="00934C8D"/>
    <w:rsid w:val="009541F8"/>
    <w:rsid w:val="00955822"/>
    <w:rsid w:val="0095651C"/>
    <w:rsid w:val="009628C2"/>
    <w:rsid w:val="009674D5"/>
    <w:rsid w:val="00973B7D"/>
    <w:rsid w:val="00974F17"/>
    <w:rsid w:val="009808D0"/>
    <w:rsid w:val="00991A15"/>
    <w:rsid w:val="009925BE"/>
    <w:rsid w:val="00993E65"/>
    <w:rsid w:val="009A40B1"/>
    <w:rsid w:val="009A769F"/>
    <w:rsid w:val="009B307B"/>
    <w:rsid w:val="009D1AF7"/>
    <w:rsid w:val="009D4726"/>
    <w:rsid w:val="009E12DC"/>
    <w:rsid w:val="009E2F6A"/>
    <w:rsid w:val="009E3E34"/>
    <w:rsid w:val="009F4F2F"/>
    <w:rsid w:val="009F636A"/>
    <w:rsid w:val="009F6C41"/>
    <w:rsid w:val="00A00373"/>
    <w:rsid w:val="00A1047A"/>
    <w:rsid w:val="00A27EC6"/>
    <w:rsid w:val="00A325A6"/>
    <w:rsid w:val="00A4063D"/>
    <w:rsid w:val="00A5141D"/>
    <w:rsid w:val="00A555A9"/>
    <w:rsid w:val="00A55BB2"/>
    <w:rsid w:val="00A56739"/>
    <w:rsid w:val="00A5675F"/>
    <w:rsid w:val="00A57A6F"/>
    <w:rsid w:val="00A60E5C"/>
    <w:rsid w:val="00A7643E"/>
    <w:rsid w:val="00A7644D"/>
    <w:rsid w:val="00A9056D"/>
    <w:rsid w:val="00A9180D"/>
    <w:rsid w:val="00A91866"/>
    <w:rsid w:val="00A91FCF"/>
    <w:rsid w:val="00A96BF0"/>
    <w:rsid w:val="00A97759"/>
    <w:rsid w:val="00AA1CF9"/>
    <w:rsid w:val="00AA65AC"/>
    <w:rsid w:val="00AB771B"/>
    <w:rsid w:val="00AB7DFE"/>
    <w:rsid w:val="00AC026E"/>
    <w:rsid w:val="00AC1D95"/>
    <w:rsid w:val="00AC6E8E"/>
    <w:rsid w:val="00AD3CB7"/>
    <w:rsid w:val="00AD4231"/>
    <w:rsid w:val="00AD62E1"/>
    <w:rsid w:val="00AF1E47"/>
    <w:rsid w:val="00AF6968"/>
    <w:rsid w:val="00B05F3E"/>
    <w:rsid w:val="00B11470"/>
    <w:rsid w:val="00B12439"/>
    <w:rsid w:val="00B17CF1"/>
    <w:rsid w:val="00B22306"/>
    <w:rsid w:val="00B22415"/>
    <w:rsid w:val="00B26C75"/>
    <w:rsid w:val="00B408C7"/>
    <w:rsid w:val="00B57013"/>
    <w:rsid w:val="00B60FF9"/>
    <w:rsid w:val="00B610D5"/>
    <w:rsid w:val="00B6347C"/>
    <w:rsid w:val="00B722DB"/>
    <w:rsid w:val="00B7751A"/>
    <w:rsid w:val="00B77BA1"/>
    <w:rsid w:val="00B80A16"/>
    <w:rsid w:val="00B85956"/>
    <w:rsid w:val="00B9487E"/>
    <w:rsid w:val="00B9634C"/>
    <w:rsid w:val="00BA29C4"/>
    <w:rsid w:val="00BA5F43"/>
    <w:rsid w:val="00BB01F2"/>
    <w:rsid w:val="00BC550A"/>
    <w:rsid w:val="00BC5EF3"/>
    <w:rsid w:val="00BC6B7C"/>
    <w:rsid w:val="00BD0D73"/>
    <w:rsid w:val="00BE0092"/>
    <w:rsid w:val="00BE153E"/>
    <w:rsid w:val="00BE386D"/>
    <w:rsid w:val="00BE50B1"/>
    <w:rsid w:val="00BE50C4"/>
    <w:rsid w:val="00BF116B"/>
    <w:rsid w:val="00BF370D"/>
    <w:rsid w:val="00BF5103"/>
    <w:rsid w:val="00C008AB"/>
    <w:rsid w:val="00C0461C"/>
    <w:rsid w:val="00C115F5"/>
    <w:rsid w:val="00C16988"/>
    <w:rsid w:val="00C218C2"/>
    <w:rsid w:val="00C230FB"/>
    <w:rsid w:val="00C26FC0"/>
    <w:rsid w:val="00C319AB"/>
    <w:rsid w:val="00C37CD8"/>
    <w:rsid w:val="00C405A5"/>
    <w:rsid w:val="00C43EA7"/>
    <w:rsid w:val="00C50CCD"/>
    <w:rsid w:val="00C56E70"/>
    <w:rsid w:val="00C63CAB"/>
    <w:rsid w:val="00C654E3"/>
    <w:rsid w:val="00C70E56"/>
    <w:rsid w:val="00C7479E"/>
    <w:rsid w:val="00C77F79"/>
    <w:rsid w:val="00C80AA3"/>
    <w:rsid w:val="00C850CC"/>
    <w:rsid w:val="00CA28D5"/>
    <w:rsid w:val="00CA2BA1"/>
    <w:rsid w:val="00CB0A80"/>
    <w:rsid w:val="00CB79E2"/>
    <w:rsid w:val="00CC21A8"/>
    <w:rsid w:val="00CC47FD"/>
    <w:rsid w:val="00CC579B"/>
    <w:rsid w:val="00CC744C"/>
    <w:rsid w:val="00CD3D85"/>
    <w:rsid w:val="00CE3842"/>
    <w:rsid w:val="00CF0D71"/>
    <w:rsid w:val="00CF7C3E"/>
    <w:rsid w:val="00D118A2"/>
    <w:rsid w:val="00D12144"/>
    <w:rsid w:val="00D12ADB"/>
    <w:rsid w:val="00D13EDC"/>
    <w:rsid w:val="00D21B9C"/>
    <w:rsid w:val="00D25C39"/>
    <w:rsid w:val="00D25FB6"/>
    <w:rsid w:val="00D7546D"/>
    <w:rsid w:val="00DA0739"/>
    <w:rsid w:val="00DA3DC8"/>
    <w:rsid w:val="00DA5E58"/>
    <w:rsid w:val="00DB22B4"/>
    <w:rsid w:val="00DB24B9"/>
    <w:rsid w:val="00DB2651"/>
    <w:rsid w:val="00DD657C"/>
    <w:rsid w:val="00DE2757"/>
    <w:rsid w:val="00DE65F3"/>
    <w:rsid w:val="00DF1BF4"/>
    <w:rsid w:val="00DF3BB6"/>
    <w:rsid w:val="00DF7274"/>
    <w:rsid w:val="00E03CBD"/>
    <w:rsid w:val="00E05802"/>
    <w:rsid w:val="00E11811"/>
    <w:rsid w:val="00E13BA7"/>
    <w:rsid w:val="00E14F49"/>
    <w:rsid w:val="00E201E5"/>
    <w:rsid w:val="00E20E93"/>
    <w:rsid w:val="00E23D30"/>
    <w:rsid w:val="00E253AF"/>
    <w:rsid w:val="00E273DE"/>
    <w:rsid w:val="00E31FE4"/>
    <w:rsid w:val="00E37167"/>
    <w:rsid w:val="00E4088D"/>
    <w:rsid w:val="00E42A28"/>
    <w:rsid w:val="00E46F78"/>
    <w:rsid w:val="00E61DCD"/>
    <w:rsid w:val="00E63992"/>
    <w:rsid w:val="00E7468D"/>
    <w:rsid w:val="00E81D44"/>
    <w:rsid w:val="00E83A71"/>
    <w:rsid w:val="00E85EA4"/>
    <w:rsid w:val="00E92E6A"/>
    <w:rsid w:val="00E949BF"/>
    <w:rsid w:val="00EA4C2A"/>
    <w:rsid w:val="00EA546D"/>
    <w:rsid w:val="00EAF11D"/>
    <w:rsid w:val="00EC10FF"/>
    <w:rsid w:val="00ED3C0C"/>
    <w:rsid w:val="00EE3F84"/>
    <w:rsid w:val="00EE428E"/>
    <w:rsid w:val="00EE5738"/>
    <w:rsid w:val="00EE6245"/>
    <w:rsid w:val="00EF40B2"/>
    <w:rsid w:val="00F0533E"/>
    <w:rsid w:val="00F064FD"/>
    <w:rsid w:val="00F1750B"/>
    <w:rsid w:val="00F2738E"/>
    <w:rsid w:val="00F432C5"/>
    <w:rsid w:val="00F432D0"/>
    <w:rsid w:val="00F44F9B"/>
    <w:rsid w:val="00F607EF"/>
    <w:rsid w:val="00F6650C"/>
    <w:rsid w:val="00F736E2"/>
    <w:rsid w:val="00F76B83"/>
    <w:rsid w:val="00F76DF9"/>
    <w:rsid w:val="00F8418A"/>
    <w:rsid w:val="00F870F8"/>
    <w:rsid w:val="00F91E42"/>
    <w:rsid w:val="00F92813"/>
    <w:rsid w:val="00F93FE4"/>
    <w:rsid w:val="00F96CF5"/>
    <w:rsid w:val="00FA1C3A"/>
    <w:rsid w:val="00FA2890"/>
    <w:rsid w:val="00FA53F1"/>
    <w:rsid w:val="00FA57FB"/>
    <w:rsid w:val="00FA6EDB"/>
    <w:rsid w:val="00FB252E"/>
    <w:rsid w:val="00FB50CD"/>
    <w:rsid w:val="00FD0DE9"/>
    <w:rsid w:val="00FF3A75"/>
    <w:rsid w:val="0206033A"/>
    <w:rsid w:val="0224E409"/>
    <w:rsid w:val="0229F510"/>
    <w:rsid w:val="0251A18C"/>
    <w:rsid w:val="02C1A66E"/>
    <w:rsid w:val="02DF2216"/>
    <w:rsid w:val="032617EF"/>
    <w:rsid w:val="0335BF55"/>
    <w:rsid w:val="033BA4EC"/>
    <w:rsid w:val="033C9758"/>
    <w:rsid w:val="03AC1795"/>
    <w:rsid w:val="03D90864"/>
    <w:rsid w:val="03E789E6"/>
    <w:rsid w:val="044722C4"/>
    <w:rsid w:val="04C67168"/>
    <w:rsid w:val="04C7FF0E"/>
    <w:rsid w:val="04CA7A2A"/>
    <w:rsid w:val="04CAC69D"/>
    <w:rsid w:val="04D35F53"/>
    <w:rsid w:val="052A44D2"/>
    <w:rsid w:val="05406AF9"/>
    <w:rsid w:val="0596661E"/>
    <w:rsid w:val="05B6B8AD"/>
    <w:rsid w:val="063AF95E"/>
    <w:rsid w:val="066537EE"/>
    <w:rsid w:val="06823B8B"/>
    <w:rsid w:val="06D86D51"/>
    <w:rsid w:val="0768032B"/>
    <w:rsid w:val="08AF268E"/>
    <w:rsid w:val="08FDDEA3"/>
    <w:rsid w:val="08FEB687"/>
    <w:rsid w:val="090A1D77"/>
    <w:rsid w:val="091A93E7"/>
    <w:rsid w:val="092A5B06"/>
    <w:rsid w:val="094E639A"/>
    <w:rsid w:val="09AB9064"/>
    <w:rsid w:val="0A08361B"/>
    <w:rsid w:val="0A3A88D3"/>
    <w:rsid w:val="0AB66448"/>
    <w:rsid w:val="0ACCB853"/>
    <w:rsid w:val="0AD10B9E"/>
    <w:rsid w:val="0ADFC3BE"/>
    <w:rsid w:val="0B28A6B2"/>
    <w:rsid w:val="0B344745"/>
    <w:rsid w:val="0B54B50B"/>
    <w:rsid w:val="0B55ACAE"/>
    <w:rsid w:val="0BA6819F"/>
    <w:rsid w:val="0BB1B5C1"/>
    <w:rsid w:val="0BFB53C2"/>
    <w:rsid w:val="0C3EB978"/>
    <w:rsid w:val="0CFBC2C8"/>
    <w:rsid w:val="0D1C3040"/>
    <w:rsid w:val="0D262D0F"/>
    <w:rsid w:val="0D92B2AA"/>
    <w:rsid w:val="0E0464FD"/>
    <w:rsid w:val="0E0A271D"/>
    <w:rsid w:val="0E46BCCE"/>
    <w:rsid w:val="0EF7E473"/>
    <w:rsid w:val="0FA02976"/>
    <w:rsid w:val="0FC2EA51"/>
    <w:rsid w:val="0FD387FF"/>
    <w:rsid w:val="0FE2EF78"/>
    <w:rsid w:val="0FEA9A5D"/>
    <w:rsid w:val="10108DE7"/>
    <w:rsid w:val="1096D817"/>
    <w:rsid w:val="1151DCDF"/>
    <w:rsid w:val="1159757F"/>
    <w:rsid w:val="1159E1B3"/>
    <w:rsid w:val="119335EB"/>
    <w:rsid w:val="119F1E5B"/>
    <w:rsid w:val="1246C130"/>
    <w:rsid w:val="127DFB6F"/>
    <w:rsid w:val="12C167F9"/>
    <w:rsid w:val="12FB012D"/>
    <w:rsid w:val="13E11B4D"/>
    <w:rsid w:val="13E13B58"/>
    <w:rsid w:val="1419CBD0"/>
    <w:rsid w:val="143140FB"/>
    <w:rsid w:val="14B8FA32"/>
    <w:rsid w:val="14C9C6C4"/>
    <w:rsid w:val="15020E2D"/>
    <w:rsid w:val="152BE1F8"/>
    <w:rsid w:val="157509BB"/>
    <w:rsid w:val="161B89FC"/>
    <w:rsid w:val="1654B61A"/>
    <w:rsid w:val="16E6D761"/>
    <w:rsid w:val="175FEE14"/>
    <w:rsid w:val="17849B51"/>
    <w:rsid w:val="1796C8E0"/>
    <w:rsid w:val="17F0FDCA"/>
    <w:rsid w:val="18063278"/>
    <w:rsid w:val="18338DE6"/>
    <w:rsid w:val="18A8D0E3"/>
    <w:rsid w:val="18B48C70"/>
    <w:rsid w:val="18C5636C"/>
    <w:rsid w:val="18D17D38"/>
    <w:rsid w:val="18E4A969"/>
    <w:rsid w:val="18F6A04B"/>
    <w:rsid w:val="194EF942"/>
    <w:rsid w:val="19BF6280"/>
    <w:rsid w:val="19D7ED9D"/>
    <w:rsid w:val="1A247AA4"/>
    <w:rsid w:val="1A6133CD"/>
    <w:rsid w:val="1A7D94B1"/>
    <w:rsid w:val="1AAD9481"/>
    <w:rsid w:val="1B20DBC6"/>
    <w:rsid w:val="1B480F77"/>
    <w:rsid w:val="1B4C13DC"/>
    <w:rsid w:val="1BE37BAC"/>
    <w:rsid w:val="1C02615A"/>
    <w:rsid w:val="1C5B8803"/>
    <w:rsid w:val="1C869A04"/>
    <w:rsid w:val="1CE6E51B"/>
    <w:rsid w:val="1D90574D"/>
    <w:rsid w:val="1DD3A7D4"/>
    <w:rsid w:val="1DECED7E"/>
    <w:rsid w:val="1E0D7384"/>
    <w:rsid w:val="1E26BDB0"/>
    <w:rsid w:val="1E40706F"/>
    <w:rsid w:val="1EAB5EC0"/>
    <w:rsid w:val="1EDEC36A"/>
    <w:rsid w:val="1FC888A1"/>
    <w:rsid w:val="1FD74D48"/>
    <w:rsid w:val="201AFAED"/>
    <w:rsid w:val="20B71E17"/>
    <w:rsid w:val="20BA2332"/>
    <w:rsid w:val="20C7F80F"/>
    <w:rsid w:val="20FCD3CC"/>
    <w:rsid w:val="21C9D725"/>
    <w:rsid w:val="21EAD5A6"/>
    <w:rsid w:val="21EE4939"/>
    <w:rsid w:val="22373B08"/>
    <w:rsid w:val="225D831C"/>
    <w:rsid w:val="2340A07F"/>
    <w:rsid w:val="23424F85"/>
    <w:rsid w:val="23529BAF"/>
    <w:rsid w:val="236E2DBB"/>
    <w:rsid w:val="23867A61"/>
    <w:rsid w:val="23BBD94C"/>
    <w:rsid w:val="23BF78EB"/>
    <w:rsid w:val="2416CDD3"/>
    <w:rsid w:val="2429482D"/>
    <w:rsid w:val="24778D31"/>
    <w:rsid w:val="247EE230"/>
    <w:rsid w:val="24C9BEDD"/>
    <w:rsid w:val="24F2F622"/>
    <w:rsid w:val="250CD179"/>
    <w:rsid w:val="258185AE"/>
    <w:rsid w:val="2584DC02"/>
    <w:rsid w:val="25943836"/>
    <w:rsid w:val="259AFCFE"/>
    <w:rsid w:val="25AC2DD4"/>
    <w:rsid w:val="25CEF587"/>
    <w:rsid w:val="25F7FD61"/>
    <w:rsid w:val="2654625C"/>
    <w:rsid w:val="2659E4F0"/>
    <w:rsid w:val="2720AC63"/>
    <w:rsid w:val="2757656E"/>
    <w:rsid w:val="27828976"/>
    <w:rsid w:val="2793CDC2"/>
    <w:rsid w:val="280B046D"/>
    <w:rsid w:val="28C53517"/>
    <w:rsid w:val="291A7BB1"/>
    <w:rsid w:val="29AA42FE"/>
    <w:rsid w:val="29B60998"/>
    <w:rsid w:val="29BEDFA4"/>
    <w:rsid w:val="29EDAEC2"/>
    <w:rsid w:val="2A425E79"/>
    <w:rsid w:val="2A473FBA"/>
    <w:rsid w:val="2A4B1684"/>
    <w:rsid w:val="2ABA2A38"/>
    <w:rsid w:val="2ABD6721"/>
    <w:rsid w:val="2AC8ABFD"/>
    <w:rsid w:val="2AE2FFB3"/>
    <w:rsid w:val="2BCDD1F3"/>
    <w:rsid w:val="2BD0B14E"/>
    <w:rsid w:val="2C2AD691"/>
    <w:rsid w:val="2C5F4328"/>
    <w:rsid w:val="2D809945"/>
    <w:rsid w:val="2E0305D1"/>
    <w:rsid w:val="2E1EF9F3"/>
    <w:rsid w:val="2E7F4FDC"/>
    <w:rsid w:val="2E9C4AFB"/>
    <w:rsid w:val="2EB1F264"/>
    <w:rsid w:val="2EEA9CA0"/>
    <w:rsid w:val="2F0B190D"/>
    <w:rsid w:val="2F207D1D"/>
    <w:rsid w:val="2F967625"/>
    <w:rsid w:val="2FAFB73D"/>
    <w:rsid w:val="2FD14065"/>
    <w:rsid w:val="30093827"/>
    <w:rsid w:val="3014DD67"/>
    <w:rsid w:val="30180389"/>
    <w:rsid w:val="301CB423"/>
    <w:rsid w:val="3061AB21"/>
    <w:rsid w:val="3080341A"/>
    <w:rsid w:val="30AAD64C"/>
    <w:rsid w:val="30CBB212"/>
    <w:rsid w:val="30F5EC4C"/>
    <w:rsid w:val="31296BBC"/>
    <w:rsid w:val="313CEF7E"/>
    <w:rsid w:val="319A28BE"/>
    <w:rsid w:val="31B19EA9"/>
    <w:rsid w:val="31C121A0"/>
    <w:rsid w:val="32336E50"/>
    <w:rsid w:val="337723B6"/>
    <w:rsid w:val="3392FEF0"/>
    <w:rsid w:val="33C6DA68"/>
    <w:rsid w:val="344227E4"/>
    <w:rsid w:val="345A5687"/>
    <w:rsid w:val="348F9E6D"/>
    <w:rsid w:val="34D03ADC"/>
    <w:rsid w:val="357D53F7"/>
    <w:rsid w:val="358A41B3"/>
    <w:rsid w:val="35EAD7D3"/>
    <w:rsid w:val="367A17D5"/>
    <w:rsid w:val="36BBA012"/>
    <w:rsid w:val="373C1538"/>
    <w:rsid w:val="37449FC8"/>
    <w:rsid w:val="37B405F5"/>
    <w:rsid w:val="382563E2"/>
    <w:rsid w:val="383F165D"/>
    <w:rsid w:val="38937309"/>
    <w:rsid w:val="38C18A40"/>
    <w:rsid w:val="38DA8E14"/>
    <w:rsid w:val="3929D709"/>
    <w:rsid w:val="396641E6"/>
    <w:rsid w:val="397C113C"/>
    <w:rsid w:val="39C3998C"/>
    <w:rsid w:val="3A12B84D"/>
    <w:rsid w:val="3A248C26"/>
    <w:rsid w:val="3A5A2EB7"/>
    <w:rsid w:val="3A8CDEDB"/>
    <w:rsid w:val="3AB29B93"/>
    <w:rsid w:val="3AC00889"/>
    <w:rsid w:val="3B6335A4"/>
    <w:rsid w:val="3BCA3B21"/>
    <w:rsid w:val="3BE16880"/>
    <w:rsid w:val="3BF59CDE"/>
    <w:rsid w:val="3C6177CB"/>
    <w:rsid w:val="3CE9F068"/>
    <w:rsid w:val="3CF36442"/>
    <w:rsid w:val="3D45C71F"/>
    <w:rsid w:val="3E2EA915"/>
    <w:rsid w:val="3E5379F2"/>
    <w:rsid w:val="3E5B63E1"/>
    <w:rsid w:val="3F04B423"/>
    <w:rsid w:val="3F6C3468"/>
    <w:rsid w:val="3F853A36"/>
    <w:rsid w:val="3FC9AABF"/>
    <w:rsid w:val="402EDD73"/>
    <w:rsid w:val="40DAFFF8"/>
    <w:rsid w:val="410330A7"/>
    <w:rsid w:val="4111CA3A"/>
    <w:rsid w:val="41364AEB"/>
    <w:rsid w:val="415F0F06"/>
    <w:rsid w:val="417517E4"/>
    <w:rsid w:val="41BF6A61"/>
    <w:rsid w:val="4236504B"/>
    <w:rsid w:val="42A3B353"/>
    <w:rsid w:val="42A763E0"/>
    <w:rsid w:val="43879C0E"/>
    <w:rsid w:val="43A3FED2"/>
    <w:rsid w:val="43FB426C"/>
    <w:rsid w:val="446C3AEB"/>
    <w:rsid w:val="44883F27"/>
    <w:rsid w:val="44D6FAB9"/>
    <w:rsid w:val="453FCF33"/>
    <w:rsid w:val="454052E1"/>
    <w:rsid w:val="462A4A58"/>
    <w:rsid w:val="4642B3CA"/>
    <w:rsid w:val="46488907"/>
    <w:rsid w:val="466BBB54"/>
    <w:rsid w:val="46B58C62"/>
    <w:rsid w:val="46CE7352"/>
    <w:rsid w:val="471B3617"/>
    <w:rsid w:val="471C0B91"/>
    <w:rsid w:val="4787CC83"/>
    <w:rsid w:val="47A06555"/>
    <w:rsid w:val="47AD6162"/>
    <w:rsid w:val="47BB9198"/>
    <w:rsid w:val="47CC96CB"/>
    <w:rsid w:val="47DEDBA6"/>
    <w:rsid w:val="47ECD054"/>
    <w:rsid w:val="48BE3CAE"/>
    <w:rsid w:val="48CCE980"/>
    <w:rsid w:val="48F8E967"/>
    <w:rsid w:val="494AA16B"/>
    <w:rsid w:val="4984A8EF"/>
    <w:rsid w:val="49BB0DBC"/>
    <w:rsid w:val="4A10734A"/>
    <w:rsid w:val="4A43BF1C"/>
    <w:rsid w:val="4AE671CC"/>
    <w:rsid w:val="4C493F4F"/>
    <w:rsid w:val="4C6A6CF1"/>
    <w:rsid w:val="4C82422D"/>
    <w:rsid w:val="4CBEA9AD"/>
    <w:rsid w:val="4CF0165C"/>
    <w:rsid w:val="4D19CC9C"/>
    <w:rsid w:val="4D4ADBAB"/>
    <w:rsid w:val="4D6A30C5"/>
    <w:rsid w:val="4DA5D936"/>
    <w:rsid w:val="4DB3B2F7"/>
    <w:rsid w:val="4DC5FFD5"/>
    <w:rsid w:val="4E282211"/>
    <w:rsid w:val="4E577488"/>
    <w:rsid w:val="4ED7A1A9"/>
    <w:rsid w:val="4EDDC29A"/>
    <w:rsid w:val="4EEB3DE9"/>
    <w:rsid w:val="4F344748"/>
    <w:rsid w:val="4F428062"/>
    <w:rsid w:val="4F4F8358"/>
    <w:rsid w:val="4FF9116C"/>
    <w:rsid w:val="500E9677"/>
    <w:rsid w:val="5027B71E"/>
    <w:rsid w:val="503A8DF8"/>
    <w:rsid w:val="508A6F60"/>
    <w:rsid w:val="512F1BB8"/>
    <w:rsid w:val="513F0C30"/>
    <w:rsid w:val="51584DE1"/>
    <w:rsid w:val="51A1CD78"/>
    <w:rsid w:val="51FBF785"/>
    <w:rsid w:val="528F11A0"/>
    <w:rsid w:val="52D1454B"/>
    <w:rsid w:val="52DAEC48"/>
    <w:rsid w:val="531308A2"/>
    <w:rsid w:val="533EEF0C"/>
    <w:rsid w:val="53A7E90E"/>
    <w:rsid w:val="54036008"/>
    <w:rsid w:val="5450F847"/>
    <w:rsid w:val="547172A3"/>
    <w:rsid w:val="547C24B2"/>
    <w:rsid w:val="54B9C712"/>
    <w:rsid w:val="54BBE001"/>
    <w:rsid w:val="54BFE13A"/>
    <w:rsid w:val="5501C20A"/>
    <w:rsid w:val="551F383B"/>
    <w:rsid w:val="5536A1C4"/>
    <w:rsid w:val="553B95B0"/>
    <w:rsid w:val="555DE083"/>
    <w:rsid w:val="55EA3A7D"/>
    <w:rsid w:val="565BB19B"/>
    <w:rsid w:val="56A9CF7C"/>
    <w:rsid w:val="56CBB02C"/>
    <w:rsid w:val="56D17F3D"/>
    <w:rsid w:val="573DC7C7"/>
    <w:rsid w:val="5787B830"/>
    <w:rsid w:val="5794170F"/>
    <w:rsid w:val="57BF403C"/>
    <w:rsid w:val="57E3DCB1"/>
    <w:rsid w:val="57FD3CB7"/>
    <w:rsid w:val="580C974C"/>
    <w:rsid w:val="588C3E1C"/>
    <w:rsid w:val="58B81D28"/>
    <w:rsid w:val="58F6659E"/>
    <w:rsid w:val="59F491BD"/>
    <w:rsid w:val="5A38AFAE"/>
    <w:rsid w:val="5AAD0521"/>
    <w:rsid w:val="5AAEF34A"/>
    <w:rsid w:val="5B01F674"/>
    <w:rsid w:val="5BB54D5F"/>
    <w:rsid w:val="5BB73835"/>
    <w:rsid w:val="5CA32A45"/>
    <w:rsid w:val="5D21D282"/>
    <w:rsid w:val="5D638C32"/>
    <w:rsid w:val="5D911905"/>
    <w:rsid w:val="5E228DB8"/>
    <w:rsid w:val="5EDC367C"/>
    <w:rsid w:val="5EEB9A6C"/>
    <w:rsid w:val="5F0ED0EE"/>
    <w:rsid w:val="5F871F4E"/>
    <w:rsid w:val="5F98344A"/>
    <w:rsid w:val="5FBC30CC"/>
    <w:rsid w:val="5FC59E7D"/>
    <w:rsid w:val="5FD7F387"/>
    <w:rsid w:val="60192F96"/>
    <w:rsid w:val="604DAA61"/>
    <w:rsid w:val="60A130F9"/>
    <w:rsid w:val="60DB9D3E"/>
    <w:rsid w:val="610C9253"/>
    <w:rsid w:val="6125631B"/>
    <w:rsid w:val="6137332F"/>
    <w:rsid w:val="61397FCE"/>
    <w:rsid w:val="614D2D08"/>
    <w:rsid w:val="61E75C58"/>
    <w:rsid w:val="6246DDE5"/>
    <w:rsid w:val="6284B7FA"/>
    <w:rsid w:val="62D7E7B5"/>
    <w:rsid w:val="630F9449"/>
    <w:rsid w:val="636B7CDE"/>
    <w:rsid w:val="6382FB31"/>
    <w:rsid w:val="641D3935"/>
    <w:rsid w:val="642D8C3E"/>
    <w:rsid w:val="6464DE96"/>
    <w:rsid w:val="64A7CEF8"/>
    <w:rsid w:val="64A8EDEC"/>
    <w:rsid w:val="651BEBEF"/>
    <w:rsid w:val="656CD79B"/>
    <w:rsid w:val="6620026D"/>
    <w:rsid w:val="669C2AE8"/>
    <w:rsid w:val="66A400F4"/>
    <w:rsid w:val="66E7F7BB"/>
    <w:rsid w:val="672D0EB3"/>
    <w:rsid w:val="673AB8ED"/>
    <w:rsid w:val="674967DA"/>
    <w:rsid w:val="6763B6C8"/>
    <w:rsid w:val="6789633D"/>
    <w:rsid w:val="67C724B5"/>
    <w:rsid w:val="6878446C"/>
    <w:rsid w:val="68AF359E"/>
    <w:rsid w:val="6915DB34"/>
    <w:rsid w:val="692072C2"/>
    <w:rsid w:val="69AF821D"/>
    <w:rsid w:val="69ED169E"/>
    <w:rsid w:val="6A597C92"/>
    <w:rsid w:val="6A5F611D"/>
    <w:rsid w:val="6B08E7A9"/>
    <w:rsid w:val="6B3F86C2"/>
    <w:rsid w:val="6B65F9D4"/>
    <w:rsid w:val="6BD95E50"/>
    <w:rsid w:val="6C185390"/>
    <w:rsid w:val="6CEBA49C"/>
    <w:rsid w:val="6CF225C8"/>
    <w:rsid w:val="6CFD76EA"/>
    <w:rsid w:val="6D01CA35"/>
    <w:rsid w:val="6D26B246"/>
    <w:rsid w:val="6D5A3711"/>
    <w:rsid w:val="6D735F6E"/>
    <w:rsid w:val="6DC5624E"/>
    <w:rsid w:val="6E216079"/>
    <w:rsid w:val="6E4EFA9F"/>
    <w:rsid w:val="6E7CE74A"/>
    <w:rsid w:val="6E9D9A96"/>
    <w:rsid w:val="6F155CE9"/>
    <w:rsid w:val="6F216EC1"/>
    <w:rsid w:val="6F223BA6"/>
    <w:rsid w:val="6F54CD1D"/>
    <w:rsid w:val="6F616D2C"/>
    <w:rsid w:val="70EADEC4"/>
    <w:rsid w:val="70EE9EC6"/>
    <w:rsid w:val="713F7600"/>
    <w:rsid w:val="717DE52C"/>
    <w:rsid w:val="71BB97E1"/>
    <w:rsid w:val="71F71B39"/>
    <w:rsid w:val="7205F11A"/>
    <w:rsid w:val="721597BB"/>
    <w:rsid w:val="7298E471"/>
    <w:rsid w:val="72C67404"/>
    <w:rsid w:val="72D963BF"/>
    <w:rsid w:val="72E5F8D6"/>
    <w:rsid w:val="7350C203"/>
    <w:rsid w:val="73C40185"/>
    <w:rsid w:val="73F48BE1"/>
    <w:rsid w:val="74197B06"/>
    <w:rsid w:val="74422B9C"/>
    <w:rsid w:val="744681BA"/>
    <w:rsid w:val="746FAC79"/>
    <w:rsid w:val="74C81FF1"/>
    <w:rsid w:val="74E601F3"/>
    <w:rsid w:val="75189BCE"/>
    <w:rsid w:val="754B4ED1"/>
    <w:rsid w:val="7611D9E4"/>
    <w:rsid w:val="761449CD"/>
    <w:rsid w:val="762B6EB8"/>
    <w:rsid w:val="76463E05"/>
    <w:rsid w:val="764B9A50"/>
    <w:rsid w:val="7665465B"/>
    <w:rsid w:val="766ED0D2"/>
    <w:rsid w:val="77437062"/>
    <w:rsid w:val="777E80F6"/>
    <w:rsid w:val="779443A1"/>
    <w:rsid w:val="77E3B860"/>
    <w:rsid w:val="7873881A"/>
    <w:rsid w:val="78BE7DAB"/>
    <w:rsid w:val="78C4F12A"/>
    <w:rsid w:val="78CC267B"/>
    <w:rsid w:val="78FAF458"/>
    <w:rsid w:val="79612245"/>
    <w:rsid w:val="79630F7A"/>
    <w:rsid w:val="79B3E954"/>
    <w:rsid w:val="79D72FFC"/>
    <w:rsid w:val="79DF6125"/>
    <w:rsid w:val="7A32261D"/>
    <w:rsid w:val="7A3963DC"/>
    <w:rsid w:val="7A60C18B"/>
    <w:rsid w:val="7B155348"/>
    <w:rsid w:val="7B2FB26B"/>
    <w:rsid w:val="7B34EA2F"/>
    <w:rsid w:val="7B453FC7"/>
    <w:rsid w:val="7B7B3186"/>
    <w:rsid w:val="7BB44554"/>
    <w:rsid w:val="7BE32745"/>
    <w:rsid w:val="7C5100A3"/>
    <w:rsid w:val="7C5F54EA"/>
    <w:rsid w:val="7C91F264"/>
    <w:rsid w:val="7CE11028"/>
    <w:rsid w:val="7CF21C8E"/>
    <w:rsid w:val="7D2F8296"/>
    <w:rsid w:val="7E2E041E"/>
    <w:rsid w:val="7E486080"/>
    <w:rsid w:val="7E4CEEAA"/>
    <w:rsid w:val="7ED3A3CF"/>
    <w:rsid w:val="7F059740"/>
    <w:rsid w:val="7F4E1652"/>
    <w:rsid w:val="7F75B727"/>
    <w:rsid w:val="7F814DB5"/>
    <w:rsid w:val="7FE5BCD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EmbedSmartTags/>
  <w14:docId w14:val="709CA9B5"/>
  <w15:chartTrackingRefBased/>
  <w15:docId w15:val="{673D94EE-9CF5-4AB2-94BD-18EDB9355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Level1">
    <w:name w:val="Level 1"/>
    <w:basedOn w:val="Normal"/>
    <w:pPr>
      <w:numPr>
        <w:numId w:val="2"/>
      </w:numPr>
      <w:ind w:left="474" w:hanging="186"/>
      <w:outlineLvl w:val="0"/>
    </w:pPr>
  </w:style>
  <w:style w:type="paragraph" w:customStyle="1" w:styleId="Level2">
    <w:name w:val="Level 2"/>
    <w:basedOn w:val="Normal"/>
    <w:pPr>
      <w:ind w:left="722" w:hanging="361"/>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65B3C"/>
    <w:rPr>
      <w:color w:val="0000FF"/>
      <w:u w:val="single"/>
    </w:rPr>
  </w:style>
  <w:style w:type="paragraph" w:styleId="NormalWeb">
    <w:name w:val="Normal (Web)"/>
    <w:basedOn w:val="Normal"/>
    <w:rsid w:val="00565B3C"/>
    <w:pPr>
      <w:widowControl/>
      <w:autoSpaceDE/>
      <w:autoSpaceDN/>
      <w:adjustRightInd/>
      <w:spacing w:before="100" w:beforeAutospacing="1" w:after="100" w:afterAutospacing="1"/>
    </w:pPr>
  </w:style>
  <w:style w:type="character" w:styleId="CommentReference">
    <w:name w:val="annotation reference"/>
    <w:semiHidden/>
    <w:rsid w:val="002776CD"/>
    <w:rPr>
      <w:sz w:val="16"/>
      <w:szCs w:val="16"/>
    </w:rPr>
  </w:style>
  <w:style w:type="paragraph" w:styleId="CommentText">
    <w:name w:val="annotation text"/>
    <w:basedOn w:val="Normal"/>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paragraph" w:customStyle="1" w:styleId="smindent">
    <w:name w:val="smindent"/>
    <w:basedOn w:val="Normal"/>
    <w:rsid w:val="008112BA"/>
    <w:pPr>
      <w:widowControl/>
      <w:autoSpaceDE/>
      <w:autoSpaceDN/>
      <w:adjustRightInd/>
      <w:spacing w:before="100" w:beforeAutospacing="1" w:after="100" w:afterAutospacing="1"/>
    </w:pPr>
    <w:rPr>
      <w:rFonts w:ascii="Verdana" w:hAnsi="Verdana"/>
      <w:color w:val="000000"/>
      <w:sz w:val="14"/>
      <w:szCs w:val="14"/>
    </w:rPr>
  </w:style>
  <w:style w:type="character" w:styleId="FollowedHyperlink">
    <w:name w:val="FollowedHyperlink"/>
    <w:rsid w:val="006800A0"/>
    <w:rPr>
      <w:color w:val="954F72"/>
      <w:u w:val="single"/>
    </w:rPr>
  </w:style>
  <w:style w:type="table" w:customStyle="1" w:styleId="TableGrid1">
    <w:name w:val="Table Grid1"/>
    <w:basedOn w:val="TableNormal"/>
    <w:next w:val="TableGrid"/>
    <w:uiPriority w:val="39"/>
    <w:rsid w:val="00EE5738"/>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3F219F"/>
    <w:pPr>
      <w:widowControl/>
      <w:autoSpaceDE/>
      <w:autoSpaceDN/>
      <w:adjustRightInd/>
      <w:spacing w:before="100" w:beforeAutospacing="1" w:after="100" w:afterAutospacing="1"/>
    </w:pPr>
  </w:style>
  <w:style w:type="character" w:customStyle="1" w:styleId="normaltextrun">
    <w:name w:val="normaltextrun"/>
    <w:basedOn w:val="DefaultParagraphFont"/>
    <w:rsid w:val="003F219F"/>
  </w:style>
  <w:style w:type="character" w:customStyle="1" w:styleId="eop">
    <w:name w:val="eop"/>
    <w:basedOn w:val="DefaultParagraphFont"/>
    <w:rsid w:val="003F219F"/>
  </w:style>
  <w:style w:type="character" w:customStyle="1" w:styleId="superscript">
    <w:name w:val="superscript"/>
    <w:basedOn w:val="DefaultParagraphFont"/>
    <w:rsid w:val="003F219F"/>
  </w:style>
  <w:style w:type="character" w:styleId="UnresolvedMention">
    <w:name w:val="Unresolved Mention"/>
    <w:uiPriority w:val="99"/>
    <w:unhideWhenUsed/>
    <w:rsid w:val="00993E65"/>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AD4231"/>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financialresearch.gov/short-term-funding-monito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4edca773-dd36-4535-a10b-660c0638328a">
      <UserInfo>
        <DisplayName>Zitko, John</DisplayName>
        <AccountId>39</AccountId>
        <AccountType/>
      </UserInfo>
      <UserInfo>
        <DisplayName>Fellman, Gary</DisplayName>
        <AccountId>263</AccountId>
        <AccountType/>
      </UserInfo>
      <UserInfo>
        <DisplayName>Craig, Laura</DisplayName>
        <AccountId>12</AccountId>
        <AccountType/>
      </UserInfo>
      <UserInfo>
        <DisplayName>Cook, John</DisplayName>
        <AccountId>10</AccountId>
        <AccountType/>
      </UserInfo>
    </SharedWithUsers>
    <lcf76f155ced4ddcb4097134ff3c332f xmlns="54c7705e-2fd0-4447-9f4d-f774a9d9c616">
      <Terms xmlns="http://schemas.microsoft.com/office/infopath/2007/PartnerControls"/>
    </lcf76f155ced4ddcb4097134ff3c332f>
    <TaxCatchAll xmlns="4edca773-dd36-4535-a10b-660c0638328a" xsi:nil="true"/>
    <Comments xmlns="54c7705e-2fd0-4447-9f4d-f774a9d9c61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F7F7453720CC142BC41635BE1C1111B" ma:contentTypeVersion="16" ma:contentTypeDescription="Create a new document." ma:contentTypeScope="" ma:versionID="b81bbf26ea9241f570c0906659fad695">
  <xsd:schema xmlns:xsd="http://www.w3.org/2001/XMLSchema" xmlns:xs="http://www.w3.org/2001/XMLSchema" xmlns:p="http://schemas.microsoft.com/office/2006/metadata/properties" xmlns:ns2="54c7705e-2fd0-4447-9f4d-f774a9d9c616" xmlns:ns3="4edca773-dd36-4535-a10b-660c0638328a" targetNamespace="http://schemas.microsoft.com/office/2006/metadata/properties" ma:root="true" ma:fieldsID="a670b9d0a314c5207af549c0772dd776" ns2:_="" ns3:_="">
    <xsd:import namespace="54c7705e-2fd0-4447-9f4d-f774a9d9c616"/>
    <xsd:import namespace="4edca773-dd36-4535-a10b-660c0638328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Comme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c7705e-2fd0-4447-9f4d-f774a9d9c6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5f9397c-c185-45e4-8714-740d609e94a8" ma:termSetId="09814cd3-568e-fe90-9814-8d621ff8fb84" ma:anchorId="fba54fb3-c3e1-fe81-a776-ca4b69148c4d" ma:open="true" ma:isKeyword="false">
      <xsd:complexType>
        <xsd:sequence>
          <xsd:element ref="pc:Terms" minOccurs="0" maxOccurs="1"/>
        </xsd:sequence>
      </xsd:complexType>
    </xsd:element>
    <xsd:element name="Comments" ma:index="20" nillable="true" ma:displayName="Comments" ma:format="Dropdown" ma:internalName="Comments">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dca773-dd36-4535-a10b-660c0638328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16675903-de7d-4182-a743-c8c7067e2bb6}" ma:internalName="TaxCatchAll" ma:showField="CatchAllData" ma:web="4edca773-dd36-4535-a10b-660c06383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F0E273-8D6C-440A-B6CD-507BB1C6BC2A}">
  <ds:schemaRefs>
    <ds:schemaRef ds:uri="http://schemas.microsoft.com/office/2006/metadata/longProperties"/>
  </ds:schemaRefs>
</ds:datastoreItem>
</file>

<file path=customXml/itemProps2.xml><?xml version="1.0" encoding="utf-8"?>
<ds:datastoreItem xmlns:ds="http://schemas.openxmlformats.org/officeDocument/2006/customXml" ds:itemID="{FB7DAAFD-A1C3-4555-A046-6D1B41BD7142}">
  <ds:schemaRefs>
    <ds:schemaRef ds:uri="http://schemas.microsoft.com/sharepoint/v3/contenttype/forms"/>
  </ds:schemaRefs>
</ds:datastoreItem>
</file>

<file path=customXml/itemProps3.xml><?xml version="1.0" encoding="utf-8"?>
<ds:datastoreItem xmlns:ds="http://schemas.openxmlformats.org/officeDocument/2006/customXml" ds:itemID="{368AE4E7-B1C1-4A31-A871-14E4D33CAA24}">
  <ds:schemaRefs>
    <ds:schemaRef ds:uri="http://schemas.openxmlformats.org/officeDocument/2006/bibliography"/>
  </ds:schemaRefs>
</ds:datastoreItem>
</file>

<file path=customXml/itemProps4.xml><?xml version="1.0" encoding="utf-8"?>
<ds:datastoreItem xmlns:ds="http://schemas.openxmlformats.org/officeDocument/2006/customXml" ds:itemID="{2E56DE9C-7C9F-4818-8471-869F55614F42}">
  <ds:schemaRefs>
    <ds:schemaRef ds:uri="http://schemas.microsoft.com/office/2006/metadata/properties"/>
    <ds:schemaRef ds:uri="http://schemas.microsoft.com/office/infopath/2007/PartnerControls"/>
    <ds:schemaRef ds:uri="4edca773-dd36-4535-a10b-660c0638328a"/>
    <ds:schemaRef ds:uri="54c7705e-2fd0-4447-9f4d-f774a9d9c616"/>
  </ds:schemaRefs>
</ds:datastoreItem>
</file>

<file path=customXml/itemProps5.xml><?xml version="1.0" encoding="utf-8"?>
<ds:datastoreItem xmlns:ds="http://schemas.openxmlformats.org/officeDocument/2006/customXml" ds:itemID="{A9E34E31-C36C-467E-B184-1C412FDCC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c7705e-2fd0-4447-9f4d-f774a9d9c616"/>
    <ds:schemaRef ds:uri="4edca773-dd36-4535-a10b-660c06383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9</Pages>
  <Words>4431</Words>
  <Characters>24838</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DRAFT</vt:lpstr>
    </vt:vector>
  </TitlesOfParts>
  <Company>USDA Forest Service</Company>
  <LinksUpToDate>false</LinksUpToDate>
  <CharactersWithSpaces>29211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PCxx</dc:creator>
  <cp:lastModifiedBy>Spencer Clark</cp:lastModifiedBy>
  <cp:revision>3</cp:revision>
  <cp:lastPrinted>2011-09-14T02:00:00Z</cp:lastPrinted>
  <dcterms:created xsi:type="dcterms:W3CDTF">2024-05-08T17:23:00Z</dcterms:created>
  <dcterms:modified xsi:type="dcterms:W3CDTF">2024-05-08T17:55:00Z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ents">
    <vt:lpwstr/>
  </property>
  <property fmtid="{D5CDD505-2E9C-101B-9397-08002B2CF9AE}" pid="3" name="ContentTypeId">
    <vt:lpwstr>0x010100FF7F7453720CC142BC41635BE1C1111B</vt:lpwstr>
  </property>
  <property fmtid="{D5CDD505-2E9C-101B-9397-08002B2CF9AE}" pid="4" name="display_urn:schemas-microsoft-com:office:office#Author">
    <vt:lpwstr>Vetrano, Caroline (Contractor)</vt:lpwstr>
  </property>
  <property fmtid="{D5CDD505-2E9C-101B-9397-08002B2CF9AE}" pid="5" name="display_urn:schemas-microsoft-com:office:office#Editor">
    <vt:lpwstr>Vetrano, Caroline (Contractor)</vt:lpwstr>
  </property>
  <property fmtid="{D5CDD505-2E9C-101B-9397-08002B2CF9AE}" pid="6" name="lcf76f155ced4ddcb4097134ff3c332f">
    <vt:lpwstr/>
  </property>
  <property fmtid="{D5CDD505-2E9C-101B-9397-08002B2CF9AE}" pid="7" name="MediaServiceImageTags">
    <vt:lpwstr/>
  </property>
  <property fmtid="{D5CDD505-2E9C-101B-9397-08002B2CF9AE}" pid="8" name="Order">
    <vt:lpwstr>200.000000000000</vt:lpwstr>
  </property>
  <property fmtid="{D5CDD505-2E9C-101B-9397-08002B2CF9AE}" pid="9" name="TaxCatchAll">
    <vt:lpwstr/>
  </property>
  <property fmtid="{D5CDD505-2E9C-101B-9397-08002B2CF9AE}" pid="10" name="TemplateUrl">
    <vt:lpwstr/>
  </property>
  <property fmtid="{D5CDD505-2E9C-101B-9397-08002B2CF9AE}" pid="11" name="xd_ProgID">
    <vt:lpwstr/>
  </property>
  <property fmtid="{D5CDD505-2E9C-101B-9397-08002B2CF9AE}" pid="12" name="_dlc_DocId">
    <vt:lpwstr>DOPTR-1309503630-31</vt:lpwstr>
  </property>
  <property fmtid="{D5CDD505-2E9C-101B-9397-08002B2CF9AE}" pid="13" name="_dlc_DocIdItemGuid">
    <vt:lpwstr>5cfab967-e34d-4cb8-b7d6-d7381a5af6f8</vt:lpwstr>
  </property>
  <property fmtid="{D5CDD505-2E9C-101B-9397-08002B2CF9AE}" pid="14" name="_dlc_DocIdUrl">
    <vt:lpwstr>https://thegreen.treas.gov/do/ptr/optr/treasuryrecords/PRA-NEW/_layouts/15/DocIdRedir.aspx?ID=DOPTR-1309503630-31, DOPTR-1309503630-31</vt:lpwstr>
  </property>
</Properties>
</file>