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28ED" w:rsidRPr="007E3036" w:rsidP="000428ED" w14:paraId="68795D75" w14:textId="77777777">
      <w:pPr>
        <w:tabs>
          <w:tab w:val="center" w:pos="4680"/>
        </w:tabs>
        <w:jc w:val="center"/>
        <w:rPr>
          <w:rFonts w:ascii="Times New Roman" w:hAnsi="Times New Roman"/>
          <w:b/>
          <w:bCs/>
        </w:rPr>
      </w:pPr>
      <w:r w:rsidRPr="007E3036">
        <w:rPr>
          <w:rFonts w:ascii="Times New Roman" w:hAnsi="Times New Roman"/>
          <w:b/>
          <w:bCs/>
        </w:rPr>
        <w:t>SUPPORTING STATEMENT</w:t>
      </w:r>
    </w:p>
    <w:p w:rsidR="00DF09A6" w:rsidRPr="007E3036" w:rsidP="00DF09A6" w14:paraId="13034B6A" w14:textId="77777777">
      <w:pPr>
        <w:tabs>
          <w:tab w:val="center" w:pos="4680"/>
        </w:tabs>
        <w:jc w:val="center"/>
        <w:rPr>
          <w:rFonts w:ascii="Times New Roman" w:hAnsi="Times New Roman"/>
          <w:b/>
          <w:bCs/>
        </w:rPr>
      </w:pPr>
      <w:r w:rsidRPr="007E3036">
        <w:rPr>
          <w:rFonts w:ascii="Times New Roman" w:hAnsi="Times New Roman"/>
          <w:b/>
          <w:bCs/>
        </w:rPr>
        <w:t>Internal Revenue Service</w:t>
      </w:r>
    </w:p>
    <w:p w:rsidR="000B1A00" w:rsidRPr="007E3036" w:rsidP="00DF09A6" w14:paraId="0C37EB1C" w14:textId="0538913E">
      <w:pPr>
        <w:jc w:val="center"/>
        <w:rPr>
          <w:rFonts w:ascii="Times New Roman" w:hAnsi="Times New Roman"/>
          <w:b/>
          <w:color w:val="333333"/>
        </w:rPr>
      </w:pPr>
      <w:r w:rsidRPr="007E3036">
        <w:rPr>
          <w:rFonts w:ascii="Times New Roman" w:hAnsi="Times New Roman"/>
          <w:b/>
          <w:color w:val="333333"/>
        </w:rPr>
        <w:t>TD 9605</w:t>
      </w:r>
      <w:r w:rsidRPr="007E3036" w:rsidR="007E3036">
        <w:rPr>
          <w:rFonts w:ascii="Times New Roman" w:hAnsi="Times New Roman"/>
          <w:b/>
          <w:color w:val="333333"/>
        </w:rPr>
        <w:t xml:space="preserve">, </w:t>
      </w:r>
      <w:r w:rsidRPr="007E3036">
        <w:rPr>
          <w:rFonts w:ascii="Times New Roman" w:hAnsi="Times New Roman"/>
          <w:b/>
          <w:color w:val="333333"/>
        </w:rPr>
        <w:t>Payout Requirements for Type III Supporting Organizations That Are Not Functionally Integrated</w:t>
      </w:r>
    </w:p>
    <w:p w:rsidR="007E3036" w:rsidRPr="007E3036" w:rsidP="007E3036" w14:paraId="3E57F1A6" w14:textId="72F28810">
      <w:pPr>
        <w:jc w:val="center"/>
        <w:rPr>
          <w:rFonts w:ascii="Times New Roman" w:hAnsi="Times New Roman"/>
          <w:b/>
          <w:color w:val="333333"/>
        </w:rPr>
      </w:pPr>
      <w:r w:rsidRPr="007E3036">
        <w:rPr>
          <w:rFonts w:ascii="Times New Roman" w:hAnsi="Times New Roman"/>
          <w:b/>
          <w:bCs/>
        </w:rPr>
        <w:t xml:space="preserve">OMB </w:t>
      </w:r>
      <w:r w:rsidR="0090797E">
        <w:rPr>
          <w:rFonts w:ascii="Times New Roman" w:hAnsi="Times New Roman"/>
          <w:b/>
          <w:bCs/>
        </w:rPr>
        <w:t>Control Number</w:t>
      </w:r>
      <w:r w:rsidRPr="007E3036">
        <w:rPr>
          <w:rFonts w:ascii="Times New Roman" w:hAnsi="Times New Roman"/>
          <w:b/>
          <w:bCs/>
        </w:rPr>
        <w:t xml:space="preserve"> 1545-2157</w:t>
      </w:r>
    </w:p>
    <w:p w:rsidR="007E3036" w:rsidRPr="007E3036" w:rsidP="00DF09A6" w14:paraId="662897E4" w14:textId="77777777">
      <w:pPr>
        <w:jc w:val="center"/>
        <w:rPr>
          <w:rFonts w:ascii="Times New Roman" w:hAnsi="Times New Roman"/>
          <w:b/>
          <w:bCs/>
        </w:rPr>
      </w:pPr>
    </w:p>
    <w:p w:rsidR="000B1A00" w:rsidRPr="007E3036" w14:paraId="584336F9" w14:textId="77777777">
      <w:pPr>
        <w:rPr>
          <w:rFonts w:ascii="Times New Roman" w:hAnsi="Times New Roman"/>
          <w:b/>
          <w:bCs/>
        </w:rPr>
      </w:pPr>
    </w:p>
    <w:p w:rsidR="000B1A00" w:rsidRPr="001A4C76" w14:paraId="24FB8421" w14:textId="77777777">
      <w:pPr>
        <w:pStyle w:val="Level1"/>
        <w:tabs>
          <w:tab w:val="left" w:pos="-1440"/>
          <w:tab w:val="num" w:pos="720"/>
        </w:tabs>
        <w:rPr>
          <w:rFonts w:ascii="Times New Roman" w:hAnsi="Times New Roman"/>
          <w:b/>
          <w:bCs/>
        </w:rPr>
      </w:pPr>
      <w:r w:rsidRPr="007E3036">
        <w:rPr>
          <w:rFonts w:ascii="Times New Roman" w:hAnsi="Times New Roman"/>
        </w:rPr>
        <w:t xml:space="preserve"> </w:t>
      </w:r>
      <w:r w:rsidRPr="001A4C76">
        <w:rPr>
          <w:rFonts w:ascii="Times New Roman" w:hAnsi="Times New Roman"/>
          <w:b/>
          <w:bCs/>
          <w:u w:val="single"/>
        </w:rPr>
        <w:t>CIRCUMSTANCES NECESSITATING COLLECTION OF INFORMATION</w:t>
      </w:r>
    </w:p>
    <w:p w:rsidR="000B1A00" w:rsidRPr="007E3036" w14:paraId="6008A5E7" w14:textId="77777777">
      <w:pPr>
        <w:rPr>
          <w:rFonts w:ascii="Times New Roman" w:hAnsi="Times New Roman"/>
        </w:rPr>
      </w:pPr>
    </w:p>
    <w:p w:rsidR="000F2BF4" w:rsidRPr="007E3036" w:rsidP="00E66E46" w14:paraId="46D1666F" w14:textId="538F8427">
      <w:pPr>
        <w:ind w:left="720"/>
        <w:rPr>
          <w:rFonts w:ascii="Times New Roman" w:hAnsi="Times New Roman"/>
        </w:rPr>
      </w:pPr>
      <w:r>
        <w:rPr>
          <w:rFonts w:ascii="Times New Roman" w:hAnsi="Times New Roman"/>
        </w:rPr>
        <w:t>Internal Revenue Code (IRC) Section</w:t>
      </w:r>
      <w:r w:rsidRPr="007E3036" w:rsidR="007273EA">
        <w:rPr>
          <w:rFonts w:ascii="Times New Roman" w:hAnsi="Times New Roman"/>
        </w:rPr>
        <w:t xml:space="preserve"> 509(f)(1) requires a Type III supporting organization to provide to each of its supported organizations such information as the Secretary may require to ensure that the Type III supporting organization is responsive to the needs or demands of its supported organization(s).</w:t>
      </w:r>
      <w:r w:rsidR="007273EA">
        <w:rPr>
          <w:rFonts w:ascii="Times New Roman" w:hAnsi="Times New Roman"/>
        </w:rPr>
        <w:t xml:space="preserve">  </w:t>
      </w:r>
      <w:r w:rsidR="0090797E">
        <w:rPr>
          <w:rFonts w:ascii="Times New Roman" w:hAnsi="Times New Roman"/>
        </w:rPr>
        <w:t>Treasury Decision (</w:t>
      </w:r>
      <w:r w:rsidRPr="007E3036" w:rsidR="00E66E46">
        <w:rPr>
          <w:rFonts w:ascii="Times New Roman" w:hAnsi="Times New Roman"/>
        </w:rPr>
        <w:t>TD</w:t>
      </w:r>
      <w:r w:rsidR="0090797E">
        <w:rPr>
          <w:rFonts w:ascii="Times New Roman" w:hAnsi="Times New Roman"/>
        </w:rPr>
        <w:t>)</w:t>
      </w:r>
      <w:r w:rsidRPr="007E3036" w:rsidR="00E66E46">
        <w:rPr>
          <w:rFonts w:ascii="Times New Roman" w:hAnsi="Times New Roman"/>
        </w:rPr>
        <w:t xml:space="preserve"> 9605 contains both final regulations and temporary regulations regarding the requirements to qualify as a Type III supporting organization that is operated in connection with one or more supported organizations. The regulations reflect changes to the law made by the Pension Protection Act of 2006. The regulations affect Type III supporting organizations and their supported organizations.</w:t>
      </w:r>
      <w:r w:rsidR="00E66E46">
        <w:rPr>
          <w:rFonts w:ascii="Times New Roman" w:hAnsi="Times New Roman"/>
        </w:rPr>
        <w:t xml:space="preserve"> </w:t>
      </w:r>
      <w:r w:rsidRPr="007E3036" w:rsidR="00712914">
        <w:rPr>
          <w:rFonts w:ascii="Times New Roman" w:hAnsi="Times New Roman"/>
        </w:rPr>
        <w:t>The collection</w:t>
      </w:r>
      <w:r w:rsidR="0090797E">
        <w:rPr>
          <w:rFonts w:ascii="Times New Roman" w:hAnsi="Times New Roman"/>
        </w:rPr>
        <w:t>s</w:t>
      </w:r>
      <w:r w:rsidRPr="007E3036" w:rsidR="00712914">
        <w:rPr>
          <w:rFonts w:ascii="Times New Roman" w:hAnsi="Times New Roman"/>
        </w:rPr>
        <w:t xml:space="preserve"> of information </w:t>
      </w:r>
      <w:r w:rsidR="0090797E">
        <w:rPr>
          <w:rFonts w:ascii="Times New Roman" w:hAnsi="Times New Roman"/>
        </w:rPr>
        <w:t>are</w:t>
      </w:r>
      <w:r w:rsidR="00A11EF4">
        <w:rPr>
          <w:rFonts w:ascii="Times New Roman" w:hAnsi="Times New Roman"/>
        </w:rPr>
        <w:t xml:space="preserve"> </w:t>
      </w:r>
      <w:r w:rsidRPr="007E3036" w:rsidR="00712914">
        <w:rPr>
          <w:rFonts w:ascii="Times New Roman" w:hAnsi="Times New Roman"/>
        </w:rPr>
        <w:t xml:space="preserve">in </w:t>
      </w:r>
      <w:r w:rsidR="0090797E">
        <w:rPr>
          <w:rFonts w:ascii="Times New Roman" w:hAnsi="Times New Roman"/>
        </w:rPr>
        <w:t>Treasury Regulations sectino</w:t>
      </w:r>
      <w:r w:rsidRPr="007E3036" w:rsidR="00712914">
        <w:rPr>
          <w:rFonts w:ascii="Times New Roman" w:hAnsi="Times New Roman"/>
        </w:rPr>
        <w:t>1.509(a)-4(i)(2)(iii)</w:t>
      </w:r>
      <w:r w:rsidR="00A11EF4">
        <w:rPr>
          <w:rFonts w:ascii="Times New Roman" w:hAnsi="Times New Roman"/>
        </w:rPr>
        <w:t xml:space="preserve"> and</w:t>
      </w:r>
      <w:r w:rsidRPr="00A11EF4" w:rsidR="00A11EF4">
        <w:rPr>
          <w:rFonts w:ascii="Times New Roman" w:hAnsi="Times New Roman"/>
        </w:rPr>
        <w:t xml:space="preserve"> 1.509(a)–4(i)(6)(v)</w:t>
      </w:r>
      <w:r w:rsidRPr="007E3036" w:rsidR="00712914">
        <w:rPr>
          <w:rFonts w:ascii="Times New Roman" w:hAnsi="Times New Roman"/>
        </w:rPr>
        <w:t>.</w:t>
      </w:r>
    </w:p>
    <w:p w:rsidR="000F2BF4" w:rsidRPr="007E3036" w:rsidP="000F2BF4" w14:paraId="6A539028" w14:textId="77777777">
      <w:pPr>
        <w:ind w:left="720"/>
        <w:rPr>
          <w:rFonts w:ascii="Times New Roman" w:hAnsi="Times New Roman"/>
        </w:rPr>
      </w:pPr>
    </w:p>
    <w:p w:rsidR="000B1A00" w:rsidRPr="007E3036" w:rsidP="000F2BF4" w14:paraId="22CE3496" w14:textId="1F737734">
      <w:pPr>
        <w:ind w:left="720"/>
        <w:rPr>
          <w:rFonts w:ascii="Times New Roman" w:hAnsi="Times New Roman"/>
        </w:rPr>
      </w:pPr>
      <w:r w:rsidRPr="007E3036">
        <w:rPr>
          <w:rFonts w:ascii="Times New Roman" w:hAnsi="Times New Roman"/>
        </w:rPr>
        <w:t xml:space="preserve">To implement this provision, the regulations require that each taxable year, a Type III supporting organization must provide to each of its supported organizations:  (A) a written notice addressed to a principal officer of the supported organization identifying the supporting organization and describing the amount and type of support it provided to the supported organization in the past year; (B) a copy of the supporting organization’s most recently filed Form 990; and (C) a copy of the supporting organization’s governing documents, including any amendments.  Copies of governing documents need only be provided once.  The regulations provide that the required notice and documents may be delivered by electronic media.  Organizations must satisfy the notification requirement to qualify as a Type III supporting organization and should, therefore, retain proof of delivery in their records. </w:t>
      </w:r>
      <w:r w:rsidRPr="007E3036" w:rsidR="00712914">
        <w:rPr>
          <w:rFonts w:ascii="Times New Roman" w:hAnsi="Times New Roman"/>
        </w:rPr>
        <w:t xml:space="preserve"> </w:t>
      </w:r>
    </w:p>
    <w:p w:rsidR="00712914" w:rsidRPr="007E3036" w14:paraId="67A24E81" w14:textId="77777777">
      <w:pPr>
        <w:rPr>
          <w:rFonts w:ascii="Times New Roman" w:hAnsi="Times New Roman"/>
        </w:rPr>
      </w:pPr>
    </w:p>
    <w:p w:rsidR="000B1A00" w:rsidRPr="001A4C76" w14:paraId="58AA9E67"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USE OF DATA</w:t>
      </w:r>
      <w:r w:rsidRPr="001A4C76">
        <w:rPr>
          <w:rFonts w:ascii="Times New Roman" w:hAnsi="Times New Roman"/>
          <w:b/>
          <w:bCs/>
        </w:rPr>
        <w:t xml:space="preserve">              </w:t>
      </w:r>
    </w:p>
    <w:p w:rsidR="000B1A00" w:rsidRPr="007E3036" w14:paraId="248BB2B5" w14:textId="77777777">
      <w:pPr>
        <w:rPr>
          <w:rFonts w:ascii="Times New Roman" w:hAnsi="Times New Roman"/>
        </w:rPr>
      </w:pPr>
    </w:p>
    <w:p w:rsidR="000B1A00" w14:paraId="1E5382B4" w14:textId="607D7B9E">
      <w:pPr>
        <w:ind w:left="720"/>
        <w:rPr>
          <w:rFonts w:ascii="Times New Roman" w:hAnsi="Times New Roman"/>
        </w:rPr>
      </w:pPr>
      <w:r w:rsidRPr="007E3036">
        <w:rPr>
          <w:rFonts w:ascii="Times New Roman" w:hAnsi="Times New Roman"/>
        </w:rPr>
        <w:t xml:space="preserve">The information will be used as a tool by a supported organization to ensure that its supporting organizations are responsive to its needs.  Additionally, a supporting organization will be required to maintain copies of these statements so that it can prove to the IRS that it is an organization that qualifies as a Type III supporting organization under </w:t>
      </w:r>
      <w:r w:rsidR="0090797E">
        <w:rPr>
          <w:rFonts w:ascii="Times New Roman" w:hAnsi="Times New Roman"/>
        </w:rPr>
        <w:t xml:space="preserve">IRC </w:t>
      </w:r>
      <w:r w:rsidRPr="007E3036">
        <w:rPr>
          <w:rFonts w:ascii="Times New Roman" w:hAnsi="Times New Roman"/>
        </w:rPr>
        <w:t>section 509(</w:t>
      </w:r>
      <w:r w:rsidR="00BE7CAC">
        <w:rPr>
          <w:rFonts w:ascii="Times New Roman" w:hAnsi="Times New Roman"/>
        </w:rPr>
        <w:t>f</w:t>
      </w:r>
      <w:r w:rsidRPr="007E3036">
        <w:rPr>
          <w:rFonts w:ascii="Times New Roman" w:hAnsi="Times New Roman"/>
        </w:rPr>
        <w:t>)(</w:t>
      </w:r>
      <w:r w:rsidR="00BE7CAC">
        <w:rPr>
          <w:rFonts w:ascii="Times New Roman" w:hAnsi="Times New Roman"/>
        </w:rPr>
        <w:t>1</w:t>
      </w:r>
      <w:r w:rsidRPr="007E3036">
        <w:rPr>
          <w:rFonts w:ascii="Times New Roman" w:hAnsi="Times New Roman"/>
        </w:rPr>
        <w:t>).</w:t>
      </w:r>
    </w:p>
    <w:p w:rsidR="000B1A00" w14:paraId="50EFA137" w14:textId="2A1D306C">
      <w:pPr>
        <w:rPr>
          <w:rFonts w:ascii="Times New Roman" w:hAnsi="Times New Roman"/>
        </w:rPr>
      </w:pPr>
      <w:r w:rsidRPr="007E3036">
        <w:rPr>
          <w:rFonts w:ascii="Times New Roman" w:hAnsi="Times New Roman"/>
        </w:rPr>
        <w:t xml:space="preserve">            </w:t>
      </w:r>
    </w:p>
    <w:p w:rsidR="005C7FFD" w14:paraId="71AC51A2" w14:textId="77777777">
      <w:pPr>
        <w:rPr>
          <w:rFonts w:ascii="Times New Roman" w:hAnsi="Times New Roman"/>
        </w:rPr>
      </w:pPr>
    </w:p>
    <w:p w:rsidR="005C7FFD" w14:paraId="67AC69DD" w14:textId="77777777">
      <w:pPr>
        <w:rPr>
          <w:rFonts w:ascii="Times New Roman" w:hAnsi="Times New Roman"/>
        </w:rPr>
      </w:pPr>
    </w:p>
    <w:p w:rsidR="005C7FFD" w14:paraId="55699B6F" w14:textId="77777777">
      <w:pPr>
        <w:rPr>
          <w:rFonts w:ascii="Times New Roman" w:hAnsi="Times New Roman"/>
        </w:rPr>
      </w:pPr>
    </w:p>
    <w:p w:rsidR="005C7FFD" w:rsidRPr="007E3036" w14:paraId="01571E43" w14:textId="77777777">
      <w:pPr>
        <w:rPr>
          <w:rFonts w:ascii="Times New Roman" w:hAnsi="Times New Roman"/>
        </w:rPr>
      </w:pPr>
    </w:p>
    <w:p w:rsidR="000B1A00" w:rsidRPr="001A4C76" w14:paraId="1408A48F"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USE OF IMPROVED INFORMATION TECHNOLOGY TO REDUCE BURDEN</w:t>
      </w:r>
    </w:p>
    <w:p w:rsidR="000B1A00" w:rsidRPr="007E3036" w14:paraId="2A9DB2CE" w14:textId="77777777">
      <w:pPr>
        <w:rPr>
          <w:rFonts w:ascii="Times New Roman" w:hAnsi="Times New Roman"/>
        </w:rPr>
      </w:pPr>
    </w:p>
    <w:p w:rsidR="007E3036" w:rsidRPr="007E3036" w:rsidP="007E3036" w14:paraId="67D4548E" w14:textId="1E9EF7C5">
      <w:pPr>
        <w:numPr>
          <w:ilvl w:val="12"/>
          <w:numId w:val="0"/>
        </w:numPr>
        <w:ind w:left="720"/>
        <w:rPr>
          <w:rFonts w:ascii="Times New Roman" w:hAnsi="Times New Roman"/>
          <w:bCs/>
        </w:rPr>
      </w:pPr>
      <w:bookmarkStart w:id="0" w:name="_Hlk67316423"/>
      <w:r>
        <w:rPr>
          <w:rFonts w:ascii="Times New Roman" w:hAnsi="Times New Roman"/>
          <w:bCs/>
        </w:rPr>
        <w:t xml:space="preserve">This is a third-party disclosure requirement between Type III </w:t>
      </w:r>
      <w:r w:rsidR="00591269">
        <w:rPr>
          <w:rFonts w:ascii="Times New Roman" w:hAnsi="Times New Roman"/>
          <w:bCs/>
        </w:rPr>
        <w:t>s</w:t>
      </w:r>
      <w:r>
        <w:rPr>
          <w:rFonts w:ascii="Times New Roman" w:hAnsi="Times New Roman"/>
          <w:bCs/>
        </w:rPr>
        <w:t xml:space="preserve">upporting </w:t>
      </w:r>
      <w:r w:rsidR="00591269">
        <w:rPr>
          <w:rFonts w:ascii="Times New Roman" w:hAnsi="Times New Roman"/>
          <w:bCs/>
        </w:rPr>
        <w:t>o</w:t>
      </w:r>
      <w:r>
        <w:rPr>
          <w:rFonts w:ascii="Times New Roman" w:hAnsi="Times New Roman"/>
          <w:bCs/>
        </w:rPr>
        <w:t>rganizations and their supported organizations</w:t>
      </w:r>
      <w:r w:rsidR="00591269">
        <w:rPr>
          <w:rFonts w:ascii="Times New Roman" w:hAnsi="Times New Roman"/>
          <w:bCs/>
        </w:rPr>
        <w:t xml:space="preserve">, thus there is no information being reported to IRS. The </w:t>
      </w:r>
      <w:r w:rsidR="005C7FFD">
        <w:rPr>
          <w:rFonts w:ascii="Times New Roman" w:hAnsi="Times New Roman"/>
          <w:bCs/>
        </w:rPr>
        <w:t>r</w:t>
      </w:r>
      <w:r w:rsidR="00591269">
        <w:rPr>
          <w:rFonts w:ascii="Times New Roman" w:hAnsi="Times New Roman"/>
          <w:bCs/>
        </w:rPr>
        <w:t>egulations do permit this disclosure to be transmitted electronically.</w:t>
      </w:r>
    </w:p>
    <w:bookmarkEnd w:id="0"/>
    <w:p w:rsidR="000B1A00" w:rsidRPr="007E3036" w14:paraId="244BFE49" w14:textId="77777777">
      <w:pPr>
        <w:rPr>
          <w:rFonts w:ascii="Times New Roman" w:hAnsi="Times New Roman"/>
        </w:rPr>
      </w:pPr>
    </w:p>
    <w:p w:rsidR="000B1A00" w:rsidRPr="001A4C76" w14:paraId="1266F7C9"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EFFORTS TO IDENTIFY DUPLICATION</w:t>
      </w:r>
    </w:p>
    <w:p w:rsidR="000B1A00" w:rsidRPr="007E3036" w14:paraId="133C9584" w14:textId="77777777">
      <w:pPr>
        <w:rPr>
          <w:rFonts w:ascii="Times New Roman" w:hAnsi="Times New Roman"/>
        </w:rPr>
      </w:pPr>
    </w:p>
    <w:p w:rsidR="000B1A00" w:rsidRPr="007E3036" w14:paraId="1640A4F9" w14:textId="43CDAC3A">
      <w:pPr>
        <w:ind w:left="720"/>
        <w:rPr>
          <w:rFonts w:ascii="Times New Roman" w:hAnsi="Times New Roman"/>
        </w:rPr>
      </w:pPr>
      <w:bookmarkStart w:id="1" w:name="_Hlk497985603"/>
      <w:r w:rsidRPr="007E3036">
        <w:rPr>
          <w:rFonts w:ascii="Times New Roman" w:hAnsi="Times New Roman"/>
          <w:iCs/>
        </w:rPr>
        <w:t>The information obtained through this collection is unique and is not already available for use or adaptation from another source.</w:t>
      </w:r>
      <w:bookmarkEnd w:id="1"/>
      <w:r w:rsidRPr="007E3036" w:rsidR="00913685">
        <w:rPr>
          <w:rFonts w:ascii="Times New Roman" w:hAnsi="Times New Roman"/>
          <w:iCs/>
        </w:rPr>
        <w:t xml:space="preserve">  </w:t>
      </w:r>
      <w:r w:rsidRPr="007E3036" w:rsidR="00EB5FA2">
        <w:rPr>
          <w:rFonts w:ascii="Times New Roman" w:hAnsi="Times New Roman"/>
        </w:rPr>
        <w:t xml:space="preserve">This is a specific requirement of Congress and is not duplicative of any other requirement of a Type III supporting organization.  </w:t>
      </w:r>
      <w:r w:rsidR="00B635BB">
        <w:rPr>
          <w:rFonts w:ascii="Times New Roman" w:hAnsi="Times New Roman"/>
        </w:rPr>
        <w:t>The notification requirements for Type III supporting organization must be made “for each taxable year</w:t>
      </w:r>
      <w:r w:rsidR="0090797E">
        <w:rPr>
          <w:rFonts w:ascii="Times New Roman" w:hAnsi="Times New Roman"/>
        </w:rPr>
        <w:t>.</w:t>
      </w:r>
      <w:r w:rsidR="00B635BB">
        <w:rPr>
          <w:rFonts w:ascii="Times New Roman" w:hAnsi="Times New Roman"/>
        </w:rPr>
        <w:t>”</w:t>
      </w:r>
      <w:r w:rsidR="00BE4734">
        <w:rPr>
          <w:rFonts w:ascii="Times New Roman" w:hAnsi="Times New Roman"/>
        </w:rPr>
        <w:t xml:space="preserve"> </w:t>
      </w:r>
    </w:p>
    <w:p w:rsidR="000B1A00" w:rsidRPr="007E3036" w14:paraId="4905AAE4" w14:textId="77777777">
      <w:pPr>
        <w:rPr>
          <w:rFonts w:ascii="Times New Roman" w:hAnsi="Times New Roman"/>
        </w:rPr>
      </w:pPr>
    </w:p>
    <w:p w:rsidR="000B1A00" w:rsidRPr="001A4C76" w14:paraId="7979BCC6"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METHODS TO MINIMIZE BURDEN ON SMALL BUSINESSES OR OTHER</w:t>
      </w:r>
      <w:r w:rsidRPr="001A4C76" w:rsidR="00C172B9">
        <w:rPr>
          <w:rFonts w:ascii="Times New Roman" w:hAnsi="Times New Roman"/>
          <w:b/>
          <w:bCs/>
          <w:u w:val="single"/>
        </w:rPr>
        <w:t xml:space="preserve"> </w:t>
      </w:r>
      <w:r w:rsidRPr="001A4C76">
        <w:rPr>
          <w:rFonts w:ascii="Times New Roman" w:hAnsi="Times New Roman"/>
          <w:b/>
          <w:bCs/>
          <w:u w:val="single"/>
        </w:rPr>
        <w:t>SMALL ENTITIES</w:t>
      </w:r>
    </w:p>
    <w:p w:rsidR="000B1A00" w:rsidRPr="007E3036" w14:paraId="4E4BF0DD" w14:textId="02484149">
      <w:pPr>
        <w:rPr>
          <w:rFonts w:ascii="Times New Roman" w:hAnsi="Times New Roman"/>
        </w:rPr>
      </w:pPr>
    </w:p>
    <w:p w:rsidR="007E3036" w:rsidRPr="007E3036" w:rsidP="00BE4734" w14:paraId="30F4F1C2" w14:textId="445501AA">
      <w:pPr>
        <w:widowControl/>
        <w:ind w:left="720"/>
        <w:rPr>
          <w:rFonts w:ascii="Times New Roman" w:hAnsi="Times New Roman"/>
        </w:rPr>
      </w:pPr>
      <w:bookmarkStart w:id="2" w:name="_Hlk68454844"/>
      <w:bookmarkStart w:id="3" w:name="_Hlk68108696"/>
      <w:bookmarkStart w:id="4" w:name="_Hlk67957564"/>
      <w:r w:rsidRPr="00666788">
        <w:rPr>
          <w:rFonts w:ascii="Times New Roman" w:hAnsi="Times New Roman"/>
          <w:bCs/>
        </w:rPr>
        <w:t xml:space="preserve">The </w:t>
      </w:r>
      <w:r w:rsidRPr="00666788" w:rsidR="001F1156">
        <w:rPr>
          <w:rFonts w:ascii="Times New Roman" w:hAnsi="Times New Roman"/>
          <w:bCs/>
        </w:rPr>
        <w:t xml:space="preserve">regulation is not able to provide any flexibility for small entities. </w:t>
      </w:r>
      <w:r w:rsidRPr="00666788" w:rsidR="001F76E0">
        <w:rPr>
          <w:rFonts w:ascii="Times New Roman" w:hAnsi="Times New Roman"/>
          <w:bCs/>
        </w:rPr>
        <w:t xml:space="preserve">Further, </w:t>
      </w:r>
      <w:r w:rsidRPr="00666788" w:rsidR="00666788">
        <w:rPr>
          <w:rFonts w:ascii="Times New Roman" w:hAnsi="Times New Roman"/>
        </w:rPr>
        <w:t xml:space="preserve">the regulations will not impact a substantial number of small entities. </w:t>
      </w:r>
      <w:r w:rsidR="00601851">
        <w:rPr>
          <w:rFonts w:ascii="Times New Roman" w:hAnsi="Times New Roman"/>
        </w:rPr>
        <w:t>T</w:t>
      </w:r>
      <w:r w:rsidRPr="00666788" w:rsidR="00666788">
        <w:rPr>
          <w:rFonts w:ascii="Times New Roman" w:hAnsi="Times New Roman"/>
        </w:rPr>
        <w:t xml:space="preserve">he collection of information under </w:t>
      </w:r>
      <w:r w:rsidR="0090797E">
        <w:rPr>
          <w:rFonts w:ascii="Times New Roman" w:hAnsi="Times New Roman"/>
        </w:rPr>
        <w:t>Treasury Regulations section</w:t>
      </w:r>
      <w:r w:rsidRPr="00666788" w:rsidR="00666788">
        <w:rPr>
          <w:rFonts w:ascii="Times New Roman" w:hAnsi="Times New Roman"/>
        </w:rPr>
        <w:t xml:space="preserve"> 1.509(a)–4(i)(2) will impose a minimal burden on the affected organizations because </w:t>
      </w:r>
      <w:r w:rsidRPr="00666788" w:rsidR="00666788">
        <w:rPr>
          <w:rFonts w:ascii="Times New Roman" w:hAnsi="Times New Roman"/>
        </w:rPr>
        <w:t>all of</w:t>
      </w:r>
      <w:r w:rsidRPr="00666788" w:rsidR="00666788">
        <w:rPr>
          <w:rFonts w:ascii="Times New Roman" w:hAnsi="Times New Roman"/>
        </w:rPr>
        <w:t xml:space="preserve"> the information that must be provided is information that the organizations are already required to maintain.</w:t>
      </w:r>
      <w:bookmarkEnd w:id="2"/>
      <w:bookmarkEnd w:id="3"/>
    </w:p>
    <w:bookmarkEnd w:id="4"/>
    <w:p w:rsidR="000B1A00" w:rsidRPr="007E3036" w:rsidP="003F2A76" w14:paraId="686119EA" w14:textId="77777777">
      <w:pPr>
        <w:ind w:left="720"/>
        <w:rPr>
          <w:rFonts w:ascii="Times New Roman" w:hAnsi="Times New Roman"/>
        </w:rPr>
      </w:pPr>
      <w:r w:rsidRPr="007E3036">
        <w:rPr>
          <w:rFonts w:ascii="Times New Roman" w:hAnsi="Times New Roman"/>
        </w:rPr>
        <w:t xml:space="preserve"> </w:t>
      </w:r>
    </w:p>
    <w:p w:rsidR="000B1A00" w:rsidRPr="001A4C76" w14:paraId="702C1460"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CONSEQUENCES OF LESS FREQUENT COLLECTION ON FEDERAL PROGRAMS OR POLICY ACTIVITIES</w:t>
      </w:r>
    </w:p>
    <w:p w:rsidR="000B1A00" w:rsidRPr="007E3036" w14:paraId="66169611" w14:textId="77777777">
      <w:pPr>
        <w:rPr>
          <w:rFonts w:ascii="Times New Roman" w:hAnsi="Times New Roman"/>
        </w:rPr>
      </w:pPr>
    </w:p>
    <w:p w:rsidR="000B1A00" w:rsidRPr="007E3036" w14:paraId="0B87F94C" w14:textId="18008B92">
      <w:pPr>
        <w:ind w:left="720"/>
        <w:rPr>
          <w:rFonts w:ascii="Times New Roman" w:hAnsi="Times New Roman"/>
        </w:rPr>
      </w:pPr>
      <w:r w:rsidRPr="007E3036">
        <w:rPr>
          <w:rFonts w:ascii="Times New Roman" w:hAnsi="Times New Roman"/>
        </w:rPr>
        <w:t xml:space="preserve">Consequences of less frequent collection would result in the IRS not being able to verify the requirements </w:t>
      </w:r>
      <w:r w:rsidRPr="007E3036" w:rsidR="00B72905">
        <w:rPr>
          <w:rFonts w:ascii="Times New Roman" w:hAnsi="Times New Roman"/>
        </w:rPr>
        <w:t>th</w:t>
      </w:r>
      <w:r w:rsidRPr="007E3036">
        <w:rPr>
          <w:rFonts w:ascii="Times New Roman" w:hAnsi="Times New Roman"/>
        </w:rPr>
        <w:t xml:space="preserve">at it is an organization that qualifies as a Type III supporting organization under </w:t>
      </w:r>
      <w:r w:rsidR="0090797E">
        <w:rPr>
          <w:rFonts w:ascii="Times New Roman" w:hAnsi="Times New Roman"/>
        </w:rPr>
        <w:t xml:space="preserve">IRC </w:t>
      </w:r>
      <w:r w:rsidRPr="007E3036">
        <w:rPr>
          <w:rFonts w:ascii="Times New Roman" w:hAnsi="Times New Roman"/>
        </w:rPr>
        <w:t>section 509(</w:t>
      </w:r>
      <w:r w:rsidR="00BE7CAC">
        <w:rPr>
          <w:rFonts w:ascii="Times New Roman" w:hAnsi="Times New Roman"/>
        </w:rPr>
        <w:t>f</w:t>
      </w:r>
      <w:r w:rsidRPr="007E3036">
        <w:rPr>
          <w:rFonts w:ascii="Times New Roman" w:hAnsi="Times New Roman"/>
        </w:rPr>
        <w:t>)(</w:t>
      </w:r>
      <w:r w:rsidR="00BE7CAC">
        <w:rPr>
          <w:rFonts w:ascii="Times New Roman" w:hAnsi="Times New Roman"/>
        </w:rPr>
        <w:t>1</w:t>
      </w:r>
      <w:r w:rsidRPr="007E3036">
        <w:rPr>
          <w:rFonts w:ascii="Times New Roman" w:hAnsi="Times New Roman"/>
        </w:rPr>
        <w:t>).</w:t>
      </w:r>
    </w:p>
    <w:p w:rsidR="000B1A00" w:rsidRPr="007E3036" w14:paraId="7A739A65" w14:textId="77777777">
      <w:pPr>
        <w:rPr>
          <w:rFonts w:ascii="Times New Roman" w:hAnsi="Times New Roman"/>
        </w:rPr>
      </w:pPr>
    </w:p>
    <w:p w:rsidR="000B1A00" w:rsidRPr="001A4C76" w14:paraId="3FF700F7"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SPECIAL CIRCUMSTANCES REQUIRING DATA COLLECTION TO BE</w:t>
      </w:r>
      <w:r w:rsidRPr="001A4C76" w:rsidR="00C172B9">
        <w:rPr>
          <w:rFonts w:ascii="Times New Roman" w:hAnsi="Times New Roman"/>
          <w:b/>
          <w:bCs/>
          <w:u w:val="single"/>
        </w:rPr>
        <w:t xml:space="preserve"> </w:t>
      </w:r>
      <w:r w:rsidRPr="001A4C76">
        <w:rPr>
          <w:rFonts w:ascii="Times New Roman" w:hAnsi="Times New Roman"/>
          <w:b/>
          <w:bCs/>
          <w:u w:val="single"/>
        </w:rPr>
        <w:t>INCONSISTENT WITH GUIDELINES IN 5 CFR 1320.5(d)(2)</w:t>
      </w:r>
    </w:p>
    <w:p w:rsidR="000B1A00" w:rsidRPr="007E3036" w14:paraId="01ECC958" w14:textId="77777777">
      <w:pPr>
        <w:rPr>
          <w:rFonts w:ascii="Times New Roman" w:hAnsi="Times New Roman"/>
        </w:rPr>
      </w:pPr>
    </w:p>
    <w:p w:rsidR="00B72905" w:rsidP="00B72905" w14:paraId="73F4DEA0" w14:textId="216FCB8C">
      <w:pPr>
        <w:ind w:left="720"/>
        <w:jc w:val="both"/>
        <w:rPr>
          <w:rFonts w:ascii="Times New Roman" w:hAnsi="Times New Roman"/>
        </w:rPr>
      </w:pPr>
      <w:r w:rsidRPr="007E3036">
        <w:rPr>
          <w:rFonts w:ascii="Times New Roman" w:hAnsi="Times New Roman"/>
        </w:rPr>
        <w:t xml:space="preserve">There are no special circumstances requiring data collection to be inconsistent with guidelines in 5 CFR 1320.5(d)(2). </w:t>
      </w:r>
    </w:p>
    <w:p w:rsidR="005B0290" w:rsidP="00B72905" w14:paraId="58E0768D" w14:textId="3630DE02">
      <w:pPr>
        <w:ind w:left="720"/>
        <w:jc w:val="both"/>
        <w:rPr>
          <w:rFonts w:ascii="Times New Roman" w:hAnsi="Times New Roman"/>
        </w:rPr>
      </w:pPr>
    </w:p>
    <w:p w:rsidR="000B1A00" w:rsidRPr="007E3036" w14:paraId="30EA4390" w14:textId="77777777">
      <w:pPr>
        <w:rPr>
          <w:rFonts w:ascii="Times New Roman" w:hAnsi="Times New Roman"/>
        </w:rPr>
        <w:sectPr>
          <w:footerReference w:type="default" r:id="rId4"/>
          <w:pgSz w:w="12240" w:h="15840"/>
          <w:pgMar w:top="1440" w:right="1440" w:bottom="1440" w:left="1440" w:header="1440" w:footer="1440" w:gutter="0"/>
          <w:cols w:space="720"/>
          <w:noEndnote/>
        </w:sectPr>
      </w:pPr>
    </w:p>
    <w:p w:rsidR="000B1A00" w:rsidRPr="001A4C76" w14:paraId="262EB8DD"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CONSULTATION WITH INDIVIDUALS OUTSIDE OF THE AGENCY ON</w:t>
      </w:r>
      <w:r w:rsidRPr="001A4C76" w:rsidR="00C172B9">
        <w:rPr>
          <w:rFonts w:ascii="Times New Roman" w:hAnsi="Times New Roman"/>
          <w:b/>
          <w:bCs/>
          <w:u w:val="single"/>
        </w:rPr>
        <w:t xml:space="preserve"> </w:t>
      </w:r>
      <w:r w:rsidRPr="001A4C76">
        <w:rPr>
          <w:rFonts w:ascii="Times New Roman" w:hAnsi="Times New Roman"/>
          <w:b/>
          <w:bCs/>
          <w:u w:val="single"/>
        </w:rPr>
        <w:t>AVAILABILITY OF DATA, FREQUENCY OF COLLECTION, CLARITY</w:t>
      </w:r>
      <w:r w:rsidRPr="001A4C76" w:rsidR="00C172B9">
        <w:rPr>
          <w:rFonts w:ascii="Times New Roman" w:hAnsi="Times New Roman"/>
          <w:b/>
          <w:bCs/>
          <w:u w:val="single"/>
        </w:rPr>
        <w:t xml:space="preserve"> </w:t>
      </w:r>
      <w:r w:rsidRPr="001A4C76">
        <w:rPr>
          <w:rFonts w:ascii="Times New Roman" w:hAnsi="Times New Roman"/>
          <w:b/>
          <w:bCs/>
          <w:u w:val="single"/>
        </w:rPr>
        <w:t>OF INSTRUCTIONS AND FORMS, AND DATA ELEMENTS</w:t>
      </w:r>
    </w:p>
    <w:p w:rsidR="000B1A00" w:rsidRPr="007E3036" w14:paraId="6976D00C" w14:textId="77777777">
      <w:pPr>
        <w:rPr>
          <w:rFonts w:ascii="Times New Roman" w:hAnsi="Times New Roman"/>
        </w:rPr>
      </w:pPr>
    </w:p>
    <w:p w:rsidR="004E2EA4" w:rsidP="004E2EA4" w14:paraId="0E184D6E" w14:textId="0C3CD1C1">
      <w:pPr>
        <w:ind w:left="720"/>
        <w:rPr>
          <w:rFonts w:ascii="Times New Roman" w:hAnsi="Times New Roman"/>
        </w:rPr>
      </w:pPr>
      <w:r w:rsidRPr="007E3036">
        <w:rPr>
          <w:rFonts w:ascii="Times New Roman" w:hAnsi="Times New Roman"/>
        </w:rPr>
        <w:t xml:space="preserve">In response to the </w:t>
      </w:r>
      <w:r w:rsidRPr="00C856AF">
        <w:rPr>
          <w:rFonts w:ascii="Times New Roman" w:hAnsi="Times New Roman"/>
          <w:bCs/>
          <w:iCs/>
        </w:rPr>
        <w:t>Federal Register</w:t>
      </w:r>
      <w:r w:rsidRPr="007E3036">
        <w:rPr>
          <w:rFonts w:ascii="Times New Roman" w:hAnsi="Times New Roman"/>
          <w:bCs/>
        </w:rPr>
        <w:t xml:space="preserve"> n</w:t>
      </w:r>
      <w:r w:rsidRPr="007E3036">
        <w:rPr>
          <w:rFonts w:ascii="Times New Roman" w:hAnsi="Times New Roman"/>
        </w:rPr>
        <w:t xml:space="preserve">otice dated </w:t>
      </w:r>
      <w:r w:rsidR="00C856AF">
        <w:rPr>
          <w:rFonts w:ascii="Times New Roman" w:hAnsi="Times New Roman"/>
        </w:rPr>
        <w:t>April 10, 2024</w:t>
      </w:r>
      <w:r w:rsidRPr="007E3036">
        <w:rPr>
          <w:rFonts w:ascii="Times New Roman" w:hAnsi="Times New Roman"/>
        </w:rPr>
        <w:t xml:space="preserve"> (8</w:t>
      </w:r>
      <w:r w:rsidR="00C856AF">
        <w:rPr>
          <w:rFonts w:ascii="Times New Roman" w:hAnsi="Times New Roman"/>
        </w:rPr>
        <w:t>9</w:t>
      </w:r>
      <w:r w:rsidRPr="007E3036">
        <w:rPr>
          <w:rFonts w:ascii="Times New Roman" w:hAnsi="Times New Roman"/>
        </w:rPr>
        <w:t xml:space="preserve"> FR </w:t>
      </w:r>
      <w:r w:rsidR="00C856AF">
        <w:rPr>
          <w:rFonts w:ascii="Times New Roman" w:hAnsi="Times New Roman"/>
        </w:rPr>
        <w:t>25329</w:t>
      </w:r>
      <w:r w:rsidRPr="007E3036">
        <w:rPr>
          <w:rFonts w:ascii="Times New Roman" w:hAnsi="Times New Roman"/>
        </w:rPr>
        <w:t xml:space="preserve">), </w:t>
      </w:r>
      <w:r w:rsidR="00C856AF">
        <w:rPr>
          <w:rFonts w:ascii="Times New Roman" w:hAnsi="Times New Roman"/>
        </w:rPr>
        <w:t>IRS</w:t>
      </w:r>
      <w:r w:rsidRPr="007E3036">
        <w:rPr>
          <w:rFonts w:ascii="Times New Roman" w:hAnsi="Times New Roman"/>
        </w:rPr>
        <w:t xml:space="preserve"> received no comments during the comment period regarding TD 9605.</w:t>
      </w:r>
    </w:p>
    <w:p w:rsidR="00C856AF" w:rsidP="004E2EA4" w14:paraId="16C9DB76" w14:textId="77777777">
      <w:pPr>
        <w:ind w:left="720"/>
        <w:rPr>
          <w:rFonts w:ascii="Times New Roman" w:hAnsi="Times New Roman"/>
        </w:rPr>
      </w:pPr>
    </w:p>
    <w:p w:rsidR="004E2EA4" w:rsidRPr="007E3036" w:rsidP="004E2EA4" w14:paraId="555F2C1B" w14:textId="77777777">
      <w:pPr>
        <w:rPr>
          <w:rFonts w:ascii="Times New Roman" w:hAnsi="Times New Roman"/>
        </w:rPr>
      </w:pPr>
    </w:p>
    <w:p w:rsidR="000B1A00" w:rsidRPr="001A4C76" w14:paraId="3F2BFC06" w14:textId="1CCD391F">
      <w:pPr>
        <w:pStyle w:val="Level1"/>
        <w:tabs>
          <w:tab w:val="left" w:pos="-1440"/>
          <w:tab w:val="num" w:pos="720"/>
        </w:tabs>
        <w:rPr>
          <w:rFonts w:ascii="Times New Roman" w:hAnsi="Times New Roman"/>
          <w:b/>
          <w:bCs/>
        </w:rPr>
      </w:pPr>
      <w:r w:rsidRPr="001A4C76">
        <w:rPr>
          <w:rFonts w:ascii="Times New Roman" w:hAnsi="Times New Roman"/>
          <w:b/>
          <w:bCs/>
          <w:u w:val="single"/>
        </w:rPr>
        <w:t>EXPLANATION OF DECISION TO PROVIDE ANY PAYMENT OR GIFT TO</w:t>
      </w:r>
      <w:r w:rsidRPr="001A4C76">
        <w:rPr>
          <w:rFonts w:ascii="Times New Roman" w:hAnsi="Times New Roman"/>
          <w:b/>
          <w:bCs/>
        </w:rPr>
        <w:t xml:space="preserve">   </w:t>
      </w:r>
      <w:r w:rsidRPr="001A4C76">
        <w:rPr>
          <w:rFonts w:ascii="Times New Roman" w:hAnsi="Times New Roman"/>
          <w:b/>
          <w:bCs/>
          <w:u w:val="single"/>
        </w:rPr>
        <w:t>RESPONDENTS</w:t>
      </w:r>
    </w:p>
    <w:p w:rsidR="000B1A00" w:rsidRPr="007E3036" w14:paraId="15704175" w14:textId="77777777">
      <w:pPr>
        <w:rPr>
          <w:rFonts w:ascii="Times New Roman" w:hAnsi="Times New Roman"/>
        </w:rPr>
      </w:pPr>
    </w:p>
    <w:p w:rsidR="00E13DA9" w14:paraId="4E50F2CE" w14:textId="77777777">
      <w:pPr>
        <w:ind w:left="720"/>
        <w:rPr>
          <w:rFonts w:ascii="Times New Roman" w:hAnsi="Times New Roman"/>
        </w:rPr>
      </w:pPr>
      <w:r w:rsidRPr="007E3036">
        <w:rPr>
          <w:rFonts w:ascii="Times New Roman" w:hAnsi="Times New Roman"/>
        </w:rPr>
        <w:t>No gifts or payments are being provided to any respondents.</w:t>
      </w:r>
    </w:p>
    <w:p w:rsidR="000B1A00" w:rsidRPr="007E3036" w14:paraId="0E8BDFBA" w14:textId="47C43C7A">
      <w:pPr>
        <w:ind w:left="720"/>
        <w:rPr>
          <w:rFonts w:ascii="Times New Roman" w:hAnsi="Times New Roman"/>
        </w:rPr>
      </w:pPr>
      <w:r w:rsidRPr="007E3036">
        <w:rPr>
          <w:rFonts w:ascii="Times New Roman" w:hAnsi="Times New Roman"/>
        </w:rPr>
        <w:t xml:space="preserve"> </w:t>
      </w:r>
    </w:p>
    <w:p w:rsidR="000B1A00" w:rsidRPr="001A4C76" w14:paraId="2421C2C1"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ASSURANCE OF CONFIDENTIALITY OF RESPONSES</w:t>
      </w:r>
    </w:p>
    <w:p w:rsidR="000B1A00" w:rsidRPr="007E3036" w14:paraId="3E3927D3" w14:textId="77777777">
      <w:pPr>
        <w:rPr>
          <w:rFonts w:ascii="Times New Roman" w:hAnsi="Times New Roman"/>
        </w:rPr>
      </w:pPr>
    </w:p>
    <w:p w:rsidR="000B1A00" w:rsidRPr="007E3036" w14:paraId="31B9AEF5" w14:textId="77777777">
      <w:pPr>
        <w:ind w:left="720"/>
        <w:rPr>
          <w:rFonts w:ascii="Times New Roman" w:hAnsi="Times New Roman"/>
        </w:rPr>
      </w:pPr>
      <w:r w:rsidRPr="007E3036">
        <w:rPr>
          <w:rFonts w:ascii="Times New Roman" w:hAnsi="Times New Roman"/>
        </w:rPr>
        <w:t>Generally, tax returns and tax return information are confidential as required by 26 USC 6103.</w:t>
      </w:r>
    </w:p>
    <w:p w:rsidR="000B1A00" w:rsidRPr="007E3036" w14:paraId="3B79B6A9" w14:textId="77777777">
      <w:pPr>
        <w:rPr>
          <w:rFonts w:ascii="Times New Roman" w:hAnsi="Times New Roman"/>
        </w:rPr>
      </w:pPr>
    </w:p>
    <w:p w:rsidR="000B1A00" w:rsidRPr="007E3036" w14:paraId="47613A13" w14:textId="77777777">
      <w:pPr>
        <w:rPr>
          <w:rFonts w:ascii="Times New Roman" w:hAnsi="Times New Roman"/>
        </w:rPr>
        <w:sectPr>
          <w:headerReference w:type="default" r:id="rId5"/>
          <w:type w:val="continuous"/>
          <w:pgSz w:w="12240" w:h="15840"/>
          <w:pgMar w:top="1440" w:right="1440" w:bottom="1440" w:left="1440" w:header="1440" w:footer="1440" w:gutter="0"/>
          <w:cols w:space="720"/>
          <w:noEndnote/>
        </w:sectPr>
      </w:pPr>
    </w:p>
    <w:p w:rsidR="00412D4A" w:rsidRPr="00267B38" w:rsidP="00412D4A" w14:paraId="2A03467C" w14:textId="37AB86A5">
      <w:pPr>
        <w:pStyle w:val="Level1"/>
        <w:tabs>
          <w:tab w:val="left" w:pos="-1440"/>
        </w:tabs>
        <w:ind w:firstLine="0"/>
        <w:rPr>
          <w:rFonts w:ascii="Times New Roman" w:hAnsi="Times New Roman"/>
          <w:b/>
          <w:bCs/>
          <w:u w:val="single"/>
        </w:rPr>
      </w:pPr>
      <w:r>
        <w:rPr>
          <w:rFonts w:ascii="Times New Roman" w:hAnsi="Times New Roman"/>
          <w:b/>
          <w:bCs/>
          <w:u w:val="single"/>
        </w:rPr>
        <w:t>JUSTIFICATION OF SENSITIVE QUESTIONS</w:t>
      </w:r>
    </w:p>
    <w:p w:rsidR="000B1A00" w:rsidRPr="007E3036" w14:paraId="5E8B3205" w14:textId="77777777">
      <w:pPr>
        <w:rPr>
          <w:rFonts w:ascii="Times New Roman" w:hAnsi="Times New Roman"/>
          <w:u w:val="single"/>
        </w:rPr>
      </w:pPr>
    </w:p>
    <w:p w:rsidR="007E3036" w:rsidRPr="007E3036" w:rsidP="00E365C9" w14:paraId="3F3F99E4" w14:textId="72C29F98">
      <w:pPr>
        <w:ind w:left="1380"/>
        <w:rPr>
          <w:rFonts w:ascii="Times New Roman" w:hAnsi="Times New Roman"/>
          <w:bCs/>
        </w:rPr>
      </w:pPr>
      <w:r w:rsidRPr="0090797E">
        <w:rPr>
          <w:rFonts w:ascii="Times New Roman" w:hAnsi="Times New Roman"/>
          <w:bCs/>
        </w:rPr>
        <w:t>No sensitive personally identifiable information is being collected by the agency.</w:t>
      </w:r>
      <w:r>
        <w:rPr>
          <w:rFonts w:ascii="Times New Roman" w:hAnsi="Times New Roman"/>
          <w:bCs/>
        </w:rPr>
        <w:t xml:space="preserve"> This is a third-party disclosure requirement.</w:t>
      </w:r>
      <w:r w:rsidRPr="007E3036">
        <w:rPr>
          <w:rFonts w:ascii="Times New Roman" w:hAnsi="Times New Roman"/>
          <w:bCs/>
        </w:rPr>
        <w:t> </w:t>
      </w:r>
    </w:p>
    <w:p w:rsidR="000B1A00" w:rsidRPr="007E3036" w14:paraId="43A7372F" w14:textId="77777777">
      <w:pPr>
        <w:rPr>
          <w:rFonts w:ascii="Times New Roman" w:hAnsi="Times New Roman"/>
        </w:rPr>
      </w:pPr>
    </w:p>
    <w:p w:rsidR="000B1A00" w:rsidRPr="00155841" w:rsidP="00155841" w14:paraId="00FCD1FB" w14:textId="24B0F0DF">
      <w:pPr>
        <w:pStyle w:val="Level1"/>
        <w:tabs>
          <w:tab w:val="left" w:pos="-1440"/>
        </w:tabs>
        <w:ind w:firstLine="0"/>
        <w:rPr>
          <w:rFonts w:ascii="Times New Roman" w:hAnsi="Times New Roman"/>
          <w:b/>
          <w:bCs/>
          <w:u w:val="single"/>
        </w:rPr>
      </w:pPr>
      <w:r w:rsidRPr="00155841">
        <w:rPr>
          <w:rFonts w:ascii="Times New Roman" w:hAnsi="Times New Roman"/>
          <w:b/>
          <w:bCs/>
          <w:u w:val="single"/>
        </w:rPr>
        <w:t>ESTIMATED BURDEN OF INFORMATION COLLECTION</w:t>
      </w:r>
    </w:p>
    <w:p w:rsidR="000B1A00" w:rsidRPr="007E3036" w14:paraId="7E103DBB" w14:textId="77777777">
      <w:pPr>
        <w:rPr>
          <w:rFonts w:ascii="Times New Roman" w:hAnsi="Times New Roman"/>
          <w:u w:val="single"/>
        </w:rPr>
      </w:pPr>
    </w:p>
    <w:p w:rsidR="00DF09A6" w:rsidRPr="007E3036" w:rsidP="00E365C9" w14:paraId="0A783113" w14:textId="0ED2D308">
      <w:pPr>
        <w:ind w:left="1260"/>
        <w:rPr>
          <w:rFonts w:ascii="Times New Roman" w:hAnsi="Times New Roman"/>
        </w:rPr>
      </w:pPr>
      <w:r w:rsidRPr="007E3036">
        <w:rPr>
          <w:rFonts w:ascii="Times New Roman" w:hAnsi="Times New Roman"/>
        </w:rPr>
        <w:t xml:space="preserve">The collection of information under </w:t>
      </w:r>
      <w:r w:rsidR="0090797E">
        <w:rPr>
          <w:rFonts w:ascii="Times New Roman" w:hAnsi="Times New Roman"/>
        </w:rPr>
        <w:t>Treasury Regulations section</w:t>
      </w:r>
      <w:r w:rsidRPr="007E3036">
        <w:rPr>
          <w:rFonts w:ascii="Times New Roman" w:hAnsi="Times New Roman"/>
        </w:rPr>
        <w:t xml:space="preserve"> 1.509(a)–4(i)(2) flows from </w:t>
      </w:r>
      <w:r w:rsidR="0090797E">
        <w:rPr>
          <w:rFonts w:ascii="Times New Roman" w:hAnsi="Times New Roman"/>
        </w:rPr>
        <w:t xml:space="preserve">IRC </w:t>
      </w:r>
      <w:r w:rsidRPr="007E3036">
        <w:rPr>
          <w:rFonts w:ascii="Times New Roman" w:hAnsi="Times New Roman"/>
        </w:rPr>
        <w:t>section 509(f)(1)(A), which requires a Type III supporting organization to provide to each of its supported organizations such information as the Secretary may require, to ensure, that the Type III</w:t>
      </w:r>
      <w:r w:rsidR="007E3036">
        <w:rPr>
          <w:rFonts w:ascii="Times New Roman" w:hAnsi="Times New Roman"/>
        </w:rPr>
        <w:t xml:space="preserve"> </w:t>
      </w:r>
      <w:r w:rsidRPr="007E3036">
        <w:rPr>
          <w:rFonts w:ascii="Times New Roman" w:hAnsi="Times New Roman"/>
        </w:rPr>
        <w:t xml:space="preserve">supporting organization is responsive to the needs or demands of its supported organization(s). </w:t>
      </w:r>
      <w:r w:rsidRPr="007E3036" w:rsidR="008A65EC">
        <w:rPr>
          <w:rFonts w:ascii="Times New Roman" w:hAnsi="Times New Roman"/>
        </w:rPr>
        <w:t xml:space="preserve">   </w:t>
      </w:r>
    </w:p>
    <w:p w:rsidR="00DF09A6" w:rsidRPr="007E3036" w:rsidP="00DF09A6" w14:paraId="3FFF540F" w14:textId="77777777">
      <w:pPr>
        <w:ind w:firstLine="720"/>
        <w:rPr>
          <w:rFonts w:ascii="Times New Roman" w:hAnsi="Times New Roman"/>
        </w:rPr>
      </w:pPr>
    </w:p>
    <w:p w:rsidR="00E365C9" w:rsidP="00E365C9" w14:paraId="10F50635" w14:textId="48F6971F">
      <w:pPr>
        <w:ind w:left="1260"/>
        <w:rPr>
          <w:rFonts w:ascii="Times New Roman" w:hAnsi="Times New Roman"/>
        </w:rPr>
      </w:pPr>
      <w:r w:rsidRPr="007E3036">
        <w:rPr>
          <w:rFonts w:ascii="Times New Roman" w:hAnsi="Times New Roman"/>
        </w:rPr>
        <w:t xml:space="preserve">The collection of information under </w:t>
      </w:r>
      <w:r w:rsidR="0090797E">
        <w:rPr>
          <w:rFonts w:ascii="Times New Roman" w:hAnsi="Times New Roman"/>
        </w:rPr>
        <w:t>Treasury Regulations section</w:t>
      </w:r>
      <w:r w:rsidRPr="007E3036">
        <w:rPr>
          <w:rFonts w:ascii="Times New Roman" w:hAnsi="Times New Roman"/>
        </w:rPr>
        <w:t xml:space="preserve"> 1.509(a)–4(i)(6)(v) is required only if a Type III supporting organization that is not functionally integrated wishes for certain amounts set aside for a specific project to count toward the distribution requirement imposed by § 1.509(a)–4(i)(5)(ii).</w:t>
      </w:r>
    </w:p>
    <w:p w:rsidR="00E365C9" w:rsidP="00E365C9" w14:paraId="795E03ED" w14:textId="77777777">
      <w:pPr>
        <w:ind w:left="1260"/>
        <w:rPr>
          <w:rFonts w:ascii="Times New Roman" w:hAnsi="Times New Roman"/>
        </w:rPr>
      </w:pPr>
    </w:p>
    <w:p w:rsidR="005A4B0E" w:rsidP="00E365C9" w14:paraId="60C68419" w14:textId="444472CD">
      <w:pPr>
        <w:spacing w:line="480" w:lineRule="auto"/>
        <w:ind w:left="540" w:firstLine="720"/>
        <w:rPr>
          <w:rFonts w:ascii="Times New Roman" w:hAnsi="Times New Roman"/>
        </w:rPr>
      </w:pPr>
      <w:r w:rsidRPr="007E3036">
        <w:rPr>
          <w:rFonts w:ascii="Times New Roman" w:hAnsi="Times New Roman"/>
        </w:rPr>
        <w:t>Burden estimates is as follows:</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541"/>
        <w:gridCol w:w="1236"/>
        <w:gridCol w:w="1169"/>
        <w:gridCol w:w="1109"/>
        <w:gridCol w:w="1040"/>
        <w:gridCol w:w="830"/>
      </w:tblGrid>
      <w:tr w14:paraId="3386B438" w14:textId="77777777" w:rsidTr="00155841">
        <w:tblPrEx>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vAlign w:val="center"/>
          </w:tcPr>
          <w:p w:rsidR="007E3036" w:rsidRPr="007B1C36" w:rsidP="002B7094" w14:paraId="2AFC3375" w14:textId="77777777">
            <w:pPr>
              <w:numPr>
                <w:ilvl w:val="12"/>
                <w:numId w:val="0"/>
              </w:numPr>
              <w:jc w:val="center"/>
              <w:rPr>
                <w:rFonts w:ascii="Arial Narrow" w:hAnsi="Arial Narrow"/>
                <w:bCs/>
                <w:sz w:val="18"/>
                <w:szCs w:val="18"/>
              </w:rPr>
            </w:pPr>
            <w:r w:rsidRPr="007B1C36">
              <w:rPr>
                <w:rFonts w:ascii="Arial Narrow" w:hAnsi="Arial Narrow"/>
                <w:bCs/>
                <w:sz w:val="18"/>
                <w:szCs w:val="18"/>
              </w:rPr>
              <w:t>Authority</w:t>
            </w:r>
          </w:p>
        </w:tc>
        <w:tc>
          <w:tcPr>
            <w:tcW w:w="1541" w:type="dxa"/>
            <w:vAlign w:val="center"/>
          </w:tcPr>
          <w:p w:rsidR="007E3036" w:rsidRPr="007B1C36" w:rsidP="001A4C76" w14:paraId="5161F759" w14:textId="2171B899">
            <w:pPr>
              <w:numPr>
                <w:ilvl w:val="12"/>
                <w:numId w:val="0"/>
              </w:numPr>
              <w:jc w:val="center"/>
              <w:rPr>
                <w:rFonts w:ascii="Arial Narrow" w:hAnsi="Arial Narrow"/>
                <w:bCs/>
                <w:sz w:val="18"/>
                <w:szCs w:val="18"/>
              </w:rPr>
            </w:pPr>
            <w:r>
              <w:rPr>
                <w:rFonts w:ascii="Arial Narrow" w:hAnsi="Arial Narrow"/>
                <w:bCs/>
                <w:sz w:val="18"/>
                <w:szCs w:val="18"/>
              </w:rPr>
              <w:t>Description</w:t>
            </w:r>
          </w:p>
        </w:tc>
        <w:tc>
          <w:tcPr>
            <w:tcW w:w="1236" w:type="dxa"/>
            <w:shd w:val="clear" w:color="auto" w:fill="auto"/>
            <w:vAlign w:val="center"/>
          </w:tcPr>
          <w:p w:rsidR="007E3036" w:rsidRPr="007B1C36" w:rsidP="002B7094" w14:paraId="284EE0A7" w14:textId="49F18401">
            <w:pPr>
              <w:numPr>
                <w:ilvl w:val="12"/>
                <w:numId w:val="0"/>
              </w:numPr>
              <w:jc w:val="center"/>
              <w:rPr>
                <w:rFonts w:ascii="Arial Narrow" w:hAnsi="Arial Narrow"/>
                <w:bCs/>
                <w:sz w:val="18"/>
                <w:szCs w:val="18"/>
              </w:rPr>
            </w:pPr>
            <w:r w:rsidRPr="007B1C36">
              <w:rPr>
                <w:rFonts w:ascii="Arial Narrow" w:hAnsi="Arial Narrow"/>
                <w:bCs/>
                <w:sz w:val="18"/>
                <w:szCs w:val="18"/>
              </w:rPr>
              <w:t># Respondents</w:t>
            </w:r>
          </w:p>
        </w:tc>
        <w:tc>
          <w:tcPr>
            <w:tcW w:w="1169" w:type="dxa"/>
            <w:shd w:val="clear" w:color="auto" w:fill="auto"/>
            <w:vAlign w:val="center"/>
          </w:tcPr>
          <w:p w:rsidR="007E3036" w:rsidRPr="007B1C36" w:rsidP="002B7094" w14:paraId="750D35A4" w14:textId="77777777">
            <w:pPr>
              <w:numPr>
                <w:ilvl w:val="12"/>
                <w:numId w:val="0"/>
              </w:numPr>
              <w:jc w:val="center"/>
              <w:rPr>
                <w:rFonts w:ascii="Arial Narrow" w:hAnsi="Arial Narrow"/>
                <w:bCs/>
                <w:sz w:val="18"/>
                <w:szCs w:val="18"/>
              </w:rPr>
            </w:pPr>
            <w:r w:rsidRPr="007B1C36">
              <w:rPr>
                <w:rFonts w:ascii="Arial Narrow" w:hAnsi="Arial Narrow"/>
                <w:bCs/>
                <w:sz w:val="18"/>
                <w:szCs w:val="18"/>
              </w:rPr>
              <w:t># Responses Per Respondent</w:t>
            </w:r>
          </w:p>
        </w:tc>
        <w:tc>
          <w:tcPr>
            <w:tcW w:w="1109" w:type="dxa"/>
            <w:shd w:val="clear" w:color="auto" w:fill="auto"/>
            <w:vAlign w:val="center"/>
          </w:tcPr>
          <w:p w:rsidR="007E3036" w:rsidRPr="007B1C36" w:rsidP="002B7094" w14:paraId="16CFBFA7" w14:textId="77777777">
            <w:pPr>
              <w:numPr>
                <w:ilvl w:val="12"/>
                <w:numId w:val="0"/>
              </w:numPr>
              <w:jc w:val="center"/>
              <w:rPr>
                <w:rFonts w:ascii="Arial Narrow" w:hAnsi="Arial Narrow"/>
                <w:bCs/>
                <w:sz w:val="18"/>
                <w:szCs w:val="18"/>
              </w:rPr>
            </w:pPr>
            <w:r w:rsidRPr="007B1C36">
              <w:rPr>
                <w:rFonts w:ascii="Arial Narrow" w:hAnsi="Arial Narrow"/>
                <w:bCs/>
                <w:sz w:val="18"/>
                <w:szCs w:val="18"/>
              </w:rPr>
              <w:t>Total Annual Responses</w:t>
            </w:r>
          </w:p>
        </w:tc>
        <w:tc>
          <w:tcPr>
            <w:tcW w:w="1040" w:type="dxa"/>
            <w:shd w:val="clear" w:color="auto" w:fill="auto"/>
            <w:vAlign w:val="center"/>
          </w:tcPr>
          <w:p w:rsidR="007E3036" w:rsidRPr="007B1C36" w:rsidP="002B7094" w14:paraId="3AF832E0" w14:textId="77777777">
            <w:pPr>
              <w:numPr>
                <w:ilvl w:val="12"/>
                <w:numId w:val="0"/>
              </w:numPr>
              <w:jc w:val="center"/>
              <w:rPr>
                <w:rFonts w:ascii="Arial Narrow" w:hAnsi="Arial Narrow"/>
                <w:bCs/>
                <w:sz w:val="18"/>
                <w:szCs w:val="18"/>
              </w:rPr>
            </w:pPr>
            <w:r w:rsidRPr="007B1C36">
              <w:rPr>
                <w:rFonts w:ascii="Arial Narrow" w:hAnsi="Arial Narrow"/>
                <w:bCs/>
                <w:sz w:val="18"/>
                <w:szCs w:val="18"/>
              </w:rPr>
              <w:t>Hours Per Response</w:t>
            </w:r>
          </w:p>
        </w:tc>
        <w:tc>
          <w:tcPr>
            <w:tcW w:w="830" w:type="dxa"/>
            <w:shd w:val="clear" w:color="auto" w:fill="auto"/>
            <w:vAlign w:val="center"/>
          </w:tcPr>
          <w:p w:rsidR="007E3036" w:rsidRPr="007B1C36" w:rsidP="002B7094" w14:paraId="5EC4809B" w14:textId="77777777">
            <w:pPr>
              <w:numPr>
                <w:ilvl w:val="12"/>
                <w:numId w:val="0"/>
              </w:numPr>
              <w:jc w:val="center"/>
              <w:rPr>
                <w:rFonts w:ascii="Arial Narrow" w:hAnsi="Arial Narrow"/>
                <w:bCs/>
                <w:sz w:val="18"/>
                <w:szCs w:val="18"/>
              </w:rPr>
            </w:pPr>
            <w:r w:rsidRPr="007B1C36">
              <w:rPr>
                <w:rFonts w:ascii="Arial Narrow" w:hAnsi="Arial Narrow"/>
                <w:bCs/>
                <w:sz w:val="18"/>
                <w:szCs w:val="18"/>
              </w:rPr>
              <w:t>Total Burden</w:t>
            </w:r>
          </w:p>
        </w:tc>
      </w:tr>
      <w:tr w14:paraId="393431CB" w14:textId="77777777" w:rsidTr="00155841">
        <w:tblPrEx>
          <w:tblW w:w="0" w:type="auto"/>
          <w:tblInd w:w="1255" w:type="dxa"/>
          <w:tblLook w:val="04A0"/>
        </w:tblPrEx>
        <w:trPr>
          <w:trHeight w:val="557"/>
        </w:trPr>
        <w:tc>
          <w:tcPr>
            <w:tcW w:w="1170" w:type="dxa"/>
          </w:tcPr>
          <w:p w:rsidR="001A4C76" w:rsidRPr="007B1C36" w:rsidP="001A4C76" w14:paraId="51BC9020" w14:textId="77777777">
            <w:pPr>
              <w:numPr>
                <w:ilvl w:val="12"/>
                <w:numId w:val="0"/>
              </w:numPr>
              <w:jc w:val="center"/>
              <w:rPr>
                <w:rFonts w:ascii="Arial Narrow" w:hAnsi="Arial Narrow"/>
                <w:bCs/>
                <w:sz w:val="18"/>
                <w:szCs w:val="18"/>
              </w:rPr>
            </w:pPr>
          </w:p>
          <w:p w:rsidR="001A4C76" w:rsidRPr="007B1C36" w:rsidP="0090797E" w14:paraId="49F1F5EA" w14:textId="4F6D87AD">
            <w:pPr>
              <w:numPr>
                <w:ilvl w:val="12"/>
                <w:numId w:val="0"/>
              </w:numPr>
              <w:jc w:val="center"/>
              <w:rPr>
                <w:rFonts w:ascii="Arial Narrow" w:hAnsi="Arial Narrow"/>
                <w:bCs/>
                <w:sz w:val="18"/>
                <w:szCs w:val="18"/>
              </w:rPr>
            </w:pPr>
            <w:r>
              <w:rPr>
                <w:rFonts w:ascii="Arial Narrow" w:hAnsi="Arial Narrow"/>
                <w:bCs/>
                <w:sz w:val="18"/>
                <w:szCs w:val="18"/>
              </w:rPr>
              <w:t xml:space="preserve">IRC </w:t>
            </w:r>
            <w:r w:rsidRPr="007E3036">
              <w:rPr>
                <w:rFonts w:ascii="Arial Narrow" w:hAnsi="Arial Narrow"/>
                <w:bCs/>
                <w:sz w:val="18"/>
                <w:szCs w:val="18"/>
              </w:rPr>
              <w:t xml:space="preserve">§ </w:t>
            </w:r>
            <w:r>
              <w:rPr>
                <w:rFonts w:ascii="Arial Narrow" w:hAnsi="Arial Narrow"/>
                <w:bCs/>
                <w:sz w:val="18"/>
                <w:szCs w:val="18"/>
              </w:rPr>
              <w:t>509</w:t>
            </w:r>
          </w:p>
        </w:tc>
        <w:tc>
          <w:tcPr>
            <w:tcW w:w="1541" w:type="dxa"/>
            <w:vAlign w:val="center"/>
          </w:tcPr>
          <w:p w:rsidR="001A4C76" w:rsidRPr="007B1C36" w:rsidP="001A4C76" w14:paraId="5B610D1C" w14:textId="32FB2748">
            <w:pPr>
              <w:numPr>
                <w:ilvl w:val="12"/>
                <w:numId w:val="0"/>
              </w:numPr>
              <w:jc w:val="center"/>
              <w:rPr>
                <w:rFonts w:ascii="Arial Narrow" w:hAnsi="Arial Narrow"/>
                <w:bCs/>
                <w:sz w:val="18"/>
                <w:szCs w:val="18"/>
              </w:rPr>
            </w:pPr>
            <w:r>
              <w:rPr>
                <w:rFonts w:ascii="Arial Narrow" w:hAnsi="Arial Narrow"/>
                <w:bCs/>
                <w:sz w:val="18"/>
                <w:szCs w:val="18"/>
              </w:rPr>
              <w:t>TD 9605</w:t>
            </w:r>
          </w:p>
        </w:tc>
        <w:tc>
          <w:tcPr>
            <w:tcW w:w="1236" w:type="dxa"/>
            <w:shd w:val="clear" w:color="auto" w:fill="auto"/>
            <w:vAlign w:val="center"/>
          </w:tcPr>
          <w:p w:rsidR="001A4C76" w:rsidRPr="007B1C36" w:rsidP="001A4C76" w14:paraId="6273E720" w14:textId="449809BA">
            <w:pPr>
              <w:numPr>
                <w:ilvl w:val="12"/>
                <w:numId w:val="0"/>
              </w:numPr>
              <w:jc w:val="center"/>
              <w:rPr>
                <w:rFonts w:ascii="Arial Narrow" w:hAnsi="Arial Narrow"/>
                <w:bCs/>
                <w:sz w:val="18"/>
                <w:szCs w:val="18"/>
              </w:rPr>
            </w:pPr>
            <w:r>
              <w:rPr>
                <w:rFonts w:ascii="Arial Narrow" w:hAnsi="Arial Narrow"/>
                <w:bCs/>
                <w:sz w:val="18"/>
                <w:szCs w:val="18"/>
              </w:rPr>
              <w:t>6,089</w:t>
            </w:r>
          </w:p>
        </w:tc>
        <w:tc>
          <w:tcPr>
            <w:tcW w:w="1169" w:type="dxa"/>
            <w:shd w:val="clear" w:color="auto" w:fill="auto"/>
            <w:vAlign w:val="center"/>
          </w:tcPr>
          <w:p w:rsidR="001A4C76" w:rsidRPr="007B1C36" w:rsidP="001A4C76" w14:paraId="13769DA8" w14:textId="77777777">
            <w:pPr>
              <w:numPr>
                <w:ilvl w:val="12"/>
                <w:numId w:val="0"/>
              </w:numPr>
              <w:jc w:val="center"/>
              <w:rPr>
                <w:rFonts w:ascii="Arial Narrow" w:hAnsi="Arial Narrow"/>
                <w:bCs/>
                <w:sz w:val="18"/>
                <w:szCs w:val="18"/>
              </w:rPr>
            </w:pPr>
            <w:r w:rsidRPr="007B1C36">
              <w:rPr>
                <w:rFonts w:ascii="Arial Narrow" w:hAnsi="Arial Narrow"/>
                <w:bCs/>
                <w:sz w:val="18"/>
                <w:szCs w:val="18"/>
              </w:rPr>
              <w:t>1</w:t>
            </w:r>
          </w:p>
        </w:tc>
        <w:tc>
          <w:tcPr>
            <w:tcW w:w="1109" w:type="dxa"/>
            <w:shd w:val="clear" w:color="auto" w:fill="auto"/>
            <w:vAlign w:val="center"/>
          </w:tcPr>
          <w:p w:rsidR="001A4C76" w:rsidRPr="007B1C36" w:rsidP="001A4C76" w14:paraId="488AE024" w14:textId="30AF22C5">
            <w:pPr>
              <w:numPr>
                <w:ilvl w:val="12"/>
                <w:numId w:val="0"/>
              </w:numPr>
              <w:jc w:val="center"/>
              <w:rPr>
                <w:rFonts w:ascii="Arial Narrow" w:hAnsi="Arial Narrow"/>
                <w:bCs/>
                <w:sz w:val="18"/>
                <w:szCs w:val="18"/>
              </w:rPr>
            </w:pPr>
            <w:r>
              <w:rPr>
                <w:rFonts w:ascii="Arial Narrow" w:hAnsi="Arial Narrow"/>
                <w:bCs/>
                <w:sz w:val="18"/>
                <w:szCs w:val="18"/>
              </w:rPr>
              <w:t>6,089</w:t>
            </w:r>
          </w:p>
        </w:tc>
        <w:tc>
          <w:tcPr>
            <w:tcW w:w="1040" w:type="dxa"/>
            <w:shd w:val="clear" w:color="auto" w:fill="auto"/>
            <w:vAlign w:val="center"/>
          </w:tcPr>
          <w:p w:rsidR="001A4C76" w:rsidRPr="007B1C36" w:rsidP="001A4C76" w14:paraId="12C5A211" w14:textId="6E39544A">
            <w:pPr>
              <w:numPr>
                <w:ilvl w:val="12"/>
                <w:numId w:val="0"/>
              </w:numPr>
              <w:jc w:val="center"/>
              <w:rPr>
                <w:rFonts w:ascii="Arial Narrow" w:hAnsi="Arial Narrow"/>
                <w:bCs/>
                <w:sz w:val="18"/>
                <w:szCs w:val="18"/>
              </w:rPr>
            </w:pPr>
            <w:r w:rsidRPr="007B1C36">
              <w:rPr>
                <w:rFonts w:ascii="Arial Narrow" w:hAnsi="Arial Narrow"/>
                <w:bCs/>
                <w:sz w:val="18"/>
                <w:szCs w:val="18"/>
              </w:rPr>
              <w:t>2</w:t>
            </w:r>
          </w:p>
        </w:tc>
        <w:tc>
          <w:tcPr>
            <w:tcW w:w="830" w:type="dxa"/>
            <w:shd w:val="clear" w:color="auto" w:fill="auto"/>
            <w:vAlign w:val="center"/>
          </w:tcPr>
          <w:p w:rsidR="001A4C76" w:rsidRPr="007B1C36" w:rsidP="001A4C76" w14:paraId="42E7299D" w14:textId="5F603EDC">
            <w:pPr>
              <w:numPr>
                <w:ilvl w:val="12"/>
                <w:numId w:val="0"/>
              </w:numPr>
              <w:jc w:val="center"/>
              <w:rPr>
                <w:rFonts w:ascii="Arial Narrow" w:hAnsi="Arial Narrow"/>
                <w:bCs/>
                <w:sz w:val="18"/>
                <w:szCs w:val="18"/>
              </w:rPr>
            </w:pPr>
            <w:r>
              <w:rPr>
                <w:rFonts w:ascii="Arial Narrow" w:hAnsi="Arial Narrow"/>
                <w:bCs/>
                <w:sz w:val="18"/>
                <w:szCs w:val="18"/>
              </w:rPr>
              <w:t>12,178</w:t>
            </w:r>
          </w:p>
        </w:tc>
      </w:tr>
      <w:tr w14:paraId="69148CF5" w14:textId="77777777" w:rsidTr="00155841">
        <w:tblPrEx>
          <w:tblW w:w="0" w:type="auto"/>
          <w:tblInd w:w="1255" w:type="dxa"/>
          <w:tblLook w:val="04A0"/>
        </w:tblPrEx>
        <w:trPr>
          <w:trHeight w:val="377"/>
        </w:trPr>
        <w:tc>
          <w:tcPr>
            <w:tcW w:w="1170" w:type="dxa"/>
            <w:vAlign w:val="center"/>
          </w:tcPr>
          <w:p w:rsidR="001A4C76" w:rsidRPr="00996D1F" w:rsidP="001A4C76" w14:paraId="6FCB74AE" w14:textId="77777777">
            <w:pPr>
              <w:numPr>
                <w:ilvl w:val="12"/>
                <w:numId w:val="0"/>
              </w:numPr>
              <w:jc w:val="center"/>
              <w:rPr>
                <w:rFonts w:ascii="Arial" w:hAnsi="Arial" w:cs="Arial"/>
                <w:bCs/>
                <w:sz w:val="18"/>
                <w:szCs w:val="18"/>
              </w:rPr>
            </w:pPr>
            <w:r>
              <w:rPr>
                <w:rFonts w:ascii="Arial" w:hAnsi="Arial" w:cs="Arial"/>
                <w:sz w:val="18"/>
                <w:szCs w:val="18"/>
              </w:rPr>
              <w:t>Totals</w:t>
            </w:r>
          </w:p>
        </w:tc>
        <w:tc>
          <w:tcPr>
            <w:tcW w:w="1541" w:type="dxa"/>
          </w:tcPr>
          <w:p w:rsidR="001A4C76" w:rsidP="001A4C76" w14:paraId="3539A7D0" w14:textId="77777777">
            <w:pPr>
              <w:numPr>
                <w:ilvl w:val="12"/>
                <w:numId w:val="0"/>
              </w:numPr>
              <w:jc w:val="center"/>
              <w:rPr>
                <w:rFonts w:ascii="Arial Narrow" w:hAnsi="Arial Narrow"/>
                <w:bCs/>
                <w:sz w:val="18"/>
                <w:szCs w:val="18"/>
              </w:rPr>
            </w:pPr>
          </w:p>
        </w:tc>
        <w:tc>
          <w:tcPr>
            <w:tcW w:w="1236" w:type="dxa"/>
            <w:shd w:val="clear" w:color="auto" w:fill="auto"/>
            <w:vAlign w:val="center"/>
          </w:tcPr>
          <w:p w:rsidR="001A4C76" w:rsidRPr="007B1C36" w:rsidP="001A4C76" w14:paraId="6B483B02" w14:textId="507BAECC">
            <w:pPr>
              <w:numPr>
                <w:ilvl w:val="12"/>
                <w:numId w:val="0"/>
              </w:numPr>
              <w:jc w:val="center"/>
              <w:rPr>
                <w:rFonts w:ascii="Arial Narrow" w:hAnsi="Arial Narrow"/>
                <w:bCs/>
                <w:sz w:val="18"/>
                <w:szCs w:val="18"/>
              </w:rPr>
            </w:pPr>
            <w:r>
              <w:rPr>
                <w:rFonts w:ascii="Arial Narrow" w:hAnsi="Arial Narrow"/>
                <w:bCs/>
                <w:sz w:val="18"/>
                <w:szCs w:val="18"/>
              </w:rPr>
              <w:t>6,089</w:t>
            </w:r>
          </w:p>
        </w:tc>
        <w:tc>
          <w:tcPr>
            <w:tcW w:w="1169" w:type="dxa"/>
            <w:shd w:val="clear" w:color="auto" w:fill="auto"/>
            <w:vAlign w:val="center"/>
          </w:tcPr>
          <w:p w:rsidR="001A4C76" w:rsidRPr="007B1C36" w:rsidP="001A4C76" w14:paraId="4D0CA90C" w14:textId="77777777">
            <w:pPr>
              <w:numPr>
                <w:ilvl w:val="12"/>
                <w:numId w:val="0"/>
              </w:numPr>
              <w:jc w:val="center"/>
              <w:rPr>
                <w:rFonts w:ascii="Arial Narrow" w:hAnsi="Arial Narrow"/>
                <w:bCs/>
                <w:sz w:val="18"/>
                <w:szCs w:val="18"/>
              </w:rPr>
            </w:pPr>
          </w:p>
        </w:tc>
        <w:tc>
          <w:tcPr>
            <w:tcW w:w="1109" w:type="dxa"/>
            <w:shd w:val="clear" w:color="auto" w:fill="auto"/>
            <w:vAlign w:val="center"/>
          </w:tcPr>
          <w:p w:rsidR="001A4C76" w:rsidRPr="007B1C36" w:rsidP="001A4C76" w14:paraId="79BE0BCB" w14:textId="311B0CC5">
            <w:pPr>
              <w:numPr>
                <w:ilvl w:val="12"/>
                <w:numId w:val="0"/>
              </w:numPr>
              <w:jc w:val="center"/>
              <w:rPr>
                <w:rFonts w:ascii="Arial Narrow" w:hAnsi="Arial Narrow"/>
                <w:bCs/>
                <w:sz w:val="18"/>
                <w:szCs w:val="18"/>
              </w:rPr>
            </w:pPr>
            <w:r>
              <w:rPr>
                <w:rFonts w:ascii="Arial Narrow" w:hAnsi="Arial Narrow"/>
                <w:bCs/>
                <w:sz w:val="18"/>
                <w:szCs w:val="18"/>
              </w:rPr>
              <w:t>6,089</w:t>
            </w:r>
          </w:p>
        </w:tc>
        <w:tc>
          <w:tcPr>
            <w:tcW w:w="1040" w:type="dxa"/>
            <w:shd w:val="clear" w:color="auto" w:fill="auto"/>
            <w:vAlign w:val="center"/>
          </w:tcPr>
          <w:p w:rsidR="001A4C76" w:rsidRPr="007B1C36" w:rsidP="001A4C76" w14:paraId="0AD7742B" w14:textId="77777777">
            <w:pPr>
              <w:numPr>
                <w:ilvl w:val="12"/>
                <w:numId w:val="0"/>
              </w:numPr>
              <w:jc w:val="center"/>
              <w:rPr>
                <w:rFonts w:ascii="Arial Narrow" w:hAnsi="Arial Narrow"/>
                <w:bCs/>
                <w:sz w:val="18"/>
                <w:szCs w:val="18"/>
              </w:rPr>
            </w:pPr>
          </w:p>
        </w:tc>
        <w:tc>
          <w:tcPr>
            <w:tcW w:w="830" w:type="dxa"/>
            <w:shd w:val="clear" w:color="auto" w:fill="auto"/>
            <w:vAlign w:val="center"/>
          </w:tcPr>
          <w:p w:rsidR="001A4C76" w:rsidRPr="007B1C36" w:rsidP="001A4C76" w14:paraId="06904E32" w14:textId="04380DB7">
            <w:pPr>
              <w:numPr>
                <w:ilvl w:val="12"/>
                <w:numId w:val="0"/>
              </w:numPr>
              <w:jc w:val="center"/>
              <w:rPr>
                <w:rFonts w:ascii="Arial Narrow" w:hAnsi="Arial Narrow"/>
                <w:bCs/>
                <w:sz w:val="18"/>
                <w:szCs w:val="18"/>
              </w:rPr>
            </w:pPr>
            <w:r>
              <w:rPr>
                <w:rFonts w:ascii="Arial Narrow" w:hAnsi="Arial Narrow"/>
                <w:bCs/>
                <w:sz w:val="18"/>
                <w:szCs w:val="18"/>
              </w:rPr>
              <w:t>12,178</w:t>
            </w:r>
          </w:p>
        </w:tc>
      </w:tr>
    </w:tbl>
    <w:p w:rsidR="006C053A" w:rsidP="006C053A" w14:paraId="3A515876" w14:textId="77777777">
      <w:pPr>
        <w:ind w:left="720"/>
        <w:rPr>
          <w:rFonts w:ascii="Times New Roman" w:hAnsi="Times New Roman"/>
        </w:rPr>
      </w:pPr>
      <w:bookmarkStart w:id="5" w:name="_Hlk65079402"/>
    </w:p>
    <w:p w:rsidR="001E1333" w:rsidP="00155841" w14:paraId="3B29B3AE" w14:textId="38D6DD90">
      <w:pPr>
        <w:ind w:left="1260"/>
        <w:rPr>
          <w:rFonts w:ascii="Times New Roman" w:hAnsi="Times New Roman"/>
        </w:rPr>
      </w:pPr>
      <w:r>
        <w:rPr>
          <w:rFonts w:ascii="Times New Roman" w:hAnsi="Times New Roman"/>
        </w:rPr>
        <w:t>T</w:t>
      </w:r>
      <w:r w:rsidRPr="006C053A" w:rsidR="006C053A">
        <w:rPr>
          <w:rFonts w:ascii="Times New Roman" w:hAnsi="Times New Roman"/>
        </w:rPr>
        <w:t xml:space="preserve">he following regulation impose no additional burden.  Please continue to assign OMB number </w:t>
      </w:r>
    </w:p>
    <w:p w:rsidR="006C053A" w:rsidP="00155841" w14:paraId="3BB6037B" w14:textId="75C5AA78">
      <w:pPr>
        <w:ind w:left="1260"/>
        <w:rPr>
          <w:rFonts w:ascii="Times New Roman" w:hAnsi="Times New Roman"/>
        </w:rPr>
      </w:pPr>
      <w:r w:rsidRPr="006C053A">
        <w:rPr>
          <w:rFonts w:ascii="Times New Roman" w:hAnsi="Times New Roman"/>
        </w:rPr>
        <w:t>1545-</w:t>
      </w:r>
      <w:r>
        <w:rPr>
          <w:rFonts w:ascii="Times New Roman" w:hAnsi="Times New Roman"/>
        </w:rPr>
        <w:t>2157</w:t>
      </w:r>
      <w:r w:rsidRPr="006C053A">
        <w:rPr>
          <w:rFonts w:ascii="Times New Roman" w:hAnsi="Times New Roman"/>
        </w:rPr>
        <w:t xml:space="preserve"> to th</w:t>
      </w:r>
      <w:r w:rsidR="00A51B21">
        <w:rPr>
          <w:rFonts w:ascii="Times New Roman" w:hAnsi="Times New Roman"/>
        </w:rPr>
        <w:t>is</w:t>
      </w:r>
      <w:r w:rsidRPr="006C053A">
        <w:rPr>
          <w:rFonts w:ascii="Times New Roman" w:hAnsi="Times New Roman"/>
        </w:rPr>
        <w:t xml:space="preserve"> regulation</w:t>
      </w:r>
      <w:r>
        <w:rPr>
          <w:rFonts w:ascii="Times New Roman" w:hAnsi="Times New Roman"/>
        </w:rPr>
        <w:t>:</w:t>
      </w:r>
    </w:p>
    <w:p w:rsidR="006C053A" w:rsidP="00155841" w14:paraId="7BBFE9CA" w14:textId="5B25174F">
      <w:pPr>
        <w:ind w:left="1260"/>
        <w:rPr>
          <w:rFonts w:ascii="Times New Roman" w:hAnsi="Times New Roman"/>
        </w:rPr>
      </w:pPr>
      <w:r>
        <w:rPr>
          <w:rFonts w:ascii="Times New Roman" w:hAnsi="Times New Roman"/>
        </w:rPr>
        <w:t xml:space="preserve"> </w:t>
      </w:r>
    </w:p>
    <w:p w:rsidR="00B2733D" w:rsidP="00155841" w14:paraId="38FC2038" w14:textId="2B3A0AE6">
      <w:pPr>
        <w:ind w:left="1260"/>
        <w:rPr>
          <w:rFonts w:ascii="Times New Roman" w:hAnsi="Times New Roman"/>
        </w:rPr>
      </w:pPr>
      <w:r>
        <w:rPr>
          <w:rFonts w:ascii="Times New Roman" w:hAnsi="Times New Roman"/>
        </w:rPr>
        <w:t>1.509(a)-4</w:t>
      </w:r>
    </w:p>
    <w:bookmarkEnd w:id="5"/>
    <w:p w:rsidR="005B0290" w:rsidRPr="00155841" w:rsidP="00155841" w14:paraId="5B977220" w14:textId="77777777">
      <w:pPr>
        <w:ind w:left="1260"/>
        <w:rPr>
          <w:rFonts w:ascii="Times New Roman" w:hAnsi="Times New Roman"/>
        </w:rPr>
      </w:pPr>
    </w:p>
    <w:p w:rsidR="000B1A00" w:rsidRPr="001A4C76" w:rsidP="00E365C9" w14:paraId="71F22597" w14:textId="67D2795D">
      <w:pPr>
        <w:pStyle w:val="Level1"/>
        <w:numPr>
          <w:ilvl w:val="0"/>
          <w:numId w:val="0"/>
        </w:numPr>
        <w:tabs>
          <w:tab w:val="left" w:pos="-1440"/>
        </w:tabs>
        <w:ind w:left="720"/>
        <w:rPr>
          <w:rFonts w:ascii="Times New Roman" w:hAnsi="Times New Roman"/>
          <w:b/>
          <w:bCs/>
        </w:rPr>
      </w:pPr>
      <w:r w:rsidRPr="00E365C9">
        <w:rPr>
          <w:rFonts w:ascii="Times New Roman" w:hAnsi="Times New Roman"/>
          <w:b/>
          <w:bCs/>
        </w:rPr>
        <w:t xml:space="preserve">13.  </w:t>
      </w:r>
      <w:r>
        <w:rPr>
          <w:rFonts w:ascii="Times New Roman" w:hAnsi="Times New Roman"/>
          <w:b/>
          <w:bCs/>
        </w:rPr>
        <w:t xml:space="preserve">  </w:t>
      </w:r>
      <w:r w:rsidRPr="001A4C76">
        <w:rPr>
          <w:rFonts w:ascii="Times New Roman" w:hAnsi="Times New Roman"/>
          <w:b/>
          <w:bCs/>
          <w:u w:val="single"/>
        </w:rPr>
        <w:t>ESTIMATED TOTAL ANNUAL COST BURDEN TO RESPONDENTS</w:t>
      </w:r>
    </w:p>
    <w:p w:rsidR="000B1A00" w:rsidRPr="007E3036" w14:paraId="719908EA" w14:textId="77777777">
      <w:pPr>
        <w:rPr>
          <w:rFonts w:ascii="Times New Roman" w:hAnsi="Times New Roman"/>
        </w:rPr>
      </w:pPr>
    </w:p>
    <w:p w:rsidR="005E455B" w:rsidRPr="007E3036" w:rsidP="00E365C9" w14:paraId="16F7EAFA" w14:textId="08B3D55B">
      <w:pPr>
        <w:ind w:left="1260"/>
        <w:rPr>
          <w:rFonts w:ascii="Times New Roman" w:hAnsi="Times New Roman"/>
        </w:rPr>
      </w:pPr>
      <w:bookmarkStart w:id="6" w:name="_Hlk497979402"/>
      <w:r w:rsidRPr="00412D4A">
        <w:rPr>
          <w:rFonts w:ascii="Times New Roman" w:hAnsi="Times New Roman"/>
        </w:rPr>
        <w:t>There are no start-up or maintenance costs for this collection. The collection does not require respondents to obtain specialized equipment or professional services.</w:t>
      </w:r>
    </w:p>
    <w:bookmarkEnd w:id="6"/>
    <w:p w:rsidR="000B1A00" w:rsidRPr="007E3036" w:rsidP="005B0290" w14:paraId="168E5EEB" w14:textId="4A45C8A6">
      <w:pPr>
        <w:ind w:left="720"/>
        <w:rPr>
          <w:rFonts w:ascii="Times New Roman" w:hAnsi="Times New Roman"/>
        </w:rPr>
      </w:pPr>
      <w:r w:rsidRPr="007E3036">
        <w:rPr>
          <w:rFonts w:ascii="Times New Roman" w:hAnsi="Times New Roman"/>
        </w:rPr>
        <w:t xml:space="preserve"> </w:t>
      </w:r>
    </w:p>
    <w:p w:rsidR="000B1A00" w:rsidRPr="001A4C76" w:rsidP="00E365C9" w14:paraId="6EDC2D04" w14:textId="1ACD13C3">
      <w:pPr>
        <w:pStyle w:val="Level1"/>
        <w:numPr>
          <w:ilvl w:val="0"/>
          <w:numId w:val="0"/>
        </w:numPr>
        <w:tabs>
          <w:tab w:val="left" w:pos="-1440"/>
        </w:tabs>
        <w:ind w:left="720"/>
        <w:rPr>
          <w:rFonts w:ascii="Times New Roman" w:hAnsi="Times New Roman"/>
          <w:b/>
          <w:bCs/>
        </w:rPr>
      </w:pPr>
      <w:r w:rsidRPr="00E365C9">
        <w:rPr>
          <w:rFonts w:ascii="Times New Roman" w:hAnsi="Times New Roman"/>
          <w:b/>
          <w:bCs/>
        </w:rPr>
        <w:t xml:space="preserve">14.   </w:t>
      </w:r>
      <w:r>
        <w:rPr>
          <w:rFonts w:ascii="Times New Roman" w:hAnsi="Times New Roman"/>
          <w:b/>
          <w:bCs/>
        </w:rPr>
        <w:t xml:space="preserve"> </w:t>
      </w:r>
      <w:r w:rsidRPr="001A4C76">
        <w:rPr>
          <w:rFonts w:ascii="Times New Roman" w:hAnsi="Times New Roman"/>
          <w:b/>
          <w:bCs/>
          <w:u w:val="single"/>
        </w:rPr>
        <w:t>ESTIMATED ANNUALIZED COST TO THE FEDERAL GOVERNMENT</w:t>
      </w:r>
    </w:p>
    <w:p w:rsidR="000B1A00" w:rsidRPr="007E3036" w14:paraId="0FB7F5E1" w14:textId="77777777">
      <w:pPr>
        <w:rPr>
          <w:rFonts w:ascii="Times New Roman" w:hAnsi="Times New Roman"/>
        </w:rPr>
      </w:pPr>
    </w:p>
    <w:p w:rsidR="000B1A00" w:rsidRPr="001F1156" w14:paraId="1F60834B" w14:textId="12351E03">
      <w:pPr>
        <w:ind w:left="720"/>
        <w:rPr>
          <w:rFonts w:ascii="Times New Roman" w:hAnsi="Times New Roman"/>
        </w:rPr>
      </w:pPr>
      <w:r>
        <w:rPr>
          <w:rFonts w:ascii="Times New Roman" w:hAnsi="Times New Roman"/>
        </w:rPr>
        <w:t xml:space="preserve">         </w:t>
      </w:r>
      <w:r w:rsidRPr="00B2733D" w:rsidR="005E455B">
        <w:rPr>
          <w:rFonts w:ascii="Times New Roman" w:hAnsi="Times New Roman"/>
        </w:rPr>
        <w:t>T</w:t>
      </w:r>
      <w:r w:rsidRPr="00B2733D" w:rsidR="00B2733D">
        <w:rPr>
          <w:rFonts w:ascii="Times New Roman" w:hAnsi="Times New Roman"/>
        </w:rPr>
        <w:t xml:space="preserve">his is a </w:t>
      </w:r>
      <w:r w:rsidRPr="00B2733D" w:rsidR="001F1156">
        <w:rPr>
          <w:rFonts w:ascii="Times New Roman" w:hAnsi="Times New Roman"/>
        </w:rPr>
        <w:t>third</w:t>
      </w:r>
      <w:r w:rsidR="001F1156">
        <w:rPr>
          <w:rFonts w:ascii="Times New Roman" w:hAnsi="Times New Roman"/>
        </w:rPr>
        <w:t>-party</w:t>
      </w:r>
      <w:r w:rsidRPr="00B2733D" w:rsidR="00B2733D">
        <w:rPr>
          <w:rFonts w:ascii="Times New Roman" w:hAnsi="Times New Roman"/>
        </w:rPr>
        <w:t xml:space="preserve"> disclosure requirement. As such, t</w:t>
      </w:r>
      <w:r w:rsidRPr="001F1156" w:rsidR="00B2733D">
        <w:rPr>
          <w:rFonts w:ascii="Times New Roman" w:hAnsi="Times New Roman"/>
        </w:rPr>
        <w:t xml:space="preserve">here is no cost to the federal government.  </w:t>
      </w:r>
    </w:p>
    <w:p w:rsidR="000B1A00" w:rsidRPr="001F1156" w14:paraId="5499A3D2" w14:textId="77777777">
      <w:pPr>
        <w:rPr>
          <w:rFonts w:ascii="Times New Roman" w:hAnsi="Times New Roman"/>
        </w:rPr>
      </w:pPr>
    </w:p>
    <w:p w:rsidR="000B1A00" w:rsidRPr="001A4C76" w:rsidP="00E365C9" w14:paraId="252E8562" w14:textId="4FC34B85">
      <w:pPr>
        <w:pStyle w:val="Level1"/>
        <w:numPr>
          <w:ilvl w:val="0"/>
          <w:numId w:val="0"/>
        </w:numPr>
        <w:tabs>
          <w:tab w:val="left" w:pos="-1440"/>
        </w:tabs>
        <w:ind w:left="720"/>
        <w:rPr>
          <w:rFonts w:ascii="Times New Roman" w:hAnsi="Times New Roman"/>
          <w:b/>
          <w:bCs/>
        </w:rPr>
      </w:pPr>
      <w:r w:rsidRPr="00E365C9">
        <w:rPr>
          <w:rFonts w:ascii="Times New Roman" w:hAnsi="Times New Roman"/>
          <w:b/>
          <w:bCs/>
        </w:rPr>
        <w:t>15.</w:t>
      </w:r>
      <w:r>
        <w:rPr>
          <w:rFonts w:ascii="Times New Roman" w:hAnsi="Times New Roman"/>
        </w:rPr>
        <w:t xml:space="preserve">   </w:t>
      </w:r>
      <w:r w:rsidRPr="007E3036">
        <w:rPr>
          <w:rFonts w:ascii="Times New Roman" w:hAnsi="Times New Roman"/>
        </w:rPr>
        <w:t xml:space="preserve"> </w:t>
      </w:r>
      <w:r w:rsidRPr="001A4C76">
        <w:rPr>
          <w:rFonts w:ascii="Times New Roman" w:hAnsi="Times New Roman"/>
          <w:b/>
          <w:bCs/>
          <w:u w:val="single"/>
        </w:rPr>
        <w:t>REASONS FOR CHANGE IN BURDEN</w:t>
      </w:r>
    </w:p>
    <w:p w:rsidR="000B1A00" w:rsidRPr="007E3036" w14:paraId="04BFCF21" w14:textId="77777777">
      <w:pPr>
        <w:rPr>
          <w:rFonts w:ascii="Times New Roman" w:hAnsi="Times New Roman"/>
        </w:rPr>
      </w:pPr>
    </w:p>
    <w:p w:rsidR="001E1333" w:rsidRPr="001E1333" w:rsidP="001E1333" w14:paraId="1419CEE9" w14:textId="5FA6D8D3">
      <w:pPr>
        <w:widowControl/>
        <w:ind w:firstLine="720"/>
        <w:rPr>
          <w:rFonts w:ascii="Times New Roman" w:hAnsi="Times New Roman"/>
        </w:rPr>
      </w:pPr>
      <w:r>
        <w:rPr>
          <w:rFonts w:ascii="Times New Roman" w:hAnsi="Times New Roman"/>
        </w:rPr>
        <w:t xml:space="preserve">         </w:t>
      </w:r>
      <w:r w:rsidRPr="001E1333">
        <w:rPr>
          <w:rFonts w:ascii="Times New Roman" w:hAnsi="Times New Roman"/>
        </w:rPr>
        <w:t>There is no change</w:t>
      </w:r>
      <w:r>
        <w:rPr>
          <w:rFonts w:ascii="Times New Roman" w:hAnsi="Times New Roman"/>
        </w:rPr>
        <w:t xml:space="preserve"> </w:t>
      </w:r>
      <w:r w:rsidRPr="001E1333">
        <w:rPr>
          <w:rFonts w:ascii="Times New Roman" w:hAnsi="Times New Roman"/>
        </w:rPr>
        <w:t>in the paperwork burden previously</w:t>
      </w:r>
      <w:r>
        <w:rPr>
          <w:rFonts w:ascii="Times New Roman" w:hAnsi="Times New Roman"/>
        </w:rPr>
        <w:t xml:space="preserve"> </w:t>
      </w:r>
      <w:r w:rsidRPr="001E1333">
        <w:rPr>
          <w:rFonts w:ascii="Times New Roman" w:hAnsi="Times New Roman"/>
        </w:rPr>
        <w:t>approved by OMB. However, the</w:t>
      </w:r>
    </w:p>
    <w:p w:rsidR="00E365C9" w:rsidP="00E365C9" w14:paraId="595D2FD7" w14:textId="77777777">
      <w:pPr>
        <w:widowControl/>
        <w:ind w:left="720"/>
        <w:rPr>
          <w:rFonts w:ascii="Times New Roman" w:hAnsi="Times New Roman"/>
        </w:rPr>
      </w:pPr>
      <w:r>
        <w:rPr>
          <w:rFonts w:ascii="Times New Roman" w:hAnsi="Times New Roman"/>
        </w:rPr>
        <w:t xml:space="preserve">         </w:t>
      </w:r>
      <w:r w:rsidRPr="001E1333" w:rsidR="001E1333">
        <w:rPr>
          <w:rFonts w:ascii="Times New Roman" w:hAnsi="Times New Roman"/>
        </w:rPr>
        <w:t>estimated number of responses were</w:t>
      </w:r>
      <w:r w:rsidR="001E1333">
        <w:rPr>
          <w:rFonts w:ascii="Times New Roman" w:hAnsi="Times New Roman"/>
        </w:rPr>
        <w:t xml:space="preserve"> </w:t>
      </w:r>
      <w:r w:rsidRPr="001E1333" w:rsidR="001E1333">
        <w:rPr>
          <w:rFonts w:ascii="Times New Roman" w:hAnsi="Times New Roman"/>
        </w:rPr>
        <w:t>updated based on current filing data.</w:t>
      </w:r>
      <w:r w:rsidR="001E1333">
        <w:rPr>
          <w:rFonts w:ascii="Times New Roman" w:hAnsi="Times New Roman"/>
        </w:rPr>
        <w:t xml:space="preserve"> </w:t>
      </w:r>
      <w:r w:rsidRPr="007E3036" w:rsidR="007B2C67">
        <w:rPr>
          <w:rFonts w:ascii="Times New Roman" w:hAnsi="Times New Roman"/>
        </w:rPr>
        <w:t xml:space="preserve">This </w:t>
      </w:r>
      <w:r w:rsidR="001E1333">
        <w:rPr>
          <w:rFonts w:ascii="Times New Roman" w:hAnsi="Times New Roman"/>
        </w:rPr>
        <w:t xml:space="preserve">collection is also </w:t>
      </w:r>
    </w:p>
    <w:p w:rsidR="000B1A00" w:rsidRPr="007E3036" w:rsidP="00E365C9" w14:paraId="4D79E640" w14:textId="4516851C">
      <w:pPr>
        <w:widowControl/>
        <w:ind w:left="720"/>
        <w:rPr>
          <w:rFonts w:ascii="Times New Roman" w:hAnsi="Times New Roman"/>
        </w:rPr>
      </w:pPr>
      <w:r>
        <w:rPr>
          <w:rFonts w:ascii="Times New Roman" w:hAnsi="Times New Roman"/>
        </w:rPr>
        <w:t xml:space="preserve">         </w:t>
      </w:r>
      <w:r w:rsidR="001E1333">
        <w:rPr>
          <w:rFonts w:ascii="Times New Roman" w:hAnsi="Times New Roman"/>
        </w:rPr>
        <w:t xml:space="preserve">being submitted </w:t>
      </w:r>
      <w:r w:rsidRPr="007E3036" w:rsidR="007B2C67">
        <w:rPr>
          <w:rFonts w:ascii="Times New Roman" w:hAnsi="Times New Roman"/>
        </w:rPr>
        <w:t>for renewal purposes.</w:t>
      </w:r>
    </w:p>
    <w:p w:rsidR="000B1A00" w:rsidRPr="007E3036" w14:paraId="5883071B" w14:textId="77777777">
      <w:pPr>
        <w:rPr>
          <w:rFonts w:ascii="Times New Roman" w:hAnsi="Times New Roman"/>
        </w:rPr>
      </w:pPr>
    </w:p>
    <w:p w:rsidR="000B1A00" w:rsidRPr="001A4C76" w:rsidP="00E365C9" w14:paraId="35B47931" w14:textId="7D0F1920">
      <w:pPr>
        <w:pStyle w:val="Level1"/>
        <w:numPr>
          <w:ilvl w:val="0"/>
          <w:numId w:val="0"/>
        </w:numPr>
        <w:tabs>
          <w:tab w:val="left" w:pos="-1440"/>
        </w:tabs>
        <w:ind w:left="720"/>
        <w:rPr>
          <w:rFonts w:ascii="Times New Roman" w:hAnsi="Times New Roman"/>
          <w:b/>
          <w:bCs/>
        </w:rPr>
      </w:pPr>
      <w:r w:rsidRPr="00E365C9">
        <w:rPr>
          <w:rFonts w:ascii="Times New Roman" w:hAnsi="Times New Roman"/>
          <w:b/>
          <w:bCs/>
        </w:rPr>
        <w:t xml:space="preserve">16.   </w:t>
      </w:r>
      <w:r w:rsidRPr="001A4C76">
        <w:rPr>
          <w:rFonts w:ascii="Times New Roman" w:hAnsi="Times New Roman"/>
          <w:b/>
          <w:bCs/>
          <w:u w:val="single"/>
        </w:rPr>
        <w:t>PLANS FOR TABULATION, STATISTICAL ANALYSIS AND PUBLICATION</w:t>
      </w:r>
    </w:p>
    <w:p w:rsidR="000B1A00" w:rsidRPr="007E3036" w14:paraId="679A133B" w14:textId="77777777">
      <w:pPr>
        <w:rPr>
          <w:rFonts w:ascii="Times New Roman" w:hAnsi="Times New Roman"/>
        </w:rPr>
      </w:pPr>
    </w:p>
    <w:p w:rsidR="005E455B" w:rsidRPr="007E3036" w:rsidP="005E455B" w14:paraId="1CE0B4BF" w14:textId="09265390">
      <w:pPr>
        <w:ind w:left="720"/>
        <w:rPr>
          <w:rFonts w:ascii="Times New Roman" w:hAnsi="Times New Roman"/>
        </w:rPr>
      </w:pPr>
      <w:r>
        <w:rPr>
          <w:rFonts w:ascii="Times New Roman" w:hAnsi="Times New Roman"/>
        </w:rPr>
        <w:t xml:space="preserve">        </w:t>
      </w:r>
      <w:r w:rsidRPr="007E3036">
        <w:rPr>
          <w:rFonts w:ascii="Times New Roman" w:hAnsi="Times New Roman"/>
        </w:rPr>
        <w:t xml:space="preserve">There are no plans for tabulation, statistical analysis and publication. </w:t>
      </w:r>
    </w:p>
    <w:p w:rsidR="000B1A00" w:rsidRPr="007E3036" w14:paraId="7382D5F4" w14:textId="77777777">
      <w:pPr>
        <w:ind w:left="720"/>
        <w:rPr>
          <w:rFonts w:ascii="Times New Roman" w:hAnsi="Times New Roman"/>
        </w:rPr>
      </w:pPr>
      <w:r w:rsidRPr="007E3036">
        <w:rPr>
          <w:rFonts w:ascii="Times New Roman" w:hAnsi="Times New Roman"/>
        </w:rPr>
        <w:t xml:space="preserve"> </w:t>
      </w:r>
    </w:p>
    <w:p w:rsidR="000B1A00" w:rsidRPr="001A4C76" w:rsidP="00E365C9" w14:paraId="23775A03" w14:textId="78463BCF">
      <w:pPr>
        <w:pStyle w:val="Level1"/>
        <w:numPr>
          <w:ilvl w:val="0"/>
          <w:numId w:val="0"/>
        </w:numPr>
        <w:tabs>
          <w:tab w:val="left" w:pos="-1440"/>
        </w:tabs>
        <w:ind w:left="720"/>
        <w:rPr>
          <w:rFonts w:ascii="Times New Roman" w:hAnsi="Times New Roman"/>
          <w:b/>
          <w:bCs/>
        </w:rPr>
      </w:pPr>
      <w:r w:rsidRPr="00E365C9">
        <w:rPr>
          <w:rFonts w:ascii="Times New Roman" w:hAnsi="Times New Roman"/>
          <w:b/>
          <w:bCs/>
        </w:rPr>
        <w:t xml:space="preserve">17.   </w:t>
      </w:r>
      <w:r w:rsidRPr="001A4C76">
        <w:rPr>
          <w:rFonts w:ascii="Times New Roman" w:hAnsi="Times New Roman"/>
          <w:b/>
          <w:bCs/>
          <w:u w:val="single"/>
        </w:rPr>
        <w:t>REASONS WHY DISPLAYING THE OMB EXPIRATION DATE IS</w:t>
      </w:r>
      <w:r w:rsidRPr="001A4C76" w:rsidR="00F84049">
        <w:rPr>
          <w:rFonts w:ascii="Times New Roman" w:hAnsi="Times New Roman"/>
          <w:b/>
          <w:bCs/>
          <w:u w:val="single"/>
        </w:rPr>
        <w:t xml:space="preserve"> </w:t>
      </w:r>
      <w:r w:rsidRPr="001A4C76">
        <w:rPr>
          <w:rFonts w:ascii="Times New Roman" w:hAnsi="Times New Roman"/>
          <w:b/>
          <w:bCs/>
          <w:u w:val="single"/>
        </w:rPr>
        <w:t>INAPPROPRIATE</w:t>
      </w:r>
    </w:p>
    <w:p w:rsidR="000B1A00" w:rsidRPr="007E3036" w14:paraId="34C4F005" w14:textId="77777777">
      <w:pPr>
        <w:rPr>
          <w:rFonts w:ascii="Times New Roman" w:hAnsi="Times New Roman"/>
        </w:rPr>
      </w:pPr>
    </w:p>
    <w:p w:rsidR="000B1A00" w:rsidP="00E365C9" w14:paraId="0238BBDF" w14:textId="304E4C86">
      <w:pPr>
        <w:ind w:left="1200"/>
        <w:rPr>
          <w:rFonts w:ascii="Times New Roman" w:hAnsi="Times New Roman"/>
        </w:rPr>
      </w:pPr>
      <w:r>
        <w:rPr>
          <w:rFonts w:ascii="Times New Roman" w:hAnsi="Times New Roman"/>
        </w:rPr>
        <w:t xml:space="preserve">The </w:t>
      </w:r>
      <w:r w:rsidRPr="007E3036">
        <w:rPr>
          <w:rFonts w:ascii="Times New Roman" w:hAnsi="Times New Roman"/>
        </w:rPr>
        <w:t xml:space="preserve">IRS believes that displaying the OMB expiration date is inappropriate because it could cause confusion by leading taxpayers to believe that the regulations sunset as of the expiration date.  Taxpayers are not likely to be aware that the </w:t>
      </w:r>
      <w:r>
        <w:rPr>
          <w:rFonts w:ascii="Times New Roman" w:hAnsi="Times New Roman"/>
        </w:rPr>
        <w:t>IRS</w:t>
      </w:r>
      <w:r w:rsidRPr="007E3036">
        <w:rPr>
          <w:rFonts w:ascii="Times New Roman" w:hAnsi="Times New Roman"/>
        </w:rPr>
        <w:t xml:space="preserve"> intends to request renewal of the OMB approval and obtain a new expiration date before the old one expires.</w:t>
      </w:r>
    </w:p>
    <w:p w:rsidR="005B0290" w:rsidRPr="007E3036" w14:paraId="4FD662E3" w14:textId="77777777">
      <w:pPr>
        <w:ind w:left="720"/>
        <w:rPr>
          <w:rFonts w:ascii="Times New Roman" w:hAnsi="Times New Roman"/>
        </w:rPr>
      </w:pPr>
    </w:p>
    <w:p w:rsidR="000B1A00" w:rsidRPr="001A4C76" w:rsidP="00E365C9" w14:paraId="7B07CDE6" w14:textId="779CC074">
      <w:pPr>
        <w:pStyle w:val="Level1"/>
        <w:numPr>
          <w:ilvl w:val="0"/>
          <w:numId w:val="0"/>
        </w:numPr>
        <w:tabs>
          <w:tab w:val="left" w:pos="-1440"/>
        </w:tabs>
        <w:ind w:left="720"/>
        <w:rPr>
          <w:rFonts w:ascii="Times New Roman" w:hAnsi="Times New Roman"/>
          <w:b/>
          <w:bCs/>
        </w:rPr>
      </w:pPr>
      <w:r w:rsidRPr="00E365C9">
        <w:rPr>
          <w:rFonts w:ascii="Times New Roman" w:hAnsi="Times New Roman"/>
          <w:b/>
          <w:bCs/>
        </w:rPr>
        <w:t xml:space="preserve">18.   </w:t>
      </w:r>
      <w:r w:rsidRPr="001A4C76">
        <w:rPr>
          <w:rFonts w:ascii="Times New Roman" w:hAnsi="Times New Roman"/>
          <w:b/>
          <w:bCs/>
          <w:u w:val="single"/>
        </w:rPr>
        <w:t>EXCEPTIONS TO THE CERTIFICATION STATEMENT</w:t>
      </w:r>
      <w:r w:rsidRPr="001A4C76" w:rsidR="00733D7D">
        <w:rPr>
          <w:rFonts w:ascii="Times New Roman" w:hAnsi="Times New Roman"/>
          <w:b/>
          <w:bCs/>
          <w:u w:val="single"/>
        </w:rPr>
        <w:t xml:space="preserve"> </w:t>
      </w:r>
    </w:p>
    <w:p w:rsidR="000B1A00" w:rsidRPr="007E3036" w:rsidP="00155841" w14:paraId="7572DD93" w14:textId="77777777">
      <w:pPr>
        <w:ind w:left="1200"/>
        <w:rPr>
          <w:rFonts w:ascii="Times New Roman" w:hAnsi="Times New Roman"/>
        </w:rPr>
      </w:pPr>
    </w:p>
    <w:p w:rsidR="000B1A00" w:rsidP="00155841" w14:paraId="0D29CB22" w14:textId="46DA8C64">
      <w:pPr>
        <w:ind w:left="1200"/>
        <w:rPr>
          <w:rFonts w:ascii="Times New Roman" w:hAnsi="Times New Roman"/>
        </w:rPr>
      </w:pPr>
      <w:r w:rsidRPr="007E3036">
        <w:rPr>
          <w:rFonts w:ascii="Times New Roman" w:hAnsi="Times New Roman"/>
        </w:rPr>
        <w:t>There are no exceptions</w:t>
      </w:r>
      <w:r w:rsidRPr="007E3036" w:rsidR="004E2EA4">
        <w:rPr>
          <w:rFonts w:ascii="Times New Roman" w:hAnsi="Times New Roman"/>
        </w:rPr>
        <w:t xml:space="preserve"> to this certification statement</w:t>
      </w:r>
      <w:r w:rsidRPr="007E3036">
        <w:rPr>
          <w:rFonts w:ascii="Times New Roman" w:hAnsi="Times New Roman"/>
        </w:rPr>
        <w:t>.</w:t>
      </w:r>
      <w:r>
        <w:rPr>
          <w:rFonts w:ascii="Times New Roman" w:hAnsi="Times New Roman"/>
        </w:rPr>
        <w:tab/>
      </w:r>
    </w:p>
    <w:p w:rsidR="00E365C9" w:rsidRPr="007E3036" w:rsidP="00155841" w14:paraId="16C0A5A7" w14:textId="77777777">
      <w:pPr>
        <w:ind w:left="1200"/>
        <w:rPr>
          <w:rFonts w:ascii="Times New Roman" w:hAnsi="Times New Roman"/>
        </w:rPr>
      </w:pPr>
    </w:p>
    <w:p w:rsidR="000B1A00" w:rsidRPr="007E3036" w:rsidP="00155841" w14:paraId="1762953F" w14:textId="77777777">
      <w:pPr>
        <w:ind w:left="1200"/>
        <w:rPr>
          <w:rFonts w:ascii="Times New Roman" w:hAnsi="Times New Roman"/>
        </w:rPr>
      </w:pPr>
      <w:r w:rsidRPr="00412D4A">
        <w:rPr>
          <w:rFonts w:ascii="Times New Roman" w:hAnsi="Times New Roman"/>
          <w:u w:val="single"/>
        </w:rPr>
        <w:t>Note</w:t>
      </w:r>
      <w:r w:rsidRPr="00155841">
        <w:rPr>
          <w:rFonts w:ascii="Times New Roman" w:hAnsi="Times New Roman"/>
        </w:rPr>
        <w:t>:</w:t>
      </w:r>
      <w:r w:rsidRPr="007E3036">
        <w:rPr>
          <w:rFonts w:ascii="Times New Roman" w:hAnsi="Times New Roman"/>
        </w:rPr>
        <w:t xml:space="preserve">   The following paragraph applies to </w:t>
      </w:r>
      <w:r w:rsidRPr="007E3036">
        <w:rPr>
          <w:rFonts w:ascii="Times New Roman" w:hAnsi="Times New Roman"/>
        </w:rPr>
        <w:t>all of</w:t>
      </w:r>
      <w:r w:rsidRPr="007E3036">
        <w:rPr>
          <w:rFonts w:ascii="Times New Roman" w:hAnsi="Times New Roman"/>
        </w:rPr>
        <w:t xml:space="preserve"> the collections of information in this submission:</w:t>
      </w:r>
    </w:p>
    <w:p w:rsidR="000B1A00" w:rsidRPr="007E3036" w:rsidP="00155841" w14:paraId="3C0446B6" w14:textId="77777777">
      <w:pPr>
        <w:ind w:left="1200"/>
        <w:rPr>
          <w:rFonts w:ascii="Times New Roman" w:hAnsi="Times New Roman"/>
        </w:rPr>
      </w:pPr>
    </w:p>
    <w:p w:rsidR="000F2BF4" w:rsidRPr="007E3036" w:rsidP="00155841" w14:paraId="0D8FCC1D" w14:textId="6B167F87">
      <w:pPr>
        <w:ind w:left="1200"/>
        <w:rPr>
          <w:rFonts w:ascii="Times New Roman" w:hAnsi="Times New Roman"/>
        </w:rPr>
      </w:pPr>
      <w:r w:rsidRPr="007E3036">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0B1A00" w:rsidRPr="007E3036" w:rsidP="00155841" w14:paraId="609632A6" w14:textId="77777777">
      <w:pPr>
        <w:ind w:left="1200"/>
        <w:rPr>
          <w:rFonts w:ascii="Times New Roman" w:hAnsi="Times New Roman"/>
        </w:rPr>
      </w:pPr>
    </w:p>
    <w:sectPr w:rsidSect="005B0290">
      <w:type w:val="continuous"/>
      <w:pgSz w:w="12240" w:h="15840"/>
      <w:pgMar w:top="720" w:right="720" w:bottom="720" w:left="72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738188"/>
      <w:docPartObj>
        <w:docPartGallery w:val="Page Numbers (Bottom of Page)"/>
        <w:docPartUnique/>
      </w:docPartObj>
    </w:sdtPr>
    <w:sdtEndPr>
      <w:rPr>
        <w:noProof/>
      </w:rPr>
    </w:sdtEndPr>
    <w:sdtContent>
      <w:p w:rsidR="005B0290" w14:paraId="03A5C0A8" w14:textId="15B28E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B0290" w14:paraId="27FCD1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BF4" w14:paraId="4D2C85D0"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950434547">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0"/>
    <w:rsid w:val="00013F2E"/>
    <w:rsid w:val="000428ED"/>
    <w:rsid w:val="00044A4E"/>
    <w:rsid w:val="00081F99"/>
    <w:rsid w:val="00093947"/>
    <w:rsid w:val="000B1A00"/>
    <w:rsid w:val="000F2BF4"/>
    <w:rsid w:val="000F3899"/>
    <w:rsid w:val="00106890"/>
    <w:rsid w:val="00137DE2"/>
    <w:rsid w:val="00150863"/>
    <w:rsid w:val="00155841"/>
    <w:rsid w:val="001647C4"/>
    <w:rsid w:val="00190CA5"/>
    <w:rsid w:val="001A4C76"/>
    <w:rsid w:val="001A57A9"/>
    <w:rsid w:val="001E1333"/>
    <w:rsid w:val="001E4F7E"/>
    <w:rsid w:val="001E6E82"/>
    <w:rsid w:val="001F1156"/>
    <w:rsid w:val="001F76E0"/>
    <w:rsid w:val="0023357C"/>
    <w:rsid w:val="00267B38"/>
    <w:rsid w:val="002B3A0E"/>
    <w:rsid w:val="002B7094"/>
    <w:rsid w:val="002C2BE0"/>
    <w:rsid w:val="002E2F20"/>
    <w:rsid w:val="002F05C5"/>
    <w:rsid w:val="00343623"/>
    <w:rsid w:val="00361B50"/>
    <w:rsid w:val="00364114"/>
    <w:rsid w:val="00385F83"/>
    <w:rsid w:val="003E22F2"/>
    <w:rsid w:val="003F2A76"/>
    <w:rsid w:val="00412D4A"/>
    <w:rsid w:val="00415A83"/>
    <w:rsid w:val="00460BC1"/>
    <w:rsid w:val="00490584"/>
    <w:rsid w:val="004E2EA4"/>
    <w:rsid w:val="00535514"/>
    <w:rsid w:val="00591269"/>
    <w:rsid w:val="005952BA"/>
    <w:rsid w:val="005A1A60"/>
    <w:rsid w:val="005A4B0E"/>
    <w:rsid w:val="005B0290"/>
    <w:rsid w:val="005C7FFD"/>
    <w:rsid w:val="005E455B"/>
    <w:rsid w:val="00601851"/>
    <w:rsid w:val="00666788"/>
    <w:rsid w:val="006C053A"/>
    <w:rsid w:val="00712914"/>
    <w:rsid w:val="007273EA"/>
    <w:rsid w:val="00733D7D"/>
    <w:rsid w:val="00736E2B"/>
    <w:rsid w:val="00753D7D"/>
    <w:rsid w:val="007B1C36"/>
    <w:rsid w:val="007B2C67"/>
    <w:rsid w:val="007D1896"/>
    <w:rsid w:val="007E3036"/>
    <w:rsid w:val="007F1511"/>
    <w:rsid w:val="007F6CEA"/>
    <w:rsid w:val="00875706"/>
    <w:rsid w:val="008A65EC"/>
    <w:rsid w:val="008B4242"/>
    <w:rsid w:val="008D06B0"/>
    <w:rsid w:val="00901FB5"/>
    <w:rsid w:val="0090797E"/>
    <w:rsid w:val="00913685"/>
    <w:rsid w:val="00934E87"/>
    <w:rsid w:val="009508C3"/>
    <w:rsid w:val="00996D1F"/>
    <w:rsid w:val="009A6B85"/>
    <w:rsid w:val="009D69AD"/>
    <w:rsid w:val="00A11EF4"/>
    <w:rsid w:val="00A30C99"/>
    <w:rsid w:val="00A51B21"/>
    <w:rsid w:val="00AB7936"/>
    <w:rsid w:val="00AC6F19"/>
    <w:rsid w:val="00AD47EC"/>
    <w:rsid w:val="00B2733D"/>
    <w:rsid w:val="00B635BB"/>
    <w:rsid w:val="00B72905"/>
    <w:rsid w:val="00BE4734"/>
    <w:rsid w:val="00BE6E25"/>
    <w:rsid w:val="00BE7CAC"/>
    <w:rsid w:val="00C172B9"/>
    <w:rsid w:val="00C856AF"/>
    <w:rsid w:val="00C86B33"/>
    <w:rsid w:val="00C8751F"/>
    <w:rsid w:val="00CF7D5C"/>
    <w:rsid w:val="00D34A99"/>
    <w:rsid w:val="00D54BBC"/>
    <w:rsid w:val="00D646F9"/>
    <w:rsid w:val="00D64D56"/>
    <w:rsid w:val="00D75C52"/>
    <w:rsid w:val="00DA0D93"/>
    <w:rsid w:val="00DE5A77"/>
    <w:rsid w:val="00DF09A6"/>
    <w:rsid w:val="00E03A47"/>
    <w:rsid w:val="00E13DA9"/>
    <w:rsid w:val="00E365C9"/>
    <w:rsid w:val="00E66E46"/>
    <w:rsid w:val="00E967EF"/>
    <w:rsid w:val="00EB5FA2"/>
    <w:rsid w:val="00EC7FC0"/>
    <w:rsid w:val="00EE38D9"/>
    <w:rsid w:val="00F04BA9"/>
    <w:rsid w:val="00F0653E"/>
    <w:rsid w:val="00F26EFC"/>
    <w:rsid w:val="00F50245"/>
    <w:rsid w:val="00F60743"/>
    <w:rsid w:val="00F84049"/>
    <w:rsid w:val="00FA1A99"/>
    <w:rsid w:val="00FE7E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420A285"/>
  <w15:chartTrackingRefBased/>
  <w15:docId w15:val="{EDD5125B-73B4-4B46-ADE1-F3E6539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table" w:styleId="TableGrid">
    <w:name w:val="Table Grid"/>
    <w:basedOn w:val="TableNormal"/>
    <w:rsid w:val="009A6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3">
    <w:name w:val="Table Colorful 3"/>
    <w:basedOn w:val="TableNormal"/>
    <w:rsid w:val="00934E87"/>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rsid w:val="00934E87"/>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34E87"/>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mphasis">
    <w:name w:val="Emphasis"/>
    <w:uiPriority w:val="20"/>
    <w:qFormat/>
    <w:rsid w:val="00044A4E"/>
    <w:rPr>
      <w:i/>
      <w:iCs/>
    </w:rPr>
  </w:style>
  <w:style w:type="character" w:styleId="Hyperlink">
    <w:name w:val="Hyperlink"/>
    <w:rsid w:val="007F1511"/>
    <w:rPr>
      <w:color w:val="0563C1"/>
      <w:u w:val="single"/>
    </w:rPr>
  </w:style>
  <w:style w:type="character" w:styleId="UnresolvedMention">
    <w:name w:val="Unresolved Mention"/>
    <w:uiPriority w:val="99"/>
    <w:semiHidden/>
    <w:unhideWhenUsed/>
    <w:rsid w:val="007F1511"/>
    <w:rPr>
      <w:color w:val="808080"/>
      <w:shd w:val="clear" w:color="auto" w:fill="E6E6E6"/>
    </w:rPr>
  </w:style>
  <w:style w:type="paragraph" w:styleId="BalloonText">
    <w:name w:val="Balloon Text"/>
    <w:basedOn w:val="Normal"/>
    <w:link w:val="BalloonTextChar"/>
    <w:rsid w:val="007F1511"/>
    <w:rPr>
      <w:rFonts w:ascii="Segoe UI" w:hAnsi="Segoe UI" w:cs="Segoe UI"/>
      <w:sz w:val="18"/>
      <w:szCs w:val="18"/>
    </w:rPr>
  </w:style>
  <w:style w:type="character" w:customStyle="1" w:styleId="BalloonTextChar">
    <w:name w:val="Balloon Text Char"/>
    <w:link w:val="BalloonText"/>
    <w:rsid w:val="007F1511"/>
    <w:rPr>
      <w:rFonts w:ascii="Segoe UI" w:hAnsi="Segoe UI" w:cs="Segoe UI"/>
      <w:sz w:val="18"/>
      <w:szCs w:val="18"/>
    </w:rPr>
  </w:style>
  <w:style w:type="character" w:styleId="CommentReference">
    <w:name w:val="annotation reference"/>
    <w:rsid w:val="001E6E82"/>
    <w:rPr>
      <w:sz w:val="16"/>
      <w:szCs w:val="16"/>
    </w:rPr>
  </w:style>
  <w:style w:type="paragraph" w:styleId="CommentText">
    <w:name w:val="annotation text"/>
    <w:basedOn w:val="Normal"/>
    <w:link w:val="CommentTextChar"/>
    <w:rsid w:val="001E6E82"/>
    <w:rPr>
      <w:sz w:val="20"/>
      <w:szCs w:val="20"/>
    </w:rPr>
  </w:style>
  <w:style w:type="character" w:customStyle="1" w:styleId="CommentTextChar">
    <w:name w:val="Comment Text Char"/>
    <w:link w:val="CommentText"/>
    <w:rsid w:val="001E6E82"/>
    <w:rPr>
      <w:rFonts w:ascii="Courier" w:hAnsi="Courier"/>
    </w:rPr>
  </w:style>
  <w:style w:type="paragraph" w:styleId="CommentSubject">
    <w:name w:val="annotation subject"/>
    <w:basedOn w:val="CommentText"/>
    <w:next w:val="CommentText"/>
    <w:link w:val="CommentSubjectChar"/>
    <w:rsid w:val="001E6E82"/>
    <w:rPr>
      <w:b/>
      <w:bCs/>
    </w:rPr>
  </w:style>
  <w:style w:type="character" w:customStyle="1" w:styleId="CommentSubjectChar">
    <w:name w:val="Comment Subject Char"/>
    <w:link w:val="CommentSubject"/>
    <w:rsid w:val="001E6E82"/>
    <w:rPr>
      <w:rFonts w:ascii="Courier" w:hAnsi="Courier"/>
      <w:b/>
      <w:bCs/>
    </w:rPr>
  </w:style>
  <w:style w:type="paragraph" w:styleId="Header">
    <w:name w:val="header"/>
    <w:basedOn w:val="Normal"/>
    <w:link w:val="HeaderChar"/>
    <w:rsid w:val="005B0290"/>
    <w:pPr>
      <w:tabs>
        <w:tab w:val="center" w:pos="4680"/>
        <w:tab w:val="right" w:pos="9360"/>
      </w:tabs>
    </w:pPr>
  </w:style>
  <w:style w:type="character" w:customStyle="1" w:styleId="HeaderChar">
    <w:name w:val="Header Char"/>
    <w:basedOn w:val="DefaultParagraphFont"/>
    <w:link w:val="Header"/>
    <w:rsid w:val="005B0290"/>
    <w:rPr>
      <w:rFonts w:ascii="Courier" w:hAnsi="Courier"/>
      <w:sz w:val="24"/>
      <w:szCs w:val="24"/>
    </w:rPr>
  </w:style>
  <w:style w:type="paragraph" w:styleId="Footer">
    <w:name w:val="footer"/>
    <w:basedOn w:val="Normal"/>
    <w:link w:val="FooterChar"/>
    <w:uiPriority w:val="99"/>
    <w:rsid w:val="005B0290"/>
    <w:pPr>
      <w:tabs>
        <w:tab w:val="center" w:pos="4680"/>
        <w:tab w:val="right" w:pos="9360"/>
      </w:tabs>
    </w:pPr>
  </w:style>
  <w:style w:type="character" w:customStyle="1" w:styleId="FooterChar">
    <w:name w:val="Footer Char"/>
    <w:basedOn w:val="DefaultParagraphFont"/>
    <w:link w:val="Footer"/>
    <w:uiPriority w:val="99"/>
    <w:rsid w:val="005B0290"/>
    <w:rPr>
      <w:rFonts w:ascii="Courier" w:hAnsi="Courier"/>
      <w:sz w:val="24"/>
      <w:szCs w:val="24"/>
    </w:rPr>
  </w:style>
  <w:style w:type="paragraph" w:styleId="Revision">
    <w:name w:val="Revision"/>
    <w:hidden/>
    <w:uiPriority w:val="99"/>
    <w:semiHidden/>
    <w:rsid w:val="0090797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Brinson Martha R</cp:lastModifiedBy>
  <cp:revision>2</cp:revision>
  <dcterms:created xsi:type="dcterms:W3CDTF">2024-07-02T09:57:00Z</dcterms:created>
  <dcterms:modified xsi:type="dcterms:W3CDTF">2024-07-02T09:57:00Z</dcterms:modified>
</cp:coreProperties>
</file>