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6B2D" w14:paraId="488C6792" w14:textId="77777777">
      <w:pPr>
        <w:jc w:val="center"/>
        <w:rPr>
          <w:rFonts w:ascii="Arial" w:hAnsi="Arial"/>
          <w:b/>
          <w:sz w:val="28"/>
        </w:rPr>
      </w:pPr>
      <w:r>
        <w:rPr>
          <w:rFonts w:ascii="Arial" w:hAnsi="Arial"/>
          <w:b/>
          <w:sz w:val="28"/>
        </w:rPr>
        <w:t>Supporting Statement</w:t>
      </w:r>
    </w:p>
    <w:p w:rsidR="004F6B2D" w14:paraId="4D6E1C49" w14:textId="77777777">
      <w:pPr>
        <w:jc w:val="center"/>
        <w:rPr>
          <w:rFonts w:ascii="Arial" w:hAnsi="Arial"/>
          <w:b/>
          <w:sz w:val="28"/>
        </w:rPr>
      </w:pPr>
      <w:r>
        <w:rPr>
          <w:rFonts w:ascii="Arial" w:hAnsi="Arial"/>
          <w:b/>
          <w:sz w:val="28"/>
        </w:rPr>
        <w:t>Prior Disclosure</w:t>
      </w:r>
    </w:p>
    <w:p w:rsidR="004F6B2D" w14:paraId="14400AF8" w14:textId="77777777">
      <w:pPr>
        <w:jc w:val="center"/>
        <w:rPr>
          <w:rFonts w:ascii="Arial" w:hAnsi="Arial"/>
          <w:b/>
          <w:sz w:val="28"/>
        </w:rPr>
      </w:pPr>
      <w:r>
        <w:rPr>
          <w:rFonts w:ascii="Arial" w:hAnsi="Arial"/>
          <w:b/>
          <w:sz w:val="28"/>
        </w:rPr>
        <w:t>1651-0074</w:t>
      </w:r>
    </w:p>
    <w:p w:rsidR="004F6B2D" w14:paraId="77F17587" w14:textId="77777777">
      <w:pPr>
        <w:rPr>
          <w:rFonts w:ascii="Arial" w:hAnsi="Arial"/>
        </w:rPr>
      </w:pPr>
    </w:p>
    <w:p w:rsidR="006B3CA5" w:rsidP="006B3CA5" w14:paraId="0536A70B" w14:textId="77777777">
      <w:pPr>
        <w:tabs>
          <w:tab w:val="center" w:pos="4824"/>
        </w:tabs>
        <w:rPr>
          <w:rFonts w:ascii="Arial" w:hAnsi="Arial"/>
          <w:b/>
          <w:sz w:val="28"/>
        </w:rPr>
      </w:pPr>
      <w:r>
        <w:rPr>
          <w:rFonts w:ascii="Arial" w:hAnsi="Arial"/>
          <w:b/>
          <w:sz w:val="28"/>
        </w:rPr>
        <w:t>Justification</w:t>
      </w:r>
    </w:p>
    <w:p w:rsidR="006B3CA5" w:rsidP="006B3CA5" w14:paraId="1CB31329" w14:textId="77777777">
      <w:pPr>
        <w:pStyle w:val="Heading1"/>
      </w:pPr>
    </w:p>
    <w:p w:rsidR="006B3CA5" w:rsidRPr="00464CFF" w:rsidP="00200848" w14:paraId="1CF2CE49" w14:textId="77777777">
      <w:pPr>
        <w:numPr>
          <w:ilvl w:val="0"/>
          <w:numId w:val="2"/>
        </w:numPr>
        <w:ind w:hanging="720"/>
        <w:jc w:val="both"/>
        <w:rPr>
          <w:rFonts w:ascii="Arial" w:hAnsi="Arial" w:cs="Arial"/>
          <w:b/>
          <w:bCs/>
          <w:szCs w:val="24"/>
        </w:rPr>
      </w:pPr>
      <w:r w:rsidRPr="00464CFF">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464CFF" w:rsidR="007C20CA">
        <w:rPr>
          <w:rFonts w:ascii="Arial" w:hAnsi="Arial" w:cs="Arial"/>
          <w:b/>
          <w:bCs/>
          <w:szCs w:val="24"/>
        </w:rPr>
        <w:t>t</w:t>
      </w:r>
      <w:r w:rsidRPr="00464CFF">
        <w:rPr>
          <w:rFonts w:ascii="Arial" w:hAnsi="Arial" w:cs="Arial"/>
          <w:b/>
          <w:bCs/>
          <w:szCs w:val="24"/>
        </w:rPr>
        <w:t>e and regulation mandating or authorizing the collection of information.</w:t>
      </w:r>
    </w:p>
    <w:p w:rsidR="006B3CA5" w:rsidP="001036ED" w14:paraId="29E07773" w14:textId="77777777">
      <w:pPr>
        <w:tabs>
          <w:tab w:val="left" w:pos="-1440"/>
        </w:tabs>
        <w:ind w:left="720"/>
        <w:jc w:val="both"/>
        <w:rPr>
          <w:rFonts w:ascii="Arial" w:hAnsi="Arial"/>
          <w:szCs w:val="24"/>
        </w:rPr>
      </w:pPr>
    </w:p>
    <w:p w:rsidR="008D21C6" w:rsidP="00E55108" w14:paraId="235341B5" w14:textId="26A0A50D">
      <w:pPr>
        <w:tabs>
          <w:tab w:val="left" w:pos="-1440"/>
        </w:tabs>
        <w:ind w:left="720" w:hanging="720"/>
        <w:rPr>
          <w:rFonts w:ascii="Arial" w:hAnsi="Arial"/>
        </w:rPr>
      </w:pPr>
      <w:r>
        <w:rPr>
          <w:rFonts w:ascii="Arial" w:hAnsi="Arial"/>
        </w:rPr>
        <w:tab/>
      </w:r>
      <w:bookmarkStart w:id="0" w:name="OLE_LINK8"/>
      <w:r w:rsidRPr="007C4BD9" w:rsidR="00B32AFA">
        <w:rPr>
          <w:rFonts w:ascii="Arial" w:hAnsi="Arial"/>
        </w:rPr>
        <w:t>The Prior Disclosure program establishes a method for a potential violator to disclose to CBP that they have committed an error or a violation with respect to the legal requirements of entering merchandise into the United States, such as underpaid tariffs or duties</w:t>
      </w:r>
      <w:r w:rsidRPr="007C4BD9" w:rsidR="001328B5">
        <w:rPr>
          <w:rFonts w:ascii="Arial" w:hAnsi="Arial"/>
        </w:rPr>
        <w:t>,</w:t>
      </w:r>
      <w:r w:rsidRPr="007C4BD9" w:rsidR="00B32AFA">
        <w:rPr>
          <w:rFonts w:ascii="Arial" w:hAnsi="Arial"/>
        </w:rPr>
        <w:t xml:space="preserve"> or misclassified merchandise</w:t>
      </w:r>
      <w:r w:rsidR="00537B61">
        <w:rPr>
          <w:rFonts w:ascii="Arial" w:hAnsi="Arial"/>
        </w:rPr>
        <w:t xml:space="preserve">, or regarding </w:t>
      </w:r>
      <w:r w:rsidR="00F31515">
        <w:rPr>
          <w:rFonts w:ascii="Arial" w:hAnsi="Arial"/>
        </w:rPr>
        <w:t xml:space="preserve">the payment or credit </w:t>
      </w:r>
      <w:r w:rsidR="00535DFA">
        <w:rPr>
          <w:rFonts w:ascii="Arial" w:hAnsi="Arial"/>
        </w:rPr>
        <w:t xml:space="preserve">of any </w:t>
      </w:r>
      <w:r w:rsidR="005F084E">
        <w:rPr>
          <w:rFonts w:ascii="Arial" w:hAnsi="Arial"/>
        </w:rPr>
        <w:t>drawback claim</w:t>
      </w:r>
      <w:r w:rsidRPr="007C4BD9" w:rsidR="00B32AFA">
        <w:rPr>
          <w:rFonts w:ascii="Arial" w:hAnsi="Arial"/>
        </w:rPr>
        <w:t>.</w:t>
      </w:r>
      <w:r w:rsidRPr="007C4BD9" w:rsidR="00AD7AD8">
        <w:rPr>
          <w:rFonts w:ascii="Arial" w:hAnsi="Arial"/>
        </w:rPr>
        <w:t xml:space="preserve">  The procedure for making a prior disclosure is set forth in 19 CFR 162.74 which requires that respondents submit information </w:t>
      </w:r>
      <w:r w:rsidRPr="007C4BD9" w:rsidR="00986AC7">
        <w:rPr>
          <w:rFonts w:ascii="Arial" w:hAnsi="Arial"/>
        </w:rPr>
        <w:t xml:space="preserve">about the merchandise involved, a </w:t>
      </w:r>
      <w:r w:rsidRPr="007C4BD9" w:rsidR="002179C2">
        <w:rPr>
          <w:rFonts w:ascii="Arial" w:hAnsi="Arial"/>
        </w:rPr>
        <w:t>spe</w:t>
      </w:r>
      <w:r w:rsidRPr="007C4BD9" w:rsidR="00986AC7">
        <w:rPr>
          <w:rFonts w:ascii="Arial" w:hAnsi="Arial"/>
        </w:rPr>
        <w:t xml:space="preserve">cification </w:t>
      </w:r>
      <w:r w:rsidRPr="007C4BD9" w:rsidR="002179C2">
        <w:rPr>
          <w:rFonts w:ascii="Arial" w:hAnsi="Arial"/>
        </w:rPr>
        <w:t>of the false statements or omissions</w:t>
      </w:r>
      <w:r w:rsidRPr="007C4BD9" w:rsidR="00986AC7">
        <w:rPr>
          <w:rFonts w:ascii="Arial" w:hAnsi="Arial"/>
        </w:rPr>
        <w:t>,</w:t>
      </w:r>
      <w:r w:rsidRPr="007C4BD9" w:rsidR="002179C2">
        <w:rPr>
          <w:rFonts w:ascii="Arial" w:hAnsi="Arial"/>
        </w:rPr>
        <w:t xml:space="preserve"> and what the true and accurate information should be.</w:t>
      </w:r>
      <w:r w:rsidRPr="007C4BD9" w:rsidR="00AD7AD8">
        <w:t xml:space="preserve"> </w:t>
      </w:r>
      <w:r w:rsidRPr="007C4BD9">
        <w:rPr>
          <w:rFonts w:ascii="Arial" w:hAnsi="Arial"/>
        </w:rPr>
        <w:t xml:space="preserve">A valid prior disclosure </w:t>
      </w:r>
      <w:r w:rsidRPr="007C4BD9" w:rsidR="00F1507B">
        <w:rPr>
          <w:rFonts w:ascii="Arial" w:hAnsi="Arial"/>
        </w:rPr>
        <w:t>will</w:t>
      </w:r>
      <w:r w:rsidRPr="007C4BD9">
        <w:rPr>
          <w:rFonts w:ascii="Arial" w:hAnsi="Arial"/>
        </w:rPr>
        <w:t xml:space="preserve"> </w:t>
      </w:r>
      <w:bookmarkStart w:id="1" w:name="OLE_LINK5"/>
      <w:r w:rsidRPr="007C4BD9">
        <w:rPr>
          <w:rFonts w:ascii="Arial" w:hAnsi="Arial"/>
        </w:rPr>
        <w:t xml:space="preserve">entitle </w:t>
      </w:r>
      <w:bookmarkEnd w:id="1"/>
      <w:r w:rsidRPr="007C4BD9">
        <w:rPr>
          <w:rFonts w:ascii="Arial" w:hAnsi="Arial"/>
        </w:rPr>
        <w:t>the disclosing party to the reduced penalties pursuant to 19 U.S.C. 1592(c)(4)</w:t>
      </w:r>
      <w:r w:rsidR="00E927F4">
        <w:rPr>
          <w:rFonts w:ascii="Arial" w:hAnsi="Arial"/>
        </w:rPr>
        <w:t xml:space="preserve"> or </w:t>
      </w:r>
      <w:r w:rsidR="00480976">
        <w:rPr>
          <w:rFonts w:ascii="Arial" w:hAnsi="Arial"/>
        </w:rPr>
        <w:t>19 U.S.C. 1593a(c)(3)</w:t>
      </w:r>
      <w:r w:rsidRPr="007C4BD9">
        <w:rPr>
          <w:rFonts w:ascii="Arial" w:hAnsi="Arial"/>
        </w:rPr>
        <w:t>.</w:t>
      </w:r>
      <w:r>
        <w:rPr>
          <w:rFonts w:ascii="Arial" w:hAnsi="Arial"/>
        </w:rPr>
        <w:t xml:space="preserve"> </w:t>
      </w:r>
    </w:p>
    <w:p w:rsidR="00AD7AD8" w:rsidP="00C455E8" w14:paraId="4C0C88CE" w14:textId="77777777">
      <w:pPr>
        <w:tabs>
          <w:tab w:val="left" w:pos="-1440"/>
        </w:tabs>
        <w:ind w:left="720" w:hanging="720"/>
        <w:jc w:val="both"/>
        <w:rPr>
          <w:rFonts w:ascii="Arial" w:hAnsi="Arial"/>
        </w:rPr>
      </w:pPr>
      <w:r>
        <w:rPr>
          <w:rFonts w:ascii="Arial" w:hAnsi="Arial"/>
        </w:rPr>
        <w:tab/>
      </w:r>
    </w:p>
    <w:p w:rsidR="00717353" w:rsidP="00C455E8" w14:paraId="17E92EB0" w14:textId="77777777">
      <w:pPr>
        <w:tabs>
          <w:tab w:val="left" w:pos="-1440"/>
        </w:tabs>
        <w:ind w:left="720" w:hanging="720"/>
        <w:jc w:val="both"/>
        <w:rPr>
          <w:rFonts w:ascii="Arial" w:hAnsi="Arial"/>
        </w:rPr>
      </w:pPr>
      <w:r>
        <w:rPr>
          <w:rFonts w:ascii="Arial" w:hAnsi="Arial"/>
        </w:rPr>
        <w:tab/>
      </w:r>
      <w:r w:rsidRPr="00717353">
        <w:rPr>
          <w:rFonts w:ascii="Arial" w:hAnsi="Arial"/>
        </w:rPr>
        <w:t>The respondents to this information collection are members of the trade community who are familiar with CBP regulations.</w:t>
      </w:r>
      <w:bookmarkEnd w:id="0"/>
      <w:r>
        <w:rPr>
          <w:rFonts w:ascii="Arial" w:hAnsi="Arial"/>
        </w:rPr>
        <w:tab/>
      </w:r>
    </w:p>
    <w:p w:rsidR="00717353" w:rsidRPr="00C47181" w:rsidP="00C455E8" w14:paraId="67B0E655" w14:textId="77777777">
      <w:pPr>
        <w:tabs>
          <w:tab w:val="left" w:pos="-1440"/>
        </w:tabs>
        <w:ind w:left="720" w:hanging="720"/>
        <w:jc w:val="both"/>
        <w:rPr>
          <w:rFonts w:ascii="Arial" w:hAnsi="Arial"/>
          <w:szCs w:val="24"/>
        </w:rPr>
      </w:pPr>
    </w:p>
    <w:p w:rsidR="006B3CA5" w:rsidRPr="00C47181" w:rsidP="00200848" w14:paraId="08814743" w14:textId="77777777">
      <w:pPr>
        <w:ind w:left="720" w:hanging="720"/>
        <w:jc w:val="both"/>
        <w:rPr>
          <w:szCs w:val="24"/>
        </w:rPr>
      </w:pPr>
      <w:r w:rsidRPr="00C47181">
        <w:rPr>
          <w:rFonts w:ascii="Arial" w:hAnsi="Arial" w:cs="Arial"/>
          <w:b/>
          <w:bCs/>
          <w:szCs w:val="24"/>
        </w:rPr>
        <w:t>2.</w:t>
      </w:r>
      <w:r w:rsidRPr="00C47181">
        <w:rPr>
          <w:szCs w:val="24"/>
        </w:rPr>
        <w:tab/>
      </w:r>
      <w:r w:rsidRPr="00464CFF">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464CFF">
        <w:rPr>
          <w:szCs w:val="24"/>
        </w:rPr>
        <w:t>.</w:t>
      </w:r>
    </w:p>
    <w:p w:rsidR="006B3CA5" w:rsidP="001036ED" w14:paraId="62979CE5" w14:textId="77777777">
      <w:pPr>
        <w:jc w:val="both"/>
        <w:rPr>
          <w:rFonts w:ascii="Arial" w:hAnsi="Arial"/>
          <w:szCs w:val="24"/>
        </w:rPr>
      </w:pPr>
      <w:r>
        <w:rPr>
          <w:rFonts w:ascii="Arial" w:hAnsi="Arial"/>
          <w:szCs w:val="24"/>
        </w:rPr>
        <w:tab/>
      </w:r>
    </w:p>
    <w:p w:rsidR="006B3CA5" w:rsidP="001036ED" w14:paraId="6D6AE8F0" w14:textId="06B1382E">
      <w:pPr>
        <w:tabs>
          <w:tab w:val="left" w:pos="-1440"/>
        </w:tabs>
        <w:ind w:left="720" w:hanging="720"/>
        <w:jc w:val="both"/>
        <w:rPr>
          <w:rFonts w:ascii="Arial" w:hAnsi="Arial"/>
        </w:rPr>
      </w:pPr>
      <w:r>
        <w:rPr>
          <w:rFonts w:ascii="Arial" w:hAnsi="Arial"/>
        </w:rPr>
        <w:tab/>
      </w:r>
      <w:bookmarkStart w:id="2" w:name="OLE_LINK4"/>
      <w:r>
        <w:rPr>
          <w:rFonts w:ascii="Arial" w:hAnsi="Arial"/>
        </w:rPr>
        <w:t xml:space="preserve">The information is to be used by CBP officers to verify and validate the commission of a violation of </w:t>
      </w:r>
      <w:r w:rsidRPr="00A24346">
        <w:rPr>
          <w:rFonts w:ascii="Arial" w:hAnsi="Arial" w:cs="Arial"/>
        </w:rPr>
        <w:t xml:space="preserve">19 U.S.C. 1592 </w:t>
      </w:r>
      <w:r w:rsidR="007C538D">
        <w:rPr>
          <w:rFonts w:ascii="Arial" w:hAnsi="Arial" w:cs="Arial"/>
        </w:rPr>
        <w:t xml:space="preserve">or </w:t>
      </w:r>
      <w:bookmarkStart w:id="3" w:name="OLE_LINK2"/>
      <w:r w:rsidR="007C538D">
        <w:rPr>
          <w:rFonts w:ascii="Arial" w:hAnsi="Arial" w:cs="Arial"/>
        </w:rPr>
        <w:t xml:space="preserve">19 U.S.C. 1593a </w:t>
      </w:r>
      <w:bookmarkEnd w:id="3"/>
      <w:r w:rsidRPr="00A24346">
        <w:rPr>
          <w:rFonts w:ascii="Arial" w:hAnsi="Arial" w:cs="Arial"/>
        </w:rPr>
        <w:t>by the disclosing party</w:t>
      </w:r>
      <w:bookmarkEnd w:id="2"/>
      <w:r w:rsidRPr="00A24346">
        <w:rPr>
          <w:rFonts w:ascii="Arial" w:hAnsi="Arial" w:cs="Arial"/>
        </w:rPr>
        <w:t xml:space="preserve">.  A valid prior disclosure </w:t>
      </w:r>
      <w:r w:rsidRPr="00A24346" w:rsidR="00986AC7">
        <w:rPr>
          <w:rFonts w:ascii="Arial" w:hAnsi="Arial" w:cs="Arial"/>
        </w:rPr>
        <w:t xml:space="preserve">may </w:t>
      </w:r>
      <w:r w:rsidRPr="00A24346">
        <w:rPr>
          <w:rFonts w:ascii="Arial" w:hAnsi="Arial" w:cs="Arial"/>
        </w:rPr>
        <w:t>entitle the disclosing party to reduced penalties pursuant to 19 U.S.C. 1592(c)(4)</w:t>
      </w:r>
      <w:r w:rsidR="007C538D">
        <w:rPr>
          <w:rFonts w:ascii="Arial" w:hAnsi="Arial" w:cs="Arial"/>
        </w:rPr>
        <w:t xml:space="preserve"> or 19 U.S.C. 1593a</w:t>
      </w:r>
      <w:r w:rsidR="006F2B8C">
        <w:rPr>
          <w:rFonts w:ascii="Arial" w:hAnsi="Arial" w:cs="Arial"/>
        </w:rPr>
        <w:t>(c)(3)</w:t>
      </w:r>
      <w:r w:rsidRPr="00A24346">
        <w:rPr>
          <w:rFonts w:ascii="Arial" w:hAnsi="Arial" w:cs="Arial"/>
        </w:rPr>
        <w:t>.</w:t>
      </w:r>
      <w:r w:rsidRPr="00A24346" w:rsidR="00A24346">
        <w:rPr>
          <w:rFonts w:ascii="Arial" w:hAnsi="Arial" w:cs="Arial"/>
        </w:rPr>
        <w:t xml:space="preserve"> </w:t>
      </w:r>
      <w:r w:rsidR="00547414">
        <w:rPr>
          <w:rFonts w:ascii="Arial" w:hAnsi="Arial" w:cs="Arial"/>
        </w:rPr>
        <w:t xml:space="preserve"> </w:t>
      </w:r>
      <w:r w:rsidRPr="00A24346" w:rsidR="00A24346">
        <w:rPr>
          <w:rFonts w:ascii="Arial" w:hAnsi="Arial" w:cs="Arial"/>
        </w:rPr>
        <w:t xml:space="preserve">A prior disclosure may be submitted orally or in writing to CBP.  </w:t>
      </w:r>
      <w:r w:rsidR="00547414">
        <w:rPr>
          <w:rFonts w:ascii="Arial" w:hAnsi="Arial" w:cs="Arial"/>
        </w:rPr>
        <w:t xml:space="preserve">In the case of an oral disclosure, the disclosing party shall confirm the disclosure in writing. </w:t>
      </w:r>
      <w:r w:rsidRPr="00A24346" w:rsidR="00A24346">
        <w:rPr>
          <w:rFonts w:ascii="Arial" w:hAnsi="Arial" w:cs="Arial"/>
        </w:rPr>
        <w:t xml:space="preserve">A written prior disclosure must be addressed to the Commissioner of Customs, have conspicuously printed on the face of the envelope the words “prior disclosure,” and be presented to a Customs officer at the Customs port of entry </w:t>
      </w:r>
      <w:r w:rsidR="0094710D">
        <w:rPr>
          <w:rFonts w:ascii="Arial" w:hAnsi="Arial" w:cs="Arial"/>
        </w:rPr>
        <w:t xml:space="preserve">or a Center </w:t>
      </w:r>
      <w:r w:rsidRPr="00A24346" w:rsidR="00A24346">
        <w:rPr>
          <w:rFonts w:ascii="Arial" w:hAnsi="Arial" w:cs="Arial"/>
        </w:rPr>
        <w:t xml:space="preserve">of the disclosed violation.  The elements of a valid prior disclosure are contained in the Customs Regulations in Part 162.74, which sets forth the specific information that must be provided </w:t>
      </w:r>
      <w:r w:rsidRPr="00A24346" w:rsidR="00A24346">
        <w:rPr>
          <w:rFonts w:ascii="Arial" w:hAnsi="Arial" w:cs="Arial"/>
        </w:rPr>
        <w:t>in order for</w:t>
      </w:r>
      <w:r w:rsidRPr="00A24346" w:rsidR="00A24346">
        <w:rPr>
          <w:rFonts w:ascii="Arial" w:hAnsi="Arial" w:cs="Arial"/>
        </w:rPr>
        <w:t xml:space="preserve"> a prior disclosure to be considered valid.</w:t>
      </w:r>
    </w:p>
    <w:p w:rsidR="006B3CA5" w:rsidP="001036ED" w14:paraId="397720AC" w14:textId="77777777">
      <w:pPr>
        <w:jc w:val="both"/>
        <w:rPr>
          <w:rFonts w:ascii="Arial" w:hAnsi="Arial"/>
          <w:szCs w:val="24"/>
        </w:rPr>
      </w:pPr>
    </w:p>
    <w:p w:rsidR="006B3CA5" w:rsidRPr="00C47181" w:rsidP="001036ED" w14:paraId="2A2D261A" w14:textId="77777777">
      <w:pPr>
        <w:tabs>
          <w:tab w:val="left" w:pos="-1440"/>
        </w:tabs>
        <w:ind w:left="720" w:hanging="720"/>
        <w:jc w:val="both"/>
        <w:rPr>
          <w:szCs w:val="24"/>
        </w:rPr>
      </w:pPr>
      <w:r w:rsidRPr="00C47181">
        <w:rPr>
          <w:rFonts w:ascii="Arial" w:hAnsi="Arial"/>
          <w:b/>
          <w:bCs/>
          <w:szCs w:val="24"/>
        </w:rPr>
        <w:t>3.</w:t>
      </w:r>
      <w:r w:rsidRPr="00C47181">
        <w:rPr>
          <w:rFonts w:ascii="Arial" w:hAnsi="Arial"/>
          <w:szCs w:val="24"/>
        </w:rPr>
        <w:tab/>
      </w:r>
      <w:r w:rsidRPr="00464CFF">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w:t>
      </w:r>
      <w:r w:rsidRPr="00464CFF">
        <w:rPr>
          <w:rFonts w:ascii="Arial" w:hAnsi="Arial" w:cs="Arial"/>
          <w:b/>
          <w:bCs/>
          <w:szCs w:val="24"/>
        </w:rPr>
        <w:t>means of collection.  Also describe any consideration of using information technology to reduce burden</w:t>
      </w:r>
      <w:r w:rsidRPr="00464CFF">
        <w:rPr>
          <w:szCs w:val="24"/>
        </w:rPr>
        <w:t>.</w:t>
      </w:r>
      <w:r w:rsidRPr="00C47181">
        <w:rPr>
          <w:szCs w:val="24"/>
        </w:rPr>
        <w:t xml:space="preserve">  </w:t>
      </w:r>
    </w:p>
    <w:p w:rsidR="006B3CA5" w:rsidP="001036ED" w14:paraId="211B6F17" w14:textId="77777777">
      <w:pPr>
        <w:jc w:val="both"/>
        <w:rPr>
          <w:rFonts w:ascii="Arial" w:hAnsi="Arial"/>
          <w:szCs w:val="24"/>
        </w:rPr>
      </w:pPr>
      <w:r>
        <w:rPr>
          <w:rFonts w:ascii="Arial" w:hAnsi="Arial"/>
          <w:szCs w:val="24"/>
        </w:rPr>
        <w:tab/>
      </w:r>
    </w:p>
    <w:p w:rsidR="004F6B2D" w:rsidP="001036ED" w14:paraId="34818F50" w14:textId="29259343">
      <w:pPr>
        <w:tabs>
          <w:tab w:val="left" w:pos="-1440"/>
        </w:tabs>
        <w:ind w:left="720" w:hanging="720"/>
        <w:jc w:val="both"/>
        <w:rPr>
          <w:rFonts w:ascii="Arial" w:hAnsi="Arial" w:cs="Arial"/>
        </w:rPr>
      </w:pPr>
      <w:r>
        <w:rPr>
          <w:rFonts w:ascii="Arial" w:hAnsi="Arial"/>
          <w:szCs w:val="24"/>
        </w:rPr>
        <w:tab/>
      </w:r>
      <w:r w:rsidRPr="00783DE3" w:rsidR="00783DE3">
        <w:rPr>
          <w:rFonts w:ascii="Arial" w:hAnsi="Arial"/>
          <w:szCs w:val="24"/>
        </w:rPr>
        <w:t xml:space="preserve">Prior disclosures are submitted either in paper or by email directly to the port or to the </w:t>
      </w:r>
      <w:r w:rsidR="00A6706A">
        <w:rPr>
          <w:rFonts w:ascii="Arial" w:hAnsi="Arial"/>
          <w:szCs w:val="24"/>
        </w:rPr>
        <w:t xml:space="preserve">Centers of Excellence </w:t>
      </w:r>
      <w:r w:rsidR="00E67025">
        <w:rPr>
          <w:rFonts w:ascii="Arial" w:hAnsi="Arial"/>
          <w:szCs w:val="24"/>
        </w:rPr>
        <w:t>and Expertise (“</w:t>
      </w:r>
      <w:r w:rsidR="0094710D">
        <w:rPr>
          <w:rFonts w:ascii="Arial" w:hAnsi="Arial"/>
          <w:szCs w:val="24"/>
        </w:rPr>
        <w:t>Center</w:t>
      </w:r>
      <w:r w:rsidR="00E67025">
        <w:rPr>
          <w:rFonts w:ascii="Arial" w:hAnsi="Arial"/>
          <w:szCs w:val="24"/>
        </w:rPr>
        <w:t>”)</w:t>
      </w:r>
      <w:r w:rsidR="00464CFF">
        <w:rPr>
          <w:rFonts w:ascii="Arial" w:hAnsi="Arial"/>
          <w:szCs w:val="24"/>
        </w:rPr>
        <w:t>,</w:t>
      </w:r>
      <w:r w:rsidR="004D3BC0">
        <w:rPr>
          <w:rFonts w:ascii="Arial" w:hAnsi="Arial"/>
          <w:szCs w:val="24"/>
        </w:rPr>
        <w:t xml:space="preserve"> and a workspace </w:t>
      </w:r>
      <w:r w:rsidRPr="0094710D" w:rsidR="0094710D">
        <w:rPr>
          <w:rFonts w:ascii="Arial" w:hAnsi="Arial"/>
          <w:szCs w:val="24"/>
        </w:rPr>
        <w:t>created in</w:t>
      </w:r>
      <w:r w:rsidR="004D3BC0">
        <w:rPr>
          <w:rFonts w:ascii="Arial" w:hAnsi="Arial"/>
          <w:szCs w:val="24"/>
        </w:rPr>
        <w:t xml:space="preserve"> the </w:t>
      </w:r>
      <w:r w:rsidRPr="0094710D" w:rsidR="0094710D">
        <w:rPr>
          <w:rFonts w:ascii="Arial" w:hAnsi="Arial"/>
          <w:szCs w:val="24"/>
        </w:rPr>
        <w:t>Intelligence Reporting System-Next Generation (IRS-NG). The disclosure information that is collected by CBP is stored in IRS-NG</w:t>
      </w:r>
      <w:r w:rsidR="0094710D">
        <w:rPr>
          <w:rFonts w:ascii="Arial" w:hAnsi="Arial"/>
          <w:szCs w:val="24"/>
        </w:rPr>
        <w:t xml:space="preserve">.  </w:t>
      </w:r>
      <w:r w:rsidRPr="00783DE3" w:rsidR="00783DE3">
        <w:rPr>
          <w:rFonts w:ascii="Arial" w:hAnsi="Arial"/>
          <w:szCs w:val="24"/>
        </w:rPr>
        <w:t xml:space="preserve">  </w:t>
      </w:r>
      <w:r w:rsidR="004D3BC0">
        <w:rPr>
          <w:rFonts w:ascii="Arial" w:hAnsi="Arial"/>
          <w:szCs w:val="24"/>
        </w:rPr>
        <w:t xml:space="preserve"> </w:t>
      </w:r>
      <w:r w:rsidRPr="004D3BC0" w:rsidR="004D3BC0">
        <w:rPr>
          <w:rFonts w:ascii="Arial" w:hAnsi="Arial"/>
          <w:szCs w:val="24"/>
        </w:rPr>
        <w:t xml:space="preserve">A SEACATS record is created when a prior disclosure has been verified and a penalty notice is issued for an interest penalty over $1K. The penalty information that is collected by CBP is stored in SEACATS. </w:t>
      </w:r>
      <w:r w:rsidRPr="00E91778" w:rsidR="009B6DB4">
        <w:rPr>
          <w:rFonts w:ascii="Arial" w:hAnsi="Arial"/>
          <w:szCs w:val="24"/>
        </w:rPr>
        <w:t>I</w:t>
      </w:r>
      <w:r w:rsidRPr="00E91778" w:rsidR="000F7105">
        <w:rPr>
          <w:rFonts w:ascii="Arial" w:hAnsi="Arial"/>
        </w:rPr>
        <w:t xml:space="preserve">t would be difficult to automate the submission of this information because respondents must send in a check </w:t>
      </w:r>
      <w:r w:rsidRPr="00E91778" w:rsidR="00FF5059">
        <w:rPr>
          <w:rFonts w:ascii="Arial" w:hAnsi="Arial"/>
        </w:rPr>
        <w:t xml:space="preserve">which accounts for underpaid tariffs, duties, or misclassified </w:t>
      </w:r>
      <w:r w:rsidRPr="00E91778" w:rsidR="00FF5059">
        <w:rPr>
          <w:rFonts w:ascii="Arial" w:hAnsi="Arial" w:cs="Arial"/>
        </w:rPr>
        <w:t xml:space="preserve">merchandise </w:t>
      </w:r>
      <w:r w:rsidRPr="00E91778" w:rsidR="000F7105">
        <w:rPr>
          <w:rFonts w:ascii="Arial" w:hAnsi="Arial" w:cs="Arial"/>
        </w:rPr>
        <w:t>that accompanies their prior disclosure.</w:t>
      </w:r>
      <w:r w:rsidRPr="00A24346" w:rsidR="00A24346">
        <w:rPr>
          <w:rFonts w:ascii="Arial" w:hAnsi="Arial" w:cs="Arial"/>
        </w:rPr>
        <w:t xml:space="preserve"> </w:t>
      </w:r>
      <w:bookmarkStart w:id="4" w:name="OLE_LINK3"/>
    </w:p>
    <w:p w:rsidR="008B0FEC" w:rsidP="001036ED" w14:paraId="05E99B39" w14:textId="77777777">
      <w:pPr>
        <w:tabs>
          <w:tab w:val="left" w:pos="-1440"/>
        </w:tabs>
        <w:ind w:left="720" w:hanging="720"/>
        <w:jc w:val="both"/>
        <w:rPr>
          <w:rFonts w:ascii="Arial" w:hAnsi="Arial" w:cs="Arial"/>
        </w:rPr>
      </w:pPr>
    </w:p>
    <w:p w:rsidR="008B0FEC" w:rsidRPr="0091090E" w:rsidP="008B0FEC" w14:paraId="5C1C3F14" w14:textId="218CDE86">
      <w:pPr>
        <w:tabs>
          <w:tab w:val="left" w:pos="-1440"/>
        </w:tabs>
        <w:ind w:left="1440" w:hanging="720"/>
        <w:jc w:val="both"/>
        <w:rPr>
          <w:rFonts w:ascii="Arial" w:hAnsi="Arial" w:cs="Arial"/>
          <w:b/>
          <w:bCs/>
        </w:rPr>
      </w:pPr>
      <w:r w:rsidRPr="0091090E">
        <w:rPr>
          <w:rFonts w:ascii="Arial" w:hAnsi="Arial" w:cs="Arial"/>
          <w:b/>
          <w:bCs/>
        </w:rPr>
        <w:t>Usability Testing:</w:t>
      </w:r>
    </w:p>
    <w:p w:rsidR="00542562" w:rsidP="008A48E5" w14:paraId="536D6D14" w14:textId="77777777">
      <w:pPr>
        <w:tabs>
          <w:tab w:val="left" w:pos="-1440"/>
        </w:tabs>
        <w:ind w:left="1440" w:hanging="720"/>
        <w:jc w:val="both"/>
        <w:rPr>
          <w:rFonts w:ascii="Arial" w:hAnsi="Arial" w:cs="Arial"/>
          <w:i/>
          <w:iCs/>
        </w:rPr>
      </w:pPr>
    </w:p>
    <w:p w:rsidR="009428F1" w:rsidP="009428F1" w14:paraId="4A72A85B" w14:textId="04546D59">
      <w:pPr>
        <w:tabs>
          <w:tab w:val="left" w:pos="-1440"/>
        </w:tabs>
        <w:ind w:left="720"/>
        <w:jc w:val="both"/>
        <w:rPr>
          <w:rFonts w:ascii="Arial" w:hAnsi="Arial" w:cs="Arial"/>
        </w:rPr>
      </w:pPr>
      <w:r w:rsidRPr="009428F1">
        <w:rPr>
          <w:rFonts w:ascii="Arial" w:hAnsi="Arial" w:cs="Arial"/>
        </w:rPr>
        <w:t>CBP conducted usability testing in March 2024 by interviewing five members of the trade community</w:t>
      </w:r>
      <w:r>
        <w:rPr>
          <w:rFonts w:ascii="Arial" w:hAnsi="Arial" w:cs="Arial"/>
        </w:rPr>
        <w:t xml:space="preserve"> on Prior Disclosure</w:t>
      </w:r>
      <w:r w:rsidRPr="009428F1">
        <w:rPr>
          <w:rFonts w:ascii="Arial" w:hAnsi="Arial" w:cs="Arial"/>
        </w:rPr>
        <w:t>. The trade community members were able to complete the collection of information easily and were able to quickly locate informed compliance materials on how to submit prior disclosures. The trade community did identify one improvement CBP could make related to prior disclosures, though not on the information collection itself. They indicated that CBP’s website did not list to which Center of Excellence the prior disclosure should be submitted. CBP will make this information more apparent on its website.</w:t>
      </w:r>
    </w:p>
    <w:p w:rsidR="009428F1" w:rsidRPr="00542562" w:rsidP="00542562" w14:paraId="5255D378" w14:textId="77777777">
      <w:pPr>
        <w:tabs>
          <w:tab w:val="left" w:pos="-1440"/>
        </w:tabs>
        <w:ind w:left="1440" w:hanging="720"/>
        <w:jc w:val="both"/>
        <w:rPr>
          <w:rFonts w:ascii="Arial" w:hAnsi="Arial" w:cs="Arial"/>
        </w:rPr>
      </w:pPr>
    </w:p>
    <w:p w:rsidR="00542562" w:rsidRPr="00A24346" w:rsidP="0091090E" w14:paraId="44579663" w14:textId="77777777">
      <w:pPr>
        <w:tabs>
          <w:tab w:val="left" w:pos="-1440"/>
        </w:tabs>
        <w:jc w:val="both"/>
        <w:rPr>
          <w:rFonts w:ascii="Arial" w:hAnsi="Arial" w:cs="Arial"/>
        </w:rPr>
      </w:pPr>
    </w:p>
    <w:bookmarkEnd w:id="4"/>
    <w:p w:rsidR="006B3CA5" w:rsidRPr="00A24346" w:rsidP="001036ED" w14:paraId="6963AE40" w14:textId="77777777">
      <w:pPr>
        <w:tabs>
          <w:tab w:val="left" w:pos="-1440"/>
        </w:tabs>
        <w:ind w:left="720" w:hanging="720"/>
        <w:jc w:val="both"/>
        <w:rPr>
          <w:rFonts w:ascii="Arial" w:hAnsi="Arial" w:cs="Arial"/>
          <w:szCs w:val="24"/>
        </w:rPr>
      </w:pPr>
      <w:r w:rsidRPr="00A24346">
        <w:rPr>
          <w:rFonts w:ascii="Arial" w:hAnsi="Arial" w:cs="Arial"/>
        </w:rPr>
        <w:tab/>
      </w:r>
      <w:r w:rsidRPr="00A24346">
        <w:rPr>
          <w:rFonts w:ascii="Arial" w:hAnsi="Arial" w:cs="Arial"/>
          <w:szCs w:val="24"/>
        </w:rPr>
        <w:t xml:space="preserve"> </w:t>
      </w:r>
      <w:r w:rsidRPr="00A24346">
        <w:rPr>
          <w:rFonts w:ascii="Arial" w:hAnsi="Arial" w:cs="Arial"/>
          <w:b/>
          <w:szCs w:val="24"/>
        </w:rPr>
        <w:t xml:space="preserve"> </w:t>
      </w:r>
    </w:p>
    <w:p w:rsidR="006B3CA5" w:rsidRPr="00C47181" w:rsidP="00200848" w14:paraId="3020C450" w14:textId="77777777">
      <w:pPr>
        <w:ind w:left="720" w:hanging="72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6B3CA5" w:rsidRPr="00C47181" w:rsidP="001036ED" w14:paraId="7417FC96" w14:textId="77777777">
      <w:pPr>
        <w:tabs>
          <w:tab w:val="left" w:pos="-1440"/>
        </w:tabs>
        <w:ind w:left="720" w:hanging="720"/>
        <w:jc w:val="both"/>
        <w:rPr>
          <w:rFonts w:ascii="Arial" w:hAnsi="Arial"/>
          <w:szCs w:val="24"/>
        </w:rPr>
      </w:pPr>
    </w:p>
    <w:p w:rsidR="006B3CA5" w:rsidRPr="00C47181" w:rsidP="001036ED" w14:paraId="57420A4A" w14:textId="77777777">
      <w:pPr>
        <w:tabs>
          <w:tab w:val="left" w:pos="-1440"/>
        </w:tabs>
        <w:ind w:left="720" w:hanging="720"/>
        <w:jc w:val="both"/>
        <w:rPr>
          <w:rFonts w:ascii="Arial" w:hAnsi="Arial"/>
          <w:szCs w:val="24"/>
        </w:rPr>
      </w:pPr>
      <w:r w:rsidRPr="00C47181">
        <w:rPr>
          <w:rFonts w:ascii="Arial" w:hAnsi="Arial"/>
          <w:szCs w:val="24"/>
        </w:rPr>
        <w:tab/>
        <w:t>This information is not duplicated in any other place or any other form.</w:t>
      </w:r>
    </w:p>
    <w:p w:rsidR="006B3CA5" w:rsidRPr="00C47181" w:rsidP="001036ED" w14:paraId="1B91A635" w14:textId="77777777">
      <w:pPr>
        <w:jc w:val="both"/>
        <w:rPr>
          <w:rFonts w:ascii="Arial" w:hAnsi="Arial"/>
          <w:szCs w:val="24"/>
        </w:rPr>
      </w:pPr>
    </w:p>
    <w:p w:rsidR="006B3CA5" w:rsidRPr="00C47181" w:rsidP="00200848" w14:paraId="3DA1F341" w14:textId="77777777">
      <w:pPr>
        <w:ind w:left="720" w:hanging="72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If the collection of information impacts small businesses or other small entities</w:t>
      </w:r>
      <w:r w:rsidR="00D94E06">
        <w:rPr>
          <w:rFonts w:ascii="Arial" w:hAnsi="Arial" w:cs="Arial"/>
          <w:b/>
          <w:bCs/>
          <w:szCs w:val="24"/>
        </w:rPr>
        <w:t>, des</w:t>
      </w:r>
      <w:r w:rsidRPr="00C47181">
        <w:rPr>
          <w:rFonts w:ascii="Arial" w:hAnsi="Arial" w:cs="Arial"/>
          <w:b/>
          <w:bCs/>
          <w:szCs w:val="24"/>
        </w:rPr>
        <w:t xml:space="preserve">cribe any methods used to minimize burden.  </w:t>
      </w:r>
    </w:p>
    <w:p w:rsidR="006B3CA5" w:rsidRPr="00C47181" w:rsidP="001036ED" w14:paraId="08FDE0B4" w14:textId="77777777">
      <w:pPr>
        <w:tabs>
          <w:tab w:val="left" w:pos="-1440"/>
        </w:tabs>
        <w:ind w:left="720" w:hanging="720"/>
        <w:jc w:val="both"/>
        <w:rPr>
          <w:rFonts w:ascii="Arial" w:hAnsi="Arial"/>
          <w:szCs w:val="24"/>
        </w:rPr>
      </w:pPr>
    </w:p>
    <w:p w:rsidR="006B3CA5" w:rsidP="001036ED" w14:paraId="0EA215F0" w14:textId="77777777">
      <w:pPr>
        <w:pStyle w:val="BodyTextIndent"/>
        <w:rPr>
          <w:szCs w:val="24"/>
        </w:rPr>
      </w:pPr>
      <w:r w:rsidRPr="00C47181">
        <w:rPr>
          <w:szCs w:val="24"/>
        </w:rPr>
        <w:tab/>
        <w:t>This information collection does not have a significant impact on a substantial number of small businesses.</w:t>
      </w:r>
    </w:p>
    <w:p w:rsidR="006B3CA5" w:rsidRPr="00C47181" w:rsidP="001036ED" w14:paraId="7B3042AB" w14:textId="77777777">
      <w:pPr>
        <w:pStyle w:val="BodyTextIndent"/>
      </w:pPr>
      <w:r>
        <w:tab/>
      </w:r>
      <w:r>
        <w:tab/>
      </w:r>
      <w:r>
        <w:tab/>
      </w:r>
      <w:r>
        <w:tab/>
      </w:r>
      <w:r>
        <w:tab/>
      </w:r>
      <w:r>
        <w:tab/>
      </w:r>
    </w:p>
    <w:p w:rsidR="006B3CA5" w:rsidRPr="00464CFF" w:rsidP="001036ED" w14:paraId="057A99F4" w14:textId="77777777">
      <w:pPr>
        <w:widowControl/>
        <w:numPr>
          <w:ilvl w:val="0"/>
          <w:numId w:val="4"/>
        </w:numPr>
        <w:jc w:val="both"/>
        <w:rPr>
          <w:rFonts w:ascii="Arial" w:hAnsi="Arial"/>
          <w:szCs w:val="24"/>
        </w:rPr>
      </w:pPr>
      <w:r>
        <w:rPr>
          <w:rFonts w:ascii="Arial" w:hAnsi="Arial" w:cs="Arial"/>
          <w:b/>
          <w:bCs/>
          <w:szCs w:val="24"/>
        </w:rPr>
        <w:t xml:space="preserve">   </w:t>
      </w:r>
      <w:r w:rsidRPr="00464CFF">
        <w:rPr>
          <w:rFonts w:ascii="Arial" w:hAnsi="Arial" w:cs="Arial"/>
          <w:b/>
          <w:bCs/>
          <w:szCs w:val="24"/>
        </w:rPr>
        <w:t>Describe</w:t>
      </w:r>
      <w:r w:rsidRPr="00464CFF" w:rsidR="00044124">
        <w:rPr>
          <w:rFonts w:ascii="Arial" w:hAnsi="Arial" w:cs="Arial"/>
          <w:b/>
          <w:bCs/>
          <w:szCs w:val="24"/>
        </w:rPr>
        <w:t xml:space="preserve"> </w:t>
      </w:r>
      <w:r w:rsidRPr="00464CFF">
        <w:rPr>
          <w:rFonts w:ascii="Arial" w:hAnsi="Arial" w:cs="Arial"/>
          <w:b/>
          <w:bCs/>
          <w:szCs w:val="24"/>
        </w:rPr>
        <w:t xml:space="preserve">consequences to Federal program or policy activities if the                   </w:t>
      </w:r>
      <w:r w:rsidRPr="00464CFF" w:rsidR="0057169F">
        <w:rPr>
          <w:rFonts w:ascii="Arial" w:hAnsi="Arial" w:cs="Arial"/>
          <w:b/>
          <w:bCs/>
          <w:szCs w:val="24"/>
        </w:rPr>
        <w:t xml:space="preserve"> </w:t>
      </w:r>
      <w:r w:rsidRPr="00464CFF" w:rsidR="00044124">
        <w:rPr>
          <w:rFonts w:ascii="Arial" w:hAnsi="Arial" w:cs="Arial"/>
          <w:b/>
          <w:bCs/>
          <w:szCs w:val="24"/>
        </w:rPr>
        <w:t xml:space="preserve">        </w:t>
      </w:r>
      <w:r w:rsidRPr="00464CFF">
        <w:rPr>
          <w:rFonts w:ascii="Arial" w:hAnsi="Arial" w:cs="Arial"/>
          <w:b/>
          <w:bCs/>
          <w:szCs w:val="24"/>
        </w:rPr>
        <w:t>collection is not conducted or is conducted less frequently.</w:t>
      </w:r>
    </w:p>
    <w:p w:rsidR="006B3CA5" w:rsidP="001036ED" w14:paraId="4B70D49F" w14:textId="77777777">
      <w:pPr>
        <w:widowControl/>
        <w:ind w:left="720"/>
        <w:jc w:val="both"/>
        <w:rPr>
          <w:rFonts w:ascii="Arial" w:hAnsi="Arial" w:cs="Arial"/>
          <w:b/>
          <w:bCs/>
          <w:szCs w:val="24"/>
        </w:rPr>
      </w:pPr>
    </w:p>
    <w:p w:rsidR="004F6B2D" w:rsidP="001036ED" w14:paraId="4299AD54" w14:textId="584A4E38">
      <w:pPr>
        <w:tabs>
          <w:tab w:val="left" w:pos="-1440"/>
        </w:tabs>
        <w:ind w:left="720" w:hanging="720"/>
        <w:jc w:val="both"/>
        <w:rPr>
          <w:rFonts w:ascii="Arial" w:hAnsi="Arial"/>
        </w:rPr>
      </w:pPr>
      <w:r>
        <w:rPr>
          <w:rFonts w:ascii="Arial" w:hAnsi="Arial"/>
        </w:rPr>
        <w:tab/>
        <w:t>Failure to collect this information would mean that the CBP would be unable to provide the legally required reduced penalty benefits to a party who wishes to make a valid written prior disclosure of the commission of a violation of 19 U.S.C. 1592</w:t>
      </w:r>
      <w:r w:rsidR="00CA10EF">
        <w:rPr>
          <w:rFonts w:ascii="Arial" w:hAnsi="Arial"/>
        </w:rPr>
        <w:t xml:space="preserve"> or 19 U.S.C. 1593</w:t>
      </w:r>
      <w:r w:rsidR="009677D2">
        <w:rPr>
          <w:rFonts w:ascii="Arial" w:hAnsi="Arial"/>
        </w:rPr>
        <w:t>a</w:t>
      </w:r>
      <w:r>
        <w:rPr>
          <w:rFonts w:ascii="Arial" w:hAnsi="Arial"/>
        </w:rPr>
        <w:t xml:space="preserve">.   </w:t>
      </w:r>
    </w:p>
    <w:p w:rsidR="006B3CA5" w:rsidP="001036ED" w14:paraId="1C9B59FE" w14:textId="77777777">
      <w:pPr>
        <w:widowControl/>
        <w:ind w:left="180"/>
        <w:jc w:val="both"/>
        <w:rPr>
          <w:rFonts w:ascii="Arial" w:hAnsi="Arial"/>
          <w:szCs w:val="24"/>
        </w:rPr>
      </w:pPr>
      <w:r>
        <w:rPr>
          <w:rFonts w:ascii="Arial" w:hAnsi="Arial" w:cs="Arial"/>
          <w:b/>
          <w:bCs/>
          <w:szCs w:val="24"/>
        </w:rPr>
        <w:t xml:space="preserve">    </w:t>
      </w:r>
      <w:r>
        <w:rPr>
          <w:rFonts w:ascii="Arial" w:hAnsi="Arial"/>
          <w:szCs w:val="24"/>
        </w:rPr>
        <w:tab/>
      </w:r>
    </w:p>
    <w:p w:rsidR="006B3CA5" w:rsidRPr="00C47181" w:rsidP="00200848" w14:paraId="0ED81D06" w14:textId="77777777">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243A76">
        <w:rPr>
          <w:rFonts w:ascii="Arial" w:hAnsi="Arial" w:cs="Arial"/>
          <w:b/>
          <w:bCs/>
          <w:szCs w:val="24"/>
        </w:rPr>
        <w:t>.</w:t>
      </w:r>
    </w:p>
    <w:p w:rsidR="006B3CA5" w:rsidRPr="00C47181" w:rsidP="001036ED" w14:paraId="13DE280E" w14:textId="77777777">
      <w:pPr>
        <w:tabs>
          <w:tab w:val="left" w:pos="-1440"/>
        </w:tabs>
        <w:ind w:left="720" w:hanging="720"/>
        <w:jc w:val="both"/>
        <w:rPr>
          <w:rFonts w:ascii="Arial" w:hAnsi="Arial"/>
          <w:szCs w:val="24"/>
        </w:rPr>
      </w:pPr>
    </w:p>
    <w:p w:rsidR="006B3CA5" w:rsidRPr="00C47181" w:rsidP="001036ED" w14:paraId="4CB34F64"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sidR="000B7007">
        <w:rPr>
          <w:rFonts w:ascii="Arial" w:hAnsi="Arial"/>
          <w:szCs w:val="24"/>
        </w:rPr>
        <w:t>5(d)(2).</w:t>
      </w:r>
    </w:p>
    <w:p w:rsidR="006B3CA5" w:rsidP="001036ED" w14:paraId="15F992E9" w14:textId="77777777">
      <w:pPr>
        <w:ind w:left="360"/>
        <w:jc w:val="both"/>
        <w:rPr>
          <w:rFonts w:ascii="Arial" w:hAnsi="Arial" w:cs="Arial"/>
          <w:b/>
          <w:bCs/>
          <w:szCs w:val="24"/>
        </w:rPr>
      </w:pPr>
    </w:p>
    <w:p w:rsidR="006B3CA5" w:rsidRPr="00464CFF" w:rsidP="00200848" w14:paraId="2285B77C" w14:textId="77777777">
      <w:pPr>
        <w:numPr>
          <w:ilvl w:val="0"/>
          <w:numId w:val="6"/>
        </w:numPr>
        <w:ind w:hanging="720"/>
        <w:jc w:val="both"/>
        <w:rPr>
          <w:rFonts w:ascii="Arial" w:hAnsi="Arial" w:cs="Arial"/>
          <w:b/>
          <w:bCs/>
          <w:szCs w:val="24"/>
        </w:rPr>
      </w:pPr>
      <w:r w:rsidRPr="00464CFF">
        <w:rPr>
          <w:rFonts w:ascii="Arial" w:hAnsi="Arial" w:cs="Arial"/>
          <w:b/>
          <w:bCs/>
          <w:szCs w:val="24"/>
        </w:rPr>
        <w:t xml:space="preserve">If applicable, provide a copy and identify the date and page number of </w:t>
      </w:r>
      <w:r w:rsidRPr="00464CFF">
        <w:rPr>
          <w:rFonts w:ascii="Arial" w:hAnsi="Arial" w:cs="Arial"/>
          <w:b/>
          <w:bCs/>
          <w:szCs w:val="24"/>
        </w:rPr>
        <w:t>publication</w:t>
      </w:r>
      <w:r w:rsidRPr="00464CFF">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B3CA5" w:rsidP="001036ED" w14:paraId="7EDCC46B" w14:textId="77777777">
      <w:pPr>
        <w:tabs>
          <w:tab w:val="left" w:pos="-1440"/>
        </w:tabs>
        <w:ind w:left="720" w:hanging="360"/>
        <w:jc w:val="both"/>
        <w:rPr>
          <w:rFonts w:ascii="Arial" w:hAnsi="Arial"/>
        </w:rPr>
      </w:pPr>
      <w:r>
        <w:rPr>
          <w:rFonts w:ascii="Arial" w:hAnsi="Arial"/>
        </w:rPr>
        <w:tab/>
      </w:r>
    </w:p>
    <w:p w:rsidR="006B3CA5" w:rsidP="005D31ED" w14:paraId="76683BCC" w14:textId="2D5E984B">
      <w:pPr>
        <w:tabs>
          <w:tab w:val="left" w:pos="-1440"/>
        </w:tabs>
        <w:ind w:left="720" w:hanging="360"/>
        <w:rPr>
          <w:rFonts w:ascii="Arial" w:hAnsi="Arial"/>
        </w:rPr>
      </w:pPr>
      <w:r>
        <w:rPr>
          <w:rFonts w:ascii="Arial" w:hAnsi="Arial"/>
        </w:rPr>
        <w:tab/>
      </w:r>
      <w:r w:rsidRPr="00BD4937">
        <w:rPr>
          <w:rFonts w:ascii="Arial" w:hAnsi="Arial"/>
        </w:rPr>
        <w:t xml:space="preserve">Public comments were solicited through two Federal Register notices published on </w:t>
      </w:r>
      <w:r w:rsidR="00D225F8">
        <w:rPr>
          <w:rFonts w:ascii="Arial" w:hAnsi="Arial"/>
        </w:rPr>
        <w:t>January</w:t>
      </w:r>
      <w:r w:rsidR="00BD4937">
        <w:rPr>
          <w:rFonts w:ascii="Arial" w:hAnsi="Arial"/>
        </w:rPr>
        <w:t xml:space="preserve"> </w:t>
      </w:r>
      <w:r w:rsidR="00D225F8">
        <w:rPr>
          <w:rFonts w:ascii="Arial" w:hAnsi="Arial"/>
        </w:rPr>
        <w:t>5</w:t>
      </w:r>
      <w:r w:rsidR="00BD4937">
        <w:rPr>
          <w:rFonts w:ascii="Arial" w:hAnsi="Arial"/>
        </w:rPr>
        <w:t>,</w:t>
      </w:r>
      <w:r w:rsidRPr="00BD4937" w:rsidR="00B815CF">
        <w:rPr>
          <w:rFonts w:ascii="Arial" w:hAnsi="Arial"/>
        </w:rPr>
        <w:t xml:space="preserve"> </w:t>
      </w:r>
      <w:r w:rsidRPr="00BD4937" w:rsidR="00B815CF">
        <w:rPr>
          <w:rFonts w:ascii="Arial" w:hAnsi="Arial"/>
        </w:rPr>
        <w:t>20</w:t>
      </w:r>
      <w:r w:rsidR="00D225F8">
        <w:rPr>
          <w:rFonts w:ascii="Arial" w:hAnsi="Arial"/>
        </w:rPr>
        <w:t>24</w:t>
      </w:r>
      <w:r w:rsidRPr="00BD4937" w:rsidR="00760B4A">
        <w:rPr>
          <w:rFonts w:ascii="Arial" w:hAnsi="Arial"/>
        </w:rPr>
        <w:t xml:space="preserve"> </w:t>
      </w:r>
      <w:r w:rsidRPr="00BD4937">
        <w:rPr>
          <w:rFonts w:ascii="Arial" w:hAnsi="Arial"/>
        </w:rPr>
        <w:t xml:space="preserve"> (</w:t>
      </w:r>
      <w:r w:rsidRPr="00BD4937">
        <w:rPr>
          <w:rFonts w:ascii="Arial" w:hAnsi="Arial"/>
        </w:rPr>
        <w:t xml:space="preserve">Volume </w:t>
      </w:r>
      <w:r w:rsidRPr="00BD4937" w:rsidR="00095BF6">
        <w:rPr>
          <w:rFonts w:ascii="Arial" w:hAnsi="Arial"/>
        </w:rPr>
        <w:t>8</w:t>
      </w:r>
      <w:r w:rsidR="00D225F8">
        <w:rPr>
          <w:rFonts w:ascii="Arial" w:hAnsi="Arial"/>
        </w:rPr>
        <w:t>9</w:t>
      </w:r>
      <w:r w:rsidRPr="00BD4937">
        <w:rPr>
          <w:rFonts w:ascii="Arial" w:hAnsi="Arial"/>
        </w:rPr>
        <w:t xml:space="preserve">, </w:t>
      </w:r>
      <w:r w:rsidR="00D225F8">
        <w:rPr>
          <w:rFonts w:ascii="Arial" w:hAnsi="Arial"/>
        </w:rPr>
        <w:t>792</w:t>
      </w:r>
      <w:r w:rsidRPr="00BD4937">
        <w:rPr>
          <w:rFonts w:ascii="Arial" w:hAnsi="Arial"/>
        </w:rPr>
        <w:t>)</w:t>
      </w:r>
      <w:r w:rsidRPr="00BD4937" w:rsidR="00B76551">
        <w:rPr>
          <w:rFonts w:ascii="Arial" w:hAnsi="Arial"/>
        </w:rPr>
        <w:t xml:space="preserve"> on which no comments</w:t>
      </w:r>
      <w:r w:rsidRPr="00BD4937" w:rsidR="00B815CF">
        <w:rPr>
          <w:rFonts w:ascii="Arial" w:hAnsi="Arial"/>
        </w:rPr>
        <w:t xml:space="preserve"> were</w:t>
      </w:r>
      <w:r w:rsidRPr="00BD4937" w:rsidR="00B76551">
        <w:rPr>
          <w:rFonts w:ascii="Arial" w:hAnsi="Arial"/>
        </w:rPr>
        <w:t xml:space="preserve"> received</w:t>
      </w:r>
      <w:r w:rsidR="00BD4937">
        <w:rPr>
          <w:rFonts w:ascii="Arial" w:hAnsi="Arial"/>
        </w:rPr>
        <w:t xml:space="preserve"> and on </w:t>
      </w:r>
      <w:r w:rsidR="00D225F8">
        <w:rPr>
          <w:rFonts w:ascii="Arial" w:hAnsi="Arial"/>
        </w:rPr>
        <w:t>March</w:t>
      </w:r>
      <w:r w:rsidRPr="00BD4937" w:rsidR="003D70DD">
        <w:rPr>
          <w:rFonts w:ascii="Arial" w:hAnsi="Arial"/>
        </w:rPr>
        <w:t xml:space="preserve"> </w:t>
      </w:r>
      <w:r w:rsidR="00D225F8">
        <w:rPr>
          <w:rFonts w:ascii="Arial" w:hAnsi="Arial"/>
        </w:rPr>
        <w:t>29</w:t>
      </w:r>
      <w:r w:rsidR="00BD4937">
        <w:rPr>
          <w:rFonts w:ascii="Arial" w:hAnsi="Arial"/>
        </w:rPr>
        <w:t>, 20</w:t>
      </w:r>
      <w:r w:rsidR="00D225F8">
        <w:rPr>
          <w:rFonts w:ascii="Arial" w:hAnsi="Arial"/>
        </w:rPr>
        <w:t>24</w:t>
      </w:r>
      <w:r w:rsidR="00BD4937">
        <w:rPr>
          <w:rFonts w:ascii="Arial" w:hAnsi="Arial"/>
        </w:rPr>
        <w:t xml:space="preserve"> (Volume 8</w:t>
      </w:r>
      <w:r w:rsidR="00D225F8">
        <w:rPr>
          <w:rFonts w:ascii="Arial" w:hAnsi="Arial"/>
        </w:rPr>
        <w:t>9</w:t>
      </w:r>
      <w:r w:rsidRPr="00BD4937" w:rsidR="00B815CF">
        <w:rPr>
          <w:rFonts w:ascii="Arial" w:hAnsi="Arial"/>
        </w:rPr>
        <w:t>,</w:t>
      </w:r>
      <w:r w:rsidR="00D225F8">
        <w:rPr>
          <w:rFonts w:ascii="Arial" w:hAnsi="Arial"/>
        </w:rPr>
        <w:t xml:space="preserve"> 22167</w:t>
      </w:r>
      <w:r w:rsidRPr="00BD4937" w:rsidR="00B815CF">
        <w:rPr>
          <w:rFonts w:ascii="Arial" w:hAnsi="Arial"/>
        </w:rPr>
        <w:t>) on which no comments have been received.</w:t>
      </w:r>
    </w:p>
    <w:p w:rsidR="006B3CA5" w:rsidP="001036ED" w14:paraId="17CAF5ED" w14:textId="77777777">
      <w:pPr>
        <w:ind w:left="720" w:hanging="600"/>
        <w:jc w:val="both"/>
        <w:rPr>
          <w:rFonts w:ascii="Arial" w:hAnsi="Arial"/>
          <w:b/>
          <w:bCs/>
          <w:szCs w:val="24"/>
        </w:rPr>
      </w:pPr>
    </w:p>
    <w:p w:rsidR="006B3CA5" w:rsidRPr="00C47181" w:rsidP="001036ED" w14:paraId="60493F77"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6B3CA5" w:rsidRPr="00C47181" w:rsidP="001036ED" w14:paraId="7514A52C" w14:textId="77777777">
      <w:pPr>
        <w:tabs>
          <w:tab w:val="left" w:pos="-1440"/>
        </w:tabs>
        <w:ind w:left="720" w:hanging="720"/>
        <w:jc w:val="both"/>
        <w:rPr>
          <w:rFonts w:ascii="Arial" w:hAnsi="Arial"/>
          <w:szCs w:val="24"/>
        </w:rPr>
      </w:pPr>
    </w:p>
    <w:p w:rsidR="006B3CA5" w:rsidP="000E2D50" w14:paraId="34118D3C" w14:textId="77777777">
      <w:pPr>
        <w:tabs>
          <w:tab w:val="left" w:pos="-1440"/>
        </w:tabs>
        <w:ind w:left="720" w:hanging="720"/>
        <w:jc w:val="both"/>
        <w:rPr>
          <w:rFonts w:ascii="Arial" w:hAnsi="Arial"/>
          <w:b/>
          <w:bCs/>
          <w:szCs w:val="24"/>
        </w:rPr>
      </w:pPr>
      <w:r w:rsidRPr="00C47181">
        <w:rPr>
          <w:rFonts w:ascii="Arial" w:hAnsi="Arial"/>
          <w:szCs w:val="24"/>
        </w:rPr>
        <w:tab/>
        <w:t>There is no offer of a monetary or material value for this information collection.</w:t>
      </w:r>
    </w:p>
    <w:p w:rsidR="000E2D50" w:rsidP="000E2D50" w14:paraId="20640134" w14:textId="77777777">
      <w:pPr>
        <w:ind w:left="360"/>
        <w:jc w:val="both"/>
        <w:rPr>
          <w:rFonts w:ascii="Arial" w:hAnsi="Arial" w:cs="Arial"/>
          <w:b/>
          <w:bCs/>
          <w:szCs w:val="24"/>
        </w:rPr>
      </w:pPr>
    </w:p>
    <w:p w:rsidR="006B3CA5" w:rsidP="00EA65BB" w14:paraId="378EE987" w14:textId="77777777">
      <w:pPr>
        <w:ind w:left="90"/>
        <w:jc w:val="both"/>
        <w:rPr>
          <w:rFonts w:ascii="Arial" w:hAnsi="Arial" w:cs="Arial"/>
          <w:b/>
          <w:bCs/>
          <w:szCs w:val="24"/>
        </w:rPr>
      </w:pPr>
      <w:r>
        <w:rPr>
          <w:rFonts w:ascii="Arial" w:hAnsi="Arial" w:cs="Arial"/>
          <w:b/>
          <w:bCs/>
          <w:szCs w:val="24"/>
        </w:rPr>
        <w:t>1</w:t>
      </w:r>
      <w:r w:rsidR="000E2D50">
        <w:rPr>
          <w:rFonts w:ascii="Arial" w:hAnsi="Arial" w:cs="Arial"/>
          <w:b/>
          <w:bCs/>
          <w:szCs w:val="24"/>
        </w:rPr>
        <w:t xml:space="preserve">0. </w:t>
      </w:r>
      <w:r>
        <w:rPr>
          <w:rFonts w:ascii="Arial" w:hAnsi="Arial" w:cs="Arial"/>
          <w:b/>
          <w:bCs/>
          <w:szCs w:val="24"/>
        </w:rPr>
        <w:t xml:space="preserve">    </w:t>
      </w:r>
      <w:r w:rsidRPr="00464CFF">
        <w:rPr>
          <w:rFonts w:ascii="Arial" w:hAnsi="Arial" w:cs="Arial"/>
          <w:b/>
          <w:bCs/>
          <w:szCs w:val="24"/>
        </w:rPr>
        <w:t>Describe any assurance of confidentiality provided to respondents and the basis</w:t>
      </w:r>
      <w:r w:rsidRPr="00464CFF" w:rsidR="000E2D50">
        <w:rPr>
          <w:rFonts w:ascii="Arial" w:hAnsi="Arial" w:cs="Arial"/>
          <w:b/>
          <w:bCs/>
          <w:szCs w:val="24"/>
        </w:rPr>
        <w:tab/>
      </w:r>
      <w:r w:rsidRPr="00464CFF">
        <w:rPr>
          <w:rFonts w:ascii="Arial" w:hAnsi="Arial" w:cs="Arial"/>
          <w:b/>
          <w:bCs/>
          <w:szCs w:val="24"/>
        </w:rPr>
        <w:t xml:space="preserve"> for the assurance in statute, regulation, or agency policy.</w:t>
      </w:r>
    </w:p>
    <w:p w:rsidR="003A6233" w:rsidP="000E2D50" w14:paraId="00A1BE62" w14:textId="77777777">
      <w:pPr>
        <w:ind w:left="360"/>
        <w:jc w:val="both"/>
        <w:rPr>
          <w:rFonts w:ascii="Arial" w:hAnsi="Arial" w:cs="Arial"/>
          <w:b/>
          <w:bCs/>
          <w:szCs w:val="24"/>
        </w:rPr>
      </w:pPr>
    </w:p>
    <w:p w:rsidR="00222330" w:rsidP="00222330" w14:paraId="58115D03" w14:textId="432D8270">
      <w:pPr>
        <w:ind w:left="720"/>
        <w:jc w:val="both"/>
        <w:rPr>
          <w:rFonts w:ascii="Arial" w:hAnsi="Arial" w:cs="Arial"/>
          <w:szCs w:val="24"/>
        </w:rPr>
      </w:pPr>
      <w:r>
        <w:rPr>
          <w:rFonts w:ascii="Arial" w:hAnsi="Arial" w:cs="Arial"/>
          <w:bCs/>
          <w:szCs w:val="24"/>
        </w:rPr>
        <w:t xml:space="preserve">A </w:t>
      </w:r>
      <w:r w:rsidR="00210C5B">
        <w:rPr>
          <w:rFonts w:ascii="Arial" w:hAnsi="Arial" w:cs="Arial"/>
          <w:bCs/>
          <w:szCs w:val="24"/>
        </w:rPr>
        <w:t>Department of Homeland Security</w:t>
      </w:r>
      <w:r w:rsidR="009E5C3A">
        <w:rPr>
          <w:rFonts w:ascii="Arial" w:hAnsi="Arial" w:cs="Arial"/>
          <w:bCs/>
          <w:szCs w:val="24"/>
        </w:rPr>
        <w:t xml:space="preserve"> </w:t>
      </w:r>
      <w:r>
        <w:rPr>
          <w:rFonts w:ascii="Arial" w:hAnsi="Arial" w:cs="Arial"/>
          <w:bCs/>
          <w:szCs w:val="24"/>
        </w:rPr>
        <w:t>SORN, dated December 19, 2008,</w:t>
      </w:r>
      <w:r w:rsidR="00C15456">
        <w:rPr>
          <w:rFonts w:ascii="Arial" w:hAnsi="Arial" w:cs="Arial"/>
          <w:bCs/>
          <w:szCs w:val="24"/>
        </w:rPr>
        <w:t xml:space="preserve"> </w:t>
      </w:r>
      <w:bookmarkStart w:id="5" w:name="OLE_LINK1"/>
      <w:r w:rsidR="00C15456">
        <w:rPr>
          <w:rFonts w:ascii="Arial" w:hAnsi="Arial" w:cs="Arial"/>
          <w:bCs/>
          <w:szCs w:val="24"/>
        </w:rPr>
        <w:t>73 FR 77778</w:t>
      </w:r>
      <w:r>
        <w:rPr>
          <w:rFonts w:ascii="Arial" w:hAnsi="Arial" w:cs="Arial"/>
          <w:bCs/>
          <w:szCs w:val="24"/>
        </w:rPr>
        <w:t xml:space="preserve"> </w:t>
      </w:r>
      <w:bookmarkEnd w:id="5"/>
      <w:r w:rsidR="009E5C3A">
        <w:rPr>
          <w:rFonts w:ascii="Arial" w:hAnsi="Arial" w:cs="Arial"/>
          <w:bCs/>
          <w:szCs w:val="24"/>
        </w:rPr>
        <w:t xml:space="preserve">titled DHS/CBP-011 </w:t>
      </w:r>
      <w:r w:rsidR="009E5C3A">
        <w:rPr>
          <w:rFonts w:ascii="Arial" w:hAnsi="Arial" w:cs="Arial"/>
          <w:bCs/>
          <w:szCs w:val="24"/>
        </w:rPr>
        <w:t>TECS</w:t>
      </w:r>
      <w:r w:rsidR="000E6B3D">
        <w:rPr>
          <w:rFonts w:ascii="Arial" w:hAnsi="Arial" w:cs="Arial"/>
          <w:bCs/>
          <w:szCs w:val="24"/>
        </w:rPr>
        <w:t xml:space="preserve"> </w:t>
      </w:r>
      <w:r>
        <w:rPr>
          <w:rFonts w:ascii="Arial" w:hAnsi="Arial" w:cs="Arial"/>
          <w:bCs/>
          <w:szCs w:val="24"/>
        </w:rPr>
        <w:t>,</w:t>
      </w:r>
      <w:r>
        <w:rPr>
          <w:rFonts w:ascii="Arial" w:hAnsi="Arial" w:cs="Arial"/>
          <w:bCs/>
          <w:szCs w:val="24"/>
        </w:rPr>
        <w:t xml:space="preserve"> will be included in this ICR.</w:t>
      </w:r>
      <w:r w:rsidR="00CB101C">
        <w:rPr>
          <w:rFonts w:ascii="Arial" w:hAnsi="Arial" w:cs="Arial"/>
          <w:bCs/>
          <w:szCs w:val="24"/>
        </w:rPr>
        <w:t xml:space="preserve">  </w:t>
      </w:r>
      <w:r w:rsidRPr="00A24346" w:rsidR="00A24346">
        <w:rPr>
          <w:rFonts w:ascii="Arial" w:hAnsi="Arial" w:cs="Arial"/>
        </w:rPr>
        <w:t xml:space="preserve">PIA coverage </w:t>
      </w:r>
      <w:r w:rsidR="00012E23">
        <w:rPr>
          <w:rFonts w:ascii="Arial" w:hAnsi="Arial" w:cs="Arial"/>
        </w:rPr>
        <w:t xml:space="preserve">is </w:t>
      </w:r>
      <w:r w:rsidRPr="00A24346" w:rsidR="00A24346">
        <w:rPr>
          <w:rFonts w:ascii="Arial" w:hAnsi="Arial" w:cs="Arial"/>
        </w:rPr>
        <w:t>provided by the</w:t>
      </w:r>
      <w:r w:rsidR="00FA57E9">
        <w:rPr>
          <w:rFonts w:ascii="Arial" w:hAnsi="Arial" w:cs="Arial"/>
        </w:rPr>
        <w:t xml:space="preserve"> DHS/CBP/PIA-</w:t>
      </w:r>
      <w:r w:rsidR="00FA57E9">
        <w:rPr>
          <w:rFonts w:ascii="Arial" w:hAnsi="Arial" w:cs="Arial"/>
        </w:rPr>
        <w:t xml:space="preserve">040 </w:t>
      </w:r>
      <w:r w:rsidRPr="00A24346" w:rsidR="00A24346">
        <w:rPr>
          <w:rFonts w:ascii="Arial" w:hAnsi="Arial" w:cs="Arial"/>
        </w:rPr>
        <w:t xml:space="preserve"> Seized</w:t>
      </w:r>
      <w:r w:rsidRPr="00A24346" w:rsidR="00A24346">
        <w:rPr>
          <w:rFonts w:ascii="Arial" w:hAnsi="Arial" w:cs="Arial"/>
        </w:rPr>
        <w:t xml:space="preserve">  Asset</w:t>
      </w:r>
      <w:r w:rsidR="004A74FF">
        <w:rPr>
          <w:rFonts w:ascii="Arial" w:hAnsi="Arial" w:cs="Arial"/>
        </w:rPr>
        <w:t xml:space="preserve">s and Case </w:t>
      </w:r>
      <w:r w:rsidRPr="00A24346" w:rsidR="00A24346">
        <w:rPr>
          <w:rFonts w:ascii="Arial" w:hAnsi="Arial" w:cs="Arial"/>
        </w:rPr>
        <w:t>Tracking System (SEACATS)</w:t>
      </w:r>
      <w:r w:rsidR="00FA57E9">
        <w:rPr>
          <w:rFonts w:ascii="Arial" w:hAnsi="Arial" w:cs="Arial"/>
        </w:rPr>
        <w:t>, available at</w:t>
      </w:r>
      <w:r w:rsidRPr="00FA57E9" w:rsidR="00FA57E9">
        <w:t xml:space="preserve"> </w:t>
      </w:r>
      <w:r w:rsidRPr="00FA57E9" w:rsidR="00FA57E9">
        <w:rPr>
          <w:rFonts w:ascii="Arial" w:hAnsi="Arial" w:cs="Arial"/>
        </w:rPr>
        <w:t>https://www.dhs.gov/sites/default/files/publications/privacy-pia-cbp-040-seacats-april2017.pdf</w:t>
      </w:r>
      <w:r w:rsidR="00FA57E9">
        <w:rPr>
          <w:rFonts w:ascii="Arial" w:hAnsi="Arial" w:cs="Arial"/>
        </w:rPr>
        <w:t xml:space="preserve">. PIA coverage is also provided by DHS/CBP/PIA-003(b) Automated Commercial Environment (ACE), available at  </w:t>
      </w:r>
      <w:hyperlink r:id="rId9" w:history="1">
        <w:r w:rsidRPr="003E2349" w:rsidR="00FA57E9">
          <w:rPr>
            <w:rStyle w:val="Hyperlink"/>
            <w:rFonts w:ascii="Arial" w:hAnsi="Arial" w:cs="Arial"/>
          </w:rPr>
          <w:t>https://www.dhs.gov/sites/default/files/publications/privacy-pia-cbp-ace003b-appendixa-march2020.pdf</w:t>
        </w:r>
      </w:hyperlink>
      <w:r w:rsidR="00FA57E9">
        <w:rPr>
          <w:rFonts w:ascii="Arial" w:hAnsi="Arial" w:cs="Arial"/>
        </w:rPr>
        <w:t xml:space="preserve">. </w:t>
      </w:r>
      <w:r w:rsidRPr="00A24346" w:rsidR="00A24346">
        <w:rPr>
          <w:rFonts w:ascii="Arial" w:hAnsi="Arial" w:cs="Arial"/>
        </w:rPr>
        <w:t xml:space="preserve">. Additional SORN coverage is provided by DHS/CBP-013 - Seized Assets and Case Tracking System, December 19, </w:t>
      </w:r>
      <w:r w:rsidRPr="00A24346" w:rsidR="00A24346">
        <w:rPr>
          <w:rFonts w:ascii="Arial" w:hAnsi="Arial" w:cs="Arial"/>
        </w:rPr>
        <w:t>2008</w:t>
      </w:r>
      <w:r w:rsidRPr="00A24346" w:rsidR="00A24346">
        <w:rPr>
          <w:rFonts w:ascii="Arial" w:hAnsi="Arial" w:cs="Arial"/>
        </w:rPr>
        <w:t xml:space="preserve"> 73 FR 77764.</w:t>
      </w:r>
      <w:r w:rsidR="003F689B">
        <w:rPr>
          <w:rFonts w:ascii="Arial" w:hAnsi="Arial" w:cs="Arial"/>
        </w:rPr>
        <w:t xml:space="preserve"> </w:t>
      </w:r>
      <w:r w:rsidRPr="005E4FAC" w:rsidR="003F689B">
        <w:rPr>
          <w:rFonts w:ascii="Arial" w:hAnsi="Arial" w:cs="Arial"/>
          <w:szCs w:val="24"/>
        </w:rPr>
        <w:t xml:space="preserve">There are no assurances of confidentiality provided to </w:t>
      </w:r>
      <w:r w:rsidRPr="00A24346" w:rsidR="003F689B">
        <w:rPr>
          <w:rFonts w:ascii="Arial" w:hAnsi="Arial" w:cs="Arial"/>
          <w:szCs w:val="24"/>
        </w:rPr>
        <w:t>the respondents</w:t>
      </w:r>
      <w:r w:rsidR="003F689B">
        <w:rPr>
          <w:rFonts w:ascii="Arial" w:hAnsi="Arial" w:cs="Arial"/>
          <w:szCs w:val="24"/>
        </w:rPr>
        <w:t>.</w:t>
      </w:r>
    </w:p>
    <w:p w:rsidR="000E2D50" w:rsidP="00222330" w14:paraId="2D2A2AC3" w14:textId="77777777">
      <w:pPr>
        <w:ind w:left="720"/>
        <w:jc w:val="both"/>
        <w:rPr>
          <w:rFonts w:ascii="Arial" w:hAnsi="Arial"/>
          <w:szCs w:val="24"/>
        </w:rPr>
      </w:pPr>
      <w:r w:rsidRPr="00C47181">
        <w:rPr>
          <w:rFonts w:ascii="Arial" w:hAnsi="Arial"/>
          <w:szCs w:val="24"/>
        </w:rPr>
        <w:tab/>
        <w:t xml:space="preserve">          </w:t>
      </w:r>
    </w:p>
    <w:p w:rsidR="006B3CA5" w:rsidRPr="00C47181" w:rsidP="000E2D50" w14:paraId="45B744A5" w14:textId="77777777">
      <w:pPr>
        <w:tabs>
          <w:tab w:val="left" w:pos="-1440"/>
        </w:tabs>
        <w:ind w:left="720" w:hanging="720"/>
        <w:jc w:val="both"/>
        <w:rPr>
          <w:rFonts w:ascii="Arial" w:hAnsi="Arial" w:cs="Arial"/>
          <w:b/>
          <w:bCs/>
          <w:szCs w:val="24"/>
        </w:rPr>
      </w:pPr>
      <w:r w:rsidRPr="00EA65BB">
        <w:rPr>
          <w:rFonts w:ascii="Arial" w:hAnsi="Arial"/>
          <w:b/>
          <w:szCs w:val="24"/>
        </w:rPr>
        <w:t>11</w:t>
      </w:r>
      <w:r w:rsidRPr="00EA65BB">
        <w:rPr>
          <w:rFonts w:ascii="Arial" w:hAnsi="Arial"/>
          <w:b/>
          <w:bCs/>
          <w:szCs w:val="24"/>
        </w:rPr>
        <w:t>.</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B3CA5" w:rsidRPr="00C47181" w:rsidP="001036ED" w14:paraId="22D14490" w14:textId="77777777">
      <w:pPr>
        <w:tabs>
          <w:tab w:val="left" w:pos="-1440"/>
        </w:tabs>
        <w:ind w:left="720" w:hanging="720"/>
        <w:jc w:val="both"/>
        <w:rPr>
          <w:rFonts w:ascii="Arial" w:hAnsi="Arial"/>
          <w:szCs w:val="24"/>
        </w:rPr>
      </w:pPr>
      <w:r w:rsidRPr="00C47181">
        <w:rPr>
          <w:rFonts w:ascii="Arial" w:hAnsi="Arial"/>
          <w:szCs w:val="24"/>
        </w:rPr>
        <w:tab/>
      </w:r>
    </w:p>
    <w:p w:rsidR="006B3CA5" w:rsidRPr="00C47181" w:rsidP="001036ED" w14:paraId="513FFAE3" w14:textId="77777777">
      <w:pPr>
        <w:tabs>
          <w:tab w:val="left" w:pos="-1440"/>
        </w:tabs>
        <w:ind w:left="720" w:hanging="720"/>
        <w:jc w:val="both"/>
        <w:rPr>
          <w:rFonts w:ascii="Arial" w:hAnsi="Arial"/>
          <w:szCs w:val="24"/>
        </w:rPr>
      </w:pPr>
      <w:r w:rsidRPr="00C47181">
        <w:rPr>
          <w:rFonts w:ascii="Arial" w:hAnsi="Arial"/>
          <w:szCs w:val="24"/>
        </w:rPr>
        <w:tab/>
        <w:t>There are no questions of a sensitive nature associated with this collection.</w:t>
      </w:r>
    </w:p>
    <w:p w:rsidR="006B3CA5" w:rsidRPr="00C47181" w:rsidP="001036ED" w14:paraId="1E88C79C" w14:textId="77777777">
      <w:pPr>
        <w:jc w:val="both"/>
        <w:rPr>
          <w:rFonts w:ascii="Arial" w:hAnsi="Arial"/>
          <w:szCs w:val="24"/>
        </w:rPr>
      </w:pPr>
    </w:p>
    <w:p w:rsidR="006B3CA5" w:rsidRPr="00464CFF" w:rsidP="00CE294E" w14:paraId="005E69CB" w14:textId="77777777">
      <w:pPr>
        <w:numPr>
          <w:ilvl w:val="0"/>
          <w:numId w:val="3"/>
        </w:numPr>
        <w:tabs>
          <w:tab w:val="left" w:pos="-1440"/>
          <w:tab w:val="clear" w:pos="1080"/>
        </w:tabs>
        <w:ind w:left="810" w:hanging="810"/>
        <w:jc w:val="both"/>
        <w:rPr>
          <w:rFonts w:ascii="Arial" w:hAnsi="Arial"/>
          <w:szCs w:val="24"/>
        </w:rPr>
      </w:pPr>
      <w:r w:rsidRPr="00464CFF">
        <w:rPr>
          <w:rFonts w:ascii="Arial" w:hAnsi="Arial" w:cs="Arial"/>
          <w:b/>
          <w:bCs/>
          <w:szCs w:val="24"/>
        </w:rPr>
        <w:t>Provide estimates of the hour burden of the collection of information.</w:t>
      </w:r>
      <w:r w:rsidRPr="00464CFF">
        <w:rPr>
          <w:rFonts w:ascii="Arial" w:hAnsi="Arial"/>
          <w:szCs w:val="24"/>
        </w:rPr>
        <w:tab/>
      </w:r>
    </w:p>
    <w:p w:rsidR="006B3CA5" w:rsidP="001036ED" w14:paraId="410D341D" w14:textId="77777777">
      <w:pPr>
        <w:jc w:val="both"/>
        <w:rPr>
          <w:rFonts w:ascii="Arial" w:hAnsi="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7099A1FF" w14:textId="77777777" w:rsidTr="00886A7F">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shd w:val="clear" w:color="auto" w:fill="auto"/>
          </w:tcPr>
          <w:p w:rsidR="006B3CA5" w:rsidRPr="00886A7F" w:rsidP="00886A7F" w14:paraId="32950C30" w14:textId="77777777">
            <w:pPr>
              <w:pStyle w:val="Style"/>
              <w:tabs>
                <w:tab w:val="left" w:pos="-1440"/>
              </w:tabs>
              <w:ind w:left="0" w:firstLine="0"/>
              <w:jc w:val="both"/>
              <w:rPr>
                <w:rFonts w:ascii="Arial" w:hAnsi="Arial"/>
              </w:rPr>
            </w:pPr>
          </w:p>
          <w:p w:rsidR="006B3CA5" w:rsidRPr="00E91778" w:rsidP="00886A7F" w14:paraId="1B015286" w14:textId="77777777">
            <w:pPr>
              <w:pStyle w:val="Style"/>
              <w:tabs>
                <w:tab w:val="left" w:pos="-1440"/>
              </w:tabs>
              <w:ind w:left="0" w:firstLine="0"/>
              <w:jc w:val="both"/>
              <w:rPr>
                <w:rFonts w:ascii="Arial" w:hAnsi="Arial"/>
                <w:sz w:val="22"/>
                <w:szCs w:val="22"/>
              </w:rPr>
            </w:pPr>
            <w:r w:rsidRPr="00E91778">
              <w:rPr>
                <w:rFonts w:ascii="Arial" w:hAnsi="Arial"/>
                <w:b/>
                <w:sz w:val="22"/>
                <w:szCs w:val="22"/>
              </w:rPr>
              <w:t xml:space="preserve">INFORMATION COLLECTION </w:t>
            </w:r>
          </w:p>
        </w:tc>
        <w:tc>
          <w:tcPr>
            <w:tcW w:w="1260" w:type="dxa"/>
            <w:shd w:val="clear" w:color="auto" w:fill="auto"/>
          </w:tcPr>
          <w:p w:rsidR="006B3CA5" w:rsidRPr="00E91778" w:rsidP="00886A7F" w14:paraId="1CC7A44A" w14:textId="77777777">
            <w:pPr>
              <w:pStyle w:val="Style"/>
              <w:tabs>
                <w:tab w:val="left" w:pos="-1440"/>
              </w:tabs>
              <w:ind w:left="0" w:firstLine="0"/>
              <w:jc w:val="both"/>
              <w:rPr>
                <w:rFonts w:ascii="Arial" w:hAnsi="Arial"/>
                <w:b/>
                <w:sz w:val="22"/>
                <w:szCs w:val="22"/>
              </w:rPr>
            </w:pPr>
            <w:r w:rsidRPr="00E91778">
              <w:rPr>
                <w:rFonts w:ascii="Arial" w:hAnsi="Arial"/>
                <w:b/>
                <w:sz w:val="22"/>
                <w:szCs w:val="22"/>
              </w:rPr>
              <w:t>TOTAL ANNUAL BURDEN HOURS</w:t>
            </w:r>
          </w:p>
        </w:tc>
        <w:tc>
          <w:tcPr>
            <w:tcW w:w="1890" w:type="dxa"/>
            <w:shd w:val="clear" w:color="auto" w:fill="auto"/>
          </w:tcPr>
          <w:p w:rsidR="006B3CA5" w:rsidRPr="00E91778" w:rsidP="00886A7F" w14:paraId="31F67AE8" w14:textId="77777777">
            <w:pPr>
              <w:pStyle w:val="Style"/>
              <w:tabs>
                <w:tab w:val="left" w:pos="-1440"/>
              </w:tabs>
              <w:ind w:left="0" w:firstLine="0"/>
              <w:jc w:val="both"/>
              <w:rPr>
                <w:rFonts w:ascii="Arial" w:hAnsi="Arial"/>
                <w:b/>
                <w:sz w:val="22"/>
                <w:szCs w:val="22"/>
              </w:rPr>
            </w:pPr>
            <w:r w:rsidRPr="00E91778">
              <w:rPr>
                <w:rFonts w:ascii="Arial" w:hAnsi="Arial"/>
                <w:b/>
                <w:sz w:val="22"/>
                <w:szCs w:val="22"/>
              </w:rPr>
              <w:t>NO. OF</w:t>
            </w:r>
          </w:p>
          <w:p w:rsidR="006B3CA5" w:rsidRPr="00E91778" w:rsidP="00886A7F" w14:paraId="57D5EFD2" w14:textId="77777777">
            <w:pPr>
              <w:pStyle w:val="Style"/>
              <w:tabs>
                <w:tab w:val="left" w:pos="-1440"/>
              </w:tabs>
              <w:ind w:left="0" w:firstLine="0"/>
              <w:jc w:val="both"/>
              <w:rPr>
                <w:rFonts w:ascii="Arial" w:hAnsi="Arial"/>
                <w:b/>
                <w:sz w:val="22"/>
                <w:szCs w:val="22"/>
              </w:rPr>
            </w:pPr>
            <w:r w:rsidRPr="00E91778">
              <w:rPr>
                <w:rFonts w:ascii="Arial" w:hAnsi="Arial"/>
                <w:b/>
                <w:sz w:val="22"/>
                <w:szCs w:val="22"/>
              </w:rPr>
              <w:t>RESPONDENTS</w:t>
            </w:r>
          </w:p>
        </w:tc>
        <w:tc>
          <w:tcPr>
            <w:tcW w:w="1710" w:type="dxa"/>
            <w:shd w:val="clear" w:color="auto" w:fill="auto"/>
          </w:tcPr>
          <w:p w:rsidR="006B3CA5" w:rsidRPr="00E91778" w:rsidP="00886A7F" w14:paraId="455E2773" w14:textId="77777777">
            <w:pPr>
              <w:pStyle w:val="Style"/>
              <w:tabs>
                <w:tab w:val="left" w:pos="-1440"/>
              </w:tabs>
              <w:ind w:left="0" w:firstLine="0"/>
              <w:jc w:val="both"/>
              <w:rPr>
                <w:rFonts w:ascii="Arial" w:hAnsi="Arial"/>
                <w:b/>
                <w:sz w:val="20"/>
              </w:rPr>
            </w:pPr>
            <w:r w:rsidRPr="00E91778">
              <w:rPr>
                <w:rFonts w:ascii="Arial" w:hAnsi="Arial"/>
                <w:b/>
                <w:sz w:val="20"/>
              </w:rPr>
              <w:t>NO. OF RESPONSES PER RESPONDENT</w:t>
            </w:r>
          </w:p>
        </w:tc>
        <w:tc>
          <w:tcPr>
            <w:tcW w:w="1530" w:type="dxa"/>
            <w:shd w:val="clear" w:color="auto" w:fill="auto"/>
          </w:tcPr>
          <w:p w:rsidR="006B3CA5" w:rsidRPr="00E91778" w:rsidP="00886A7F" w14:paraId="481C50A7" w14:textId="77777777">
            <w:pPr>
              <w:pStyle w:val="Style"/>
              <w:tabs>
                <w:tab w:val="left" w:pos="-1440"/>
              </w:tabs>
              <w:ind w:left="0" w:firstLine="0"/>
              <w:jc w:val="both"/>
              <w:rPr>
                <w:rFonts w:ascii="Arial" w:hAnsi="Arial"/>
              </w:rPr>
            </w:pPr>
          </w:p>
          <w:p w:rsidR="006B3CA5" w:rsidRPr="00E91778" w:rsidP="00886A7F" w14:paraId="014EE366" w14:textId="77777777">
            <w:pPr>
              <w:pStyle w:val="Style"/>
              <w:tabs>
                <w:tab w:val="left" w:pos="-1440"/>
              </w:tabs>
              <w:ind w:left="0" w:firstLine="0"/>
              <w:jc w:val="both"/>
              <w:rPr>
                <w:rFonts w:ascii="Arial" w:hAnsi="Arial"/>
                <w:b/>
                <w:sz w:val="20"/>
              </w:rPr>
            </w:pPr>
            <w:r w:rsidRPr="00E91778">
              <w:rPr>
                <w:rFonts w:ascii="Arial" w:hAnsi="Arial"/>
                <w:b/>
                <w:sz w:val="20"/>
              </w:rPr>
              <w:t>TOTAL</w:t>
            </w:r>
          </w:p>
          <w:p w:rsidR="006B3CA5" w:rsidRPr="00E91778" w:rsidP="00886A7F" w14:paraId="4A767388" w14:textId="77777777">
            <w:pPr>
              <w:pStyle w:val="Style"/>
              <w:tabs>
                <w:tab w:val="left" w:pos="-1440"/>
              </w:tabs>
              <w:ind w:left="0" w:firstLine="0"/>
              <w:jc w:val="both"/>
              <w:rPr>
                <w:rFonts w:ascii="Arial" w:hAnsi="Arial"/>
              </w:rPr>
            </w:pPr>
            <w:r w:rsidRPr="00E91778">
              <w:rPr>
                <w:rFonts w:ascii="Arial" w:hAnsi="Arial"/>
                <w:b/>
                <w:sz w:val="20"/>
              </w:rPr>
              <w:t>RESPONSES</w:t>
            </w:r>
          </w:p>
        </w:tc>
        <w:tc>
          <w:tcPr>
            <w:tcW w:w="1476" w:type="dxa"/>
            <w:shd w:val="clear" w:color="auto" w:fill="auto"/>
          </w:tcPr>
          <w:p w:rsidR="006B3CA5" w:rsidRPr="00E91778" w:rsidP="00886A7F" w14:paraId="3D3AFA14" w14:textId="77777777">
            <w:pPr>
              <w:pStyle w:val="Style"/>
              <w:tabs>
                <w:tab w:val="left" w:pos="-1440"/>
              </w:tabs>
              <w:ind w:left="0" w:firstLine="0"/>
              <w:jc w:val="both"/>
              <w:rPr>
                <w:rFonts w:ascii="Arial" w:hAnsi="Arial"/>
              </w:rPr>
            </w:pPr>
          </w:p>
          <w:p w:rsidR="006B3CA5" w:rsidRPr="00E91778" w:rsidP="00886A7F" w14:paraId="1A98B61F" w14:textId="77777777">
            <w:pPr>
              <w:pStyle w:val="Style"/>
              <w:tabs>
                <w:tab w:val="left" w:pos="-1440"/>
              </w:tabs>
              <w:ind w:left="0" w:firstLine="0"/>
              <w:jc w:val="both"/>
              <w:rPr>
                <w:rFonts w:ascii="Arial" w:hAnsi="Arial"/>
                <w:b/>
                <w:sz w:val="22"/>
                <w:szCs w:val="22"/>
              </w:rPr>
            </w:pPr>
            <w:r w:rsidRPr="00E91778">
              <w:rPr>
                <w:rFonts w:ascii="Arial" w:hAnsi="Arial"/>
                <w:b/>
                <w:sz w:val="22"/>
                <w:szCs w:val="22"/>
              </w:rPr>
              <w:t>TIME PER</w:t>
            </w:r>
          </w:p>
          <w:p w:rsidR="006B3CA5" w:rsidRPr="00E91778" w:rsidP="00886A7F" w14:paraId="6F8F8978" w14:textId="77777777">
            <w:pPr>
              <w:pStyle w:val="Style"/>
              <w:tabs>
                <w:tab w:val="left" w:pos="-1440"/>
              </w:tabs>
              <w:ind w:left="0" w:firstLine="0"/>
              <w:jc w:val="both"/>
              <w:rPr>
                <w:rFonts w:ascii="Arial" w:hAnsi="Arial"/>
              </w:rPr>
            </w:pPr>
            <w:r w:rsidRPr="00E91778">
              <w:rPr>
                <w:rFonts w:ascii="Arial" w:hAnsi="Arial"/>
                <w:b/>
                <w:sz w:val="22"/>
                <w:szCs w:val="22"/>
              </w:rPr>
              <w:t>RESPONSE</w:t>
            </w:r>
          </w:p>
        </w:tc>
      </w:tr>
      <w:tr w14:paraId="4D6DD031" w14:textId="77777777" w:rsidTr="00886A7F">
        <w:tblPrEx>
          <w:tblW w:w="0" w:type="auto"/>
          <w:tblInd w:w="288" w:type="dxa"/>
          <w:tblLayout w:type="fixed"/>
          <w:tblLook w:val="01E0"/>
        </w:tblPrEx>
        <w:tc>
          <w:tcPr>
            <w:tcW w:w="1710" w:type="dxa"/>
            <w:shd w:val="clear" w:color="auto" w:fill="auto"/>
          </w:tcPr>
          <w:p w:rsidR="00A913AD" w:rsidRPr="00E91778" w:rsidP="00886A7F" w14:paraId="50E8B8EF" w14:textId="77777777">
            <w:pPr>
              <w:pStyle w:val="Style"/>
              <w:tabs>
                <w:tab w:val="left" w:pos="-1440"/>
              </w:tabs>
              <w:ind w:left="0" w:firstLine="0"/>
              <w:jc w:val="both"/>
              <w:rPr>
                <w:rFonts w:ascii="Arial" w:hAnsi="Arial"/>
                <w:sz w:val="22"/>
                <w:szCs w:val="22"/>
              </w:rPr>
            </w:pPr>
          </w:p>
          <w:p w:rsidR="006B3CA5" w:rsidRPr="00E91778" w:rsidP="00886A7F" w14:paraId="0B0B8810" w14:textId="77777777">
            <w:pPr>
              <w:pStyle w:val="Style"/>
              <w:tabs>
                <w:tab w:val="left" w:pos="-1440"/>
              </w:tabs>
              <w:ind w:left="0" w:firstLine="0"/>
              <w:jc w:val="both"/>
              <w:rPr>
                <w:rFonts w:ascii="Arial" w:hAnsi="Arial"/>
                <w:sz w:val="22"/>
                <w:szCs w:val="22"/>
              </w:rPr>
            </w:pPr>
            <w:r w:rsidRPr="00E91778">
              <w:rPr>
                <w:rFonts w:ascii="Arial" w:hAnsi="Arial"/>
                <w:sz w:val="22"/>
                <w:szCs w:val="22"/>
              </w:rPr>
              <w:t>Prior</w:t>
            </w:r>
            <w:r w:rsidRPr="00E91778">
              <w:rPr>
                <w:rFonts w:ascii="Arial" w:hAnsi="Arial"/>
                <w:sz w:val="22"/>
                <w:szCs w:val="22"/>
              </w:rPr>
              <w:t xml:space="preserve"> </w:t>
            </w:r>
            <w:r w:rsidRPr="00E91778">
              <w:rPr>
                <w:rFonts w:ascii="Arial" w:hAnsi="Arial"/>
                <w:sz w:val="22"/>
                <w:szCs w:val="22"/>
              </w:rPr>
              <w:t>Disclosure</w:t>
            </w:r>
          </w:p>
          <w:p w:rsidR="006B3CA5" w:rsidRPr="00E91778" w:rsidP="00886A7F" w14:paraId="546F7C1E" w14:textId="77777777">
            <w:pPr>
              <w:pStyle w:val="Style"/>
              <w:tabs>
                <w:tab w:val="left" w:pos="-1440"/>
              </w:tabs>
              <w:ind w:left="0" w:firstLine="0"/>
              <w:jc w:val="both"/>
              <w:rPr>
                <w:rFonts w:ascii="Arial" w:hAnsi="Arial"/>
              </w:rPr>
            </w:pPr>
          </w:p>
        </w:tc>
        <w:tc>
          <w:tcPr>
            <w:tcW w:w="1260" w:type="dxa"/>
            <w:shd w:val="clear" w:color="auto" w:fill="auto"/>
          </w:tcPr>
          <w:p w:rsidR="006B3CA5" w:rsidRPr="00E91778" w:rsidP="00886A7F" w14:paraId="53F96E7A" w14:textId="77777777">
            <w:pPr>
              <w:pStyle w:val="Style"/>
              <w:tabs>
                <w:tab w:val="left" w:pos="-1440"/>
              </w:tabs>
              <w:ind w:left="0" w:firstLine="0"/>
              <w:jc w:val="both"/>
              <w:rPr>
                <w:rFonts w:ascii="Arial" w:hAnsi="Arial"/>
              </w:rPr>
            </w:pPr>
          </w:p>
          <w:p w:rsidR="006B3CA5" w:rsidRPr="00E91778" w:rsidP="00886A7F" w14:paraId="23102786" w14:textId="6C3CAD35">
            <w:pPr>
              <w:pStyle w:val="Style"/>
              <w:tabs>
                <w:tab w:val="left" w:pos="-1440"/>
              </w:tabs>
              <w:ind w:left="0" w:firstLine="0"/>
              <w:jc w:val="both"/>
              <w:rPr>
                <w:rFonts w:ascii="Arial" w:hAnsi="Arial"/>
              </w:rPr>
            </w:pPr>
            <w:r w:rsidRPr="00E91778">
              <w:rPr>
                <w:rFonts w:ascii="Arial" w:hAnsi="Arial"/>
              </w:rPr>
              <w:t xml:space="preserve"> </w:t>
            </w:r>
            <w:r w:rsidR="00993B82">
              <w:rPr>
                <w:rFonts w:ascii="Arial" w:hAnsi="Arial"/>
              </w:rPr>
              <w:t>2</w:t>
            </w:r>
            <w:r w:rsidR="00B04A35">
              <w:rPr>
                <w:rFonts w:ascii="Arial" w:hAnsi="Arial"/>
              </w:rPr>
              <w:t>,</w:t>
            </w:r>
            <w:r w:rsidR="00993B82">
              <w:rPr>
                <w:rFonts w:ascii="Arial" w:hAnsi="Arial"/>
              </w:rPr>
              <w:t>286</w:t>
            </w:r>
          </w:p>
        </w:tc>
        <w:tc>
          <w:tcPr>
            <w:tcW w:w="1890" w:type="dxa"/>
            <w:shd w:val="clear" w:color="auto" w:fill="auto"/>
          </w:tcPr>
          <w:p w:rsidR="006B3CA5" w:rsidRPr="00E91778" w:rsidP="00886A7F" w14:paraId="3DC8F40E" w14:textId="77777777">
            <w:pPr>
              <w:pStyle w:val="Style"/>
              <w:tabs>
                <w:tab w:val="left" w:pos="-1440"/>
              </w:tabs>
              <w:ind w:left="0" w:firstLine="0"/>
              <w:jc w:val="both"/>
              <w:rPr>
                <w:rFonts w:ascii="Arial" w:hAnsi="Arial"/>
              </w:rPr>
            </w:pPr>
          </w:p>
          <w:p w:rsidR="006B3CA5" w:rsidRPr="00E91778" w:rsidP="00886A7F" w14:paraId="614795A6" w14:textId="320788CF">
            <w:pPr>
              <w:pStyle w:val="Style"/>
              <w:tabs>
                <w:tab w:val="left" w:pos="-1440"/>
              </w:tabs>
              <w:ind w:left="0" w:firstLine="0"/>
              <w:jc w:val="both"/>
              <w:rPr>
                <w:rFonts w:ascii="Arial" w:hAnsi="Arial"/>
              </w:rPr>
            </w:pPr>
            <w:r w:rsidRPr="00E91778">
              <w:rPr>
                <w:rFonts w:ascii="Arial" w:hAnsi="Arial"/>
              </w:rPr>
              <w:t xml:space="preserve"> </w:t>
            </w:r>
            <w:r w:rsidRPr="00E91778" w:rsidR="00A913AD">
              <w:rPr>
                <w:rFonts w:ascii="Arial" w:hAnsi="Arial"/>
              </w:rPr>
              <w:t xml:space="preserve">  </w:t>
            </w:r>
            <w:r w:rsidR="004D3BC0">
              <w:rPr>
                <w:rFonts w:ascii="Arial" w:hAnsi="Arial"/>
              </w:rPr>
              <w:t>762</w:t>
            </w:r>
          </w:p>
        </w:tc>
        <w:tc>
          <w:tcPr>
            <w:tcW w:w="1710" w:type="dxa"/>
            <w:shd w:val="clear" w:color="auto" w:fill="auto"/>
          </w:tcPr>
          <w:p w:rsidR="006B3CA5" w:rsidRPr="00E91778" w:rsidP="00886A7F" w14:paraId="1244F5F9" w14:textId="77777777">
            <w:pPr>
              <w:pStyle w:val="Style"/>
              <w:tabs>
                <w:tab w:val="left" w:pos="-1440"/>
              </w:tabs>
              <w:ind w:left="0" w:firstLine="0"/>
              <w:jc w:val="both"/>
              <w:rPr>
                <w:rFonts w:ascii="Arial" w:hAnsi="Arial"/>
              </w:rPr>
            </w:pPr>
          </w:p>
          <w:p w:rsidR="006B3CA5" w:rsidRPr="00E91778" w:rsidP="00886A7F" w14:paraId="7A9CFDD0" w14:textId="77777777">
            <w:pPr>
              <w:pStyle w:val="Style"/>
              <w:tabs>
                <w:tab w:val="left" w:pos="-1440"/>
              </w:tabs>
              <w:ind w:left="0" w:firstLine="0"/>
              <w:jc w:val="both"/>
              <w:rPr>
                <w:rFonts w:ascii="Arial" w:hAnsi="Arial"/>
              </w:rPr>
            </w:pPr>
            <w:r w:rsidRPr="00E91778">
              <w:rPr>
                <w:rFonts w:ascii="Arial" w:hAnsi="Arial"/>
              </w:rPr>
              <w:t xml:space="preserve">      1</w:t>
            </w:r>
          </w:p>
        </w:tc>
        <w:tc>
          <w:tcPr>
            <w:tcW w:w="1530" w:type="dxa"/>
            <w:shd w:val="clear" w:color="auto" w:fill="auto"/>
          </w:tcPr>
          <w:p w:rsidR="006B3CA5" w:rsidRPr="00E91778" w:rsidP="00886A7F" w14:paraId="73C202C7" w14:textId="77777777">
            <w:pPr>
              <w:pStyle w:val="Style"/>
              <w:tabs>
                <w:tab w:val="left" w:pos="-1440"/>
              </w:tabs>
              <w:ind w:left="0" w:firstLine="0"/>
              <w:jc w:val="both"/>
              <w:rPr>
                <w:rFonts w:ascii="Arial" w:hAnsi="Arial"/>
              </w:rPr>
            </w:pPr>
          </w:p>
          <w:p w:rsidR="006B3CA5" w:rsidRPr="00E91778" w:rsidP="00886A7F" w14:paraId="74F193FC" w14:textId="4B1F8B2D">
            <w:pPr>
              <w:pStyle w:val="Style"/>
              <w:tabs>
                <w:tab w:val="left" w:pos="-1440"/>
              </w:tabs>
              <w:ind w:left="0" w:firstLine="0"/>
              <w:jc w:val="both"/>
              <w:rPr>
                <w:rFonts w:ascii="Arial" w:hAnsi="Arial"/>
              </w:rPr>
            </w:pPr>
            <w:r>
              <w:rPr>
                <w:rFonts w:ascii="Arial" w:hAnsi="Arial"/>
              </w:rPr>
              <w:t>762</w:t>
            </w:r>
          </w:p>
        </w:tc>
        <w:tc>
          <w:tcPr>
            <w:tcW w:w="1476" w:type="dxa"/>
            <w:shd w:val="clear" w:color="auto" w:fill="auto"/>
          </w:tcPr>
          <w:p w:rsidR="006B3CA5" w:rsidRPr="00E91778" w:rsidP="00B04A35" w14:paraId="72C728F3" w14:textId="381C2A40">
            <w:pPr>
              <w:pStyle w:val="Style"/>
              <w:tabs>
                <w:tab w:val="left" w:pos="-1440"/>
              </w:tabs>
              <w:ind w:left="0" w:firstLine="0"/>
              <w:jc w:val="center"/>
              <w:rPr>
                <w:rFonts w:ascii="Arial" w:hAnsi="Arial"/>
                <w:sz w:val="22"/>
                <w:szCs w:val="22"/>
              </w:rPr>
            </w:pPr>
            <w:r>
              <w:rPr>
                <w:rFonts w:ascii="Arial" w:hAnsi="Arial"/>
                <w:sz w:val="22"/>
                <w:szCs w:val="22"/>
              </w:rPr>
              <w:t>180</w:t>
            </w:r>
            <w:r w:rsidRPr="00E91778">
              <w:rPr>
                <w:rFonts w:ascii="Arial" w:hAnsi="Arial"/>
                <w:sz w:val="22"/>
                <w:szCs w:val="22"/>
              </w:rPr>
              <w:t xml:space="preserve"> minutes</w:t>
            </w:r>
          </w:p>
          <w:p w:rsidR="006B3CA5" w:rsidRPr="00886A7F" w:rsidP="00B04A35" w14:paraId="5D7ADC99" w14:textId="016FC66E">
            <w:pPr>
              <w:pStyle w:val="Style"/>
              <w:tabs>
                <w:tab w:val="left" w:pos="-1440"/>
              </w:tabs>
              <w:ind w:left="0" w:firstLine="0"/>
              <w:jc w:val="center"/>
              <w:rPr>
                <w:rFonts w:ascii="Arial" w:hAnsi="Arial"/>
                <w:sz w:val="22"/>
                <w:szCs w:val="22"/>
              </w:rPr>
            </w:pPr>
            <w:r w:rsidRPr="00E91778">
              <w:rPr>
                <w:rFonts w:ascii="Arial" w:hAnsi="Arial"/>
                <w:sz w:val="22"/>
                <w:szCs w:val="22"/>
              </w:rPr>
              <w:t>(</w:t>
            </w:r>
            <w:r w:rsidR="00993B82">
              <w:rPr>
                <w:rFonts w:ascii="Arial" w:hAnsi="Arial"/>
                <w:sz w:val="22"/>
                <w:szCs w:val="22"/>
              </w:rPr>
              <w:t>3</w:t>
            </w:r>
            <w:r w:rsidRPr="00E91778">
              <w:rPr>
                <w:rFonts w:ascii="Arial" w:hAnsi="Arial"/>
                <w:sz w:val="22"/>
                <w:szCs w:val="22"/>
              </w:rPr>
              <w:t xml:space="preserve"> hour</w:t>
            </w:r>
            <w:r w:rsidR="00B04A35">
              <w:rPr>
                <w:rFonts w:ascii="Arial" w:hAnsi="Arial"/>
                <w:sz w:val="22"/>
                <w:szCs w:val="22"/>
              </w:rPr>
              <w:t>s</w:t>
            </w:r>
            <w:r w:rsidRPr="00E91778">
              <w:rPr>
                <w:rFonts w:ascii="Arial" w:hAnsi="Arial"/>
                <w:sz w:val="22"/>
                <w:szCs w:val="22"/>
              </w:rPr>
              <w:t>)</w:t>
            </w:r>
          </w:p>
        </w:tc>
      </w:tr>
    </w:tbl>
    <w:p w:rsidR="008B1340" w:rsidRPr="00287888" w:rsidP="001036ED" w14:paraId="08D8D640" w14:textId="77777777">
      <w:pPr>
        <w:tabs>
          <w:tab w:val="left" w:pos="-1440"/>
        </w:tabs>
        <w:ind w:left="720" w:hanging="720"/>
        <w:jc w:val="both"/>
        <w:rPr>
          <w:rFonts w:ascii="Arial" w:hAnsi="Arial"/>
          <w:bCs/>
          <w:szCs w:val="24"/>
        </w:rPr>
      </w:pPr>
      <w:r>
        <w:rPr>
          <w:rFonts w:ascii="Arial" w:hAnsi="Arial"/>
          <w:b/>
          <w:bCs/>
          <w:szCs w:val="24"/>
        </w:rPr>
        <w:t xml:space="preserve">  </w:t>
      </w:r>
    </w:p>
    <w:p w:rsidR="006B3CA5" w:rsidP="00222330" w14:paraId="019FFEB1" w14:textId="77777777">
      <w:pPr>
        <w:tabs>
          <w:tab w:val="left" w:pos="-1440"/>
        </w:tabs>
        <w:ind w:left="720" w:hanging="720"/>
        <w:rPr>
          <w:rFonts w:ascii="Arial" w:hAnsi="Arial"/>
          <w:b/>
          <w:bCs/>
          <w:szCs w:val="24"/>
        </w:rPr>
      </w:pPr>
      <w:r>
        <w:rPr>
          <w:rFonts w:ascii="Arial" w:hAnsi="Arial"/>
          <w:b/>
          <w:bCs/>
          <w:szCs w:val="24"/>
        </w:rPr>
        <w:tab/>
      </w:r>
      <w:r w:rsidRPr="00464CFF">
        <w:rPr>
          <w:rFonts w:ascii="Arial" w:hAnsi="Arial"/>
          <w:b/>
          <w:bCs/>
          <w:szCs w:val="24"/>
        </w:rPr>
        <w:t>Public Cost</w:t>
      </w:r>
    </w:p>
    <w:p w:rsidR="005C1C83" w:rsidP="005C1C83" w14:paraId="71FA6A92" w14:textId="77777777">
      <w:pPr>
        <w:tabs>
          <w:tab w:val="left" w:pos="-1440"/>
        </w:tabs>
        <w:ind w:left="720" w:hanging="720"/>
        <w:rPr>
          <w:rFonts w:ascii="Arial" w:hAnsi="Arial" w:cs="Arial"/>
        </w:rPr>
      </w:pPr>
      <w:r>
        <w:rPr>
          <w:rFonts w:ascii="Arial" w:hAnsi="Arial"/>
          <w:b/>
          <w:bCs/>
          <w:szCs w:val="24"/>
        </w:rPr>
        <w:tab/>
      </w:r>
    </w:p>
    <w:p w:rsidR="00744C31" w:rsidRPr="00744C31" w:rsidP="00744C31" w14:paraId="1DB6FB4E" w14:textId="1EC93910">
      <w:pPr>
        <w:tabs>
          <w:tab w:val="left" w:pos="-1440"/>
        </w:tabs>
        <w:ind w:left="720" w:hanging="720"/>
        <w:jc w:val="both"/>
        <w:rPr>
          <w:rFonts w:ascii="Arial" w:hAnsi="Arial"/>
        </w:rPr>
      </w:pPr>
      <w:r>
        <w:rPr>
          <w:rFonts w:ascii="Arial" w:hAnsi="Arial"/>
        </w:rPr>
        <w:tab/>
      </w:r>
      <w:r w:rsidRPr="00744C31">
        <w:rPr>
          <w:rFonts w:ascii="Arial" w:hAnsi="Arial"/>
        </w:rPr>
        <w:t>The estimated cost to the respondents is $XXX.  This is based on the estimated burden hours (</w:t>
      </w:r>
      <w:r>
        <w:rPr>
          <w:rFonts w:ascii="Arial" w:hAnsi="Arial"/>
        </w:rPr>
        <w:t>2,286</w:t>
      </w:r>
      <w:r w:rsidRPr="00744C31">
        <w:rPr>
          <w:rFonts w:ascii="Arial" w:hAnsi="Arial"/>
        </w:rPr>
        <w:t>) multiplied by the average loaded hourly wage rate for attorneys ($102.55).  CBP calculated this loaded wage rate by first multiplying the Bureau of Labor Statistics’ (BLS) 2022 median hourly wage rate for Lawyers ($65.26), which CBP assumes best represents the wage for attorneys, by the ratio of BLS’ Q4 2022 total compensation to wages and salaries for Professional and related occupations (1.4686), the assumed occupational group for attorneys, to account for non-salary employee benefits.</w:t>
      </w:r>
      <w:r>
        <w:rPr>
          <w:rFonts w:ascii="Arial" w:hAnsi="Arial"/>
          <w:vertAlign w:val="superscript"/>
        </w:rPr>
        <w:footnoteReference w:id="2"/>
      </w:r>
      <w:r w:rsidRPr="00744C31">
        <w:rPr>
          <w:rFonts w:ascii="Arial" w:hAnsi="Arial"/>
        </w:rPr>
        <w:t xml:space="preserve">  CBP assumes an annual growth rate of 7.01% based on the prior year's change in the implicit price deflator, published by the Bureau of Economic Analysis.</w:t>
      </w:r>
      <w:r>
        <w:rPr>
          <w:rFonts w:ascii="Arial" w:hAnsi="Arial"/>
          <w:vertAlign w:val="superscript"/>
        </w:rPr>
        <w:footnoteReference w:id="3"/>
      </w:r>
      <w:r w:rsidRPr="00744C31">
        <w:rPr>
          <w:rFonts w:ascii="Arial" w:hAnsi="Arial"/>
        </w:rPr>
        <w:t xml:space="preserve"> </w:t>
      </w:r>
    </w:p>
    <w:p w:rsidR="006B3CA5" w:rsidP="00744C31" w14:paraId="147AC7AE" w14:textId="50FE8CAB">
      <w:pPr>
        <w:tabs>
          <w:tab w:val="left" w:pos="-1440"/>
        </w:tabs>
        <w:jc w:val="both"/>
        <w:rPr>
          <w:rFonts w:ascii="Arial" w:hAnsi="Arial"/>
          <w:b/>
          <w:bCs/>
          <w:szCs w:val="24"/>
        </w:rPr>
      </w:pPr>
    </w:p>
    <w:p w:rsidR="006B3CA5" w:rsidRPr="00C47181" w:rsidP="001036ED" w14:paraId="454B150F" w14:textId="77777777">
      <w:pPr>
        <w:tabs>
          <w:tab w:val="left" w:pos="-1440"/>
        </w:tabs>
        <w:ind w:left="720" w:hanging="720"/>
        <w:jc w:val="both"/>
        <w:rPr>
          <w:rFonts w:ascii="Arial" w:hAnsi="Arial"/>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sidR="007E272F">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6B3CA5" w:rsidRPr="00C47181" w:rsidP="001036ED" w14:paraId="6C73B8CA" w14:textId="77777777">
      <w:pPr>
        <w:tabs>
          <w:tab w:val="left" w:pos="-1440"/>
        </w:tabs>
        <w:ind w:left="720" w:hanging="720"/>
        <w:jc w:val="both"/>
        <w:rPr>
          <w:rFonts w:ascii="Arial" w:hAnsi="Arial"/>
          <w:szCs w:val="24"/>
        </w:rPr>
      </w:pPr>
    </w:p>
    <w:p w:rsidR="00C6387C" w:rsidP="001036ED" w14:paraId="1BFDF22E" w14:textId="77777777">
      <w:pPr>
        <w:ind w:left="180" w:firstLine="480"/>
        <w:jc w:val="both"/>
        <w:rPr>
          <w:rFonts w:ascii="Arial" w:hAnsi="Arial" w:cs="Arial"/>
        </w:rPr>
      </w:pPr>
      <w:r>
        <w:rPr>
          <w:rFonts w:ascii="Arial" w:hAnsi="Arial" w:cs="Arial"/>
        </w:rPr>
        <w:t xml:space="preserve">There are no capital or start-up costs associated with this information collection. </w:t>
      </w:r>
    </w:p>
    <w:p w:rsidR="006B3CA5" w:rsidP="001036ED" w14:paraId="2E84FD24" w14:textId="3B9D48C8">
      <w:pPr>
        <w:ind w:left="180" w:firstLine="480"/>
        <w:jc w:val="both"/>
        <w:rPr>
          <w:rFonts w:ascii="Arial" w:hAnsi="Arial" w:cs="Arial"/>
        </w:rPr>
      </w:pPr>
      <w:r>
        <w:rPr>
          <w:rFonts w:ascii="Arial" w:hAnsi="Arial" w:cs="Arial"/>
        </w:rPr>
        <w:t xml:space="preserve">                                                                                             </w:t>
      </w:r>
    </w:p>
    <w:p w:rsidR="006B3CA5" w:rsidP="00CE294E" w14:paraId="3EF02D50" w14:textId="77777777">
      <w:pPr>
        <w:numPr>
          <w:ilvl w:val="0"/>
          <w:numId w:val="7"/>
        </w:numPr>
        <w:tabs>
          <w:tab w:val="num" w:pos="180"/>
          <w:tab w:val="clear" w:pos="720"/>
        </w:tabs>
        <w:ind w:hanging="720"/>
        <w:jc w:val="both"/>
        <w:rPr>
          <w:rFonts w:ascii="Arial" w:hAnsi="Arial" w:cs="Arial"/>
          <w:b/>
          <w:bCs/>
          <w:szCs w:val="24"/>
        </w:rPr>
      </w:pPr>
      <w:r>
        <w:rPr>
          <w:rFonts w:ascii="Arial" w:hAnsi="Arial" w:cs="Arial"/>
          <w:b/>
          <w:bCs/>
          <w:szCs w:val="24"/>
        </w:rPr>
        <w:t xml:space="preserve"> </w:t>
      </w:r>
      <w:r w:rsidRPr="00464CFF">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F732C" w:rsidP="00CD1C45" w14:paraId="1F072ABC" w14:textId="77777777">
      <w:pPr>
        <w:tabs>
          <w:tab w:val="left" w:pos="-1440"/>
        </w:tabs>
        <w:jc w:val="both"/>
        <w:rPr>
          <w:rFonts w:ascii="Arial" w:hAnsi="Arial"/>
        </w:rPr>
      </w:pPr>
    </w:p>
    <w:p w:rsidR="00B04A35" w:rsidRPr="00B04A35" w:rsidP="00B04A35" w14:paraId="15DA0A27" w14:textId="22B275B9">
      <w:pPr>
        <w:ind w:left="720"/>
        <w:jc w:val="both"/>
        <w:rPr>
          <w:rFonts w:ascii="Arial" w:hAnsi="Arial"/>
        </w:rPr>
      </w:pPr>
      <w:r w:rsidRPr="00B04A35">
        <w:rPr>
          <w:rFonts w:ascii="Arial" w:hAnsi="Arial"/>
        </w:rPr>
        <w:t xml:space="preserve">The estimated annual cost to the Federal Government associated with the review of these </w:t>
      </w:r>
      <w:r>
        <w:rPr>
          <w:rFonts w:ascii="Arial" w:hAnsi="Arial"/>
        </w:rPr>
        <w:t>records</w:t>
      </w:r>
      <w:r w:rsidRPr="00B04A35">
        <w:rPr>
          <w:rFonts w:ascii="Arial" w:hAnsi="Arial"/>
        </w:rPr>
        <w:t xml:space="preserve"> is $</w:t>
      </w:r>
      <w:r>
        <w:rPr>
          <w:rFonts w:ascii="Arial" w:hAnsi="Arial"/>
        </w:rPr>
        <w:t>110,734</w:t>
      </w:r>
      <w:r w:rsidRPr="00B04A35">
        <w:rPr>
          <w:rFonts w:ascii="Arial" w:hAnsi="Arial"/>
        </w:rPr>
        <w:t>.  This is based on the number of responses that must be reviewed (</w:t>
      </w:r>
      <w:r>
        <w:rPr>
          <w:rFonts w:ascii="Arial" w:hAnsi="Arial"/>
        </w:rPr>
        <w:t>762</w:t>
      </w:r>
      <w:r w:rsidRPr="00B04A35">
        <w:rPr>
          <w:rFonts w:ascii="Arial" w:hAnsi="Arial"/>
        </w:rPr>
        <w:t>) multiplied by the time burden to review and process each response (</w:t>
      </w:r>
      <w:r>
        <w:rPr>
          <w:rFonts w:ascii="Arial" w:hAnsi="Arial"/>
        </w:rPr>
        <w:t>2</w:t>
      </w:r>
      <w:r w:rsidRPr="00B04A35">
        <w:rPr>
          <w:rFonts w:ascii="Arial" w:hAnsi="Arial"/>
        </w:rPr>
        <w:t xml:space="preserve"> hours) = </w:t>
      </w:r>
      <w:r>
        <w:rPr>
          <w:rFonts w:ascii="Arial" w:hAnsi="Arial"/>
        </w:rPr>
        <w:t>1,524</w:t>
      </w:r>
      <w:r w:rsidRPr="00B04A35">
        <w:rPr>
          <w:rFonts w:ascii="Arial" w:hAnsi="Arial"/>
        </w:rPr>
        <w:t xml:space="preserve"> hours multiplied by the average hourly loaded rate for a CBP Trade and Revenue employee ($72.66)</w:t>
      </w:r>
      <w:r>
        <w:rPr>
          <w:rFonts w:ascii="Arial" w:hAnsi="Arial"/>
          <w:vertAlign w:val="superscript"/>
        </w:rPr>
        <w:footnoteReference w:id="4"/>
      </w:r>
      <w:r w:rsidRPr="00B04A35">
        <w:rPr>
          <w:rFonts w:ascii="Arial" w:hAnsi="Arial"/>
        </w:rPr>
        <w:t xml:space="preserve"> = $</w:t>
      </w:r>
      <w:bookmarkStart w:id="6" w:name="OLE_LINK27"/>
      <w:r>
        <w:rPr>
          <w:rFonts w:ascii="Arial" w:hAnsi="Arial"/>
        </w:rPr>
        <w:t>110,734</w:t>
      </w:r>
      <w:bookmarkEnd w:id="6"/>
      <w:r w:rsidRPr="00B04A35">
        <w:rPr>
          <w:rFonts w:ascii="Arial" w:hAnsi="Arial"/>
        </w:rPr>
        <w:t>.</w:t>
      </w:r>
    </w:p>
    <w:p w:rsidR="003D6857" w:rsidP="001036ED" w14:paraId="083529CB" w14:textId="77777777">
      <w:pPr>
        <w:ind w:left="720" w:hanging="720"/>
        <w:jc w:val="both"/>
        <w:rPr>
          <w:rFonts w:ascii="Arial" w:hAnsi="Arial"/>
          <w:b/>
          <w:bCs/>
          <w:szCs w:val="24"/>
        </w:rPr>
      </w:pPr>
    </w:p>
    <w:p w:rsidR="006B3CA5" w:rsidRPr="00C47181" w:rsidP="001036ED" w14:paraId="7A91051E" w14:textId="77777777">
      <w:pPr>
        <w:ind w:left="720" w:hanging="720"/>
        <w:jc w:val="both"/>
        <w:rPr>
          <w:rFonts w:ascii="Arial" w:hAnsi="Arial" w:cs="Arial"/>
          <w:b/>
          <w:bCs/>
          <w:szCs w:val="24"/>
        </w:rPr>
      </w:pPr>
      <w:r>
        <w:rPr>
          <w:rFonts w:ascii="Arial" w:hAnsi="Arial"/>
          <w:b/>
          <w:bCs/>
          <w:szCs w:val="24"/>
        </w:rPr>
        <w:t>15</w:t>
      </w:r>
      <w:r w:rsidRPr="00C47181">
        <w:rPr>
          <w:rFonts w:ascii="Arial" w:hAnsi="Arial"/>
          <w:b/>
          <w:bCs/>
          <w:szCs w:val="24"/>
        </w:rPr>
        <w:t>.</w:t>
      </w:r>
      <w:r w:rsidRPr="00C47181">
        <w:rPr>
          <w:rFonts w:ascii="Arial" w:hAnsi="Arial"/>
          <w:szCs w:val="24"/>
        </w:rPr>
        <w:tab/>
      </w:r>
      <w:r w:rsidRPr="00464CFF">
        <w:rPr>
          <w:rFonts w:ascii="Arial" w:hAnsi="Arial" w:cs="Arial"/>
          <w:b/>
          <w:bCs/>
          <w:szCs w:val="24"/>
        </w:rPr>
        <w:t>Explain the reasons for any program changes or adjustments reported in Items 1</w:t>
      </w:r>
      <w:r w:rsidRPr="00464CFF" w:rsidR="00FD664A">
        <w:rPr>
          <w:rFonts w:ascii="Arial" w:hAnsi="Arial" w:cs="Arial"/>
          <w:b/>
          <w:bCs/>
          <w:szCs w:val="24"/>
        </w:rPr>
        <w:t>2</w:t>
      </w:r>
      <w:r w:rsidRPr="00464CFF">
        <w:rPr>
          <w:rFonts w:ascii="Arial" w:hAnsi="Arial" w:cs="Arial"/>
          <w:b/>
          <w:bCs/>
          <w:szCs w:val="24"/>
        </w:rPr>
        <w:t xml:space="preserve"> or 1</w:t>
      </w:r>
      <w:r w:rsidRPr="00464CFF" w:rsidR="00FD664A">
        <w:rPr>
          <w:rFonts w:ascii="Arial" w:hAnsi="Arial" w:cs="Arial"/>
          <w:b/>
          <w:bCs/>
          <w:szCs w:val="24"/>
        </w:rPr>
        <w:t>3</w:t>
      </w:r>
      <w:r w:rsidRPr="00464CFF">
        <w:rPr>
          <w:rFonts w:ascii="Arial" w:hAnsi="Arial" w:cs="Arial"/>
          <w:b/>
          <w:bCs/>
          <w:szCs w:val="24"/>
        </w:rPr>
        <w:t xml:space="preserve"> of th</w:t>
      </w:r>
      <w:r w:rsidRPr="00464CFF" w:rsidR="00FD664A">
        <w:rPr>
          <w:rFonts w:ascii="Arial" w:hAnsi="Arial" w:cs="Arial"/>
          <w:b/>
          <w:bCs/>
          <w:szCs w:val="24"/>
        </w:rPr>
        <w:t>is Statement</w:t>
      </w:r>
      <w:r w:rsidRPr="00464CFF">
        <w:rPr>
          <w:rFonts w:ascii="Arial" w:hAnsi="Arial" w:cs="Arial"/>
          <w:b/>
          <w:bCs/>
          <w:szCs w:val="24"/>
        </w:rPr>
        <w:t>.</w:t>
      </w:r>
      <w:r w:rsidRPr="00C47181">
        <w:rPr>
          <w:rFonts w:ascii="Arial" w:hAnsi="Arial" w:cs="Arial"/>
          <w:b/>
          <w:bCs/>
          <w:szCs w:val="24"/>
        </w:rPr>
        <w:t xml:space="preserve">  </w:t>
      </w:r>
    </w:p>
    <w:p w:rsidR="006B3CA5" w:rsidRPr="00C47181" w:rsidP="001036ED" w14:paraId="287E4ED4" w14:textId="77777777">
      <w:pPr>
        <w:tabs>
          <w:tab w:val="left" w:pos="-1440"/>
        </w:tabs>
        <w:ind w:left="720" w:hanging="720"/>
        <w:jc w:val="both"/>
        <w:rPr>
          <w:rFonts w:ascii="Arial" w:hAnsi="Arial"/>
          <w:szCs w:val="24"/>
        </w:rPr>
      </w:pPr>
    </w:p>
    <w:p w:rsidR="006B3CA5" w:rsidP="001036ED" w14:paraId="10A2E978" w14:textId="41160D0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 xml:space="preserve">There has been </w:t>
      </w:r>
      <w:r w:rsidR="00464CFF">
        <w:rPr>
          <w:rFonts w:ascii="Arial" w:hAnsi="Arial" w:cs="Arial"/>
        </w:rPr>
        <w:t>a</w:t>
      </w:r>
      <w:r>
        <w:rPr>
          <w:rFonts w:ascii="Arial" w:hAnsi="Arial" w:cs="Arial"/>
        </w:rPr>
        <w:t xml:space="preserve"> decrease in the estimated annual burden hours previously reported for this information collection.</w:t>
      </w:r>
      <w:r w:rsidR="00464CFF">
        <w:rPr>
          <w:rFonts w:ascii="Arial" w:hAnsi="Arial" w:cs="Arial"/>
        </w:rPr>
        <w:t xml:space="preserve"> The decrease in annual burden hours is due to a decrease in the number of respondents and submissions being received. The time per response was increased to 3 hours but, due to the decrease in submissions, the annual burden did not increase. </w:t>
      </w:r>
      <w:r w:rsidR="00A90C3F">
        <w:rPr>
          <w:rFonts w:ascii="Arial" w:hAnsi="Arial" w:cs="Arial"/>
        </w:rPr>
        <w:t>There are no changes to the information collected</w:t>
      </w:r>
      <w:r w:rsidR="00464CFF">
        <w:rPr>
          <w:rFonts w:ascii="Arial" w:hAnsi="Arial" w:cs="Arial"/>
        </w:rPr>
        <w:t xml:space="preserve"> or method of submission</w:t>
      </w:r>
      <w:r w:rsidR="00A90C3F">
        <w:rPr>
          <w:rFonts w:ascii="Arial" w:hAnsi="Arial" w:cs="Arial"/>
        </w:rPr>
        <w:t>.</w:t>
      </w:r>
    </w:p>
    <w:p w:rsidR="00464CFF" w:rsidP="001036ED" w14:paraId="2AC7001F"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rsidR="00464CFF" w:rsidRPr="00124942" w:rsidP="001036ED" w14:paraId="06D324AB" w14:textId="4F7E901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bookmarkStart w:id="7" w:name="OLE_LINK6"/>
      <w:r>
        <w:rPr>
          <w:rFonts w:ascii="Arial" w:hAnsi="Arial" w:cs="Arial"/>
        </w:rPr>
        <w:t xml:space="preserve">The number of respondents and responses decreased by 2,738 and the annual burden hours decreased by 1,214 hours. </w:t>
      </w:r>
    </w:p>
    <w:bookmarkEnd w:id="7"/>
    <w:p w:rsidR="004E7EC0" w:rsidRPr="00C47181" w:rsidP="001036ED" w14:paraId="54E35AE3" w14:textId="77777777">
      <w:pPr>
        <w:ind w:left="720" w:hanging="720"/>
        <w:jc w:val="both"/>
        <w:rPr>
          <w:rFonts w:ascii="Arial" w:hAnsi="Arial"/>
          <w:b/>
          <w:bCs/>
          <w:szCs w:val="24"/>
        </w:rPr>
      </w:pPr>
    </w:p>
    <w:p w:rsidR="006B3CA5" w:rsidRPr="00C47181" w:rsidP="001036ED" w14:paraId="31229C72"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6B3CA5" w:rsidRPr="00C47181" w:rsidP="001036ED" w14:paraId="17D87D0F" w14:textId="77777777">
      <w:pPr>
        <w:jc w:val="both"/>
        <w:rPr>
          <w:rFonts w:ascii="Arial" w:hAnsi="Arial"/>
          <w:szCs w:val="24"/>
        </w:rPr>
      </w:pPr>
    </w:p>
    <w:p w:rsidR="006B3CA5" w:rsidRPr="00C47181" w:rsidP="001036ED" w14:paraId="67427267" w14:textId="77777777">
      <w:pPr>
        <w:ind w:firstLine="720"/>
        <w:jc w:val="both"/>
        <w:rPr>
          <w:rFonts w:ascii="Arial" w:hAnsi="Arial"/>
          <w:szCs w:val="24"/>
        </w:rPr>
      </w:pPr>
      <w:r w:rsidRPr="00C47181">
        <w:rPr>
          <w:rFonts w:ascii="Arial" w:hAnsi="Arial"/>
          <w:szCs w:val="24"/>
        </w:rPr>
        <w:t>This information c</w:t>
      </w:r>
      <w:r w:rsidR="000B7007">
        <w:rPr>
          <w:rFonts w:ascii="Arial" w:hAnsi="Arial"/>
          <w:szCs w:val="24"/>
        </w:rPr>
        <w:t>ollection will not be published for statistical purposes.</w:t>
      </w:r>
    </w:p>
    <w:p w:rsidR="006B3CA5" w:rsidRPr="00C47181" w:rsidP="001036ED" w14:paraId="7B2BBDF8" w14:textId="77777777">
      <w:pPr>
        <w:jc w:val="both"/>
        <w:rPr>
          <w:rFonts w:ascii="Arial" w:hAnsi="Arial"/>
          <w:szCs w:val="24"/>
        </w:rPr>
      </w:pPr>
    </w:p>
    <w:p w:rsidR="006B3CA5" w:rsidRPr="001207D8" w:rsidP="001036ED" w14:paraId="5823CA27" w14:textId="77777777">
      <w:pPr>
        <w:jc w:val="both"/>
        <w:rPr>
          <w:rFonts w:ascii="Arial" w:hAnsi="Arial" w:cs="Arial"/>
          <w:b/>
          <w:bCs/>
          <w:szCs w:val="24"/>
        </w:rPr>
      </w:pPr>
      <w:r>
        <w:rPr>
          <w:rFonts w:ascii="Arial" w:hAnsi="Arial" w:cs="Arial"/>
          <w:b/>
          <w:bCs/>
          <w:szCs w:val="24"/>
        </w:rPr>
        <w:t>17.     If seeking approval to not display the expiration date, explain the reasons that           displaying the expiration date would be inappropriate</w:t>
      </w:r>
    </w:p>
    <w:p w:rsidR="006B3CA5" w:rsidP="001036ED" w14:paraId="700F2C22" w14:textId="77777777">
      <w:pPr>
        <w:jc w:val="both"/>
        <w:rPr>
          <w:rFonts w:ascii="Arial" w:hAnsi="Arial" w:cs="Arial"/>
          <w:b/>
          <w:bCs/>
        </w:rPr>
      </w:pPr>
      <w:r>
        <w:rPr>
          <w:rFonts w:ascii="Arial" w:hAnsi="Arial" w:cs="Arial"/>
          <w:b/>
          <w:bCs/>
        </w:rPr>
        <w:tab/>
      </w:r>
    </w:p>
    <w:p w:rsidR="006B3CA5" w:rsidP="00300C7F" w14:paraId="111CF8C2" w14:textId="0B0BFB7A">
      <w:pPr>
        <w:ind w:left="720"/>
        <w:jc w:val="both"/>
        <w:rPr>
          <w:rFonts w:ascii="Arial" w:hAnsi="Arial" w:cs="Arial"/>
          <w:b/>
          <w:bCs/>
        </w:rPr>
      </w:pPr>
      <w:r>
        <w:rPr>
          <w:rFonts w:ascii="Arial" w:hAnsi="Arial" w:cs="Arial"/>
          <w:bCs/>
        </w:rPr>
        <w:t xml:space="preserve">There is no form </w:t>
      </w:r>
      <w:r w:rsidR="00300C7F">
        <w:rPr>
          <w:rFonts w:ascii="Arial" w:hAnsi="Arial" w:cs="Arial"/>
          <w:bCs/>
        </w:rPr>
        <w:t xml:space="preserve">associated with this </w:t>
      </w:r>
      <w:r w:rsidR="00783DE3">
        <w:rPr>
          <w:rFonts w:ascii="Arial" w:hAnsi="Arial" w:cs="Arial"/>
          <w:bCs/>
        </w:rPr>
        <w:t>collection,</w:t>
      </w:r>
      <w:r w:rsidR="00300C7F">
        <w:rPr>
          <w:rFonts w:ascii="Arial" w:hAnsi="Arial" w:cs="Arial"/>
          <w:bCs/>
        </w:rPr>
        <w:t xml:space="preserve"> </w:t>
      </w:r>
      <w:r>
        <w:rPr>
          <w:rFonts w:ascii="Arial" w:hAnsi="Arial" w:cs="Arial"/>
          <w:bCs/>
        </w:rPr>
        <w:t xml:space="preserve">so </w:t>
      </w:r>
      <w:r w:rsidR="00300C7F">
        <w:rPr>
          <w:rFonts w:ascii="Arial" w:hAnsi="Arial" w:cs="Arial"/>
          <w:bCs/>
        </w:rPr>
        <w:t xml:space="preserve">it is not appropriate to display the </w:t>
      </w:r>
      <w:r>
        <w:rPr>
          <w:rFonts w:ascii="Arial" w:hAnsi="Arial" w:cs="Arial"/>
        </w:rPr>
        <w:t>expiration date.</w:t>
      </w:r>
    </w:p>
    <w:p w:rsidR="006B3CA5" w:rsidP="001036ED" w14:paraId="1F7FED3D" w14:textId="77777777">
      <w:pPr>
        <w:jc w:val="both"/>
        <w:rPr>
          <w:rFonts w:ascii="Arial" w:hAnsi="Arial" w:cs="Arial"/>
          <w:b/>
          <w:bCs/>
          <w:szCs w:val="24"/>
        </w:rPr>
      </w:pPr>
    </w:p>
    <w:p w:rsidR="006B3CA5" w:rsidP="001036ED" w14:paraId="09BD10EF" w14:textId="77777777">
      <w:pPr>
        <w:widowControl/>
        <w:jc w:val="both"/>
        <w:rPr>
          <w:rFonts w:ascii="Arial" w:hAnsi="Arial" w:cs="Arial"/>
          <w:b/>
          <w:bCs/>
          <w:szCs w:val="24"/>
        </w:rPr>
      </w:pPr>
      <w:r>
        <w:rPr>
          <w:rFonts w:ascii="Arial" w:hAnsi="Arial" w:cs="Arial"/>
          <w:b/>
          <w:bCs/>
          <w:szCs w:val="24"/>
        </w:rPr>
        <w:t>18.</w:t>
      </w:r>
      <w:r>
        <w:rPr>
          <w:rFonts w:ascii="Arial" w:hAnsi="Arial" w:cs="Arial"/>
          <w:b/>
          <w:bCs/>
          <w:szCs w:val="24"/>
        </w:rPr>
        <w:t xml:space="preserve">   </w:t>
      </w:r>
      <w:r w:rsidRPr="001207D8">
        <w:rPr>
          <w:rFonts w:ascii="Arial" w:hAnsi="Arial" w:cs="Arial"/>
          <w:b/>
          <w:bCs/>
          <w:szCs w:val="24"/>
        </w:rPr>
        <w:t>“</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6B3CA5" w:rsidRPr="001207D8" w:rsidP="001036ED" w14:paraId="353F5726"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6B3CA5" w:rsidRPr="001207D8" w:rsidP="001036ED" w14:paraId="59FF1ABB"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p>
    <w:p w:rsidR="006B3CA5" w:rsidP="001036ED" w14:paraId="2AB14E2D" w14:textId="77777777">
      <w:pPr>
        <w:jc w:val="both"/>
        <w:rPr>
          <w:rFonts w:ascii="Arial" w:hAnsi="Arial" w:cs="Arial"/>
          <w:szCs w:val="24"/>
        </w:rPr>
      </w:pPr>
    </w:p>
    <w:p w:rsidR="006B3CA5" w:rsidRPr="001207D8" w:rsidP="001036ED" w14:paraId="6F10F0CE" w14:textId="77777777">
      <w:pPr>
        <w:pStyle w:val="Heading1"/>
        <w:numPr>
          <w:ilvl w:val="0"/>
          <w:numId w:val="5"/>
        </w:numPr>
        <w:tabs>
          <w:tab w:val="clear" w:pos="-1440"/>
        </w:tabs>
        <w:jc w:val="both"/>
        <w:rPr>
          <w:rFonts w:cs="Arial"/>
          <w:szCs w:val="24"/>
        </w:rPr>
      </w:pPr>
      <w:r w:rsidRPr="001207D8">
        <w:rPr>
          <w:rFonts w:cs="Arial"/>
          <w:szCs w:val="24"/>
        </w:rPr>
        <w:t>Collection of Information Employing Statistical Methods</w:t>
      </w:r>
    </w:p>
    <w:p w:rsidR="006B3CA5" w:rsidRPr="001207D8" w:rsidP="001036ED" w14:paraId="77F31494" w14:textId="77777777">
      <w:pPr>
        <w:jc w:val="both"/>
        <w:rPr>
          <w:rFonts w:ascii="Arial" w:hAnsi="Arial" w:cs="Arial"/>
          <w:szCs w:val="24"/>
        </w:rPr>
      </w:pPr>
    </w:p>
    <w:p w:rsidR="006B3CA5" w:rsidRPr="000B286B" w:rsidP="001036ED" w14:paraId="43697ACF"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6B3CA5" w:rsidP="001036ED" w14:paraId="40993995" w14:textId="77777777">
      <w:pPr>
        <w:jc w:val="both"/>
        <w:rPr>
          <w:rFonts w:ascii="Arial" w:hAnsi="Arial"/>
        </w:rPr>
      </w:pPr>
    </w:p>
    <w:p w:rsidR="006B3CA5" w:rsidP="001036ED" w14:paraId="5142CF90" w14:textId="77777777">
      <w:pPr>
        <w:jc w:val="both"/>
        <w:rPr>
          <w:rFonts w:ascii="Arial" w:hAnsi="Arial"/>
        </w:rPr>
      </w:pPr>
    </w:p>
    <w:p w:rsidR="006B3CA5" w:rsidP="001036ED" w14:paraId="0B219744" w14:textId="77777777">
      <w:pPr>
        <w:jc w:val="both"/>
        <w:rPr>
          <w:rFonts w:ascii="Arial" w:hAnsi="Arial"/>
        </w:rPr>
      </w:pPr>
    </w:p>
    <w:sectPr w:rsidSect="00EC71BE">
      <w:footerReference w:type="even" r:id="rId10"/>
      <w:footerReference w:type="default" r:id="rId11"/>
      <w:endnotePr>
        <w:numFmt w:val="decimal"/>
      </w:endnotePr>
      <w:pgSz w:w="12240" w:h="15840"/>
      <w:pgMar w:top="1440" w:right="1152"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996" w:rsidP="009A3F7C" w14:paraId="7F1A07B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74996" w14:paraId="24A73E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996" w:rsidP="009A3F7C" w14:paraId="02E9E96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23F0">
      <w:rPr>
        <w:rStyle w:val="PageNumber"/>
        <w:noProof/>
      </w:rPr>
      <w:t>1</w:t>
    </w:r>
    <w:r>
      <w:rPr>
        <w:rStyle w:val="PageNumber"/>
      </w:rPr>
      <w:fldChar w:fldCharType="end"/>
    </w:r>
  </w:p>
  <w:p w:rsidR="00174996" w14:paraId="62AAB28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71BE" w14:paraId="685E02D4" w14:textId="77777777">
      <w:r>
        <w:separator/>
      </w:r>
    </w:p>
  </w:footnote>
  <w:footnote w:type="continuationSeparator" w:id="1">
    <w:p w:rsidR="00EC71BE" w14:paraId="7536EC27" w14:textId="77777777">
      <w:r>
        <w:continuationSeparator/>
      </w:r>
    </w:p>
  </w:footnote>
  <w:footnote w:id="2">
    <w:p w:rsidR="00744C31" w:rsidP="00744C31" w14:paraId="4385DDCB" w14:textId="77777777">
      <w:pPr>
        <w:pStyle w:val="FootnoteText"/>
      </w:pPr>
      <w:r>
        <w:rPr>
          <w:rStyle w:val="FootnoteReference"/>
        </w:rPr>
        <w:footnoteRef/>
      </w:r>
      <w:r>
        <w:t xml:space="preserve"> </w:t>
      </w:r>
      <w:r>
        <w:rPr>
          <w:color w:val="000000"/>
        </w:rPr>
        <w:t xml:space="preserve">Source of median wage rate: U.S. Bureau of Labor Statistics.  Occupational Employment and Wage Statistics, “May 2022 National Occupational Employment and Wage Estimates United States.”  Updated April 25, 2023.  Available at https://www.bls.gov/oes/2022/may/oes_nat.htm.  Accessed August 21, 2023.  The total compensation to wages and salaries ratio is equal to the total compensation cost per hour worked for Professional and related occupations ($62.65) divided by the wages and salaries cost per hour worked for the same occupation category ($42.66).  </w:t>
      </w:r>
      <w:r>
        <w:rPr>
          <w:i/>
          <w:iCs/>
          <w:color w:val="000000"/>
        </w:rPr>
        <w:t>See</w:t>
      </w:r>
      <w:r>
        <w:rPr>
          <w:color w:val="000000"/>
        </w:rPr>
        <w:t xml:space="preserve"> “Table 2.  Employer Costs for Employee Compensation for civilian workers by occupational and industry group.”  Bureau of Labor Statistics, “Employer Costs for Employee Compensation – December 2022.”  Released March 17, 2023.  Available at https://www.bls.gov/news.release/archives/ecec_03172023.pdf.  Accessed August 29, 2023.</w:t>
      </w:r>
    </w:p>
  </w:footnote>
  <w:footnote w:id="3">
    <w:p w:rsidR="00744C31" w:rsidP="00744C31" w14:paraId="019A9435" w14:textId="77777777">
      <w:pPr>
        <w:pStyle w:val="FootnoteText"/>
        <w:rPr>
          <w:rFonts w:ascii="Calibri" w:hAnsi="Calibri" w:cs="Calibri"/>
        </w:rPr>
      </w:pPr>
      <w:r>
        <w:rPr>
          <w:rStyle w:val="FootnoteReference"/>
        </w:rPr>
        <w:footnoteRef/>
      </w:r>
      <w:r>
        <w:t xml:space="preserve"> To adjust to 2023 dollars, multiply by the 2021-2022 percent change in the Bureau of Economic Analysis's Implicit Price Deflators for Gross Domestic Product (127.224/118.895-1).  </w:t>
      </w:r>
      <w:r>
        <w:rPr>
          <w:i/>
          <w:iCs/>
        </w:rPr>
        <w:t>See</w:t>
      </w:r>
      <w:r>
        <w:t xml:space="preserve"> “Table 1.1.9.  Implicit Price Deflators for Gross Domestic Product,” Line 1 Gross Domestic Product, annual.  Bureau of Economic Analysis.  Updated August 30, 2023.  Available at https://apps.bea.gov/iTable/?reqid=19&amp;step=2&amp;isuri=1&amp;categories=survey#eyJhcHBpZCI6MTksInN0ZXBzIjpbMSwyLDMsM10sImRhdGEiOltbImNhdGVnb3JpZXMiLCJTdXJ2ZXkiXSxbIk5JUEFfVGFibGVfTGlzdCIsIjEzIl0sWyJGaXJzdF9ZZWFyIiwiMjAxNiJdLFsiTGFzdF9ZZWFyIiwiMjAyMyJdLFsiU2NhbGUiLCIwIl0sWyJTZXJpZXMiLCJBIl1dfQ==.  Accessed September 20, 2023.</w:t>
      </w:r>
    </w:p>
  </w:footnote>
  <w:footnote w:id="4">
    <w:p w:rsidR="00B04A35" w:rsidP="00B04A35" w14:paraId="68C42673" w14:textId="77777777">
      <w:pPr>
        <w:pStyle w:val="FootnoteText"/>
      </w:pPr>
      <w:r>
        <w:rPr>
          <w:rStyle w:val="FootnoteReference"/>
        </w:rPr>
        <w:footnoteRef/>
      </w:r>
      <w:r>
        <w:t xml:space="preserve"> CBP bases this wage on the FY 2023 salary and benefits of the national average of CBP Trade and Revenue positions, which is equal to a GS-12, Step 9.  Source: </w:t>
      </w:r>
      <w:r>
        <w:rPr>
          <w:lang w:val="en"/>
        </w:rPr>
        <w:t>Email correspondence with CBP’s Office of Finance on September 26, 2023</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22083339"/>
    <w:multiLevelType w:val="hybridMultilevel"/>
    <w:tmpl w:val="A66271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AB837A4"/>
    <w:multiLevelType w:val="hybridMultilevel"/>
    <w:tmpl w:val="D94E002C"/>
    <w:lvl w:ilvl="0">
      <w:start w:val="6"/>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536629D9"/>
    <w:multiLevelType w:val="hybridMultilevel"/>
    <w:tmpl w:val="D674D01E"/>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30402733">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288844">
    <w:abstractNumId w:val="7"/>
  </w:num>
  <w:num w:numId="3" w16cid:durableId="891816863">
    <w:abstractNumId w:val="2"/>
  </w:num>
  <w:num w:numId="4" w16cid:durableId="167259806">
    <w:abstractNumId w:val="4"/>
  </w:num>
  <w:num w:numId="5" w16cid:durableId="213782716">
    <w:abstractNumId w:val="3"/>
  </w:num>
  <w:num w:numId="6" w16cid:durableId="939684717">
    <w:abstractNumId w:val="8"/>
  </w:num>
  <w:num w:numId="7" w16cid:durableId="1652563957">
    <w:abstractNumId w:val="6"/>
  </w:num>
  <w:num w:numId="8" w16cid:durableId="579829343">
    <w:abstractNumId w:val="5"/>
  </w:num>
  <w:num w:numId="9" w16cid:durableId="1616054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A5"/>
    <w:rsid w:val="00012E23"/>
    <w:rsid w:val="00042D5B"/>
    <w:rsid w:val="00044124"/>
    <w:rsid w:val="000474FA"/>
    <w:rsid w:val="00054C0E"/>
    <w:rsid w:val="000741A4"/>
    <w:rsid w:val="000743D4"/>
    <w:rsid w:val="00075D73"/>
    <w:rsid w:val="000959EB"/>
    <w:rsid w:val="00095BF6"/>
    <w:rsid w:val="000A22C3"/>
    <w:rsid w:val="000B286B"/>
    <w:rsid w:val="000B7007"/>
    <w:rsid w:val="000C0AD3"/>
    <w:rsid w:val="000E2D50"/>
    <w:rsid w:val="000E3764"/>
    <w:rsid w:val="000E6B3D"/>
    <w:rsid w:val="000F7105"/>
    <w:rsid w:val="001036ED"/>
    <w:rsid w:val="00112FDC"/>
    <w:rsid w:val="001207D8"/>
    <w:rsid w:val="00124942"/>
    <w:rsid w:val="001328B5"/>
    <w:rsid w:val="001436A4"/>
    <w:rsid w:val="00154518"/>
    <w:rsid w:val="00163CAA"/>
    <w:rsid w:val="00174996"/>
    <w:rsid w:val="001815E7"/>
    <w:rsid w:val="0018593A"/>
    <w:rsid w:val="001D546C"/>
    <w:rsid w:val="001D7168"/>
    <w:rsid w:val="001F4D8F"/>
    <w:rsid w:val="001F7138"/>
    <w:rsid w:val="00200848"/>
    <w:rsid w:val="00210C5B"/>
    <w:rsid w:val="00211D31"/>
    <w:rsid w:val="002179C2"/>
    <w:rsid w:val="002201EA"/>
    <w:rsid w:val="00222330"/>
    <w:rsid w:val="00243A76"/>
    <w:rsid w:val="00267697"/>
    <w:rsid w:val="002758BC"/>
    <w:rsid w:val="00287888"/>
    <w:rsid w:val="002A2A59"/>
    <w:rsid w:val="002F58C5"/>
    <w:rsid w:val="003001AB"/>
    <w:rsid w:val="00300C7F"/>
    <w:rsid w:val="00301973"/>
    <w:rsid w:val="0030280D"/>
    <w:rsid w:val="0032592E"/>
    <w:rsid w:val="00331D1D"/>
    <w:rsid w:val="00337AF3"/>
    <w:rsid w:val="003522D4"/>
    <w:rsid w:val="00360D18"/>
    <w:rsid w:val="003A1929"/>
    <w:rsid w:val="003A6233"/>
    <w:rsid w:val="003C2D47"/>
    <w:rsid w:val="003D6857"/>
    <w:rsid w:val="003D70DD"/>
    <w:rsid w:val="003E0DC9"/>
    <w:rsid w:val="003E2349"/>
    <w:rsid w:val="003E4152"/>
    <w:rsid w:val="003F689B"/>
    <w:rsid w:val="00403899"/>
    <w:rsid w:val="00455A5C"/>
    <w:rsid w:val="00464CFF"/>
    <w:rsid w:val="00480976"/>
    <w:rsid w:val="004A74FF"/>
    <w:rsid w:val="004B1E25"/>
    <w:rsid w:val="004D3BC0"/>
    <w:rsid w:val="004E7D9F"/>
    <w:rsid w:val="004E7EC0"/>
    <w:rsid w:val="004F39B2"/>
    <w:rsid w:val="004F6B2D"/>
    <w:rsid w:val="004F6C68"/>
    <w:rsid w:val="0053507E"/>
    <w:rsid w:val="00535DFA"/>
    <w:rsid w:val="00536B95"/>
    <w:rsid w:val="00537B61"/>
    <w:rsid w:val="00542562"/>
    <w:rsid w:val="00546656"/>
    <w:rsid w:val="00546AB0"/>
    <w:rsid w:val="00547414"/>
    <w:rsid w:val="00564694"/>
    <w:rsid w:val="0057169F"/>
    <w:rsid w:val="00577E62"/>
    <w:rsid w:val="00593ABD"/>
    <w:rsid w:val="005A7F08"/>
    <w:rsid w:val="005C1C83"/>
    <w:rsid w:val="005D31ED"/>
    <w:rsid w:val="005D60CF"/>
    <w:rsid w:val="005E4FAC"/>
    <w:rsid w:val="005F084E"/>
    <w:rsid w:val="005F732C"/>
    <w:rsid w:val="006127DD"/>
    <w:rsid w:val="0061327F"/>
    <w:rsid w:val="006321E2"/>
    <w:rsid w:val="00645157"/>
    <w:rsid w:val="006A564D"/>
    <w:rsid w:val="006B3CA5"/>
    <w:rsid w:val="006B7C87"/>
    <w:rsid w:val="006D43F8"/>
    <w:rsid w:val="006F2B8C"/>
    <w:rsid w:val="00717353"/>
    <w:rsid w:val="00724A43"/>
    <w:rsid w:val="00736682"/>
    <w:rsid w:val="007366B7"/>
    <w:rsid w:val="00744C31"/>
    <w:rsid w:val="007577B6"/>
    <w:rsid w:val="00760B4A"/>
    <w:rsid w:val="00776353"/>
    <w:rsid w:val="00783DE3"/>
    <w:rsid w:val="00792030"/>
    <w:rsid w:val="00793ED1"/>
    <w:rsid w:val="007A3363"/>
    <w:rsid w:val="007B48E9"/>
    <w:rsid w:val="007C20CA"/>
    <w:rsid w:val="007C4BD9"/>
    <w:rsid w:val="007C538D"/>
    <w:rsid w:val="007D2CCF"/>
    <w:rsid w:val="007E272F"/>
    <w:rsid w:val="007E2A5B"/>
    <w:rsid w:val="007E74F2"/>
    <w:rsid w:val="007F65F5"/>
    <w:rsid w:val="00800CF9"/>
    <w:rsid w:val="00831F73"/>
    <w:rsid w:val="00866DB6"/>
    <w:rsid w:val="00886A7F"/>
    <w:rsid w:val="00890909"/>
    <w:rsid w:val="008A48E5"/>
    <w:rsid w:val="008B0FEC"/>
    <w:rsid w:val="008B1340"/>
    <w:rsid w:val="008B229C"/>
    <w:rsid w:val="008B4CED"/>
    <w:rsid w:val="008C2187"/>
    <w:rsid w:val="008C668D"/>
    <w:rsid w:val="008D21C6"/>
    <w:rsid w:val="008E2A23"/>
    <w:rsid w:val="0091090E"/>
    <w:rsid w:val="00935E4F"/>
    <w:rsid w:val="009428F1"/>
    <w:rsid w:val="0094710D"/>
    <w:rsid w:val="00964C4E"/>
    <w:rsid w:val="009677D2"/>
    <w:rsid w:val="009707A4"/>
    <w:rsid w:val="00971A4D"/>
    <w:rsid w:val="00971C11"/>
    <w:rsid w:val="009865B0"/>
    <w:rsid w:val="00986AC7"/>
    <w:rsid w:val="00993B82"/>
    <w:rsid w:val="009A2B04"/>
    <w:rsid w:val="009A3F7C"/>
    <w:rsid w:val="009B1BFB"/>
    <w:rsid w:val="009B6C36"/>
    <w:rsid w:val="009B6DB4"/>
    <w:rsid w:val="009E5C3A"/>
    <w:rsid w:val="00A00902"/>
    <w:rsid w:val="00A22205"/>
    <w:rsid w:val="00A24346"/>
    <w:rsid w:val="00A24D5B"/>
    <w:rsid w:val="00A251DD"/>
    <w:rsid w:val="00A66070"/>
    <w:rsid w:val="00A6706A"/>
    <w:rsid w:val="00A87082"/>
    <w:rsid w:val="00A90C3F"/>
    <w:rsid w:val="00A913AD"/>
    <w:rsid w:val="00A94CCC"/>
    <w:rsid w:val="00AB4948"/>
    <w:rsid w:val="00AB598B"/>
    <w:rsid w:val="00AD2394"/>
    <w:rsid w:val="00AD7AD8"/>
    <w:rsid w:val="00B04A35"/>
    <w:rsid w:val="00B11C81"/>
    <w:rsid w:val="00B27944"/>
    <w:rsid w:val="00B30D16"/>
    <w:rsid w:val="00B32AFA"/>
    <w:rsid w:val="00B47A03"/>
    <w:rsid w:val="00B70BA2"/>
    <w:rsid w:val="00B76551"/>
    <w:rsid w:val="00B815CF"/>
    <w:rsid w:val="00BA222A"/>
    <w:rsid w:val="00BC7E16"/>
    <w:rsid w:val="00BD4937"/>
    <w:rsid w:val="00BE5E29"/>
    <w:rsid w:val="00BF17BF"/>
    <w:rsid w:val="00C15456"/>
    <w:rsid w:val="00C44422"/>
    <w:rsid w:val="00C455E8"/>
    <w:rsid w:val="00C47181"/>
    <w:rsid w:val="00C6387C"/>
    <w:rsid w:val="00C701C8"/>
    <w:rsid w:val="00C826B4"/>
    <w:rsid w:val="00C84292"/>
    <w:rsid w:val="00CA10EF"/>
    <w:rsid w:val="00CA190C"/>
    <w:rsid w:val="00CA638A"/>
    <w:rsid w:val="00CB101C"/>
    <w:rsid w:val="00CB5504"/>
    <w:rsid w:val="00CC09B2"/>
    <w:rsid w:val="00CD1C45"/>
    <w:rsid w:val="00CD6674"/>
    <w:rsid w:val="00CE294E"/>
    <w:rsid w:val="00CF422C"/>
    <w:rsid w:val="00CF5892"/>
    <w:rsid w:val="00D225F8"/>
    <w:rsid w:val="00D726E3"/>
    <w:rsid w:val="00D74150"/>
    <w:rsid w:val="00D74839"/>
    <w:rsid w:val="00D94E06"/>
    <w:rsid w:val="00DC3C5D"/>
    <w:rsid w:val="00E0491B"/>
    <w:rsid w:val="00E10664"/>
    <w:rsid w:val="00E139B7"/>
    <w:rsid w:val="00E25EE2"/>
    <w:rsid w:val="00E41035"/>
    <w:rsid w:val="00E55108"/>
    <w:rsid w:val="00E67025"/>
    <w:rsid w:val="00E91778"/>
    <w:rsid w:val="00E927F4"/>
    <w:rsid w:val="00EA01E7"/>
    <w:rsid w:val="00EA1AF5"/>
    <w:rsid w:val="00EA65BB"/>
    <w:rsid w:val="00EC1D66"/>
    <w:rsid w:val="00EC71BE"/>
    <w:rsid w:val="00EE34E7"/>
    <w:rsid w:val="00EE48BB"/>
    <w:rsid w:val="00F010EC"/>
    <w:rsid w:val="00F026F8"/>
    <w:rsid w:val="00F0525F"/>
    <w:rsid w:val="00F1507B"/>
    <w:rsid w:val="00F23610"/>
    <w:rsid w:val="00F2616F"/>
    <w:rsid w:val="00F31515"/>
    <w:rsid w:val="00F323F0"/>
    <w:rsid w:val="00F36296"/>
    <w:rsid w:val="00F60591"/>
    <w:rsid w:val="00FA0BF8"/>
    <w:rsid w:val="00FA1208"/>
    <w:rsid w:val="00FA57E9"/>
    <w:rsid w:val="00FD664A"/>
    <w:rsid w:val="00FF50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0D90B4C"/>
  <w15:chartTrackingRefBased/>
  <w15:docId w15:val="{1BDB74F2-18A5-46F8-93C6-FC42B81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qFormat/>
    <w:rsid w:val="006B3CA5"/>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rsid w:val="006B3CA5"/>
    <w:pPr>
      <w:numPr>
        <w:numId w:val="1"/>
      </w:numPr>
      <w:ind w:left="720" w:hanging="720"/>
      <w:outlineLvl w:val="0"/>
    </w:pPr>
    <w:rPr>
      <w:rFonts w:ascii="Times" w:hAnsi="Times"/>
    </w:rPr>
  </w:style>
  <w:style w:type="paragraph" w:styleId="BodyTextIndent">
    <w:name w:val="Body Text Indent"/>
    <w:basedOn w:val="Normal"/>
    <w:rsid w:val="006B3CA5"/>
    <w:pPr>
      <w:ind w:left="720" w:hanging="720"/>
      <w:jc w:val="both"/>
    </w:pPr>
    <w:rPr>
      <w:rFonts w:ascii="Arial" w:hAnsi="Arial"/>
    </w:rPr>
  </w:style>
  <w:style w:type="paragraph" w:customStyle="1" w:styleId="Style">
    <w:name w:val="Style"/>
    <w:basedOn w:val="Normal"/>
    <w:rsid w:val="006B3CA5"/>
    <w:pPr>
      <w:ind w:left="1440" w:hanging="720"/>
    </w:pPr>
  </w:style>
  <w:style w:type="table" w:styleId="TableGrid">
    <w:name w:val="Table Grid"/>
    <w:basedOn w:val="TableNormal"/>
    <w:rsid w:val="006B3CA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B3CA5"/>
    <w:pPr>
      <w:spacing w:after="120" w:line="480" w:lineRule="auto"/>
      <w:ind w:left="360"/>
    </w:pPr>
  </w:style>
  <w:style w:type="paragraph" w:styleId="Footer">
    <w:name w:val="footer"/>
    <w:basedOn w:val="Normal"/>
    <w:rsid w:val="006B7C87"/>
    <w:pPr>
      <w:tabs>
        <w:tab w:val="center" w:pos="4320"/>
        <w:tab w:val="right" w:pos="8640"/>
      </w:tabs>
    </w:pPr>
  </w:style>
  <w:style w:type="character" w:styleId="PageNumber">
    <w:name w:val="page number"/>
    <w:basedOn w:val="DefaultParagraphFont"/>
    <w:rsid w:val="006B7C87"/>
  </w:style>
  <w:style w:type="paragraph" w:styleId="BalloonText">
    <w:name w:val="Balloon Text"/>
    <w:basedOn w:val="Normal"/>
    <w:link w:val="BalloonTextChar"/>
    <w:rsid w:val="00FA1208"/>
    <w:rPr>
      <w:rFonts w:ascii="Segoe UI" w:hAnsi="Segoe UI" w:cs="Segoe UI"/>
      <w:sz w:val="18"/>
      <w:szCs w:val="18"/>
    </w:rPr>
  </w:style>
  <w:style w:type="character" w:customStyle="1" w:styleId="BalloonTextChar">
    <w:name w:val="Balloon Text Char"/>
    <w:link w:val="BalloonText"/>
    <w:rsid w:val="00FA1208"/>
    <w:rPr>
      <w:rFonts w:ascii="Segoe UI" w:hAnsi="Segoe UI" w:cs="Segoe UI"/>
      <w:snapToGrid w:val="0"/>
      <w:sz w:val="18"/>
      <w:szCs w:val="18"/>
    </w:rPr>
  </w:style>
  <w:style w:type="paragraph" w:styleId="FootnoteText">
    <w:name w:val="footnote text"/>
    <w:basedOn w:val="Normal"/>
    <w:link w:val="FootnoteTextChar"/>
    <w:rsid w:val="00FA1208"/>
    <w:rPr>
      <w:sz w:val="20"/>
    </w:rPr>
  </w:style>
  <w:style w:type="character" w:customStyle="1" w:styleId="FootnoteTextChar">
    <w:name w:val="Footnote Text Char"/>
    <w:link w:val="FootnoteText"/>
    <w:rsid w:val="00FA1208"/>
    <w:rPr>
      <w:snapToGrid w:val="0"/>
    </w:rPr>
  </w:style>
  <w:style w:type="character" w:styleId="Hyperlink">
    <w:name w:val="Hyperlink"/>
    <w:unhideWhenUsed/>
    <w:rsid w:val="005C1C83"/>
    <w:rPr>
      <w:color w:val="0000FF"/>
      <w:u w:val="single"/>
    </w:rPr>
  </w:style>
  <w:style w:type="paragraph" w:styleId="EndnoteText">
    <w:name w:val="endnote text"/>
    <w:basedOn w:val="Normal"/>
    <w:link w:val="EndnoteTextChar"/>
    <w:rsid w:val="003D6857"/>
    <w:rPr>
      <w:sz w:val="20"/>
    </w:rPr>
  </w:style>
  <w:style w:type="character" w:customStyle="1" w:styleId="EndnoteTextChar">
    <w:name w:val="Endnote Text Char"/>
    <w:link w:val="EndnoteText"/>
    <w:rsid w:val="003D6857"/>
    <w:rPr>
      <w:snapToGrid w:val="0"/>
    </w:rPr>
  </w:style>
  <w:style w:type="character" w:styleId="EndnoteReference">
    <w:name w:val="endnote reference"/>
    <w:rsid w:val="003D6857"/>
    <w:rPr>
      <w:vertAlign w:val="superscript"/>
    </w:rPr>
  </w:style>
  <w:style w:type="character" w:styleId="CommentReference">
    <w:name w:val="annotation reference"/>
    <w:rsid w:val="007577B6"/>
    <w:rPr>
      <w:sz w:val="16"/>
      <w:szCs w:val="16"/>
    </w:rPr>
  </w:style>
  <w:style w:type="paragraph" w:styleId="CommentText">
    <w:name w:val="annotation text"/>
    <w:basedOn w:val="Normal"/>
    <w:link w:val="CommentTextChar"/>
    <w:rsid w:val="007577B6"/>
    <w:rPr>
      <w:sz w:val="20"/>
    </w:rPr>
  </w:style>
  <w:style w:type="character" w:customStyle="1" w:styleId="CommentTextChar">
    <w:name w:val="Comment Text Char"/>
    <w:link w:val="CommentText"/>
    <w:rsid w:val="007577B6"/>
    <w:rPr>
      <w:snapToGrid w:val="0"/>
    </w:rPr>
  </w:style>
  <w:style w:type="paragraph" w:styleId="CommentSubject">
    <w:name w:val="annotation subject"/>
    <w:basedOn w:val="CommentText"/>
    <w:next w:val="CommentText"/>
    <w:link w:val="CommentSubjectChar"/>
    <w:rsid w:val="007577B6"/>
    <w:rPr>
      <w:b/>
      <w:bCs/>
    </w:rPr>
  </w:style>
  <w:style w:type="character" w:customStyle="1" w:styleId="CommentSubjectChar">
    <w:name w:val="Comment Subject Char"/>
    <w:link w:val="CommentSubject"/>
    <w:rsid w:val="007577B6"/>
    <w:rPr>
      <w:b/>
      <w:bCs/>
      <w:snapToGrid w:val="0"/>
    </w:rPr>
  </w:style>
  <w:style w:type="character" w:styleId="FollowedHyperlink">
    <w:name w:val="FollowedHyperlink"/>
    <w:rsid w:val="00D726E3"/>
    <w:rPr>
      <w:color w:val="954F72"/>
      <w:u w:val="single"/>
    </w:rPr>
  </w:style>
  <w:style w:type="paragraph" w:styleId="Revision">
    <w:name w:val="Revision"/>
    <w:hidden/>
    <w:uiPriority w:val="99"/>
    <w:semiHidden/>
    <w:rsid w:val="00783DE3"/>
    <w:rPr>
      <w:snapToGrid w:val="0"/>
      <w:sz w:val="24"/>
      <w:lang w:eastAsia="en-US"/>
    </w:rPr>
  </w:style>
  <w:style w:type="character" w:styleId="UnresolvedMention">
    <w:name w:val="Unresolved Mention"/>
    <w:basedOn w:val="DefaultParagraphFont"/>
    <w:uiPriority w:val="99"/>
    <w:semiHidden/>
    <w:unhideWhenUsed/>
    <w:rsid w:val="00FA5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hs.gov/sites/default/files/publications/privacy-pia-cbp-ace003b-appendixa-march202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Props1.xml><?xml version="1.0" encoding="utf-8"?>
<ds:datastoreItem xmlns:ds="http://schemas.openxmlformats.org/officeDocument/2006/customXml" ds:itemID="{3A7FF94E-5EF3-42C0-971E-CCED23DCC2F0}">
  <ds:schemaRefs>
    <ds:schemaRef ds:uri="http://schemas.microsoft.com/sharepoint/v3/contenttype/forms"/>
  </ds:schemaRefs>
</ds:datastoreItem>
</file>

<file path=customXml/itemProps2.xml><?xml version="1.0" encoding="utf-8"?>
<ds:datastoreItem xmlns:ds="http://schemas.openxmlformats.org/officeDocument/2006/customXml" ds:itemID="{2C4603F1-5423-4F87-898C-E9E6809EF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BC841-99D4-4888-B313-5C5A8B8215BC}">
  <ds:schemaRefs>
    <ds:schemaRef ds:uri="http://schemas.openxmlformats.org/officeDocument/2006/bibliography"/>
  </ds:schemaRefs>
</ds:datastoreItem>
</file>

<file path=customXml/itemProps4.xml><?xml version="1.0" encoding="utf-8"?>
<ds:datastoreItem xmlns:ds="http://schemas.openxmlformats.org/officeDocument/2006/customXml" ds:itemID="{69483126-092F-4710-BDDC-A60CC6E910EA}">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1657</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2002-09-11T13:14:00Z</cp:lastPrinted>
  <dcterms:created xsi:type="dcterms:W3CDTF">2024-03-29T19:31:00Z</dcterms:created>
  <dcterms:modified xsi:type="dcterms:W3CDTF">2024-03-29T19:31:00Z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